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654B2">
      <w:pPr>
        <w:tabs>
          <w:tab w:val="left" w:pos="315"/>
          <w:tab w:val="left" w:pos="8820"/>
        </w:tabs>
        <w:spacing w:before="240" w:beforeLines="100" w:after="120" w:afterLines="50" w:line="500" w:lineRule="exact"/>
        <w:ind w:right="254" w:rightChars="127"/>
        <w:jc w:val="center"/>
        <w:rPr>
          <w:b/>
          <w:bCs/>
          <w:color w:val="auto"/>
          <w:sz w:val="52"/>
          <w:szCs w:val="52"/>
          <w:highlight w:val="none"/>
          <w:vertAlign w:val="superscript"/>
        </w:rPr>
      </w:pPr>
    </w:p>
    <w:p w14:paraId="2FA6C5E9">
      <w:pPr>
        <w:tabs>
          <w:tab w:val="left" w:pos="315"/>
          <w:tab w:val="left" w:pos="8820"/>
        </w:tabs>
        <w:spacing w:before="240" w:beforeLines="100" w:after="120" w:afterLines="50" w:line="500" w:lineRule="exact"/>
        <w:ind w:right="254" w:rightChars="127"/>
        <w:jc w:val="center"/>
        <w:rPr>
          <w:b/>
          <w:bCs/>
          <w:color w:val="auto"/>
          <w:sz w:val="52"/>
          <w:szCs w:val="52"/>
          <w:highlight w:val="none"/>
        </w:rPr>
      </w:pPr>
      <w:bookmarkStart w:id="702" w:name="_GoBack"/>
      <w:bookmarkEnd w:id="702"/>
    </w:p>
    <w:p w14:paraId="72A9EC10">
      <w:pPr>
        <w:tabs>
          <w:tab w:val="left" w:pos="315"/>
          <w:tab w:val="left" w:pos="8820"/>
        </w:tabs>
        <w:spacing w:before="240" w:beforeLines="100" w:after="120" w:afterLines="50" w:line="500" w:lineRule="exact"/>
        <w:ind w:right="254" w:rightChars="127"/>
        <w:jc w:val="center"/>
        <w:rPr>
          <w:rFonts w:hint="eastAsia" w:eastAsia="宋体"/>
          <w:b/>
          <w:bCs/>
          <w:color w:val="auto"/>
          <w:sz w:val="52"/>
          <w:szCs w:val="52"/>
          <w:highlight w:val="none"/>
          <w:lang w:eastAsia="zh-CN"/>
        </w:rPr>
      </w:pPr>
      <w:bookmarkStart w:id="0" w:name="_Hlk9544796"/>
      <w:r>
        <w:rPr>
          <w:rFonts w:hint="eastAsia"/>
          <w:b/>
          <w:bCs/>
          <w:color w:val="auto"/>
          <w:sz w:val="52"/>
          <w:szCs w:val="52"/>
          <w:highlight w:val="none"/>
          <w:lang w:val="en-US" w:eastAsia="zh-CN"/>
        </w:rPr>
        <w:t>安徽省</w:t>
      </w:r>
      <w:r>
        <w:rPr>
          <w:rFonts w:hint="eastAsia"/>
          <w:b/>
          <w:bCs/>
          <w:color w:val="auto"/>
          <w:sz w:val="52"/>
          <w:szCs w:val="52"/>
          <w:highlight w:val="none"/>
        </w:rPr>
        <w:t>政府采购</w:t>
      </w:r>
      <w:r>
        <w:rPr>
          <w:rFonts w:hint="eastAsia"/>
          <w:b/>
          <w:bCs/>
          <w:color w:val="auto"/>
          <w:sz w:val="52"/>
          <w:szCs w:val="52"/>
          <w:highlight w:val="none"/>
          <w:lang w:eastAsia="zh-CN"/>
        </w:rPr>
        <w:t>项目</w:t>
      </w:r>
    </w:p>
    <w:p w14:paraId="7A660860">
      <w:pPr>
        <w:tabs>
          <w:tab w:val="left" w:pos="315"/>
          <w:tab w:val="left" w:pos="8820"/>
        </w:tabs>
        <w:spacing w:before="240" w:beforeLines="100" w:after="120" w:afterLines="50" w:line="500" w:lineRule="exact"/>
        <w:ind w:right="254" w:rightChars="127"/>
        <w:jc w:val="center"/>
        <w:rPr>
          <w:b/>
          <w:bCs/>
          <w:color w:val="auto"/>
          <w:sz w:val="52"/>
          <w:szCs w:val="52"/>
          <w:highlight w:val="none"/>
        </w:rPr>
      </w:pPr>
      <w:r>
        <w:rPr>
          <w:rFonts w:hint="eastAsia"/>
          <w:b/>
          <w:bCs/>
          <w:color w:val="auto"/>
          <w:sz w:val="52"/>
          <w:szCs w:val="52"/>
          <w:highlight w:val="none"/>
        </w:rPr>
        <w:t>竞争性谈判文件示范文本（工程类）</w:t>
      </w:r>
    </w:p>
    <w:bookmarkEnd w:id="0"/>
    <w:p w14:paraId="2EF1266A">
      <w:pPr>
        <w:tabs>
          <w:tab w:val="left" w:pos="315"/>
          <w:tab w:val="left" w:pos="8820"/>
        </w:tabs>
        <w:spacing w:before="240" w:beforeLines="100" w:after="120" w:afterLines="50" w:line="500" w:lineRule="exact"/>
        <w:ind w:right="254" w:rightChars="127"/>
        <w:jc w:val="center"/>
        <w:rPr>
          <w:b/>
          <w:bCs/>
          <w:color w:val="auto"/>
          <w:sz w:val="52"/>
          <w:szCs w:val="52"/>
          <w:highlight w:val="none"/>
        </w:rPr>
      </w:pPr>
      <w:r>
        <w:rPr>
          <w:rFonts w:hint="eastAsia"/>
          <w:b/>
          <w:bCs/>
          <w:color w:val="auto"/>
          <w:sz w:val="52"/>
          <w:szCs w:val="52"/>
          <w:highlight w:val="none"/>
        </w:rPr>
        <w:t>（</w:t>
      </w:r>
      <w:r>
        <w:rPr>
          <w:rFonts w:hint="eastAsia"/>
          <w:b/>
          <w:bCs/>
          <w:color w:val="auto"/>
          <w:sz w:val="52"/>
          <w:szCs w:val="52"/>
          <w:highlight w:val="none"/>
          <w:lang w:val="en-US" w:eastAsia="zh-CN"/>
        </w:rPr>
        <w:t>2024版本</w:t>
      </w:r>
      <w:r>
        <w:rPr>
          <w:rFonts w:hint="eastAsia"/>
          <w:b/>
          <w:bCs/>
          <w:color w:val="auto"/>
          <w:sz w:val="52"/>
          <w:szCs w:val="52"/>
          <w:highlight w:val="none"/>
        </w:rPr>
        <w:t>）</w:t>
      </w:r>
    </w:p>
    <w:p w14:paraId="6F1FF141">
      <w:pPr>
        <w:tabs>
          <w:tab w:val="left" w:pos="315"/>
          <w:tab w:val="left" w:pos="8820"/>
        </w:tabs>
        <w:spacing w:before="240" w:beforeLines="100" w:after="120" w:afterLines="50" w:line="500" w:lineRule="exact"/>
        <w:ind w:right="254" w:rightChars="127"/>
        <w:jc w:val="center"/>
        <w:rPr>
          <w:bCs/>
          <w:color w:val="auto"/>
          <w:sz w:val="44"/>
          <w:szCs w:val="44"/>
          <w:highlight w:val="none"/>
        </w:rPr>
      </w:pPr>
    </w:p>
    <w:p w14:paraId="373A5C77">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206CA2B4">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7F038E9E">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41352FDB">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1C01023D">
      <w:pPr>
        <w:tabs>
          <w:tab w:val="left" w:pos="2410"/>
        </w:tabs>
        <w:autoSpaceDE w:val="0"/>
        <w:autoSpaceDN w:val="0"/>
        <w:adjustRightInd w:val="0"/>
        <w:snapToGrid w:val="0"/>
        <w:spacing w:line="360" w:lineRule="auto"/>
        <w:rPr>
          <w:rFonts w:hint="default" w:eastAsia="宋体"/>
          <w:b/>
          <w:color w:val="auto"/>
          <w:spacing w:val="20"/>
          <w:sz w:val="32"/>
          <w:szCs w:val="32"/>
          <w:highlight w:val="none"/>
          <w:lang w:val="en-US" w:eastAsia="zh-CN"/>
        </w:rPr>
      </w:pPr>
      <w:r>
        <w:rPr>
          <w:rFonts w:hint="eastAsia"/>
          <w:b/>
          <w:color w:val="auto"/>
          <w:spacing w:val="20"/>
          <w:sz w:val="32"/>
          <w:szCs w:val="32"/>
          <w:highlight w:val="none"/>
        </w:rPr>
        <w:t>项目名称：</w:t>
      </w:r>
      <w:r>
        <w:rPr>
          <w:rFonts w:hint="eastAsia"/>
          <w:b/>
          <w:color w:val="auto"/>
          <w:spacing w:val="20"/>
          <w:sz w:val="32"/>
          <w:szCs w:val="32"/>
          <w:highlight w:val="none"/>
          <w:u w:val="single"/>
          <w:lang w:val="en-US" w:eastAsia="zh-CN"/>
        </w:rPr>
        <w:t>2025年公园游园亭廊栈道等设施维修项目</w:t>
      </w:r>
    </w:p>
    <w:p w14:paraId="3F054A91">
      <w:pPr>
        <w:tabs>
          <w:tab w:val="left" w:pos="2410"/>
        </w:tabs>
        <w:autoSpaceDE w:val="0"/>
        <w:autoSpaceDN w:val="0"/>
        <w:adjustRightInd w:val="0"/>
        <w:snapToGrid w:val="0"/>
        <w:spacing w:line="360" w:lineRule="auto"/>
        <w:rPr>
          <w:rFonts w:hint="eastAsia"/>
          <w:b/>
          <w:color w:val="auto"/>
          <w:spacing w:val="20"/>
          <w:sz w:val="32"/>
          <w:szCs w:val="32"/>
          <w:highlight w:val="none"/>
          <w:u w:val="single"/>
          <w:lang w:val="en-US" w:eastAsia="zh-CN"/>
        </w:rPr>
      </w:pPr>
      <w:r>
        <w:rPr>
          <w:rFonts w:hint="eastAsia"/>
          <w:b/>
          <w:color w:val="auto"/>
          <w:spacing w:val="20"/>
          <w:sz w:val="32"/>
          <w:szCs w:val="32"/>
          <w:highlight w:val="none"/>
        </w:rPr>
        <w:t>项目编号：</w:t>
      </w:r>
      <w:r>
        <w:rPr>
          <w:rFonts w:hint="eastAsia"/>
          <w:b/>
          <w:color w:val="auto"/>
          <w:spacing w:val="20"/>
          <w:sz w:val="32"/>
          <w:szCs w:val="32"/>
          <w:highlight w:val="none"/>
          <w:u w:val="single"/>
          <w:lang w:val="en-US" w:eastAsia="zh-CN"/>
        </w:rPr>
        <w:t>czsjcg202509-014</w:t>
      </w:r>
    </w:p>
    <w:p w14:paraId="20ED78D6">
      <w:pPr>
        <w:tabs>
          <w:tab w:val="left" w:pos="2410"/>
        </w:tabs>
        <w:autoSpaceDE w:val="0"/>
        <w:autoSpaceDN w:val="0"/>
        <w:adjustRightInd w:val="0"/>
        <w:snapToGrid w:val="0"/>
        <w:spacing w:line="360" w:lineRule="auto"/>
        <w:rPr>
          <w:b/>
          <w:color w:val="auto"/>
          <w:spacing w:val="20"/>
          <w:sz w:val="32"/>
          <w:szCs w:val="32"/>
          <w:highlight w:val="none"/>
        </w:rPr>
      </w:pPr>
      <w:r>
        <w:rPr>
          <w:rFonts w:hint="eastAsia"/>
          <w:b/>
          <w:color w:val="auto"/>
          <w:spacing w:val="20"/>
          <w:sz w:val="32"/>
          <w:szCs w:val="32"/>
          <w:highlight w:val="none"/>
        </w:rPr>
        <w:t>采 购 人：</w:t>
      </w:r>
      <w:r>
        <w:rPr>
          <w:rFonts w:hint="eastAsia"/>
          <w:b/>
          <w:color w:val="auto"/>
          <w:spacing w:val="20"/>
          <w:sz w:val="32"/>
          <w:szCs w:val="32"/>
          <w:highlight w:val="none"/>
          <w:u w:val="single"/>
          <w:lang w:val="en-US" w:eastAsia="zh-CN"/>
        </w:rPr>
        <w:t xml:space="preserve">滁州市园林景观管理中心 </w:t>
      </w:r>
    </w:p>
    <w:p w14:paraId="0D94F6D1">
      <w:pPr>
        <w:tabs>
          <w:tab w:val="left" w:pos="2410"/>
        </w:tabs>
        <w:autoSpaceDE w:val="0"/>
        <w:autoSpaceDN w:val="0"/>
        <w:adjustRightInd w:val="0"/>
        <w:snapToGrid w:val="0"/>
        <w:spacing w:line="360" w:lineRule="auto"/>
        <w:rPr>
          <w:b/>
          <w:color w:val="auto"/>
          <w:spacing w:val="20"/>
          <w:sz w:val="32"/>
          <w:szCs w:val="32"/>
          <w:highlight w:val="none"/>
        </w:rPr>
      </w:pPr>
      <w:r>
        <w:rPr>
          <w:rFonts w:hint="eastAsia"/>
          <w:b/>
          <w:color w:val="auto"/>
          <w:spacing w:val="20"/>
          <w:sz w:val="32"/>
          <w:szCs w:val="32"/>
          <w:highlight w:val="none"/>
        </w:rPr>
        <w:t>采购代理机构：</w:t>
      </w:r>
      <w:r>
        <w:rPr>
          <w:rFonts w:hint="eastAsia"/>
          <w:b/>
          <w:color w:val="auto"/>
          <w:spacing w:val="20"/>
          <w:sz w:val="32"/>
          <w:szCs w:val="32"/>
          <w:highlight w:val="none"/>
          <w:u w:val="single"/>
          <w:lang w:val="en-US" w:eastAsia="zh-CN"/>
        </w:rPr>
        <w:t>滁州市城投工程咨询管理有限公司</w:t>
      </w:r>
    </w:p>
    <w:p w14:paraId="76969DF4">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258FD939">
      <w:pPr>
        <w:tabs>
          <w:tab w:val="left" w:pos="2410"/>
        </w:tabs>
        <w:autoSpaceDE w:val="0"/>
        <w:autoSpaceDN w:val="0"/>
        <w:adjustRightInd w:val="0"/>
        <w:snapToGrid w:val="0"/>
        <w:spacing w:line="360" w:lineRule="auto"/>
        <w:jc w:val="center"/>
        <w:rPr>
          <w:b/>
          <w:color w:val="auto"/>
          <w:sz w:val="36"/>
          <w:highlight w:val="none"/>
        </w:rPr>
      </w:pPr>
    </w:p>
    <w:p w14:paraId="137561AF">
      <w:pPr>
        <w:tabs>
          <w:tab w:val="left" w:pos="2410"/>
        </w:tabs>
        <w:autoSpaceDE w:val="0"/>
        <w:autoSpaceDN w:val="0"/>
        <w:adjustRightInd w:val="0"/>
        <w:snapToGrid w:val="0"/>
        <w:spacing w:line="360" w:lineRule="auto"/>
        <w:jc w:val="center"/>
        <w:rPr>
          <w:b/>
          <w:color w:val="auto"/>
          <w:sz w:val="36"/>
          <w:highlight w:val="none"/>
        </w:rPr>
      </w:pPr>
      <w:r>
        <w:rPr>
          <w:rFonts w:hint="eastAsia"/>
          <w:b/>
          <w:color w:val="auto"/>
          <w:sz w:val="36"/>
          <w:highlight w:val="none"/>
          <w:u w:val="single"/>
          <w:lang w:val="en-US" w:eastAsia="zh-CN"/>
        </w:rPr>
        <w:t>2025</w:t>
      </w:r>
      <w:r>
        <w:rPr>
          <w:rFonts w:hint="eastAsia"/>
          <w:b/>
          <w:color w:val="auto"/>
          <w:sz w:val="36"/>
          <w:highlight w:val="none"/>
        </w:rPr>
        <w:t>年</w:t>
      </w:r>
      <w:r>
        <w:rPr>
          <w:rFonts w:hint="eastAsia"/>
          <w:b/>
          <w:color w:val="auto"/>
          <w:sz w:val="36"/>
          <w:highlight w:val="none"/>
          <w:u w:val="single"/>
          <w:lang w:val="en-US" w:eastAsia="zh-CN"/>
        </w:rPr>
        <w:t>9</w:t>
      </w:r>
      <w:r>
        <w:rPr>
          <w:rFonts w:hint="eastAsia"/>
          <w:b/>
          <w:color w:val="auto"/>
          <w:sz w:val="36"/>
          <w:highlight w:val="none"/>
        </w:rPr>
        <w:t>月</w:t>
      </w:r>
      <w:r>
        <w:rPr>
          <w:b/>
          <w:color w:val="auto"/>
          <w:sz w:val="36"/>
          <w:highlight w:val="none"/>
        </w:rPr>
        <w:br w:type="page"/>
      </w:r>
    </w:p>
    <w:p w14:paraId="6E5C5436">
      <w:pPr>
        <w:tabs>
          <w:tab w:val="left" w:pos="2410"/>
        </w:tabs>
        <w:autoSpaceDE w:val="0"/>
        <w:autoSpaceDN w:val="0"/>
        <w:adjustRightInd w:val="0"/>
        <w:snapToGrid w:val="0"/>
        <w:spacing w:line="360" w:lineRule="auto"/>
        <w:jc w:val="both"/>
        <w:rPr>
          <w:rFonts w:hint="eastAsia" w:ascii="Times New Roman" w:hAnsi="Times New Roman" w:eastAsia="宋体" w:cs="Times New Roman"/>
          <w:color w:val="auto"/>
          <w:kern w:val="0"/>
          <w:sz w:val="24"/>
          <w:szCs w:val="24"/>
          <w:highlight w:val="none"/>
        </w:rPr>
        <w:sectPr>
          <w:headerReference r:id="rId3" w:type="default"/>
          <w:footerReference r:id="rId4" w:type="default"/>
          <w:pgSz w:w="11907" w:h="16840"/>
          <w:pgMar w:top="1474" w:right="1814" w:bottom="1474" w:left="1814" w:header="851" w:footer="992" w:gutter="0"/>
          <w:cols w:space="720" w:num="1"/>
          <w:docGrid w:linePitch="462" w:charSpace="0"/>
        </w:sectPr>
      </w:pPr>
    </w:p>
    <w:p w14:paraId="6450CEF9">
      <w:pPr>
        <w:tabs>
          <w:tab w:val="left" w:pos="2410"/>
        </w:tabs>
        <w:autoSpaceDE w:val="0"/>
        <w:autoSpaceDN w:val="0"/>
        <w:adjustRightInd w:val="0"/>
        <w:snapToGrid w:val="0"/>
        <w:spacing w:line="360" w:lineRule="auto"/>
        <w:jc w:val="center"/>
        <w:rPr>
          <w:b/>
          <w:color w:val="auto"/>
          <w:sz w:val="28"/>
          <w:highlight w:val="none"/>
        </w:rPr>
      </w:pPr>
      <w:r>
        <w:rPr>
          <w:rFonts w:hint="eastAsia"/>
          <w:b/>
          <w:color w:val="auto"/>
          <w:sz w:val="28"/>
          <w:highlight w:val="none"/>
        </w:rPr>
        <w:t>目  录</w:t>
      </w:r>
    </w:p>
    <w:p w14:paraId="10C0C656">
      <w:pPr>
        <w:tabs>
          <w:tab w:val="left" w:pos="2410"/>
        </w:tabs>
        <w:autoSpaceDE w:val="0"/>
        <w:autoSpaceDN w:val="0"/>
        <w:adjustRightInd w:val="0"/>
        <w:snapToGrid w:val="0"/>
        <w:spacing w:line="360" w:lineRule="auto"/>
        <w:jc w:val="center"/>
        <w:rPr>
          <w:b/>
          <w:color w:val="auto"/>
          <w:sz w:val="28"/>
          <w:highlight w:val="none"/>
        </w:rPr>
      </w:pPr>
    </w:p>
    <w:p w14:paraId="25E82295">
      <w:pPr>
        <w:pStyle w:val="36"/>
        <w:tabs>
          <w:tab w:val="right" w:leader="dot" w:pos="8279"/>
        </w:tabs>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TOC \o "1-2" \h \z \u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Cs/>
          <w:color w:val="auto"/>
          <w:szCs w:val="24"/>
          <w:highlight w:val="none"/>
        </w:rPr>
        <w:fldChar w:fldCharType="begin"/>
      </w:r>
      <w:r>
        <w:rPr>
          <w:rFonts w:hint="eastAsia" w:asciiTheme="minorEastAsia" w:hAnsiTheme="minorEastAsia" w:eastAsiaTheme="minorEastAsia" w:cstheme="minorEastAsia"/>
          <w:bCs/>
          <w:szCs w:val="24"/>
          <w:highlight w:val="none"/>
        </w:rPr>
        <w:instrText xml:space="preserve"> HYPERLINK \l _Toc17702 </w:instrText>
      </w:r>
      <w:r>
        <w:rPr>
          <w:rFonts w:hint="eastAsia" w:asciiTheme="minorEastAsia" w:hAnsiTheme="minorEastAsia" w:eastAsiaTheme="minorEastAsia" w:cstheme="minorEastAsia"/>
          <w:bCs/>
          <w:szCs w:val="24"/>
          <w:highlight w:val="none"/>
        </w:rPr>
        <w:fldChar w:fldCharType="separate"/>
      </w:r>
      <w:r>
        <w:rPr>
          <w:rFonts w:hint="eastAsia" w:asciiTheme="minorEastAsia" w:hAnsiTheme="minorEastAsia" w:eastAsiaTheme="minorEastAsia"/>
          <w:highlight w:val="none"/>
        </w:rPr>
        <w:t xml:space="preserve">第一章 </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谈判邀请</w:t>
      </w:r>
      <w:r>
        <w:tab/>
      </w:r>
      <w:r>
        <w:fldChar w:fldCharType="begin"/>
      </w:r>
      <w:r>
        <w:instrText xml:space="preserve"> PAGEREF _Toc17702 \h </w:instrText>
      </w:r>
      <w:r>
        <w:fldChar w:fldCharType="separate"/>
      </w:r>
      <w:r>
        <w:t>1</w:t>
      </w:r>
      <w:r>
        <w:fldChar w:fldCharType="end"/>
      </w:r>
      <w:r>
        <w:rPr>
          <w:rFonts w:hint="eastAsia" w:asciiTheme="minorEastAsia" w:hAnsiTheme="minorEastAsia" w:eastAsiaTheme="minorEastAsia" w:cstheme="minorEastAsia"/>
          <w:bCs/>
          <w:color w:val="auto"/>
          <w:szCs w:val="24"/>
          <w:highlight w:val="none"/>
        </w:rPr>
        <w:fldChar w:fldCharType="end"/>
      </w:r>
    </w:p>
    <w:p w14:paraId="6EFA0024">
      <w:pPr>
        <w:pStyle w:val="36"/>
        <w:tabs>
          <w:tab w:val="right" w:leader="dot" w:pos="8279"/>
        </w:tabs>
      </w:pPr>
      <w:r>
        <w:rPr>
          <w:rFonts w:hint="eastAsia" w:asciiTheme="minorEastAsia" w:hAnsiTheme="minorEastAsia" w:eastAsiaTheme="minorEastAsia" w:cstheme="minorEastAsia"/>
          <w:bCs/>
          <w:color w:val="auto"/>
          <w:szCs w:val="24"/>
          <w:highlight w:val="none"/>
        </w:rPr>
        <w:fldChar w:fldCharType="begin"/>
      </w:r>
      <w:r>
        <w:rPr>
          <w:rFonts w:hint="eastAsia" w:asciiTheme="minorEastAsia" w:hAnsiTheme="minorEastAsia" w:eastAsiaTheme="minorEastAsia" w:cstheme="minorEastAsia"/>
          <w:bCs/>
          <w:szCs w:val="24"/>
          <w:highlight w:val="none"/>
        </w:rPr>
        <w:instrText xml:space="preserve"> HYPERLINK \l _Toc11956 </w:instrText>
      </w:r>
      <w:r>
        <w:rPr>
          <w:rFonts w:hint="eastAsia" w:asciiTheme="minorEastAsia" w:hAnsiTheme="minorEastAsia" w:eastAsiaTheme="minorEastAsia" w:cstheme="minorEastAsia"/>
          <w:bCs/>
          <w:szCs w:val="24"/>
          <w:highlight w:val="none"/>
        </w:rPr>
        <w:fldChar w:fldCharType="separate"/>
      </w:r>
      <w:r>
        <w:rPr>
          <w:rFonts w:hint="eastAsia" w:asciiTheme="minorEastAsia" w:hAnsiTheme="minorEastAsia" w:eastAsiaTheme="minorEastAsia"/>
          <w:highlight w:val="none"/>
        </w:rPr>
        <w:t>第二章</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 xml:space="preserve"> 供应商</w:t>
      </w:r>
      <w:r>
        <w:rPr>
          <w:rFonts w:asciiTheme="minorEastAsia" w:hAnsiTheme="minorEastAsia" w:eastAsiaTheme="minorEastAsia"/>
          <w:highlight w:val="none"/>
        </w:rPr>
        <w:t>须知</w:t>
      </w:r>
      <w:r>
        <w:tab/>
      </w:r>
      <w:r>
        <w:fldChar w:fldCharType="begin"/>
      </w:r>
      <w:r>
        <w:instrText xml:space="preserve"> PAGEREF _Toc11956 \h </w:instrText>
      </w:r>
      <w:r>
        <w:fldChar w:fldCharType="separate"/>
      </w:r>
      <w:r>
        <w:t>5</w:t>
      </w:r>
      <w:r>
        <w:fldChar w:fldCharType="end"/>
      </w:r>
      <w:r>
        <w:rPr>
          <w:rFonts w:hint="eastAsia" w:asciiTheme="minorEastAsia" w:hAnsiTheme="minorEastAsia" w:eastAsiaTheme="minorEastAsia" w:cstheme="minorEastAsia"/>
          <w:bCs/>
          <w:color w:val="auto"/>
          <w:szCs w:val="24"/>
          <w:highlight w:val="none"/>
        </w:rPr>
        <w:fldChar w:fldCharType="end"/>
      </w:r>
    </w:p>
    <w:p w14:paraId="2CBB7C66">
      <w:pPr>
        <w:pStyle w:val="36"/>
        <w:tabs>
          <w:tab w:val="right" w:leader="dot" w:pos="8279"/>
        </w:tabs>
      </w:pPr>
      <w:r>
        <w:rPr>
          <w:rFonts w:hint="eastAsia" w:asciiTheme="minorEastAsia" w:hAnsiTheme="minorEastAsia" w:eastAsiaTheme="minorEastAsia" w:cstheme="minorEastAsia"/>
          <w:bCs/>
          <w:color w:val="auto"/>
          <w:szCs w:val="24"/>
          <w:highlight w:val="none"/>
        </w:rPr>
        <w:fldChar w:fldCharType="begin"/>
      </w:r>
      <w:r>
        <w:rPr>
          <w:rFonts w:hint="eastAsia" w:asciiTheme="minorEastAsia" w:hAnsiTheme="minorEastAsia" w:eastAsiaTheme="minorEastAsia" w:cstheme="minorEastAsia"/>
          <w:bCs/>
          <w:szCs w:val="24"/>
          <w:highlight w:val="none"/>
        </w:rPr>
        <w:instrText xml:space="preserve"> HYPERLINK \l _Toc4202 </w:instrText>
      </w:r>
      <w:r>
        <w:rPr>
          <w:rFonts w:hint="eastAsia" w:asciiTheme="minorEastAsia" w:hAnsiTheme="minorEastAsia" w:eastAsiaTheme="minorEastAsia" w:cstheme="minorEastAsia"/>
          <w:bCs/>
          <w:szCs w:val="24"/>
          <w:highlight w:val="none"/>
        </w:rPr>
        <w:fldChar w:fldCharType="separate"/>
      </w:r>
      <w:r>
        <w:rPr>
          <w:rFonts w:hint="eastAsia" w:asciiTheme="minorEastAsia" w:hAnsiTheme="minorEastAsia" w:eastAsiaTheme="minorEastAsia"/>
          <w:highlight w:val="none"/>
        </w:rPr>
        <w:t>第三章  采购需求</w:t>
      </w:r>
      <w:r>
        <w:tab/>
      </w:r>
      <w:r>
        <w:fldChar w:fldCharType="begin"/>
      </w:r>
      <w:r>
        <w:instrText xml:space="preserve"> PAGEREF _Toc4202 \h </w:instrText>
      </w:r>
      <w:r>
        <w:fldChar w:fldCharType="separate"/>
      </w:r>
      <w:r>
        <w:t>25</w:t>
      </w:r>
      <w:r>
        <w:fldChar w:fldCharType="end"/>
      </w:r>
      <w:r>
        <w:rPr>
          <w:rFonts w:hint="eastAsia" w:asciiTheme="minorEastAsia" w:hAnsiTheme="minorEastAsia" w:eastAsiaTheme="minorEastAsia" w:cstheme="minorEastAsia"/>
          <w:bCs/>
          <w:color w:val="auto"/>
          <w:szCs w:val="24"/>
          <w:highlight w:val="none"/>
        </w:rPr>
        <w:fldChar w:fldCharType="end"/>
      </w:r>
    </w:p>
    <w:p w14:paraId="20D19BAF">
      <w:pPr>
        <w:pStyle w:val="36"/>
        <w:tabs>
          <w:tab w:val="right" w:leader="dot" w:pos="8279"/>
        </w:tabs>
      </w:pPr>
      <w:r>
        <w:rPr>
          <w:rFonts w:hint="eastAsia" w:asciiTheme="minorEastAsia" w:hAnsiTheme="minorEastAsia" w:eastAsiaTheme="minorEastAsia" w:cstheme="minorEastAsia"/>
          <w:bCs/>
          <w:color w:val="auto"/>
          <w:szCs w:val="24"/>
          <w:highlight w:val="none"/>
        </w:rPr>
        <w:fldChar w:fldCharType="begin"/>
      </w:r>
      <w:r>
        <w:rPr>
          <w:rFonts w:hint="eastAsia" w:asciiTheme="minorEastAsia" w:hAnsiTheme="minorEastAsia" w:eastAsiaTheme="minorEastAsia" w:cstheme="minorEastAsia"/>
          <w:bCs/>
          <w:szCs w:val="24"/>
          <w:highlight w:val="none"/>
        </w:rPr>
        <w:instrText xml:space="preserve"> HYPERLINK \l _Toc9732 </w:instrText>
      </w:r>
      <w:r>
        <w:rPr>
          <w:rFonts w:hint="eastAsia" w:asciiTheme="minorEastAsia" w:hAnsiTheme="minorEastAsia" w:eastAsiaTheme="minorEastAsia" w:cstheme="minorEastAsia"/>
          <w:bCs/>
          <w:szCs w:val="24"/>
          <w:highlight w:val="none"/>
        </w:rPr>
        <w:fldChar w:fldCharType="separate"/>
      </w:r>
      <w:r>
        <w:rPr>
          <w:rFonts w:hint="eastAsia" w:asciiTheme="minorEastAsia" w:hAnsiTheme="minorEastAsia" w:eastAsiaTheme="minorEastAsia"/>
          <w:highlight w:val="none"/>
        </w:rPr>
        <w:t>第四章  评审方法和标准</w:t>
      </w:r>
      <w:r>
        <w:tab/>
      </w:r>
      <w:r>
        <w:fldChar w:fldCharType="begin"/>
      </w:r>
      <w:r>
        <w:instrText xml:space="preserve"> PAGEREF _Toc9732 \h </w:instrText>
      </w:r>
      <w:r>
        <w:fldChar w:fldCharType="separate"/>
      </w:r>
      <w:r>
        <w:t>26</w:t>
      </w:r>
      <w:r>
        <w:fldChar w:fldCharType="end"/>
      </w:r>
      <w:r>
        <w:rPr>
          <w:rFonts w:hint="eastAsia" w:asciiTheme="minorEastAsia" w:hAnsiTheme="minorEastAsia" w:eastAsiaTheme="minorEastAsia" w:cstheme="minorEastAsia"/>
          <w:bCs/>
          <w:color w:val="auto"/>
          <w:szCs w:val="24"/>
          <w:highlight w:val="none"/>
        </w:rPr>
        <w:fldChar w:fldCharType="end"/>
      </w:r>
    </w:p>
    <w:p w14:paraId="35A218EF">
      <w:pPr>
        <w:pStyle w:val="36"/>
        <w:tabs>
          <w:tab w:val="right" w:leader="dot" w:pos="8279"/>
        </w:tabs>
      </w:pPr>
      <w:r>
        <w:rPr>
          <w:rFonts w:hint="eastAsia" w:asciiTheme="minorEastAsia" w:hAnsiTheme="minorEastAsia" w:eastAsiaTheme="minorEastAsia" w:cstheme="minorEastAsia"/>
          <w:bCs/>
          <w:color w:val="auto"/>
          <w:szCs w:val="24"/>
          <w:highlight w:val="none"/>
        </w:rPr>
        <w:fldChar w:fldCharType="begin"/>
      </w:r>
      <w:r>
        <w:rPr>
          <w:rFonts w:hint="eastAsia" w:asciiTheme="minorEastAsia" w:hAnsiTheme="minorEastAsia" w:eastAsiaTheme="minorEastAsia" w:cstheme="minorEastAsia"/>
          <w:bCs/>
          <w:szCs w:val="24"/>
          <w:highlight w:val="none"/>
        </w:rPr>
        <w:instrText xml:space="preserve"> HYPERLINK \l _Toc4514 </w:instrText>
      </w:r>
      <w:r>
        <w:rPr>
          <w:rFonts w:hint="eastAsia" w:asciiTheme="minorEastAsia" w:hAnsiTheme="minorEastAsia" w:eastAsiaTheme="minorEastAsia" w:cstheme="minorEastAsia"/>
          <w:bCs/>
          <w:szCs w:val="24"/>
          <w:highlight w:val="none"/>
        </w:rPr>
        <w:fldChar w:fldCharType="separate"/>
      </w:r>
      <w:r>
        <w:rPr>
          <w:rFonts w:hint="eastAsia" w:asciiTheme="minorEastAsia" w:hAnsiTheme="minorEastAsia" w:eastAsiaTheme="minorEastAsia"/>
          <w:highlight w:val="none"/>
        </w:rPr>
        <w:t xml:space="preserve">第五章  </w:t>
      </w:r>
      <w:r>
        <w:rPr>
          <w:rFonts w:asciiTheme="minorEastAsia" w:hAnsiTheme="minorEastAsia" w:eastAsiaTheme="minorEastAsia"/>
          <w:highlight w:val="none"/>
        </w:rPr>
        <w:t>政府采购合同</w:t>
      </w:r>
      <w:r>
        <w:tab/>
      </w:r>
      <w:r>
        <w:fldChar w:fldCharType="begin"/>
      </w:r>
      <w:r>
        <w:instrText xml:space="preserve"> PAGEREF _Toc4514 \h </w:instrText>
      </w:r>
      <w:r>
        <w:fldChar w:fldCharType="separate"/>
      </w:r>
      <w:r>
        <w:t>31</w:t>
      </w:r>
      <w:r>
        <w:fldChar w:fldCharType="end"/>
      </w:r>
      <w:r>
        <w:rPr>
          <w:rFonts w:hint="eastAsia" w:asciiTheme="minorEastAsia" w:hAnsiTheme="minorEastAsia" w:eastAsiaTheme="minorEastAsia" w:cstheme="minorEastAsia"/>
          <w:bCs/>
          <w:color w:val="auto"/>
          <w:szCs w:val="24"/>
          <w:highlight w:val="none"/>
        </w:rPr>
        <w:fldChar w:fldCharType="end"/>
      </w:r>
    </w:p>
    <w:p w14:paraId="1B98BE12">
      <w:pPr>
        <w:pStyle w:val="36"/>
        <w:tabs>
          <w:tab w:val="right" w:leader="dot" w:pos="8279"/>
        </w:tabs>
      </w:pPr>
      <w:r>
        <w:rPr>
          <w:rFonts w:hint="eastAsia" w:asciiTheme="minorEastAsia" w:hAnsiTheme="minorEastAsia" w:eastAsiaTheme="minorEastAsia" w:cstheme="minorEastAsia"/>
          <w:bCs/>
          <w:color w:val="auto"/>
          <w:szCs w:val="24"/>
          <w:highlight w:val="none"/>
        </w:rPr>
        <w:fldChar w:fldCharType="begin"/>
      </w:r>
      <w:r>
        <w:rPr>
          <w:rFonts w:hint="eastAsia" w:asciiTheme="minorEastAsia" w:hAnsiTheme="minorEastAsia" w:eastAsiaTheme="minorEastAsia" w:cstheme="minorEastAsia"/>
          <w:bCs/>
          <w:szCs w:val="24"/>
          <w:highlight w:val="none"/>
        </w:rPr>
        <w:instrText xml:space="preserve"> HYPERLINK \l _Toc24717 </w:instrText>
      </w:r>
      <w:r>
        <w:rPr>
          <w:rFonts w:hint="eastAsia" w:asciiTheme="minorEastAsia" w:hAnsiTheme="minorEastAsia" w:eastAsiaTheme="minorEastAsia" w:cstheme="minorEastAsia"/>
          <w:bCs/>
          <w:szCs w:val="24"/>
          <w:highlight w:val="none"/>
        </w:rPr>
        <w:fldChar w:fldCharType="separate"/>
      </w:r>
      <w:r>
        <w:rPr>
          <w:rFonts w:hint="eastAsia" w:asciiTheme="minorEastAsia" w:hAnsiTheme="minorEastAsia" w:eastAsiaTheme="minorEastAsia"/>
          <w:highlight w:val="none"/>
        </w:rPr>
        <w:t>第六章  响应文件格式</w:t>
      </w:r>
      <w:r>
        <w:tab/>
      </w:r>
      <w:r>
        <w:fldChar w:fldCharType="begin"/>
      </w:r>
      <w:r>
        <w:instrText xml:space="preserve"> PAGEREF _Toc24717 \h </w:instrText>
      </w:r>
      <w:r>
        <w:fldChar w:fldCharType="separate"/>
      </w:r>
      <w:r>
        <w:t>63</w:t>
      </w:r>
      <w:r>
        <w:fldChar w:fldCharType="end"/>
      </w:r>
      <w:r>
        <w:rPr>
          <w:rFonts w:hint="eastAsia" w:asciiTheme="minorEastAsia" w:hAnsiTheme="minorEastAsia" w:eastAsiaTheme="minorEastAsia" w:cstheme="minorEastAsia"/>
          <w:bCs/>
          <w:color w:val="auto"/>
          <w:szCs w:val="24"/>
          <w:highlight w:val="none"/>
        </w:rPr>
        <w:fldChar w:fldCharType="end"/>
      </w:r>
    </w:p>
    <w:p w14:paraId="0BCFA475">
      <w:pPr>
        <w:pStyle w:val="36"/>
        <w:tabs>
          <w:tab w:val="right" w:leader="dot" w:pos="8279"/>
        </w:tabs>
      </w:pPr>
      <w:r>
        <w:rPr>
          <w:rFonts w:hint="eastAsia" w:asciiTheme="minorEastAsia" w:hAnsiTheme="minorEastAsia" w:eastAsiaTheme="minorEastAsia" w:cstheme="minorEastAsia"/>
          <w:bCs/>
          <w:color w:val="auto"/>
          <w:szCs w:val="24"/>
          <w:highlight w:val="none"/>
        </w:rPr>
        <w:fldChar w:fldCharType="begin"/>
      </w:r>
      <w:r>
        <w:rPr>
          <w:rFonts w:hint="eastAsia" w:asciiTheme="minorEastAsia" w:hAnsiTheme="minorEastAsia" w:eastAsiaTheme="minorEastAsia" w:cstheme="minorEastAsia"/>
          <w:bCs/>
          <w:szCs w:val="24"/>
          <w:highlight w:val="none"/>
        </w:rPr>
        <w:instrText xml:space="preserve"> HYPERLINK \l _Toc15694 </w:instrText>
      </w:r>
      <w:r>
        <w:rPr>
          <w:rFonts w:hint="eastAsia" w:asciiTheme="minorEastAsia" w:hAnsiTheme="minorEastAsia" w:eastAsiaTheme="minorEastAsia" w:cstheme="minorEastAsia"/>
          <w:bCs/>
          <w:szCs w:val="24"/>
          <w:highlight w:val="none"/>
        </w:rPr>
        <w:fldChar w:fldCharType="separate"/>
      </w:r>
      <w:r>
        <w:rPr>
          <w:rFonts w:hint="eastAsia"/>
          <w:bCs/>
          <w:highlight w:val="none"/>
        </w:rPr>
        <w:t>第</w:t>
      </w:r>
      <w:r>
        <w:rPr>
          <w:rFonts w:hint="eastAsia"/>
          <w:bCs/>
          <w:highlight w:val="none"/>
          <w:lang w:val="en-US" w:eastAsia="zh-CN"/>
        </w:rPr>
        <w:t>七</w:t>
      </w:r>
      <w:r>
        <w:rPr>
          <w:rFonts w:hint="eastAsia"/>
          <w:bCs/>
          <w:highlight w:val="none"/>
        </w:rPr>
        <w:t>章  政府采购</w:t>
      </w:r>
      <w:r>
        <w:rPr>
          <w:rFonts w:hint="eastAsia" w:asciiTheme="minorEastAsia" w:hAnsiTheme="minorEastAsia" w:eastAsiaTheme="minorEastAsia"/>
          <w:highlight w:val="none"/>
        </w:rPr>
        <w:t>供应</w:t>
      </w:r>
      <w:r>
        <w:rPr>
          <w:rFonts w:hint="eastAsia"/>
          <w:bCs/>
          <w:highlight w:val="none"/>
        </w:rPr>
        <w:t>商询问函和质疑函范本</w:t>
      </w:r>
      <w:r>
        <w:tab/>
      </w:r>
      <w:r>
        <w:fldChar w:fldCharType="begin"/>
      </w:r>
      <w:r>
        <w:instrText xml:space="preserve"> PAGEREF _Toc15694 \h </w:instrText>
      </w:r>
      <w:r>
        <w:fldChar w:fldCharType="separate"/>
      </w:r>
      <w:r>
        <w:t>80</w:t>
      </w:r>
      <w:r>
        <w:fldChar w:fldCharType="end"/>
      </w:r>
      <w:r>
        <w:rPr>
          <w:rFonts w:hint="eastAsia" w:asciiTheme="minorEastAsia" w:hAnsiTheme="minorEastAsia" w:eastAsiaTheme="minorEastAsia" w:cstheme="minorEastAsia"/>
          <w:bCs/>
          <w:color w:val="auto"/>
          <w:szCs w:val="24"/>
          <w:highlight w:val="none"/>
        </w:rPr>
        <w:fldChar w:fldCharType="end"/>
      </w:r>
    </w:p>
    <w:p w14:paraId="5A0A7A1F">
      <w:pPr>
        <w:pStyle w:val="46"/>
        <w:tabs>
          <w:tab w:val="right" w:leader="dot" w:pos="8296"/>
        </w:tabs>
        <w:rPr>
          <w:rFonts w:asciiTheme="minorEastAsia" w:hAnsiTheme="minorEastAsia"/>
          <w:b/>
          <w:color w:val="auto"/>
          <w:sz w:val="32"/>
          <w:highlight w:val="none"/>
        </w:rPr>
      </w:pPr>
      <w:r>
        <w:rPr>
          <w:rFonts w:hint="eastAsia" w:asciiTheme="minorEastAsia" w:hAnsiTheme="minorEastAsia" w:eastAsiaTheme="minorEastAsia" w:cstheme="minorEastAsia"/>
          <w:bCs/>
          <w:color w:val="auto"/>
          <w:szCs w:val="24"/>
          <w:highlight w:val="none"/>
        </w:rPr>
        <w:fldChar w:fldCharType="end"/>
      </w:r>
    </w:p>
    <w:p w14:paraId="7D7BBA31">
      <w:pPr>
        <w:spacing w:line="360" w:lineRule="auto"/>
        <w:jc w:val="center"/>
        <w:outlineLvl w:val="1"/>
        <w:rPr>
          <w:rFonts w:asciiTheme="minorEastAsia" w:hAnsiTheme="minorEastAsia" w:eastAsiaTheme="minorEastAsia"/>
          <w:b/>
          <w:color w:val="auto"/>
          <w:sz w:val="28"/>
          <w:highlight w:val="none"/>
        </w:rPr>
        <w:sectPr>
          <w:pgSz w:w="11907" w:h="16840"/>
          <w:pgMar w:top="1474" w:right="1814" w:bottom="1474" w:left="1814" w:header="851" w:footer="992" w:gutter="0"/>
          <w:cols w:space="720" w:num="1"/>
          <w:docGrid w:linePitch="462" w:charSpace="0"/>
        </w:sectPr>
      </w:pPr>
    </w:p>
    <w:p w14:paraId="25E06161">
      <w:pPr>
        <w:spacing w:line="360" w:lineRule="auto"/>
        <w:jc w:val="center"/>
        <w:outlineLvl w:val="0"/>
        <w:rPr>
          <w:rFonts w:asciiTheme="minorEastAsia" w:hAnsiTheme="minorEastAsia" w:eastAsiaTheme="minorEastAsia"/>
          <w:b/>
          <w:color w:val="auto"/>
          <w:sz w:val="28"/>
          <w:highlight w:val="none"/>
        </w:rPr>
      </w:pPr>
      <w:bookmarkStart w:id="1" w:name="_Toc17702"/>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谈判邀请</w:t>
      </w:r>
      <w:bookmarkEnd w:id="1"/>
    </w:p>
    <w:p w14:paraId="0449009F">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outlineLvl w:val="2"/>
        <w:rPr>
          <w:rFonts w:hint="eastAsia" w:ascii="宋体" w:hAnsi="宋体" w:eastAsia="宋体" w:cs="宋体"/>
          <w:color w:val="auto"/>
          <w:kern w:val="2"/>
          <w:sz w:val="24"/>
          <w:szCs w:val="24"/>
          <w:highlight w:val="none"/>
        </w:rPr>
      </w:pPr>
      <w:bookmarkStart w:id="2" w:name="_Toc8980"/>
      <w:bookmarkStart w:id="3" w:name="_Toc29179"/>
      <w:r>
        <w:rPr>
          <w:rFonts w:hint="eastAsia" w:ascii="宋体" w:hAnsi="宋体" w:eastAsia="宋体" w:cs="宋体"/>
          <w:color w:val="auto"/>
          <w:kern w:val="0"/>
          <w:sz w:val="21"/>
          <w:szCs w:val="21"/>
          <w:highlight w:val="none"/>
          <w:lang w:val="en-US" w:eastAsia="zh-CN"/>
        </w:rPr>
        <w:t xml:space="preserve"> </w:t>
      </w:r>
      <w:bookmarkStart w:id="4" w:name="_Toc1215"/>
      <w:r>
        <w:rPr>
          <w:rFonts w:hint="eastAsia" w:ascii="宋体" w:hAnsi="宋体" w:eastAsia="宋体" w:cs="宋体"/>
          <w:color w:val="auto"/>
          <w:kern w:val="2"/>
          <w:sz w:val="24"/>
          <w:szCs w:val="24"/>
          <w:highlight w:val="none"/>
          <w:lang w:val="en-US" w:eastAsia="zh-CN" w:bidi="ar"/>
        </w:rPr>
        <w:t>项目概况</w:t>
      </w:r>
    </w:p>
    <w:p w14:paraId="3CCE7E46">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outlineLvl w:val="2"/>
        <w:rPr>
          <w:rFonts w:hint="eastAsia" w:ascii="宋体" w:hAnsi="宋体" w:eastAsia="宋体" w:cs="宋体"/>
          <w:color w:val="auto"/>
          <w:kern w:val="2"/>
          <w:sz w:val="24"/>
          <w:szCs w:val="24"/>
          <w:highlight w:val="none"/>
        </w:rPr>
      </w:pPr>
      <w:r>
        <w:rPr>
          <w:rFonts w:hint="eastAsia" w:cs="宋体"/>
          <w:color w:val="auto"/>
          <w:kern w:val="2"/>
          <w:sz w:val="24"/>
          <w:szCs w:val="24"/>
          <w:highlight w:val="none"/>
          <w:u w:val="single"/>
          <w:lang w:val="en-US" w:eastAsia="zh-CN" w:bidi="ar"/>
        </w:rPr>
        <w:t>2025年公园游园亭廊栈道等设施维修项目</w:t>
      </w:r>
      <w:r>
        <w:rPr>
          <w:rFonts w:hint="eastAsia" w:ascii="宋体" w:hAnsi="宋体" w:eastAsia="宋体" w:cs="宋体"/>
          <w:color w:val="auto"/>
          <w:kern w:val="2"/>
          <w:sz w:val="24"/>
          <w:szCs w:val="24"/>
          <w:highlight w:val="none"/>
          <w:lang w:val="en-US" w:eastAsia="zh-CN" w:bidi="ar"/>
        </w:rPr>
        <w:t>的潜在</w:t>
      </w:r>
      <w:r>
        <w:rPr>
          <w:rFonts w:hint="eastAsia"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lang w:val="en-US" w:eastAsia="zh-CN" w:bidi="ar"/>
        </w:rPr>
        <w:t>应在</w:t>
      </w:r>
      <w:r>
        <w:rPr>
          <w:rFonts w:hint="eastAsia" w:ascii="宋体" w:hAnsi="宋体" w:eastAsia="宋体" w:cs="宋体"/>
          <w:color w:val="auto"/>
          <w:kern w:val="2"/>
          <w:sz w:val="24"/>
          <w:szCs w:val="24"/>
          <w:highlight w:val="none"/>
          <w:u w:val="single"/>
          <w:lang w:val="en-US" w:eastAsia="zh-CN" w:bidi="ar"/>
        </w:rPr>
        <w:t>滁州市公共资源交易中心网（</w:t>
      </w:r>
      <w:r>
        <w:rPr>
          <w:rFonts w:hint="eastAsia" w:ascii="宋体" w:hAnsi="宋体" w:eastAsia="宋体" w:cs="宋体"/>
          <w:color w:val="auto"/>
          <w:kern w:val="2"/>
          <w:sz w:val="24"/>
          <w:szCs w:val="24"/>
          <w:highlight w:val="none"/>
          <w:lang w:val="en-US" w:eastAsia="zh-CN" w:bidi="ar"/>
        </w:rPr>
        <w:fldChar w:fldCharType="begin"/>
      </w:r>
      <w:r>
        <w:rPr>
          <w:rFonts w:hint="eastAsia" w:ascii="宋体" w:hAnsi="宋体" w:eastAsia="宋体" w:cs="宋体"/>
          <w:color w:val="auto"/>
          <w:kern w:val="2"/>
          <w:sz w:val="24"/>
          <w:szCs w:val="24"/>
          <w:highlight w:val="none"/>
          <w:lang w:val="en-US" w:eastAsia="zh-CN" w:bidi="ar"/>
        </w:rPr>
        <w:instrText xml:space="preserve"> HYPERLINK "https://ggzy.chuzhou.gov.cn/" </w:instrText>
      </w:r>
      <w:r>
        <w:rPr>
          <w:rFonts w:hint="eastAsia" w:ascii="宋体" w:hAnsi="宋体" w:eastAsia="宋体" w:cs="宋体"/>
          <w:color w:val="auto"/>
          <w:kern w:val="2"/>
          <w:sz w:val="24"/>
          <w:szCs w:val="24"/>
          <w:highlight w:val="none"/>
          <w:lang w:val="en-US" w:eastAsia="zh-CN" w:bidi="ar"/>
        </w:rPr>
        <w:fldChar w:fldCharType="separate"/>
      </w:r>
      <w:r>
        <w:rPr>
          <w:rStyle w:val="66"/>
          <w:rFonts w:hint="eastAsia" w:ascii="宋体" w:hAnsi="宋体" w:eastAsia="宋体" w:cs="宋体"/>
          <w:color w:val="auto"/>
          <w:sz w:val="24"/>
          <w:szCs w:val="24"/>
          <w:highlight w:val="none"/>
          <w:u w:val="single"/>
        </w:rPr>
        <w:t>http://ggzy.chuzhou.gov.cn/</w:t>
      </w:r>
      <w:r>
        <w:rPr>
          <w:rFonts w:hint="eastAsia" w:ascii="宋体" w:hAnsi="宋体" w:eastAsia="宋体" w:cs="宋体"/>
          <w:color w:val="auto"/>
          <w:kern w:val="2"/>
          <w:sz w:val="24"/>
          <w:szCs w:val="24"/>
          <w:highlight w:val="none"/>
          <w:lang w:val="en-US" w:eastAsia="zh-CN" w:bidi="ar"/>
        </w:rPr>
        <w:fldChar w:fldCharType="end"/>
      </w:r>
      <w:r>
        <w:rPr>
          <w:rFonts w:hint="eastAsia" w:ascii="宋体" w:hAnsi="宋体" w:eastAsia="宋体" w:cs="宋体"/>
          <w:color w:val="auto"/>
          <w:kern w:val="2"/>
          <w:sz w:val="24"/>
          <w:szCs w:val="24"/>
          <w:highlight w:val="none"/>
          <w:u w:val="single"/>
          <w:lang w:val="en-US" w:eastAsia="zh-CN" w:bidi="ar"/>
        </w:rPr>
        <w:t>）</w:t>
      </w:r>
      <w:r>
        <w:rPr>
          <w:rFonts w:hint="eastAsia" w:ascii="宋体" w:hAnsi="宋体" w:eastAsia="宋体" w:cs="宋体"/>
          <w:color w:val="auto"/>
          <w:kern w:val="2"/>
          <w:sz w:val="24"/>
          <w:szCs w:val="24"/>
          <w:highlight w:val="none"/>
          <w:lang w:val="en-US" w:eastAsia="zh-CN" w:bidi="ar"/>
        </w:rPr>
        <w:t>获取</w:t>
      </w:r>
      <w:r>
        <w:rPr>
          <w:rFonts w:hint="eastAsia" w:cs="宋体"/>
          <w:color w:val="auto"/>
          <w:kern w:val="2"/>
          <w:sz w:val="24"/>
          <w:szCs w:val="24"/>
          <w:highlight w:val="none"/>
          <w:lang w:val="en-US" w:eastAsia="zh-CN" w:bidi="ar"/>
        </w:rPr>
        <w:t>采购</w:t>
      </w:r>
      <w:r>
        <w:rPr>
          <w:rFonts w:hint="eastAsia" w:ascii="宋体" w:hAnsi="宋体" w:eastAsia="宋体" w:cs="宋体"/>
          <w:color w:val="auto"/>
          <w:kern w:val="2"/>
          <w:sz w:val="24"/>
          <w:szCs w:val="24"/>
          <w:highlight w:val="none"/>
          <w:lang w:val="en-US" w:eastAsia="zh-CN" w:bidi="ar"/>
        </w:rPr>
        <w:t>文件，并于</w:t>
      </w:r>
      <w:r>
        <w:rPr>
          <w:rFonts w:hint="eastAsia" w:cs="宋体"/>
          <w:color w:val="auto"/>
          <w:kern w:val="2"/>
          <w:sz w:val="24"/>
          <w:szCs w:val="24"/>
          <w:highlight w:val="none"/>
          <w:u w:val="single"/>
          <w:lang w:val="en-US" w:eastAsia="zh-CN" w:bidi="ar"/>
        </w:rPr>
        <w:t>2025年9月17日</w:t>
      </w:r>
      <w:r>
        <w:rPr>
          <w:rFonts w:hint="eastAsia" w:cs="宋体"/>
          <w:bCs/>
          <w:color w:val="auto"/>
          <w:kern w:val="2"/>
          <w:sz w:val="24"/>
          <w:szCs w:val="24"/>
          <w:highlight w:val="none"/>
          <w:u w:val="single"/>
          <w:lang w:val="en-US" w:eastAsia="zh-CN" w:bidi="ar"/>
        </w:rPr>
        <w:t>8</w:t>
      </w:r>
      <w:r>
        <w:rPr>
          <w:rFonts w:hint="eastAsia" w:ascii="宋体" w:hAnsi="宋体" w:eastAsia="宋体" w:cs="宋体"/>
          <w:bCs/>
          <w:color w:val="auto"/>
          <w:kern w:val="2"/>
          <w:sz w:val="24"/>
          <w:szCs w:val="24"/>
          <w:highlight w:val="none"/>
          <w:u w:val="single"/>
          <w:lang w:val="en-US" w:eastAsia="zh-CN" w:bidi="ar"/>
        </w:rPr>
        <w:t>点</w:t>
      </w:r>
      <w:r>
        <w:rPr>
          <w:rFonts w:hint="eastAsia" w:cs="宋体"/>
          <w:bCs/>
          <w:color w:val="auto"/>
          <w:kern w:val="2"/>
          <w:sz w:val="24"/>
          <w:szCs w:val="24"/>
          <w:highlight w:val="none"/>
          <w:u w:val="single"/>
          <w:lang w:val="en-US" w:eastAsia="zh-CN" w:bidi="ar"/>
        </w:rPr>
        <w:t>00分</w:t>
      </w:r>
      <w:r>
        <w:rPr>
          <w:rFonts w:hint="eastAsia" w:ascii="宋体" w:hAnsi="宋体" w:eastAsia="宋体" w:cs="宋体"/>
          <w:bCs/>
          <w:color w:val="auto"/>
          <w:kern w:val="2"/>
          <w:sz w:val="24"/>
          <w:szCs w:val="24"/>
          <w:highlight w:val="none"/>
          <w:lang w:val="en-US" w:eastAsia="zh-CN" w:bidi="ar"/>
        </w:rPr>
        <w:t>（北京时间）前递交</w:t>
      </w:r>
      <w:r>
        <w:rPr>
          <w:rFonts w:hint="eastAsia" w:cs="宋体"/>
          <w:bCs/>
          <w:color w:val="auto"/>
          <w:kern w:val="2"/>
          <w:sz w:val="24"/>
          <w:szCs w:val="24"/>
          <w:highlight w:val="none"/>
          <w:lang w:val="en-US" w:eastAsia="zh-CN" w:bidi="ar"/>
        </w:rPr>
        <w:t>响应</w:t>
      </w:r>
      <w:r>
        <w:rPr>
          <w:rFonts w:hint="eastAsia" w:ascii="宋体" w:hAnsi="宋体" w:eastAsia="宋体" w:cs="宋体"/>
          <w:bCs/>
          <w:color w:val="auto"/>
          <w:kern w:val="2"/>
          <w:sz w:val="24"/>
          <w:szCs w:val="24"/>
          <w:highlight w:val="none"/>
          <w:lang w:val="en-US" w:eastAsia="zh-CN" w:bidi="ar"/>
        </w:rPr>
        <w:t>文件</w:t>
      </w:r>
      <w:r>
        <w:rPr>
          <w:rFonts w:hint="eastAsia" w:ascii="宋体" w:hAnsi="宋体" w:eastAsia="宋体" w:cs="宋体"/>
          <w:color w:val="auto"/>
          <w:kern w:val="2"/>
          <w:sz w:val="24"/>
          <w:szCs w:val="24"/>
          <w:highlight w:val="none"/>
          <w:lang w:val="en-US" w:eastAsia="zh-CN" w:bidi="ar"/>
        </w:rPr>
        <w:t>。</w:t>
      </w:r>
    </w:p>
    <w:p w14:paraId="5A325CEE">
      <w:pPr>
        <w:keepNext w:val="0"/>
        <w:keepLines w:val="0"/>
        <w:pageBreakBefore w:val="0"/>
        <w:widowControl w:val="0"/>
        <w:kinsoku/>
        <w:overflowPunct/>
        <w:topLinePunct w:val="0"/>
        <w:autoSpaceDE/>
        <w:autoSpaceDN/>
        <w:bidi w:val="0"/>
        <w:adjustRightInd/>
        <w:snapToGrid/>
        <w:spacing w:line="336" w:lineRule="auto"/>
        <w:ind w:firstLine="437"/>
        <w:textAlignment w:val="auto"/>
        <w:outlineLvl w:val="1"/>
        <w:rPr>
          <w:rFonts w:hint="default" w:ascii="宋体" w:hAnsi="宋体" w:eastAsia="宋体"/>
          <w:b/>
          <w:bCs/>
          <w:color w:val="auto"/>
          <w:sz w:val="24"/>
          <w:szCs w:val="18"/>
          <w:highlight w:val="none"/>
          <w:lang w:val="en-US" w:eastAsia="zh-CN"/>
        </w:rPr>
      </w:pPr>
      <w:bookmarkStart w:id="5" w:name="_Toc28359002"/>
      <w:bookmarkEnd w:id="5"/>
      <w:bookmarkStart w:id="6" w:name="_Toc35393621"/>
      <w:bookmarkEnd w:id="6"/>
      <w:bookmarkStart w:id="7" w:name="_Toc35393790"/>
      <w:bookmarkEnd w:id="7"/>
      <w:bookmarkStart w:id="8" w:name="_Toc58430305"/>
      <w:bookmarkEnd w:id="8"/>
      <w:bookmarkStart w:id="9" w:name="_Toc28359079"/>
      <w:bookmarkEnd w:id="9"/>
      <w:bookmarkStart w:id="10" w:name="_Hlk24379207"/>
      <w:bookmarkStart w:id="11" w:name="_Toc1823"/>
      <w:r>
        <w:rPr>
          <w:rFonts w:hint="eastAsia" w:ascii="宋体" w:hAnsi="宋体" w:eastAsia="宋体"/>
          <w:b/>
          <w:bCs/>
          <w:color w:val="auto"/>
          <w:sz w:val="24"/>
          <w:szCs w:val="18"/>
          <w:highlight w:val="none"/>
        </w:rPr>
        <w:t>一、</w:t>
      </w:r>
      <w:bookmarkEnd w:id="10"/>
      <w:r>
        <w:rPr>
          <w:rFonts w:hint="eastAsia"/>
          <w:b/>
          <w:bCs/>
          <w:color w:val="auto"/>
          <w:sz w:val="24"/>
          <w:szCs w:val="18"/>
          <w:highlight w:val="none"/>
          <w:lang w:val="en-US" w:eastAsia="zh-CN"/>
        </w:rPr>
        <w:t>项目基本情况</w:t>
      </w:r>
      <w:bookmarkEnd w:id="11"/>
    </w:p>
    <w:p w14:paraId="67EC436E">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outlineLvl w:val="2"/>
        <w:rPr>
          <w:rFonts w:hint="eastAsia" w:ascii="宋体" w:hAnsi="宋体" w:eastAsia="宋体" w:cs="宋体"/>
          <w:i w:val="0"/>
          <w:iCs w:val="0"/>
          <w:color w:val="auto"/>
          <w:kern w:val="2"/>
          <w:sz w:val="24"/>
          <w:szCs w:val="24"/>
          <w:highlight w:val="none"/>
          <w:lang w:val="en-US" w:eastAsia="zh-CN" w:bidi="ar"/>
        </w:rPr>
      </w:pPr>
      <w:r>
        <w:rPr>
          <w:rFonts w:hint="eastAsia" w:ascii="宋体" w:hAnsi="宋体" w:eastAsia="宋体" w:cs="宋体"/>
          <w:i w:val="0"/>
          <w:iCs w:val="0"/>
          <w:color w:val="auto"/>
          <w:kern w:val="2"/>
          <w:sz w:val="24"/>
          <w:szCs w:val="24"/>
          <w:highlight w:val="none"/>
          <w:lang w:val="en-US" w:eastAsia="zh-CN" w:bidi="ar"/>
        </w:rPr>
        <w:t>项目编号</w:t>
      </w:r>
      <w:r>
        <w:rPr>
          <w:rFonts w:hint="eastAsia" w:cs="宋体"/>
          <w:i w:val="0"/>
          <w:iCs w:val="0"/>
          <w:color w:val="auto"/>
          <w:kern w:val="2"/>
          <w:sz w:val="24"/>
          <w:szCs w:val="24"/>
          <w:highlight w:val="none"/>
          <w:lang w:val="en-US" w:eastAsia="zh-CN" w:bidi="ar"/>
        </w:rPr>
        <w:t>：czsjcg202509-014</w:t>
      </w:r>
    </w:p>
    <w:p w14:paraId="73DA6109">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outlineLvl w:val="2"/>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项目名称：</w:t>
      </w:r>
      <w:r>
        <w:rPr>
          <w:rFonts w:hint="eastAsia" w:cs="宋体"/>
          <w:color w:val="auto"/>
          <w:kern w:val="2"/>
          <w:sz w:val="24"/>
          <w:szCs w:val="24"/>
          <w:highlight w:val="none"/>
          <w:lang w:val="en-US" w:eastAsia="zh-CN" w:bidi="ar"/>
        </w:rPr>
        <w:t>2025年公园游园亭廊栈道等设施维修项目</w:t>
      </w:r>
    </w:p>
    <w:p w14:paraId="455810CC">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outlineLvl w:val="2"/>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采购方式：竞争性谈判</w:t>
      </w:r>
    </w:p>
    <w:p w14:paraId="52FD57A7">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outlineLvl w:val="2"/>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预算金额：</w:t>
      </w:r>
      <w:r>
        <w:rPr>
          <w:rFonts w:hint="eastAsia" w:cs="宋体"/>
          <w:color w:val="auto"/>
          <w:kern w:val="2"/>
          <w:sz w:val="24"/>
          <w:szCs w:val="24"/>
          <w:highlight w:val="none"/>
          <w:lang w:val="en-US" w:eastAsia="zh-CN" w:bidi="ar"/>
        </w:rPr>
        <w:t>993767.54元</w:t>
      </w:r>
    </w:p>
    <w:p w14:paraId="1313F39A">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outlineLvl w:val="2"/>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最高限价：</w:t>
      </w:r>
      <w:r>
        <w:rPr>
          <w:rFonts w:hint="eastAsia" w:cs="宋体"/>
          <w:color w:val="auto"/>
          <w:kern w:val="2"/>
          <w:sz w:val="24"/>
          <w:szCs w:val="24"/>
          <w:highlight w:val="none"/>
          <w:lang w:val="en-US" w:eastAsia="zh-CN" w:bidi="ar"/>
        </w:rPr>
        <w:t>993767.54元。响应报价不得高于最高限价，否则按无效响应处理。</w:t>
      </w:r>
    </w:p>
    <w:p w14:paraId="04B0F8E1">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outlineLvl w:val="2"/>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采购需求：公园游园亭廊栈道等设施维修</w:t>
      </w:r>
      <w:r>
        <w:rPr>
          <w:rFonts w:hint="eastAsia" w:cs="宋体"/>
          <w:color w:val="auto"/>
          <w:kern w:val="2"/>
          <w:sz w:val="24"/>
          <w:szCs w:val="24"/>
          <w:highlight w:val="none"/>
          <w:lang w:val="en-US" w:eastAsia="zh-CN" w:bidi="ar"/>
        </w:rPr>
        <w:t>。</w:t>
      </w:r>
    </w:p>
    <w:p w14:paraId="5C83C0B7">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outlineLvl w:val="2"/>
        <w:rPr>
          <w:rFonts w:hint="eastAsia"/>
          <w:b w:val="0"/>
          <w:color w:val="auto"/>
          <w:sz w:val="24"/>
          <w:highlight w:val="none"/>
        </w:rPr>
      </w:pPr>
      <w:r>
        <w:rPr>
          <w:rFonts w:hint="eastAsia" w:ascii="宋体" w:hAnsi="宋体" w:eastAsia="宋体" w:cs="宋体"/>
          <w:color w:val="auto"/>
          <w:kern w:val="2"/>
          <w:sz w:val="24"/>
          <w:szCs w:val="24"/>
          <w:highlight w:val="none"/>
          <w:lang w:val="en-US" w:eastAsia="zh-CN" w:bidi="ar"/>
        </w:rPr>
        <w:t>合同履行期限：</w:t>
      </w:r>
      <w:r>
        <w:rPr>
          <w:rFonts w:hint="eastAsia"/>
          <w:b w:val="0"/>
          <w:color w:val="auto"/>
          <w:sz w:val="24"/>
          <w:highlight w:val="none"/>
          <w:lang w:val="en-US" w:eastAsia="zh-CN"/>
        </w:rPr>
        <w:t>总工期</w:t>
      </w:r>
      <w:r>
        <w:rPr>
          <w:rFonts w:hint="eastAsia"/>
          <w:b w:val="0"/>
          <w:color w:val="auto"/>
          <w:sz w:val="24"/>
          <w:highlight w:val="none"/>
          <w:lang w:eastAsia="zh-CN"/>
        </w:rPr>
        <w:t>不高于120个日历天</w:t>
      </w:r>
      <w:r>
        <w:rPr>
          <w:rFonts w:hint="eastAsia"/>
          <w:b w:val="0"/>
          <w:color w:val="auto"/>
          <w:sz w:val="24"/>
          <w:highlight w:val="none"/>
        </w:rPr>
        <w:t>。供应商自报的承诺工期为考核标准。因供应商原因造成的工期延误，每推迟一天，按合同价款（扣除暂估价和暂列金）万分之二处以违约金。</w:t>
      </w:r>
    </w:p>
    <w:p w14:paraId="5283E10A">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outlineLvl w:val="2"/>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本项目不接受联合体。</w:t>
      </w:r>
    </w:p>
    <w:p w14:paraId="39B1A883">
      <w:pPr>
        <w:keepNext w:val="0"/>
        <w:keepLines w:val="0"/>
        <w:pageBreakBefore w:val="0"/>
        <w:widowControl w:val="0"/>
        <w:kinsoku/>
        <w:overflowPunct/>
        <w:topLinePunct w:val="0"/>
        <w:autoSpaceDE/>
        <w:autoSpaceDN/>
        <w:bidi w:val="0"/>
        <w:adjustRightInd/>
        <w:snapToGrid/>
        <w:spacing w:line="336" w:lineRule="auto"/>
        <w:ind w:firstLine="437"/>
        <w:textAlignment w:val="auto"/>
        <w:outlineLvl w:val="1"/>
        <w:rPr>
          <w:rFonts w:hint="eastAsia" w:ascii="宋体" w:hAnsi="宋体" w:eastAsia="宋体"/>
          <w:b/>
          <w:bCs/>
          <w:color w:val="auto"/>
          <w:sz w:val="24"/>
          <w:szCs w:val="18"/>
          <w:highlight w:val="none"/>
        </w:rPr>
      </w:pPr>
      <w:bookmarkStart w:id="12" w:name="_Toc35393622"/>
      <w:bookmarkEnd w:id="12"/>
      <w:bookmarkStart w:id="13" w:name="_Toc28359003"/>
      <w:bookmarkEnd w:id="13"/>
      <w:bookmarkStart w:id="14" w:name="_Toc35393791"/>
      <w:bookmarkEnd w:id="14"/>
      <w:bookmarkStart w:id="15" w:name="_Toc58430306"/>
      <w:bookmarkEnd w:id="15"/>
      <w:bookmarkStart w:id="16" w:name="_Toc4483"/>
      <w:bookmarkStart w:id="17" w:name="_Toc28359080"/>
      <w:r>
        <w:rPr>
          <w:rFonts w:hint="eastAsia" w:ascii="宋体" w:hAnsi="宋体" w:eastAsia="宋体"/>
          <w:b/>
          <w:bCs/>
          <w:color w:val="auto"/>
          <w:sz w:val="24"/>
          <w:szCs w:val="18"/>
          <w:highlight w:val="none"/>
        </w:rPr>
        <w:t>二、申请人的资格要求</w:t>
      </w:r>
      <w:bookmarkEnd w:id="16"/>
      <w:bookmarkEnd w:id="17"/>
    </w:p>
    <w:p w14:paraId="7E1983C8">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outlineLvl w:val="2"/>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1.满足《中华人民共和国政府采购法》第二十二条规定；</w:t>
      </w:r>
    </w:p>
    <w:p w14:paraId="4C9CD83E">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outlineLvl w:val="2"/>
        <w:rPr>
          <w:rFonts w:hint="eastAsia" w:ascii="宋体" w:hAnsi="宋体" w:eastAsia="宋体" w:cs="宋体"/>
          <w:i/>
          <w:iCs/>
          <w:color w:val="auto"/>
          <w:kern w:val="2"/>
          <w:sz w:val="24"/>
          <w:szCs w:val="24"/>
          <w:highlight w:val="none"/>
          <w:u w:val="single"/>
        </w:rPr>
      </w:pPr>
      <w:bookmarkStart w:id="18" w:name="_Toc28359081"/>
      <w:bookmarkEnd w:id="18"/>
      <w:bookmarkStart w:id="19" w:name="_Toc28359004"/>
      <w:r>
        <w:rPr>
          <w:rFonts w:hint="eastAsia" w:ascii="宋体" w:hAnsi="宋体" w:eastAsia="宋体" w:cs="宋体"/>
          <w:color w:val="auto"/>
          <w:kern w:val="2"/>
          <w:sz w:val="24"/>
          <w:szCs w:val="24"/>
          <w:highlight w:val="none"/>
          <w:lang w:val="en-US" w:eastAsia="zh-CN" w:bidi="ar"/>
        </w:rPr>
        <w:t>2.落实政府采购政策需满足的资格要求：</w:t>
      </w:r>
      <w:bookmarkEnd w:id="19"/>
      <w:r>
        <w:rPr>
          <w:rFonts w:hint="eastAsia" w:ascii="宋体" w:hAnsi="宋体" w:eastAsia="宋体" w:cs="宋体"/>
          <w:color w:val="auto"/>
          <w:kern w:val="2"/>
          <w:sz w:val="24"/>
          <w:szCs w:val="24"/>
          <w:highlight w:val="none"/>
          <w:u w:val="single"/>
          <w:lang w:val="en-US" w:eastAsia="zh-CN" w:bidi="ar"/>
        </w:rPr>
        <w:t>按照财政部、工业和信息化部制定的《政府采购促进中小企业发展管理办法》，本项目为专门面向中小企业采购项目。企业划型标准按照《关于印发中小企业划型标准规定的通知》（工信部联企业〔2011〕300号）规定执行</w:t>
      </w:r>
      <w:r>
        <w:rPr>
          <w:rFonts w:hint="eastAsia" w:cs="宋体"/>
          <w:color w:val="auto"/>
          <w:kern w:val="2"/>
          <w:sz w:val="24"/>
          <w:szCs w:val="24"/>
          <w:highlight w:val="none"/>
          <w:u w:val="single"/>
          <w:lang w:val="en-US" w:eastAsia="zh-CN" w:bidi="ar"/>
        </w:rPr>
        <w:t>。</w:t>
      </w:r>
    </w:p>
    <w:p w14:paraId="1AE90A5A">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outlineLvl w:val="2"/>
        <w:rPr>
          <w:rFonts w:hint="default" w:ascii="宋体" w:hAnsi="宋体" w:eastAsia="宋体" w:cs="宋体"/>
          <w:color w:val="auto"/>
          <w:kern w:val="2"/>
          <w:sz w:val="24"/>
          <w:szCs w:val="24"/>
          <w:highlight w:val="none"/>
          <w:u w:val="single"/>
          <w:lang w:val="en-US" w:eastAsia="zh-CN" w:bidi="ar"/>
        </w:rPr>
      </w:pPr>
      <w:r>
        <w:rPr>
          <w:rFonts w:hint="eastAsia" w:ascii="宋体" w:hAnsi="宋体" w:eastAsia="宋体" w:cs="宋体"/>
          <w:color w:val="auto"/>
          <w:kern w:val="2"/>
          <w:sz w:val="24"/>
          <w:szCs w:val="24"/>
          <w:highlight w:val="none"/>
          <w:lang w:val="en-US" w:eastAsia="zh-CN" w:bidi="ar"/>
        </w:rPr>
        <w:t>3.本项目的特定资格要求：</w:t>
      </w:r>
      <w:r>
        <w:rPr>
          <w:rFonts w:hint="eastAsia" w:ascii="宋体" w:hAnsi="宋体" w:eastAsia="宋体" w:cs="宋体"/>
          <w:color w:val="auto"/>
          <w:kern w:val="2"/>
          <w:sz w:val="24"/>
          <w:szCs w:val="24"/>
          <w:highlight w:val="none"/>
          <w:u w:val="single"/>
          <w:lang w:val="en-US" w:eastAsia="zh-CN" w:bidi="ar"/>
        </w:rPr>
        <w:t>①</w:t>
      </w:r>
      <w:r>
        <w:rPr>
          <w:rFonts w:hint="eastAsia" w:cs="宋体"/>
          <w:color w:val="auto"/>
          <w:kern w:val="2"/>
          <w:sz w:val="24"/>
          <w:szCs w:val="24"/>
          <w:highlight w:val="none"/>
          <w:u w:val="single"/>
          <w:lang w:val="en-US" w:eastAsia="zh-CN" w:bidi="ar"/>
        </w:rPr>
        <w:t>供应商具有古建筑工程专业承包叁级（或以上）证书</w:t>
      </w:r>
      <w:r>
        <w:rPr>
          <w:rFonts w:hint="eastAsia" w:ascii="宋体" w:hAnsi="宋体" w:eastAsia="宋体" w:cs="宋体"/>
          <w:color w:val="auto"/>
          <w:kern w:val="2"/>
          <w:sz w:val="24"/>
          <w:szCs w:val="24"/>
          <w:highlight w:val="none"/>
          <w:u w:val="single"/>
          <w:lang w:val="en-US" w:eastAsia="zh-CN" w:bidi="ar"/>
        </w:rPr>
        <w:t>，并具有有效的安全生产许可证；②</w:t>
      </w:r>
      <w:r>
        <w:rPr>
          <w:rFonts w:hint="eastAsia" w:cs="宋体"/>
          <w:color w:val="auto"/>
          <w:kern w:val="2"/>
          <w:sz w:val="24"/>
          <w:szCs w:val="24"/>
          <w:highlight w:val="none"/>
          <w:u w:val="single"/>
          <w:lang w:val="en-US" w:eastAsia="zh-CN" w:bidi="ar"/>
        </w:rPr>
        <w:t>供应商拟派的项目经理具有建筑工程专业二级（或以上）注册建造师注册证书</w:t>
      </w:r>
      <w:r>
        <w:rPr>
          <w:rFonts w:hint="eastAsia" w:ascii="宋体" w:hAnsi="宋体" w:eastAsia="宋体" w:cs="宋体"/>
          <w:color w:val="auto"/>
          <w:kern w:val="2"/>
          <w:sz w:val="24"/>
          <w:szCs w:val="24"/>
          <w:highlight w:val="none"/>
          <w:u w:val="single"/>
          <w:lang w:val="en-US" w:eastAsia="zh-CN" w:bidi="ar"/>
        </w:rPr>
        <w:t>，且具备有效的安全生产考核合格(B类)证书；</w:t>
      </w:r>
    </w:p>
    <w:p w14:paraId="32BB0C1E">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outlineLvl w:val="2"/>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4.信誉要求：</w:t>
      </w:r>
      <w:r>
        <w:rPr>
          <w:rFonts w:hint="eastAsia"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lang w:val="en-US" w:eastAsia="zh-CN" w:bidi="ar"/>
        </w:rPr>
        <w:t>不得存在以下情形：</w:t>
      </w:r>
    </w:p>
    <w:p w14:paraId="16CE08C9">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outlineLvl w:val="2"/>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①被列入“信用中国”网站“失信被执行人”的；</w:t>
      </w:r>
    </w:p>
    <w:p w14:paraId="796024B0">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outlineLvl w:val="2"/>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②被列入“信用中国”网站“重大税收违法失信主体”的；</w:t>
      </w:r>
    </w:p>
    <w:p w14:paraId="50B6D381">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outlineLvl w:val="2"/>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③被列入“信用中国”网站 “严重失信主体名单”的；</w:t>
      </w:r>
    </w:p>
    <w:p w14:paraId="669565AF">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outlineLvl w:val="2"/>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④在“信用中国”网站上披露的仍在公示期的严重失信行为(具体行为类别及判定依据见“信用中国”查询的严重失信行为类别及判定依据)的；</w:t>
      </w:r>
    </w:p>
    <w:p w14:paraId="3D0A23C8">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outlineLvl w:val="2"/>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⑤被列入国家企业信用信息公示系统网站“经营异常名录”或者“严重违法失信名单”的。</w:t>
      </w:r>
    </w:p>
    <w:p w14:paraId="75FAF14A">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outlineLvl w:val="2"/>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⑥被列入中国政府采购网站“政府采购严重违法失信行为信息记录”的；</w:t>
      </w:r>
    </w:p>
    <w:p w14:paraId="4E5227C9">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outlineLvl w:val="2"/>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⑦前三年有行贿犯罪行为的单位和个人。</w:t>
      </w:r>
    </w:p>
    <w:p w14:paraId="7BC86DFE">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outlineLvl w:val="2"/>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5.</w:t>
      </w:r>
      <w:r>
        <w:rPr>
          <w:rFonts w:hint="eastAsia"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lang w:val="en-US" w:eastAsia="zh-CN" w:bidi="ar"/>
        </w:rPr>
        <w:t>所属分公司、办事处等分支机构存在第4款信誉要求①-⑦项情形之一的，接受</w:t>
      </w:r>
      <w:r>
        <w:rPr>
          <w:rFonts w:hint="eastAsia"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lang w:val="en-US" w:eastAsia="zh-CN" w:bidi="ar"/>
        </w:rPr>
        <w:t>参加本项目。</w:t>
      </w:r>
    </w:p>
    <w:p w14:paraId="1A519EAB">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outlineLvl w:val="2"/>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备注：第4、5条按照“关于联合惩戒失信行为加强信用查询管理的通知”查询或承诺。</w:t>
      </w:r>
    </w:p>
    <w:p w14:paraId="17EAE9FB">
      <w:pPr>
        <w:keepNext w:val="0"/>
        <w:keepLines w:val="0"/>
        <w:pageBreakBefore w:val="0"/>
        <w:widowControl w:val="0"/>
        <w:kinsoku/>
        <w:overflowPunct/>
        <w:topLinePunct w:val="0"/>
        <w:autoSpaceDE/>
        <w:autoSpaceDN/>
        <w:bidi w:val="0"/>
        <w:adjustRightInd/>
        <w:snapToGrid/>
        <w:spacing w:line="336" w:lineRule="auto"/>
        <w:ind w:firstLine="437"/>
        <w:textAlignment w:val="auto"/>
        <w:outlineLvl w:val="1"/>
        <w:rPr>
          <w:rFonts w:hint="eastAsia" w:ascii="宋体" w:hAnsi="宋体" w:eastAsia="宋体"/>
          <w:b/>
          <w:bCs/>
          <w:color w:val="auto"/>
          <w:sz w:val="24"/>
          <w:szCs w:val="18"/>
          <w:highlight w:val="none"/>
        </w:rPr>
      </w:pPr>
      <w:bookmarkStart w:id="20" w:name="_Toc35393623"/>
      <w:bookmarkEnd w:id="20"/>
      <w:bookmarkStart w:id="21" w:name="_Toc35393792"/>
      <w:bookmarkEnd w:id="21"/>
      <w:bookmarkStart w:id="22" w:name="_Toc58430307"/>
      <w:bookmarkStart w:id="23" w:name="_Toc32093"/>
      <w:r>
        <w:rPr>
          <w:rFonts w:hint="eastAsia" w:ascii="宋体" w:hAnsi="宋体" w:eastAsia="宋体"/>
          <w:b/>
          <w:bCs/>
          <w:color w:val="auto"/>
          <w:sz w:val="24"/>
          <w:szCs w:val="18"/>
          <w:highlight w:val="none"/>
        </w:rPr>
        <w:t>三、</w:t>
      </w:r>
      <w:bookmarkEnd w:id="22"/>
      <w:r>
        <w:rPr>
          <w:rFonts w:hint="eastAsia" w:ascii="宋体" w:hAnsi="宋体" w:eastAsia="宋体"/>
          <w:b/>
          <w:bCs/>
          <w:color w:val="auto"/>
          <w:sz w:val="24"/>
          <w:szCs w:val="18"/>
          <w:highlight w:val="none"/>
        </w:rPr>
        <w:t>获取采购文件</w:t>
      </w:r>
      <w:bookmarkEnd w:id="23"/>
    </w:p>
    <w:p w14:paraId="2428D32F">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outlineLvl w:val="2"/>
        <w:rPr>
          <w:rFonts w:hint="eastAsia" w:ascii="宋体" w:hAnsi="宋体" w:eastAsia="宋体" w:cs="宋体"/>
          <w:color w:val="auto"/>
          <w:kern w:val="2"/>
          <w:sz w:val="24"/>
          <w:szCs w:val="24"/>
          <w:highlight w:val="none"/>
          <w:u w:val="single"/>
          <w:lang w:val="en-US" w:eastAsia="zh-CN" w:bidi="ar"/>
        </w:rPr>
      </w:pPr>
      <w:r>
        <w:rPr>
          <w:rFonts w:hint="eastAsia" w:ascii="宋体" w:hAnsi="宋体" w:eastAsia="宋体" w:cs="宋体"/>
          <w:color w:val="auto"/>
          <w:kern w:val="2"/>
          <w:sz w:val="24"/>
          <w:szCs w:val="24"/>
          <w:highlight w:val="none"/>
          <w:lang w:val="en-US" w:eastAsia="zh-CN" w:bidi="ar"/>
        </w:rPr>
        <w:t>时间：</w:t>
      </w:r>
      <w:r>
        <w:rPr>
          <w:rFonts w:hint="eastAsia" w:cs="宋体"/>
          <w:color w:val="auto"/>
          <w:kern w:val="2"/>
          <w:sz w:val="24"/>
          <w:szCs w:val="24"/>
          <w:highlight w:val="none"/>
          <w:u w:val="single"/>
          <w:lang w:val="en-US" w:eastAsia="zh-CN" w:bidi="ar"/>
        </w:rPr>
        <w:t>2025年9月11日</w:t>
      </w:r>
      <w:r>
        <w:rPr>
          <w:rFonts w:hint="eastAsia" w:ascii="宋体" w:hAnsi="宋体" w:eastAsia="宋体" w:cs="宋体"/>
          <w:color w:val="auto"/>
          <w:kern w:val="2"/>
          <w:sz w:val="24"/>
          <w:szCs w:val="24"/>
          <w:highlight w:val="none"/>
          <w:lang w:val="en-US" w:eastAsia="zh-CN" w:bidi="ar"/>
        </w:rPr>
        <w:t>至</w:t>
      </w:r>
      <w:r>
        <w:rPr>
          <w:rFonts w:hint="eastAsia" w:cs="宋体"/>
          <w:color w:val="auto"/>
          <w:kern w:val="2"/>
          <w:sz w:val="24"/>
          <w:szCs w:val="24"/>
          <w:highlight w:val="none"/>
          <w:u w:val="single"/>
          <w:lang w:val="en-US" w:eastAsia="zh-CN" w:bidi="ar"/>
        </w:rPr>
        <w:t>2025年9月17日</w:t>
      </w:r>
    </w:p>
    <w:p w14:paraId="380F898C">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outlineLvl w:val="2"/>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地点：滁州市公共资源交易中心网</w:t>
      </w:r>
    </w:p>
    <w:p w14:paraId="5900F000">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outlineLvl w:val="2"/>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方式：网上下载</w:t>
      </w:r>
    </w:p>
    <w:p w14:paraId="74CF013F">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outlineLvl w:val="2"/>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售价：0元</w:t>
      </w:r>
    </w:p>
    <w:p w14:paraId="2D6E3D3F">
      <w:pPr>
        <w:keepNext w:val="0"/>
        <w:keepLines w:val="0"/>
        <w:pageBreakBefore w:val="0"/>
        <w:widowControl w:val="0"/>
        <w:kinsoku/>
        <w:overflowPunct/>
        <w:topLinePunct w:val="0"/>
        <w:autoSpaceDE/>
        <w:autoSpaceDN/>
        <w:bidi w:val="0"/>
        <w:adjustRightInd/>
        <w:snapToGrid/>
        <w:spacing w:line="336" w:lineRule="auto"/>
        <w:ind w:firstLine="437"/>
        <w:textAlignment w:val="auto"/>
        <w:outlineLvl w:val="1"/>
        <w:rPr>
          <w:rFonts w:hint="eastAsia" w:ascii="宋体" w:hAnsi="宋体" w:eastAsia="宋体"/>
          <w:b/>
          <w:bCs/>
          <w:color w:val="auto"/>
          <w:sz w:val="24"/>
          <w:szCs w:val="18"/>
          <w:highlight w:val="none"/>
        </w:rPr>
      </w:pPr>
      <w:bookmarkStart w:id="24" w:name="_Toc35393793"/>
      <w:bookmarkEnd w:id="24"/>
      <w:bookmarkStart w:id="25" w:name="_Toc35393624"/>
      <w:bookmarkEnd w:id="25"/>
      <w:bookmarkStart w:id="26" w:name="_Toc28359082"/>
      <w:bookmarkEnd w:id="26"/>
      <w:bookmarkStart w:id="27" w:name="_Toc28359005"/>
      <w:bookmarkEnd w:id="27"/>
      <w:bookmarkStart w:id="28" w:name="_Toc58430308"/>
      <w:bookmarkStart w:id="29" w:name="_Toc25837"/>
      <w:r>
        <w:rPr>
          <w:rFonts w:hint="eastAsia" w:ascii="宋体" w:hAnsi="宋体" w:eastAsia="宋体"/>
          <w:b/>
          <w:bCs/>
          <w:color w:val="auto"/>
          <w:sz w:val="24"/>
          <w:szCs w:val="18"/>
          <w:highlight w:val="none"/>
        </w:rPr>
        <w:t>四、</w:t>
      </w:r>
      <w:bookmarkEnd w:id="28"/>
      <w:r>
        <w:rPr>
          <w:rFonts w:hint="eastAsia" w:ascii="宋体" w:hAnsi="宋体" w:eastAsia="宋体"/>
          <w:b/>
          <w:bCs/>
          <w:color w:val="auto"/>
          <w:sz w:val="24"/>
          <w:szCs w:val="18"/>
          <w:highlight w:val="none"/>
        </w:rPr>
        <w:t>响应文件提交</w:t>
      </w:r>
      <w:bookmarkEnd w:id="29"/>
    </w:p>
    <w:p w14:paraId="0C2960E6">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outlineLvl w:val="2"/>
        <w:rPr>
          <w:rFonts w:hint="eastAsia" w:ascii="宋体" w:hAnsi="宋体" w:eastAsia="宋体" w:cs="宋体"/>
          <w:bCs/>
          <w:color w:val="auto"/>
          <w:kern w:val="2"/>
          <w:sz w:val="24"/>
          <w:szCs w:val="24"/>
          <w:highlight w:val="none"/>
          <w:u w:val="single"/>
        </w:rPr>
      </w:pPr>
      <w:r>
        <w:rPr>
          <w:rFonts w:hint="eastAsia" w:asciiTheme="minorEastAsia" w:hAnsiTheme="minorEastAsia" w:eastAsiaTheme="minorEastAsia" w:cstheme="minorEastAsia"/>
          <w:bCs/>
          <w:color w:val="auto"/>
          <w:sz w:val="24"/>
          <w:szCs w:val="24"/>
          <w:highlight w:val="none"/>
        </w:rPr>
        <w:t>截止时间：</w:t>
      </w:r>
      <w:r>
        <w:rPr>
          <w:rFonts w:hint="eastAsia" w:cs="宋体"/>
          <w:bCs/>
          <w:color w:val="auto"/>
          <w:kern w:val="2"/>
          <w:sz w:val="24"/>
          <w:szCs w:val="24"/>
          <w:highlight w:val="none"/>
          <w:u w:val="single"/>
          <w:lang w:val="en-US" w:eastAsia="zh-CN" w:bidi="ar"/>
        </w:rPr>
        <w:t>2025年9月17日8</w:t>
      </w:r>
      <w:r>
        <w:rPr>
          <w:rFonts w:hint="eastAsia" w:ascii="宋体" w:hAnsi="宋体" w:eastAsia="宋体" w:cs="宋体"/>
          <w:bCs/>
          <w:color w:val="auto"/>
          <w:kern w:val="2"/>
          <w:sz w:val="24"/>
          <w:szCs w:val="24"/>
          <w:highlight w:val="none"/>
          <w:u w:val="single"/>
          <w:lang w:val="en-US" w:eastAsia="zh-CN" w:bidi="ar"/>
        </w:rPr>
        <w:t>点</w:t>
      </w:r>
      <w:r>
        <w:rPr>
          <w:rFonts w:hint="eastAsia" w:cs="宋体"/>
          <w:bCs/>
          <w:color w:val="auto"/>
          <w:kern w:val="2"/>
          <w:sz w:val="24"/>
          <w:szCs w:val="24"/>
          <w:highlight w:val="none"/>
          <w:u w:val="single"/>
          <w:lang w:val="en-US" w:eastAsia="zh-CN" w:bidi="ar"/>
        </w:rPr>
        <w:t>00分</w:t>
      </w:r>
      <w:r>
        <w:rPr>
          <w:rFonts w:hint="eastAsia" w:ascii="宋体" w:hAnsi="宋体" w:eastAsia="宋体" w:cs="宋体"/>
          <w:bCs/>
          <w:color w:val="auto"/>
          <w:kern w:val="2"/>
          <w:sz w:val="24"/>
          <w:szCs w:val="24"/>
          <w:highlight w:val="none"/>
          <w:u w:val="single"/>
          <w:lang w:val="en-US" w:eastAsia="zh-CN" w:bidi="ar"/>
        </w:rPr>
        <w:t>（</w:t>
      </w:r>
      <w:r>
        <w:rPr>
          <w:rFonts w:hint="eastAsia" w:ascii="宋体" w:hAnsi="宋体" w:eastAsia="宋体" w:cs="宋体"/>
          <w:bCs/>
          <w:color w:val="auto"/>
          <w:kern w:val="2"/>
          <w:sz w:val="24"/>
          <w:szCs w:val="24"/>
          <w:highlight w:val="none"/>
          <w:lang w:val="en-US" w:eastAsia="zh-CN" w:bidi="ar"/>
        </w:rPr>
        <w:t>北京时间）</w:t>
      </w:r>
      <w:r>
        <w:rPr>
          <w:rFonts w:hint="eastAsia" w:ascii="宋体" w:hAnsi="宋体" w:eastAsia="宋体" w:cs="宋体"/>
          <w:bCs/>
          <w:color w:val="auto"/>
          <w:kern w:val="2"/>
          <w:sz w:val="24"/>
          <w:szCs w:val="24"/>
          <w:highlight w:val="none"/>
          <w:u w:val="single"/>
          <w:lang w:val="en-US" w:eastAsia="zh-CN" w:bidi="ar"/>
        </w:rPr>
        <w:t>（从谈判文件开始发出之日起至供应商提交首次响应文件截止之日止不得少于3个工作日）</w:t>
      </w:r>
    </w:p>
    <w:p w14:paraId="358677C8">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outlineLvl w:val="2"/>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地点：滁州市公共资源交易平台电子交易系统</w:t>
      </w:r>
    </w:p>
    <w:p w14:paraId="5C079F05">
      <w:pPr>
        <w:keepNext w:val="0"/>
        <w:keepLines w:val="0"/>
        <w:pageBreakBefore w:val="0"/>
        <w:widowControl w:val="0"/>
        <w:kinsoku/>
        <w:overflowPunct/>
        <w:topLinePunct w:val="0"/>
        <w:autoSpaceDE/>
        <w:autoSpaceDN/>
        <w:bidi w:val="0"/>
        <w:adjustRightInd/>
        <w:snapToGrid/>
        <w:spacing w:line="336" w:lineRule="auto"/>
        <w:ind w:firstLine="437"/>
        <w:textAlignment w:val="auto"/>
        <w:outlineLvl w:val="1"/>
        <w:rPr>
          <w:rFonts w:hint="eastAsia" w:ascii="宋体" w:hAnsi="宋体" w:eastAsia="宋体"/>
          <w:b/>
          <w:bCs/>
          <w:color w:val="auto"/>
          <w:sz w:val="24"/>
          <w:szCs w:val="18"/>
          <w:highlight w:val="none"/>
        </w:rPr>
      </w:pPr>
      <w:bookmarkStart w:id="30" w:name="_Toc35393625"/>
      <w:bookmarkEnd w:id="30"/>
      <w:bookmarkStart w:id="31" w:name="_Toc58430309"/>
      <w:bookmarkEnd w:id="31"/>
      <w:bookmarkStart w:id="32" w:name="_Toc28359007"/>
      <w:bookmarkEnd w:id="32"/>
      <w:bookmarkStart w:id="33" w:name="_Toc35393794"/>
      <w:bookmarkEnd w:id="33"/>
      <w:bookmarkStart w:id="34" w:name="_Toc8953"/>
      <w:bookmarkStart w:id="35" w:name="_Toc2125"/>
      <w:bookmarkStart w:id="36" w:name="_Toc29151"/>
      <w:bookmarkStart w:id="37" w:name="_Toc28359084"/>
      <w:r>
        <w:rPr>
          <w:rFonts w:hint="eastAsia" w:ascii="宋体" w:hAnsi="宋体" w:eastAsia="宋体"/>
          <w:b/>
          <w:bCs/>
          <w:color w:val="auto"/>
          <w:sz w:val="24"/>
          <w:szCs w:val="18"/>
          <w:highlight w:val="none"/>
        </w:rPr>
        <w:t>五、</w:t>
      </w:r>
      <w:bookmarkEnd w:id="34"/>
      <w:r>
        <w:rPr>
          <w:rFonts w:hint="eastAsia" w:ascii="宋体" w:hAnsi="宋体" w:eastAsia="宋体"/>
          <w:b/>
          <w:bCs/>
          <w:color w:val="auto"/>
          <w:sz w:val="24"/>
          <w:szCs w:val="18"/>
          <w:highlight w:val="none"/>
        </w:rPr>
        <w:t>开启</w:t>
      </w:r>
      <w:bookmarkEnd w:id="35"/>
      <w:bookmarkEnd w:id="36"/>
    </w:p>
    <w:p w14:paraId="5A398121">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outlineLvl w:val="2"/>
        <w:rPr>
          <w:rFonts w:hint="eastAsia" w:ascii="宋体" w:hAnsi="宋体" w:eastAsia="宋体" w:cs="宋体"/>
          <w:color w:val="auto"/>
          <w:kern w:val="2"/>
          <w:sz w:val="24"/>
          <w:szCs w:val="24"/>
          <w:highlight w:val="none"/>
          <w:lang w:val="en-US" w:eastAsia="zh-CN" w:bidi="ar"/>
        </w:rPr>
      </w:pPr>
      <w:r>
        <w:rPr>
          <w:rFonts w:hint="eastAsia" w:asciiTheme="minorEastAsia" w:hAnsiTheme="minorEastAsia" w:eastAsiaTheme="minorEastAsia" w:cstheme="minorEastAsia"/>
          <w:bCs/>
          <w:color w:val="auto"/>
          <w:sz w:val="24"/>
          <w:szCs w:val="24"/>
          <w:highlight w:val="none"/>
        </w:rPr>
        <w:t>时间：</w:t>
      </w:r>
      <w:r>
        <w:rPr>
          <w:rFonts w:hint="eastAsia" w:cs="宋体"/>
          <w:color w:val="auto"/>
          <w:kern w:val="2"/>
          <w:sz w:val="24"/>
          <w:szCs w:val="24"/>
          <w:highlight w:val="none"/>
          <w:lang w:val="en-US" w:eastAsia="zh-CN" w:bidi="ar"/>
        </w:rPr>
        <w:t>2025年9月17日</w:t>
      </w:r>
      <w:r>
        <w:rPr>
          <w:rFonts w:hint="eastAsia" w:ascii="宋体" w:hAnsi="宋体" w:eastAsia="宋体" w:cs="宋体"/>
          <w:color w:val="auto"/>
          <w:kern w:val="2"/>
          <w:sz w:val="24"/>
          <w:szCs w:val="24"/>
          <w:highlight w:val="none"/>
          <w:lang w:val="en-US" w:eastAsia="zh-CN" w:bidi="ar"/>
        </w:rPr>
        <w:t>8点00分（北京时间）</w:t>
      </w:r>
    </w:p>
    <w:p w14:paraId="1A1E49B1">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outlineLvl w:val="2"/>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地点：滁州市公共资源交易平台电子交易系统</w:t>
      </w:r>
    </w:p>
    <w:p w14:paraId="4AF4BA23">
      <w:pPr>
        <w:keepNext w:val="0"/>
        <w:keepLines w:val="0"/>
        <w:pageBreakBefore w:val="0"/>
        <w:widowControl w:val="0"/>
        <w:kinsoku/>
        <w:overflowPunct/>
        <w:topLinePunct w:val="0"/>
        <w:autoSpaceDE/>
        <w:autoSpaceDN/>
        <w:bidi w:val="0"/>
        <w:adjustRightInd/>
        <w:snapToGrid/>
        <w:spacing w:line="336" w:lineRule="auto"/>
        <w:ind w:firstLine="437"/>
        <w:textAlignment w:val="auto"/>
        <w:outlineLvl w:val="1"/>
        <w:rPr>
          <w:rFonts w:hint="eastAsia" w:ascii="宋体" w:hAnsi="宋体" w:eastAsia="宋体"/>
          <w:b/>
          <w:bCs/>
          <w:color w:val="auto"/>
          <w:sz w:val="24"/>
          <w:szCs w:val="18"/>
          <w:highlight w:val="none"/>
        </w:rPr>
      </w:pPr>
      <w:bookmarkStart w:id="38" w:name="_Toc15791"/>
      <w:r>
        <w:rPr>
          <w:rFonts w:hint="eastAsia"/>
          <w:b/>
          <w:bCs/>
          <w:color w:val="auto"/>
          <w:sz w:val="24"/>
          <w:szCs w:val="18"/>
          <w:highlight w:val="none"/>
          <w:lang w:val="en-US" w:eastAsia="zh-CN"/>
        </w:rPr>
        <w:t>六</w:t>
      </w:r>
      <w:r>
        <w:rPr>
          <w:rFonts w:hint="eastAsia" w:ascii="宋体" w:hAnsi="宋体" w:eastAsia="宋体"/>
          <w:b/>
          <w:bCs/>
          <w:color w:val="auto"/>
          <w:sz w:val="24"/>
          <w:szCs w:val="18"/>
          <w:highlight w:val="none"/>
        </w:rPr>
        <w:t>、公告期限</w:t>
      </w:r>
      <w:bookmarkEnd w:id="37"/>
      <w:bookmarkEnd w:id="38"/>
    </w:p>
    <w:p w14:paraId="7805F931">
      <w:pPr>
        <w:keepNext w:val="0"/>
        <w:keepLines w:val="0"/>
        <w:pageBreakBefore w:val="0"/>
        <w:widowControl w:val="0"/>
        <w:kinsoku/>
        <w:wordWrap w:val="0"/>
        <w:overflowPunct/>
        <w:topLinePunct w:val="0"/>
        <w:autoSpaceDE/>
        <w:autoSpaceDN/>
        <w:bidi w:val="0"/>
        <w:adjustRightInd/>
        <w:snapToGrid/>
        <w:spacing w:line="336" w:lineRule="auto"/>
        <w:ind w:firstLine="480" w:firstLineChars="200"/>
        <w:textAlignment w:val="auto"/>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自本公告发布之日起3个工作日。</w:t>
      </w:r>
    </w:p>
    <w:p w14:paraId="602CDB78">
      <w:pPr>
        <w:keepNext w:val="0"/>
        <w:keepLines w:val="0"/>
        <w:pageBreakBefore w:val="0"/>
        <w:widowControl w:val="0"/>
        <w:kinsoku/>
        <w:wordWrap/>
        <w:overflowPunct/>
        <w:topLinePunct w:val="0"/>
        <w:bidi w:val="0"/>
        <w:spacing w:line="480" w:lineRule="exact"/>
        <w:ind w:firstLine="437"/>
        <w:textAlignment w:val="auto"/>
        <w:outlineLvl w:val="1"/>
        <w:rPr>
          <w:rFonts w:hint="default" w:ascii="宋体" w:hAnsi="宋体" w:eastAsia="宋体"/>
          <w:b/>
          <w:bCs/>
          <w:color w:val="auto"/>
          <w:sz w:val="24"/>
          <w:szCs w:val="18"/>
          <w:highlight w:val="none"/>
          <w:lang w:val="en-US" w:eastAsia="zh-CN"/>
        </w:rPr>
      </w:pPr>
      <w:bookmarkStart w:id="39" w:name="_Toc58430310"/>
      <w:bookmarkEnd w:id="39"/>
      <w:bookmarkStart w:id="40" w:name="_Toc30198"/>
      <w:r>
        <w:rPr>
          <w:rFonts w:hint="eastAsia" w:ascii="宋体" w:hAnsi="宋体" w:eastAsia="宋体"/>
          <w:b/>
          <w:bCs/>
          <w:color w:val="auto"/>
          <w:sz w:val="24"/>
          <w:szCs w:val="18"/>
          <w:highlight w:val="none"/>
        </w:rPr>
        <w:t>七、</w:t>
      </w:r>
      <w:r>
        <w:rPr>
          <w:rFonts w:hint="eastAsia" w:ascii="宋体" w:hAnsi="宋体" w:eastAsia="宋体"/>
          <w:b/>
          <w:bCs/>
          <w:color w:val="auto"/>
          <w:sz w:val="24"/>
          <w:szCs w:val="18"/>
          <w:highlight w:val="none"/>
          <w:lang w:val="en-US" w:eastAsia="zh-CN"/>
        </w:rPr>
        <w:t>保证金金额及缴纳账户</w:t>
      </w:r>
      <w:bookmarkEnd w:id="40"/>
    </w:p>
    <w:p w14:paraId="626AAB1C">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是否要求供应商提交保证金：不要求。</w:t>
      </w:r>
    </w:p>
    <w:p w14:paraId="3AE0CC02">
      <w:pPr>
        <w:keepNext w:val="0"/>
        <w:keepLines w:val="0"/>
        <w:pageBreakBefore w:val="0"/>
        <w:widowControl w:val="0"/>
        <w:kinsoku/>
        <w:overflowPunct/>
        <w:topLinePunct w:val="0"/>
        <w:autoSpaceDE/>
        <w:autoSpaceDN/>
        <w:bidi w:val="0"/>
        <w:adjustRightInd/>
        <w:snapToGrid/>
        <w:spacing w:line="336" w:lineRule="auto"/>
        <w:ind w:firstLine="437"/>
        <w:textAlignment w:val="auto"/>
        <w:outlineLvl w:val="1"/>
        <w:rPr>
          <w:rFonts w:hint="eastAsia" w:ascii="宋体" w:hAnsi="宋体" w:eastAsia="宋体"/>
          <w:b/>
          <w:bCs/>
          <w:color w:val="auto"/>
          <w:sz w:val="24"/>
          <w:szCs w:val="18"/>
          <w:highlight w:val="none"/>
          <w:lang w:val="en-US" w:eastAsia="zh-CN"/>
        </w:rPr>
      </w:pPr>
      <w:bookmarkStart w:id="41" w:name="_Toc24332"/>
      <w:r>
        <w:rPr>
          <w:rFonts w:hint="eastAsia"/>
          <w:b/>
          <w:bCs/>
          <w:color w:val="auto"/>
          <w:sz w:val="24"/>
          <w:szCs w:val="18"/>
          <w:highlight w:val="none"/>
          <w:lang w:val="en-US" w:eastAsia="zh-CN"/>
        </w:rPr>
        <w:t>八</w:t>
      </w:r>
      <w:r>
        <w:rPr>
          <w:rFonts w:hint="eastAsia" w:ascii="宋体" w:hAnsi="宋体" w:eastAsia="宋体"/>
          <w:b/>
          <w:bCs/>
          <w:color w:val="auto"/>
          <w:sz w:val="24"/>
          <w:szCs w:val="18"/>
          <w:highlight w:val="none"/>
        </w:rPr>
        <w:t>、其他补充事宜</w:t>
      </w:r>
      <w:bookmarkEnd w:id="41"/>
    </w:p>
    <w:p w14:paraId="7E70CFA0">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hint="eastAsia" w:ascii="宋体" w:hAnsi="宋体" w:eastAsia="宋体"/>
          <w:color w:val="auto"/>
          <w:sz w:val="24"/>
          <w:szCs w:val="18"/>
          <w:highlight w:val="none"/>
        </w:rPr>
      </w:pPr>
      <w:r>
        <w:rPr>
          <w:rFonts w:hint="eastAsia" w:ascii="宋体" w:hAnsi="宋体" w:eastAsia="宋体"/>
          <w:color w:val="auto"/>
          <w:sz w:val="24"/>
          <w:szCs w:val="18"/>
          <w:highlight w:val="none"/>
        </w:rPr>
        <w:t>1.本项目只接受在安徽省公共资源交易市场主体库（http://ggzy.ah.gov.cn/ahggfwpt-zhutiku/dengludenglu）登记并进行信息确认提交的供应商参与，未登记的供应商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；2.CA数字证书有关问题：安徽CA客服400-880-4959、0550-3019013（工作日），CFCA客服025-66085508 、0550-3801669（工作日）；3.市场主体招标环节和投标环节系统使用问题：400-998-0000（8：00-21：00）、0550-3801701（工作日）。因未及时通过CA数字证书登录省主体库对相关信息进行补充完善并确认提交，导致无法参与本项目的，责任自负。为保证系统使用过程中产生的问题能够及时得到解决，请各主体进行主体信息登记、更新、响应文件制作等相关操作。</w:t>
      </w:r>
    </w:p>
    <w:p w14:paraId="1EE46975">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hint="eastAsia" w:ascii="宋体" w:hAnsi="宋体" w:eastAsia="宋体"/>
          <w:color w:val="auto"/>
          <w:sz w:val="24"/>
          <w:szCs w:val="18"/>
          <w:highlight w:val="none"/>
        </w:rPr>
      </w:pPr>
      <w:r>
        <w:rPr>
          <w:rFonts w:hint="eastAsia" w:ascii="宋体" w:hAnsi="宋体" w:eastAsia="宋体"/>
          <w:color w:val="auto"/>
          <w:sz w:val="24"/>
          <w:szCs w:val="18"/>
          <w:highlight w:val="none"/>
        </w:rPr>
        <w:t>2.请供应商登录滁州市公共资源交易中心网站查看参加本项目的程序。（具体操作步骤和程序请参见服务指南&gt;交易须知&gt;投标人填写投标信息、下载文件及网上提问操作手册）。</w:t>
      </w:r>
    </w:p>
    <w:p w14:paraId="2A0AC514">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hint="eastAsia" w:ascii="宋体" w:hAnsi="宋体" w:eastAsia="宋体"/>
          <w:color w:val="auto"/>
          <w:sz w:val="24"/>
          <w:szCs w:val="18"/>
          <w:highlight w:val="none"/>
        </w:rPr>
      </w:pPr>
      <w:r>
        <w:rPr>
          <w:rFonts w:hint="eastAsia" w:ascii="宋体" w:hAnsi="宋体" w:eastAsia="宋体"/>
          <w:color w:val="auto"/>
          <w:sz w:val="24"/>
          <w:szCs w:val="18"/>
          <w:highlight w:val="none"/>
        </w:rPr>
        <w:t>3.本项目采用不见面（远程解密)方式，开启时供应商无须至现场进行解密，采取远程解密方式解密响应文件，解密方式为：供应商在开启时间前使用CA数字证书登录滁州市“不见面开标系统”，网址为https://ggzy.chuzhou.gov.cn/BidOpening,等待开启并按系统提示进行相应的供应商解密等事项，无需到现场。采用本方式可以观看开启现场音视频直播并进行互动交流。具体操作方法见中心网站&gt;服务指南&gt;交易须知中的《滁州市不见面开标系统操作手册》。</w:t>
      </w:r>
    </w:p>
    <w:p w14:paraId="12A4CA3F">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outlineLvl w:val="2"/>
        <w:rPr>
          <w:rFonts w:hint="eastAsia" w:ascii="宋体" w:hAnsi="宋体" w:eastAsia="宋体"/>
          <w:color w:val="auto"/>
          <w:sz w:val="24"/>
          <w:szCs w:val="18"/>
          <w:highlight w:val="none"/>
          <w:lang w:eastAsia="zh-CN"/>
        </w:rPr>
      </w:pPr>
      <w:r>
        <w:rPr>
          <w:rFonts w:hint="eastAsia" w:ascii="宋体" w:hAnsi="宋体" w:eastAsia="宋体"/>
          <w:color w:val="auto"/>
          <w:sz w:val="24"/>
          <w:szCs w:val="18"/>
          <w:highlight w:val="none"/>
        </w:rPr>
        <w:t>4.供应商接到远程解密指令后，须在规定时间内解密。因供应商自身原因导致响应文件在规定时间内未能解密、解密失败或解密超时，响应文件无效；因采购代理机构原因或网上平台发生故障，导致无法按时完成响应文件解密的，经采购代理机构申请后可延迟解密时间</w:t>
      </w:r>
      <w:r>
        <w:rPr>
          <w:rFonts w:hint="eastAsia" w:ascii="宋体" w:hAnsi="宋体" w:eastAsia="宋体"/>
          <w:color w:val="auto"/>
          <w:sz w:val="24"/>
          <w:szCs w:val="18"/>
          <w:highlight w:val="none"/>
          <w:lang w:eastAsia="zh-CN"/>
        </w:rPr>
        <w:t>。</w:t>
      </w:r>
    </w:p>
    <w:bookmarkEnd w:id="4"/>
    <w:p w14:paraId="00AE0BD6">
      <w:pPr>
        <w:keepNext w:val="0"/>
        <w:keepLines w:val="0"/>
        <w:pageBreakBefore w:val="0"/>
        <w:widowControl w:val="0"/>
        <w:kinsoku/>
        <w:overflowPunct/>
        <w:topLinePunct w:val="0"/>
        <w:autoSpaceDE/>
        <w:autoSpaceDN/>
        <w:bidi w:val="0"/>
        <w:adjustRightInd/>
        <w:snapToGrid/>
        <w:spacing w:line="336" w:lineRule="auto"/>
        <w:ind w:firstLine="437"/>
        <w:textAlignment w:val="auto"/>
        <w:outlineLvl w:val="1"/>
        <w:rPr>
          <w:rFonts w:hint="eastAsia" w:ascii="宋体" w:hAnsi="宋体" w:eastAsia="宋体"/>
          <w:b/>
          <w:bCs/>
          <w:color w:val="auto"/>
          <w:sz w:val="24"/>
          <w:szCs w:val="18"/>
          <w:highlight w:val="none"/>
        </w:rPr>
      </w:pPr>
      <w:bookmarkStart w:id="42" w:name="_Toc7265"/>
      <w:bookmarkStart w:id="43" w:name="_Toc3854"/>
      <w:bookmarkStart w:id="44" w:name="_Toc23679"/>
      <w:r>
        <w:rPr>
          <w:rFonts w:hint="eastAsia" w:ascii="宋体" w:hAnsi="宋体" w:eastAsia="宋体"/>
          <w:b/>
          <w:bCs/>
          <w:color w:val="auto"/>
          <w:sz w:val="24"/>
          <w:szCs w:val="18"/>
          <w:highlight w:val="none"/>
        </w:rPr>
        <w:t>七、</w:t>
      </w:r>
      <w:bookmarkEnd w:id="42"/>
      <w:r>
        <w:rPr>
          <w:rFonts w:hint="eastAsia" w:ascii="宋体" w:hAnsi="宋体" w:eastAsia="宋体"/>
          <w:b/>
          <w:bCs/>
          <w:color w:val="auto"/>
          <w:sz w:val="24"/>
          <w:szCs w:val="18"/>
          <w:highlight w:val="none"/>
        </w:rPr>
        <w:t>对本次招标提出询问，请按以下方式联系</w:t>
      </w:r>
      <w:bookmarkEnd w:id="43"/>
      <w:bookmarkEnd w:id="44"/>
    </w:p>
    <w:p w14:paraId="7BF55A7C">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rPr>
        <w:t>1.采购人</w:t>
      </w:r>
      <w:r>
        <w:rPr>
          <w:rFonts w:hint="eastAsia" w:ascii="宋体" w:hAnsi="宋体" w:eastAsia="宋体"/>
          <w:color w:val="auto"/>
          <w:sz w:val="24"/>
          <w:szCs w:val="18"/>
          <w:highlight w:val="none"/>
          <w:lang w:val="en-US" w:eastAsia="zh-CN"/>
        </w:rPr>
        <w:t>信息</w:t>
      </w:r>
    </w:p>
    <w:p w14:paraId="656412A5">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outlineLvl w:val="2"/>
        <w:rPr>
          <w:rFonts w:ascii="宋体" w:hAnsi="宋体" w:eastAsia="宋体"/>
          <w:color w:val="auto"/>
          <w:sz w:val="24"/>
          <w:szCs w:val="18"/>
          <w:highlight w:val="none"/>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color w:val="auto"/>
          <w:sz w:val="24"/>
          <w:szCs w:val="18"/>
          <w:highlight w:val="none"/>
          <w:u w:val="single"/>
          <w:lang w:eastAsia="zh-CN"/>
        </w:rPr>
        <w:t>滁州市园林景观管理中心</w:t>
      </w:r>
      <w:r>
        <w:rPr>
          <w:rFonts w:ascii="宋体" w:hAnsi="宋体" w:eastAsia="宋体"/>
          <w:color w:val="auto"/>
          <w:sz w:val="24"/>
          <w:szCs w:val="18"/>
          <w:highlight w:val="none"/>
          <w:u w:val="single"/>
        </w:rPr>
        <w:t xml:space="preserve">   </w:t>
      </w:r>
    </w:p>
    <w:p w14:paraId="0D492B0D">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outlineLvl w:val="2"/>
        <w:rPr>
          <w:rFonts w:hint="eastAsia" w:ascii="宋体" w:hAnsi="宋体" w:eastAsia="宋体"/>
          <w:color w:val="auto"/>
          <w:sz w:val="24"/>
          <w:szCs w:val="18"/>
          <w:highlight w:val="none"/>
          <w:u w:val="single"/>
          <w:lang w:eastAsia="zh-CN"/>
        </w:rPr>
      </w:pPr>
      <w:r>
        <w:rPr>
          <w:rFonts w:hint="eastAsia" w:ascii="宋体" w:hAnsi="宋体" w:eastAsia="宋体"/>
          <w:color w:val="auto"/>
          <w:sz w:val="24"/>
          <w:szCs w:val="18"/>
          <w:highlight w:val="none"/>
        </w:rPr>
        <w:t xml:space="preserve">地 </w:t>
      </w:r>
      <w:r>
        <w:rPr>
          <w:rFonts w:ascii="宋体" w:hAnsi="宋体" w:eastAsia="宋体"/>
          <w:color w:val="auto"/>
          <w:sz w:val="24"/>
          <w:szCs w:val="18"/>
          <w:highlight w:val="none"/>
        </w:rPr>
        <w:t xml:space="preserve"> </w:t>
      </w:r>
      <w:r>
        <w:rPr>
          <w:rFonts w:hint="eastAsia" w:ascii="宋体" w:hAnsi="宋体" w:eastAsia="宋体"/>
          <w:color w:val="auto"/>
          <w:sz w:val="24"/>
          <w:szCs w:val="18"/>
          <w:highlight w:val="none"/>
        </w:rPr>
        <w:t>址：</w:t>
      </w:r>
      <w:r>
        <w:rPr>
          <w:rFonts w:hint="eastAsia"/>
          <w:color w:val="auto"/>
          <w:sz w:val="24"/>
          <w:szCs w:val="18"/>
          <w:highlight w:val="none"/>
          <w:u w:val="single"/>
          <w:lang w:eastAsia="zh-CN"/>
        </w:rPr>
        <w:t>滁州市花园西路81号林业大厦8楼</w:t>
      </w:r>
    </w:p>
    <w:p w14:paraId="0D4E1959">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联系人：</w:t>
      </w:r>
      <w:r>
        <w:rPr>
          <w:rFonts w:hint="eastAsia"/>
          <w:color w:val="auto"/>
          <w:sz w:val="24"/>
          <w:szCs w:val="18"/>
          <w:highlight w:val="none"/>
          <w:u w:val="single"/>
          <w:lang w:eastAsia="zh-CN"/>
        </w:rPr>
        <w:t>曾建博</w:t>
      </w:r>
    </w:p>
    <w:p w14:paraId="74048A0C">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outlineLvl w:val="2"/>
        <w:rPr>
          <w:rFonts w:hint="eastAsia" w:ascii="宋体" w:hAnsi="宋体" w:eastAsia="宋体"/>
          <w:color w:val="auto"/>
          <w:sz w:val="24"/>
          <w:szCs w:val="18"/>
          <w:highlight w:val="none"/>
          <w:lang w:eastAsia="zh-CN"/>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color w:val="auto"/>
          <w:sz w:val="24"/>
          <w:szCs w:val="18"/>
          <w:highlight w:val="none"/>
          <w:u w:val="single"/>
          <w:lang w:eastAsia="zh-CN"/>
        </w:rPr>
        <w:t>0550-3010861</w:t>
      </w:r>
    </w:p>
    <w:p w14:paraId="5AEF0CB7">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outlineLvl w:val="2"/>
        <w:rPr>
          <w:rFonts w:hint="eastAsia" w:ascii="宋体" w:hAnsi="宋体" w:eastAsia="宋体"/>
          <w:color w:val="auto"/>
          <w:sz w:val="24"/>
          <w:szCs w:val="18"/>
          <w:highlight w:val="none"/>
          <w:lang w:val="en-US" w:eastAsia="zh-CN"/>
        </w:rPr>
      </w:pPr>
      <w:r>
        <w:rPr>
          <w:rFonts w:ascii="宋体" w:hAnsi="宋体" w:eastAsia="宋体"/>
          <w:color w:val="auto"/>
          <w:sz w:val="24"/>
          <w:szCs w:val="18"/>
          <w:highlight w:val="none"/>
        </w:rPr>
        <w:t>2.采购代理机构</w:t>
      </w:r>
      <w:r>
        <w:rPr>
          <w:rFonts w:hint="eastAsia" w:ascii="宋体" w:hAnsi="宋体" w:eastAsia="宋体"/>
          <w:color w:val="auto"/>
          <w:sz w:val="24"/>
          <w:szCs w:val="18"/>
          <w:highlight w:val="none"/>
          <w:lang w:val="en-US" w:eastAsia="zh-CN"/>
        </w:rPr>
        <w:t>信息</w:t>
      </w:r>
    </w:p>
    <w:p w14:paraId="7A064540">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outlineLvl w:val="2"/>
        <w:rPr>
          <w:rFonts w:ascii="宋体" w:hAnsi="宋体" w:eastAsia="宋体"/>
          <w:color w:val="auto"/>
          <w:sz w:val="24"/>
          <w:szCs w:val="18"/>
          <w:highlight w:val="none"/>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滁州市城投工程咨询管理有限公司</w:t>
      </w:r>
      <w:r>
        <w:rPr>
          <w:rFonts w:ascii="宋体" w:hAnsi="宋体" w:eastAsia="宋体"/>
          <w:color w:val="auto"/>
          <w:sz w:val="24"/>
          <w:szCs w:val="18"/>
          <w:highlight w:val="none"/>
          <w:u w:val="single"/>
        </w:rPr>
        <w:t xml:space="preserve">  </w:t>
      </w:r>
    </w:p>
    <w:p w14:paraId="228042B7">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outlineLvl w:val="2"/>
        <w:rPr>
          <w:rFonts w:ascii="宋体" w:hAnsi="宋体" w:eastAsia="宋体"/>
          <w:color w:val="auto"/>
          <w:sz w:val="24"/>
          <w:szCs w:val="18"/>
          <w:highlight w:val="none"/>
          <w:u w:val="single"/>
        </w:rPr>
      </w:pPr>
      <w:r>
        <w:rPr>
          <w:rFonts w:hint="eastAsia" w:ascii="宋体" w:hAnsi="宋体" w:eastAsia="宋体"/>
          <w:color w:val="auto"/>
          <w:sz w:val="24"/>
          <w:szCs w:val="18"/>
          <w:highlight w:val="none"/>
        </w:rPr>
        <w:t>地</w:t>
      </w:r>
      <w:r>
        <w:rPr>
          <w:rFonts w:ascii="宋体" w:hAnsi="宋体" w:eastAsia="宋体"/>
          <w:color w:val="auto"/>
          <w:sz w:val="24"/>
          <w:szCs w:val="18"/>
          <w:highlight w:val="none"/>
        </w:rPr>
        <w:t xml:space="preserve">  址：</w:t>
      </w:r>
      <w:r>
        <w:rPr>
          <w:rFonts w:hint="eastAsia" w:ascii="宋体" w:hAnsi="宋体" w:eastAsia="宋体"/>
          <w:color w:val="auto"/>
          <w:sz w:val="24"/>
          <w:szCs w:val="18"/>
          <w:highlight w:val="none"/>
          <w:u w:val="single"/>
          <w:lang w:eastAsia="zh-CN"/>
        </w:rPr>
        <w:t>滁州市龙蟠大道109号房产商务大厦6楼</w:t>
      </w:r>
      <w:r>
        <w:rPr>
          <w:rFonts w:ascii="宋体" w:hAnsi="宋体" w:eastAsia="宋体"/>
          <w:color w:val="auto"/>
          <w:sz w:val="24"/>
          <w:szCs w:val="18"/>
          <w:highlight w:val="none"/>
          <w:u w:val="single"/>
        </w:rPr>
        <w:t xml:space="preserve">  </w:t>
      </w:r>
    </w:p>
    <w:p w14:paraId="11795999">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outlineLvl w:val="2"/>
        <w:rPr>
          <w:color w:val="auto"/>
          <w:highlight w:val="none"/>
        </w:rPr>
      </w:pPr>
      <w:r>
        <w:rPr>
          <w:rFonts w:hint="eastAsia" w:ascii="宋体" w:hAnsi="宋体" w:eastAsia="宋体"/>
          <w:color w:val="auto"/>
          <w:sz w:val="24"/>
          <w:szCs w:val="18"/>
          <w:highlight w:val="none"/>
          <w:lang w:val="en-US" w:eastAsia="zh-CN"/>
        </w:rPr>
        <w:t>联系人：</w:t>
      </w:r>
      <w:r>
        <w:rPr>
          <w:rFonts w:hint="eastAsia"/>
          <w:color w:val="auto"/>
          <w:sz w:val="24"/>
          <w:szCs w:val="18"/>
          <w:highlight w:val="none"/>
          <w:u w:val="single"/>
          <w:lang w:val="en-US" w:eastAsia="zh-CN"/>
        </w:rPr>
        <w:t>曹思敏</w:t>
      </w:r>
      <w:r>
        <w:rPr>
          <w:rFonts w:ascii="宋体" w:hAnsi="宋体" w:eastAsia="宋体"/>
          <w:color w:val="auto"/>
          <w:sz w:val="24"/>
          <w:szCs w:val="18"/>
          <w:highlight w:val="none"/>
          <w:u w:val="single"/>
        </w:rPr>
        <w:t xml:space="preserve"> </w:t>
      </w:r>
    </w:p>
    <w:p w14:paraId="792A8BE1">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eastAsia="宋体"/>
          <w:color w:val="auto"/>
          <w:sz w:val="24"/>
          <w:szCs w:val="18"/>
          <w:highlight w:val="none"/>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color w:val="auto"/>
          <w:sz w:val="24"/>
          <w:szCs w:val="18"/>
          <w:highlight w:val="none"/>
          <w:u w:val="single"/>
          <w:lang w:eastAsia="zh-CN"/>
        </w:rPr>
        <w:t>0550-3519516</w:t>
      </w:r>
      <w:r>
        <w:rPr>
          <w:rFonts w:hint="eastAsia" w:ascii="宋体" w:hAnsi="宋体" w:eastAsia="宋体"/>
          <w:color w:val="auto"/>
          <w:sz w:val="24"/>
          <w:szCs w:val="18"/>
          <w:highlight w:val="none"/>
          <w:u w:val="single"/>
        </w:rPr>
        <w:t>、</w:t>
      </w:r>
      <w:r>
        <w:rPr>
          <w:rFonts w:hint="eastAsia"/>
          <w:color w:val="auto"/>
          <w:sz w:val="24"/>
          <w:szCs w:val="18"/>
          <w:highlight w:val="none"/>
          <w:u w:val="single"/>
          <w:lang w:eastAsia="zh-CN"/>
        </w:rPr>
        <w:t>18712012204</w:t>
      </w:r>
      <w:r>
        <w:rPr>
          <w:rFonts w:ascii="宋体" w:hAnsi="宋体" w:eastAsia="宋体"/>
          <w:color w:val="auto"/>
          <w:sz w:val="24"/>
          <w:szCs w:val="18"/>
          <w:highlight w:val="none"/>
          <w:u w:val="single"/>
        </w:rPr>
        <w:t xml:space="preserve">  </w:t>
      </w:r>
    </w:p>
    <w:p w14:paraId="2252864C">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outlineLvl w:val="2"/>
        <w:rPr>
          <w:rFonts w:hint="eastAsia" w:ascii="宋体" w:hAnsi="宋体" w:eastAsia="宋体"/>
          <w:b/>
          <w:color w:val="auto"/>
          <w:sz w:val="24"/>
          <w:szCs w:val="18"/>
          <w:highlight w:val="none"/>
          <w:lang w:val="en-US" w:eastAsia="zh-CN"/>
        </w:rPr>
      </w:pPr>
      <w:r>
        <w:rPr>
          <w:rFonts w:hint="eastAsia" w:ascii="宋体" w:hAnsi="宋体" w:eastAsia="宋体"/>
          <w:b w:val="0"/>
          <w:bCs/>
          <w:color w:val="auto"/>
          <w:sz w:val="24"/>
          <w:szCs w:val="18"/>
          <w:highlight w:val="none"/>
          <w:lang w:val="en-US" w:eastAsia="zh-CN"/>
        </w:rPr>
        <w:t>3</w:t>
      </w:r>
      <w:r>
        <w:rPr>
          <w:rFonts w:hint="eastAsia" w:ascii="宋体" w:hAnsi="宋体" w:eastAsia="宋体"/>
          <w:b/>
          <w:color w:val="auto"/>
          <w:sz w:val="24"/>
          <w:szCs w:val="18"/>
          <w:highlight w:val="none"/>
        </w:rPr>
        <w:t>.</w:t>
      </w:r>
      <w:r>
        <w:rPr>
          <w:rFonts w:hint="eastAsia" w:ascii="宋体" w:hAnsi="宋体" w:eastAsia="宋体"/>
          <w:color w:val="auto"/>
          <w:sz w:val="24"/>
          <w:szCs w:val="18"/>
          <w:highlight w:val="none"/>
        </w:rPr>
        <w:t>政府采购监督管理部门</w:t>
      </w:r>
      <w:r>
        <w:rPr>
          <w:rFonts w:hint="eastAsia" w:ascii="宋体" w:hAnsi="宋体" w:eastAsia="宋体"/>
          <w:color w:val="auto"/>
          <w:sz w:val="24"/>
          <w:szCs w:val="18"/>
          <w:highlight w:val="none"/>
          <w:lang w:val="en-US" w:eastAsia="zh-CN"/>
        </w:rPr>
        <w:t>信息</w:t>
      </w:r>
    </w:p>
    <w:bookmarkEnd w:id="2"/>
    <w:bookmarkEnd w:id="3"/>
    <w:p w14:paraId="71649EF5">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    称：</w:t>
      </w:r>
      <w:r>
        <w:rPr>
          <w:rFonts w:hint="eastAsia" w:ascii="宋体" w:hAnsi="宋体" w:eastAsia="宋体" w:cs="宋体"/>
          <w:color w:val="auto"/>
          <w:sz w:val="24"/>
          <w:szCs w:val="24"/>
          <w:highlight w:val="none"/>
          <w:u w:val="single"/>
          <w:lang w:val="en-US" w:eastAsia="zh-CN"/>
        </w:rPr>
        <w:t>滁州市公共资源交易监督管理局</w:t>
      </w:r>
    </w:p>
    <w:p w14:paraId="26F6E74F">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w:t>
      </w:r>
      <w:r>
        <w:rPr>
          <w:rFonts w:hint="eastAsia" w:ascii="宋体" w:hAnsi="宋体" w:eastAsia="宋体" w:cs="宋体"/>
          <w:color w:val="auto"/>
          <w:sz w:val="24"/>
          <w:szCs w:val="24"/>
          <w:highlight w:val="none"/>
          <w:u w:val="single"/>
          <w:lang w:val="en-US" w:eastAsia="zh-CN"/>
        </w:rPr>
        <w:t>滁州市龙蟠大道109号房产大厦3楼</w:t>
      </w:r>
    </w:p>
    <w:p w14:paraId="02B96EC4">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w:t>
      </w:r>
      <w:r>
        <w:rPr>
          <w:rFonts w:hint="eastAsia" w:ascii="宋体" w:hAnsi="宋体" w:eastAsia="宋体" w:cs="宋体"/>
          <w:color w:val="auto"/>
          <w:sz w:val="24"/>
          <w:szCs w:val="24"/>
          <w:highlight w:val="none"/>
          <w:u w:val="single"/>
          <w:lang w:val="en-US" w:eastAsia="zh-CN"/>
        </w:rPr>
        <w:t>0550-3801656</w:t>
      </w:r>
    </w:p>
    <w:p w14:paraId="2E8B4598">
      <w:pPr>
        <w:spacing w:line="360" w:lineRule="auto"/>
        <w:jc w:val="center"/>
        <w:outlineLvl w:val="0"/>
        <w:rPr>
          <w:rFonts w:hint="eastAsia" w:asciiTheme="minorEastAsia" w:hAnsiTheme="minorEastAsia" w:eastAsiaTheme="minorEastAsia"/>
          <w:b/>
          <w:color w:val="auto"/>
          <w:sz w:val="28"/>
          <w:highlight w:val="none"/>
        </w:rPr>
      </w:pPr>
    </w:p>
    <w:p w14:paraId="464812A6">
      <w:pPr>
        <w:spacing w:line="360" w:lineRule="auto"/>
        <w:jc w:val="center"/>
        <w:outlineLvl w:val="0"/>
        <w:rPr>
          <w:rFonts w:hint="eastAsia" w:asciiTheme="minorEastAsia" w:hAnsiTheme="minorEastAsia" w:eastAsiaTheme="minorEastAsia"/>
          <w:b/>
          <w:color w:val="auto"/>
          <w:sz w:val="28"/>
          <w:highlight w:val="none"/>
        </w:rPr>
      </w:pPr>
    </w:p>
    <w:p w14:paraId="3D50227D">
      <w:pPr>
        <w:spacing w:line="360" w:lineRule="auto"/>
        <w:jc w:val="center"/>
        <w:outlineLvl w:val="0"/>
        <w:rPr>
          <w:rFonts w:hint="eastAsia" w:asciiTheme="minorEastAsia" w:hAnsiTheme="minorEastAsia" w:eastAsiaTheme="minorEastAsia"/>
          <w:b/>
          <w:color w:val="auto"/>
          <w:sz w:val="28"/>
          <w:highlight w:val="none"/>
        </w:rPr>
      </w:pPr>
    </w:p>
    <w:p w14:paraId="023EDCCF">
      <w:pPr>
        <w:spacing w:line="360" w:lineRule="auto"/>
        <w:jc w:val="center"/>
        <w:outlineLvl w:val="0"/>
        <w:rPr>
          <w:rFonts w:hint="eastAsia" w:asciiTheme="minorEastAsia" w:hAnsiTheme="minorEastAsia" w:eastAsiaTheme="minorEastAsia"/>
          <w:b/>
          <w:color w:val="auto"/>
          <w:sz w:val="28"/>
          <w:highlight w:val="none"/>
        </w:rPr>
      </w:pPr>
    </w:p>
    <w:p w14:paraId="18CEF86F">
      <w:pPr>
        <w:spacing w:line="360" w:lineRule="auto"/>
        <w:jc w:val="center"/>
        <w:outlineLvl w:val="0"/>
        <w:rPr>
          <w:rFonts w:hint="eastAsia" w:asciiTheme="minorEastAsia" w:hAnsiTheme="minorEastAsia" w:eastAsiaTheme="minorEastAsia"/>
          <w:b/>
          <w:color w:val="auto"/>
          <w:sz w:val="28"/>
          <w:highlight w:val="none"/>
        </w:rPr>
      </w:pPr>
    </w:p>
    <w:p w14:paraId="68CD9BDC">
      <w:pPr>
        <w:spacing w:line="360" w:lineRule="auto"/>
        <w:jc w:val="center"/>
        <w:outlineLvl w:val="0"/>
        <w:rPr>
          <w:rFonts w:hint="eastAsia" w:asciiTheme="minorEastAsia" w:hAnsiTheme="minorEastAsia" w:eastAsiaTheme="minorEastAsia"/>
          <w:b/>
          <w:color w:val="auto"/>
          <w:sz w:val="28"/>
          <w:highlight w:val="none"/>
        </w:rPr>
      </w:pPr>
    </w:p>
    <w:p w14:paraId="7F9866D8">
      <w:pPr>
        <w:spacing w:line="360" w:lineRule="auto"/>
        <w:jc w:val="center"/>
        <w:outlineLvl w:val="0"/>
        <w:rPr>
          <w:rFonts w:hint="eastAsia" w:asciiTheme="minorEastAsia" w:hAnsiTheme="minorEastAsia" w:eastAsiaTheme="minorEastAsia"/>
          <w:b/>
          <w:color w:val="auto"/>
          <w:sz w:val="28"/>
          <w:highlight w:val="none"/>
        </w:rPr>
      </w:pPr>
    </w:p>
    <w:p w14:paraId="06E0C684">
      <w:pPr>
        <w:spacing w:line="360" w:lineRule="auto"/>
        <w:jc w:val="center"/>
        <w:outlineLvl w:val="0"/>
        <w:rPr>
          <w:rFonts w:hint="eastAsia" w:asciiTheme="minorEastAsia" w:hAnsiTheme="minorEastAsia" w:eastAsiaTheme="minorEastAsia"/>
          <w:b/>
          <w:color w:val="auto"/>
          <w:sz w:val="28"/>
          <w:highlight w:val="none"/>
        </w:rPr>
      </w:pPr>
    </w:p>
    <w:p w14:paraId="77A2BF30">
      <w:pPr>
        <w:spacing w:line="360" w:lineRule="auto"/>
        <w:jc w:val="center"/>
        <w:outlineLvl w:val="0"/>
        <w:rPr>
          <w:rFonts w:hint="eastAsia" w:asciiTheme="minorEastAsia" w:hAnsiTheme="minorEastAsia" w:eastAsiaTheme="minorEastAsia"/>
          <w:b/>
          <w:color w:val="auto"/>
          <w:sz w:val="28"/>
          <w:highlight w:val="none"/>
        </w:rPr>
      </w:pPr>
    </w:p>
    <w:p w14:paraId="66034F77">
      <w:pPr>
        <w:spacing w:line="360" w:lineRule="auto"/>
        <w:jc w:val="center"/>
        <w:outlineLvl w:val="0"/>
        <w:rPr>
          <w:rFonts w:hint="eastAsia" w:asciiTheme="minorEastAsia" w:hAnsiTheme="minorEastAsia" w:eastAsiaTheme="minorEastAsia"/>
          <w:b/>
          <w:color w:val="auto"/>
          <w:sz w:val="28"/>
          <w:highlight w:val="none"/>
        </w:rPr>
      </w:pPr>
    </w:p>
    <w:p w14:paraId="5A374412">
      <w:pPr>
        <w:spacing w:line="360" w:lineRule="auto"/>
        <w:jc w:val="center"/>
        <w:outlineLvl w:val="0"/>
        <w:rPr>
          <w:rFonts w:hint="eastAsia" w:asciiTheme="minorEastAsia" w:hAnsiTheme="minorEastAsia" w:eastAsiaTheme="minorEastAsia"/>
          <w:b/>
          <w:color w:val="auto"/>
          <w:sz w:val="28"/>
          <w:highlight w:val="none"/>
        </w:rPr>
      </w:pPr>
    </w:p>
    <w:p w14:paraId="0A59989B">
      <w:pPr>
        <w:spacing w:line="360" w:lineRule="auto"/>
        <w:jc w:val="center"/>
        <w:outlineLvl w:val="0"/>
        <w:rPr>
          <w:rFonts w:hint="eastAsia" w:asciiTheme="minorEastAsia" w:hAnsiTheme="minorEastAsia" w:eastAsiaTheme="minorEastAsia"/>
          <w:b/>
          <w:color w:val="auto"/>
          <w:sz w:val="28"/>
          <w:highlight w:val="none"/>
        </w:rPr>
      </w:pPr>
    </w:p>
    <w:p w14:paraId="4FDA82FC">
      <w:pPr>
        <w:spacing w:line="360" w:lineRule="auto"/>
        <w:jc w:val="center"/>
        <w:outlineLvl w:val="0"/>
        <w:rPr>
          <w:rFonts w:hint="eastAsia" w:asciiTheme="minorEastAsia" w:hAnsiTheme="minorEastAsia" w:eastAsiaTheme="minorEastAsia"/>
          <w:b/>
          <w:color w:val="auto"/>
          <w:sz w:val="28"/>
          <w:highlight w:val="none"/>
        </w:rPr>
      </w:pPr>
    </w:p>
    <w:p w14:paraId="05D092CB">
      <w:pPr>
        <w:spacing w:line="360" w:lineRule="auto"/>
        <w:jc w:val="center"/>
        <w:outlineLvl w:val="0"/>
        <w:rPr>
          <w:rFonts w:hint="eastAsia" w:asciiTheme="minorEastAsia" w:hAnsiTheme="minorEastAsia" w:eastAsiaTheme="minorEastAsia"/>
          <w:b/>
          <w:color w:val="auto"/>
          <w:sz w:val="28"/>
          <w:highlight w:val="none"/>
        </w:rPr>
      </w:pPr>
    </w:p>
    <w:p w14:paraId="335C3EA8">
      <w:pPr>
        <w:spacing w:line="360" w:lineRule="auto"/>
        <w:jc w:val="center"/>
        <w:outlineLvl w:val="0"/>
        <w:rPr>
          <w:rFonts w:hint="eastAsia" w:asciiTheme="minorEastAsia" w:hAnsiTheme="minorEastAsia" w:eastAsiaTheme="minorEastAsia"/>
          <w:b/>
          <w:color w:val="auto"/>
          <w:sz w:val="28"/>
          <w:highlight w:val="none"/>
        </w:rPr>
      </w:pPr>
    </w:p>
    <w:p w14:paraId="6C88A74A">
      <w:pPr>
        <w:spacing w:line="360" w:lineRule="auto"/>
        <w:jc w:val="center"/>
        <w:outlineLvl w:val="0"/>
        <w:rPr>
          <w:rFonts w:hint="eastAsia" w:asciiTheme="minorEastAsia" w:hAnsiTheme="minorEastAsia" w:eastAsiaTheme="minorEastAsia"/>
          <w:b/>
          <w:color w:val="auto"/>
          <w:sz w:val="28"/>
          <w:highlight w:val="none"/>
        </w:rPr>
      </w:pPr>
    </w:p>
    <w:p w14:paraId="711C8791">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0"/>
        <w:rPr>
          <w:rFonts w:asciiTheme="minorEastAsia" w:hAnsiTheme="minorEastAsia" w:eastAsiaTheme="minorEastAsia"/>
          <w:b/>
          <w:color w:val="auto"/>
          <w:sz w:val="28"/>
          <w:highlight w:val="none"/>
        </w:rPr>
      </w:pPr>
      <w:bookmarkStart w:id="45" w:name="_Toc11956"/>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供应商</w:t>
      </w:r>
      <w:r>
        <w:rPr>
          <w:rFonts w:asciiTheme="minorEastAsia" w:hAnsiTheme="minorEastAsia" w:eastAsiaTheme="minorEastAsia"/>
          <w:b/>
          <w:color w:val="auto"/>
          <w:sz w:val="28"/>
          <w:highlight w:val="none"/>
        </w:rPr>
        <w:t>须知</w:t>
      </w:r>
      <w:bookmarkEnd w:id="45"/>
    </w:p>
    <w:p w14:paraId="053757B9">
      <w:pPr>
        <w:spacing w:line="360" w:lineRule="auto"/>
        <w:jc w:val="center"/>
        <w:outlineLvl w:val="1"/>
        <w:rPr>
          <w:rFonts w:asciiTheme="minorEastAsia" w:hAnsiTheme="minorEastAsia" w:eastAsiaTheme="minorEastAsia"/>
          <w:b/>
          <w:color w:val="auto"/>
          <w:sz w:val="24"/>
          <w:highlight w:val="none"/>
        </w:rPr>
      </w:pPr>
      <w:bookmarkStart w:id="46" w:name="_Toc8634"/>
      <w:bookmarkStart w:id="47" w:name="_Toc14562"/>
      <w:bookmarkStart w:id="48" w:name="_Toc14934"/>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46"/>
      <w:bookmarkEnd w:id="47"/>
      <w:bookmarkEnd w:id="48"/>
    </w:p>
    <w:p w14:paraId="44B8032D">
      <w:pPr>
        <w:spacing w:line="360" w:lineRule="auto"/>
        <w:ind w:firstLine="435"/>
        <w:rPr>
          <w:color w:val="auto"/>
          <w:sz w:val="24"/>
          <w:szCs w:val="18"/>
          <w:highlight w:val="none"/>
        </w:rPr>
      </w:pPr>
      <w:r>
        <w:rPr>
          <w:rFonts w:hint="eastAsia"/>
          <w:b/>
          <w:bCs/>
          <w:color w:val="auto"/>
          <w:sz w:val="24"/>
          <w:szCs w:val="18"/>
          <w:highlight w:val="none"/>
        </w:rPr>
        <w:t>注：</w:t>
      </w:r>
      <w:r>
        <w:rPr>
          <w:rFonts w:hint="eastAsia"/>
          <w:color w:val="auto"/>
          <w:sz w:val="24"/>
          <w:szCs w:val="18"/>
          <w:highlight w:val="none"/>
        </w:rPr>
        <w:t>本表是本项目的具体要求，是对供应商须知的具体补充和修改，如有不一致，以本表为准。</w:t>
      </w:r>
    </w:p>
    <w:tbl>
      <w:tblPr>
        <w:tblStyle w:val="55"/>
        <w:tblW w:w="53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917"/>
        <w:gridCol w:w="6182"/>
      </w:tblGrid>
      <w:tr w14:paraId="489EE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1" w:type="pct"/>
            <w:vAlign w:val="center"/>
          </w:tcPr>
          <w:p w14:paraId="333AE9DB">
            <w:pPr>
              <w:pStyle w:val="75"/>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条款号</w:t>
            </w:r>
          </w:p>
        </w:tc>
        <w:tc>
          <w:tcPr>
            <w:tcW w:w="1060" w:type="pct"/>
            <w:vAlign w:val="center"/>
          </w:tcPr>
          <w:p w14:paraId="01EECBA1">
            <w:pPr>
              <w:pStyle w:val="75"/>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条款名称</w:t>
            </w:r>
          </w:p>
        </w:tc>
        <w:tc>
          <w:tcPr>
            <w:tcW w:w="3418" w:type="pct"/>
            <w:vAlign w:val="center"/>
          </w:tcPr>
          <w:p w14:paraId="4BB03093">
            <w:pPr>
              <w:pStyle w:val="75"/>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内容、说明与要求</w:t>
            </w:r>
          </w:p>
        </w:tc>
      </w:tr>
      <w:tr w14:paraId="4C77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1" w:type="pct"/>
            <w:vAlign w:val="center"/>
          </w:tcPr>
          <w:p w14:paraId="61BF0A8C">
            <w:pPr>
              <w:pStyle w:val="76"/>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eastAsia="zh-CN"/>
              </w:rPr>
            </w:pPr>
            <w:r>
              <w:rPr>
                <w:rFonts w:hint="eastAsia"/>
                <w:bCs/>
                <w:color w:val="auto"/>
                <w:kern w:val="2"/>
                <w:highlight w:val="none"/>
                <w:lang w:val="en-US" w:eastAsia="zh-CN"/>
              </w:rPr>
              <w:t>5</w:t>
            </w:r>
            <w:r>
              <w:rPr>
                <w:bCs/>
                <w:color w:val="auto"/>
                <w:kern w:val="2"/>
                <w:highlight w:val="none"/>
              </w:rPr>
              <w:t>.</w:t>
            </w:r>
            <w:r>
              <w:rPr>
                <w:rFonts w:hint="eastAsia"/>
                <w:bCs/>
                <w:color w:val="auto"/>
                <w:kern w:val="2"/>
                <w:highlight w:val="none"/>
                <w:lang w:val="en-US" w:eastAsia="zh-CN"/>
              </w:rPr>
              <w:t>2</w:t>
            </w:r>
          </w:p>
        </w:tc>
        <w:tc>
          <w:tcPr>
            <w:tcW w:w="1060" w:type="pct"/>
            <w:vAlign w:val="center"/>
          </w:tcPr>
          <w:p w14:paraId="601441B8">
            <w:pPr>
              <w:pStyle w:val="75"/>
              <w:widowControl w:val="0"/>
              <w:spacing w:before="0" w:beforeAutospacing="0" w:after="0" w:afterAutospacing="0" w:line="360" w:lineRule="auto"/>
              <w:jc w:val="left"/>
              <w:rPr>
                <w:b w:val="0"/>
                <w:color w:val="auto"/>
                <w:sz w:val="24"/>
                <w:highlight w:val="none"/>
              </w:rPr>
            </w:pPr>
            <w:r>
              <w:rPr>
                <w:rFonts w:hint="eastAsia" w:ascii="宋体" w:hAnsi="宋体" w:eastAsia="宋体" w:cs="@仿宋_GB2312"/>
                <w:b w:val="0"/>
                <w:bCs/>
                <w:color w:val="auto"/>
                <w:kern w:val="2"/>
                <w:sz w:val="24"/>
                <w:szCs w:val="22"/>
                <w:highlight w:val="none"/>
                <w:lang w:val="en-US" w:eastAsia="zh-CN" w:bidi="ar-SA"/>
              </w:rPr>
              <w:t>现场考察或标前答疑会</w:t>
            </w:r>
          </w:p>
        </w:tc>
        <w:tc>
          <w:tcPr>
            <w:tcW w:w="3418" w:type="pct"/>
            <w:vAlign w:val="center"/>
          </w:tcPr>
          <w:p w14:paraId="28BBDCB4">
            <w:pPr>
              <w:spacing w:line="360" w:lineRule="auto"/>
              <w:rPr>
                <w:rFonts w:ascii="宋体" w:hAnsi="宋体" w:eastAsia="宋体"/>
                <w:bCs/>
                <w:color w:val="auto"/>
                <w:sz w:val="24"/>
                <w:highlight w:val="none"/>
              </w:rPr>
            </w:pPr>
            <w:r>
              <w:rPr>
                <w:rFonts w:hint="eastAsia"/>
                <w:bCs/>
                <w:color w:val="auto"/>
                <w:sz w:val="24"/>
                <w:szCs w:val="24"/>
                <w:highlight w:val="none"/>
                <w:lang w:eastAsia="zh-CN"/>
              </w:rPr>
              <w:t>☑</w:t>
            </w:r>
            <w:r>
              <w:rPr>
                <w:rFonts w:hint="eastAsia" w:ascii="宋体" w:hAnsi="宋体" w:eastAsia="宋体"/>
                <w:color w:val="auto"/>
                <w:sz w:val="24"/>
                <w:highlight w:val="none"/>
              </w:rPr>
              <w:t>不组织</w:t>
            </w:r>
            <w:r>
              <w:rPr>
                <w:rFonts w:hint="eastAsia" w:ascii="宋体" w:hAnsi="宋体" w:eastAsia="宋体"/>
                <w:color w:val="auto"/>
                <w:sz w:val="24"/>
                <w:highlight w:val="none"/>
                <w:lang w:val="en-US" w:eastAsia="zh-CN"/>
              </w:rPr>
              <w:t>或不召开</w:t>
            </w:r>
          </w:p>
          <w:p w14:paraId="7761515A">
            <w:pPr>
              <w:spacing w:line="360" w:lineRule="auto"/>
              <w:rPr>
                <w:rFonts w:ascii="宋体" w:hAnsi="宋体" w:eastAsia="宋体"/>
                <w:bCs/>
                <w:color w:val="auto"/>
                <w:sz w:val="24"/>
                <w:highlight w:val="none"/>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p>
          <w:p w14:paraId="3A37BD62">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bCs/>
                <w:color w:val="auto"/>
                <w:sz w:val="24"/>
                <w:highlight w:val="none"/>
                <w:u w:val="single"/>
                <w:lang w:val="en-US" w:eastAsia="zh-CN"/>
              </w:rPr>
              <w:t>/</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hint="eastAsia"/>
                <w:bCs/>
                <w:color w:val="auto"/>
                <w:sz w:val="24"/>
                <w:highlight w:val="none"/>
                <w:u w:val="single"/>
                <w:lang w:val="en-US" w:eastAsia="zh-CN"/>
              </w:rPr>
              <w:t>/</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hint="eastAsia"/>
                <w:bCs/>
                <w:color w:val="auto"/>
                <w:sz w:val="24"/>
                <w:highlight w:val="none"/>
                <w:u w:val="single"/>
                <w:lang w:val="en-US" w:eastAsia="zh-CN"/>
              </w:rPr>
              <w:t>/</w:t>
            </w:r>
            <w:r>
              <w:rPr>
                <w:rFonts w:hint="eastAsia" w:ascii="宋体" w:hAnsi="宋体" w:eastAsia="宋体"/>
                <w:bCs/>
                <w:color w:val="auto"/>
                <w:sz w:val="24"/>
                <w:highlight w:val="none"/>
              </w:rPr>
              <w:t>日</w:t>
            </w:r>
            <w:r>
              <w:rPr>
                <w:rFonts w:hint="eastAsia"/>
                <w:bCs/>
                <w:color w:val="auto"/>
                <w:sz w:val="24"/>
                <w:highlight w:val="none"/>
                <w:u w:val="single"/>
                <w:lang w:val="en-US" w:eastAsia="zh-CN"/>
              </w:rPr>
              <w:t>/</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hint="eastAsia"/>
                <w:bCs/>
                <w:color w:val="auto"/>
                <w:sz w:val="24"/>
                <w:highlight w:val="none"/>
                <w:u w:val="single"/>
                <w:lang w:val="en-US" w:eastAsia="zh-CN"/>
              </w:rPr>
              <w:t>/</w:t>
            </w:r>
            <w:r>
              <w:rPr>
                <w:rFonts w:hint="eastAsia" w:ascii="宋体" w:hAnsi="宋体" w:eastAsia="宋体"/>
                <w:bCs/>
                <w:color w:val="auto"/>
                <w:sz w:val="24"/>
                <w:highlight w:val="none"/>
              </w:rPr>
              <w:t>分</w:t>
            </w:r>
          </w:p>
          <w:p w14:paraId="3C9EDCAB">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hint="eastAsia"/>
                <w:bCs/>
                <w:color w:val="auto"/>
                <w:sz w:val="24"/>
                <w:highlight w:val="none"/>
                <w:u w:val="single"/>
                <w:lang w:val="en-US" w:eastAsia="zh-CN"/>
              </w:rPr>
              <w:t>/</w:t>
            </w:r>
            <w:r>
              <w:rPr>
                <w:rFonts w:ascii="宋体" w:hAnsi="宋体" w:eastAsia="宋体"/>
                <w:bCs/>
                <w:color w:val="auto"/>
                <w:sz w:val="24"/>
                <w:highlight w:val="none"/>
                <w:u w:val="single"/>
              </w:rPr>
              <w:t xml:space="preserve">   </w:t>
            </w:r>
          </w:p>
          <w:p w14:paraId="7D36AA96">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rPr>
              <w:t xml:space="preserve"> </w:t>
            </w:r>
            <w:r>
              <w:rPr>
                <w:rFonts w:hint="eastAsia"/>
                <w:bCs/>
                <w:color w:val="auto"/>
                <w:sz w:val="24"/>
                <w:highlight w:val="none"/>
                <w:u w:val="single"/>
                <w:lang w:val="en-US" w:eastAsia="zh-CN"/>
              </w:rPr>
              <w:t>/</w:t>
            </w:r>
            <w:r>
              <w:rPr>
                <w:rFonts w:ascii="宋体" w:hAnsi="宋体" w:eastAsia="宋体"/>
                <w:bCs/>
                <w:color w:val="auto"/>
                <w:sz w:val="24"/>
                <w:highlight w:val="none"/>
                <w:u w:val="single"/>
              </w:rPr>
              <w:t xml:space="preserve">  </w:t>
            </w:r>
          </w:p>
          <w:p w14:paraId="0CF0E1AF">
            <w:pPr>
              <w:pStyle w:val="75"/>
              <w:widowControl w:val="0"/>
              <w:spacing w:before="0" w:beforeAutospacing="0" w:after="0" w:afterAutospacing="0" w:line="360" w:lineRule="auto"/>
              <w:jc w:val="both"/>
              <w:rPr>
                <w:color w:val="auto"/>
                <w:sz w:val="24"/>
                <w:highlight w:val="none"/>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如供应商未参加采购人统一组织的现场考察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，由此引起的一切责任由供应商自行承担。</w:t>
            </w:r>
          </w:p>
        </w:tc>
      </w:tr>
      <w:tr w14:paraId="3F1B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21" w:type="pct"/>
            <w:vAlign w:val="center"/>
          </w:tcPr>
          <w:p w14:paraId="39F9B03E">
            <w:pPr>
              <w:pStyle w:val="76"/>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6</w:t>
            </w:r>
            <w:r>
              <w:rPr>
                <w:bCs/>
                <w:color w:val="auto"/>
                <w:kern w:val="2"/>
                <w:highlight w:val="none"/>
              </w:rPr>
              <w:t>.1</w:t>
            </w:r>
          </w:p>
        </w:tc>
        <w:tc>
          <w:tcPr>
            <w:tcW w:w="1060" w:type="pct"/>
            <w:vAlign w:val="center"/>
          </w:tcPr>
          <w:p w14:paraId="64791A3F">
            <w:pPr>
              <w:pStyle w:val="75"/>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网上询问截止时间</w:t>
            </w:r>
          </w:p>
        </w:tc>
        <w:tc>
          <w:tcPr>
            <w:tcW w:w="3418" w:type="pct"/>
            <w:vAlign w:val="center"/>
          </w:tcPr>
          <w:p w14:paraId="55967E4E">
            <w:pPr>
              <w:pStyle w:val="75"/>
              <w:widowControl w:val="0"/>
              <w:spacing w:before="0" w:beforeAutospacing="0" w:after="0" w:afterAutospacing="0" w:line="360" w:lineRule="auto"/>
              <w:jc w:val="both"/>
              <w:rPr>
                <w:rFonts w:hint="default" w:eastAsia="宋体"/>
                <w:b w:val="0"/>
                <w:color w:val="auto"/>
                <w:sz w:val="24"/>
                <w:highlight w:val="none"/>
                <w:lang w:val="en-US" w:eastAsia="zh-CN"/>
              </w:rPr>
            </w:pPr>
            <w:r>
              <w:rPr>
                <w:rFonts w:hint="eastAsia"/>
                <w:b w:val="0"/>
                <w:color w:val="auto"/>
                <w:sz w:val="24"/>
                <w:highlight w:val="none"/>
                <w:u w:val="single"/>
                <w:lang w:val="en-US" w:eastAsia="zh-CN"/>
              </w:rPr>
              <w:t>2025年9月16日8</w:t>
            </w:r>
            <w:r>
              <w:rPr>
                <w:b w:val="0"/>
                <w:color w:val="auto"/>
                <w:sz w:val="24"/>
                <w:highlight w:val="none"/>
              </w:rPr>
              <w:t>时</w:t>
            </w:r>
            <w:r>
              <w:rPr>
                <w:rFonts w:hint="eastAsia"/>
                <w:b w:val="0"/>
                <w:color w:val="auto"/>
                <w:sz w:val="24"/>
                <w:highlight w:val="none"/>
                <w:u w:val="single"/>
                <w:lang w:val="en-US" w:eastAsia="zh-CN"/>
              </w:rPr>
              <w:t>00</w:t>
            </w:r>
            <w:r>
              <w:rPr>
                <w:rFonts w:hint="eastAsia"/>
                <w:b w:val="0"/>
                <w:color w:val="auto"/>
                <w:sz w:val="24"/>
                <w:highlight w:val="none"/>
                <w:lang w:val="en-US" w:eastAsia="zh-CN"/>
              </w:rPr>
              <w:t>分</w:t>
            </w:r>
          </w:p>
        </w:tc>
      </w:tr>
      <w:tr w14:paraId="159AB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21" w:type="pct"/>
            <w:vAlign w:val="center"/>
          </w:tcPr>
          <w:p w14:paraId="2F279CC8">
            <w:pPr>
              <w:pStyle w:val="76"/>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7</w:t>
            </w:r>
            <w:r>
              <w:rPr>
                <w:bCs/>
                <w:color w:val="auto"/>
                <w:kern w:val="2"/>
                <w:highlight w:val="none"/>
              </w:rPr>
              <w:t>.1</w:t>
            </w:r>
          </w:p>
        </w:tc>
        <w:tc>
          <w:tcPr>
            <w:tcW w:w="1060" w:type="pct"/>
            <w:vAlign w:val="center"/>
          </w:tcPr>
          <w:p w14:paraId="1D0D91A0">
            <w:pPr>
              <w:pStyle w:val="75"/>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包别划分</w:t>
            </w:r>
          </w:p>
        </w:tc>
        <w:tc>
          <w:tcPr>
            <w:tcW w:w="3418" w:type="pct"/>
            <w:vAlign w:val="center"/>
          </w:tcPr>
          <w:p w14:paraId="443F9C69">
            <w:pPr>
              <w:pStyle w:val="75"/>
              <w:widowControl w:val="0"/>
              <w:spacing w:before="0" w:beforeAutospacing="0" w:after="0" w:afterAutospacing="0" w:line="360" w:lineRule="auto"/>
              <w:jc w:val="both"/>
              <w:rPr>
                <w:b w:val="0"/>
                <w:color w:val="auto"/>
                <w:sz w:val="24"/>
                <w:highlight w:val="none"/>
              </w:rPr>
            </w:pPr>
            <w:r>
              <w:rPr>
                <w:rFonts w:hint="eastAsia"/>
                <w:b w:val="0"/>
                <w:bCs w:val="0"/>
                <w:color w:val="auto"/>
                <w:sz w:val="24"/>
                <w:szCs w:val="24"/>
                <w:highlight w:val="none"/>
                <w:lang w:eastAsia="zh-CN"/>
              </w:rPr>
              <w:t>☑</w:t>
            </w:r>
            <w:r>
              <w:rPr>
                <w:b w:val="0"/>
                <w:color w:val="auto"/>
                <w:sz w:val="24"/>
                <w:highlight w:val="none"/>
              </w:rPr>
              <w:t>不分包     □分为  个包</w:t>
            </w:r>
          </w:p>
          <w:p w14:paraId="448BC046">
            <w:pPr>
              <w:pStyle w:val="75"/>
              <w:widowControl w:val="0"/>
              <w:spacing w:before="0" w:beforeAutospacing="0" w:after="0" w:afterAutospacing="0" w:line="360" w:lineRule="auto"/>
              <w:jc w:val="both"/>
              <w:rPr>
                <w:b w:val="0"/>
                <w:color w:val="auto"/>
                <w:sz w:val="24"/>
                <w:highlight w:val="none"/>
              </w:rPr>
            </w:pPr>
            <w:r>
              <w:rPr>
                <w:rFonts w:hint="eastAsia"/>
                <w:b w:val="0"/>
                <w:bCs w:val="0"/>
                <w:color w:val="auto"/>
                <w:sz w:val="24"/>
                <w:szCs w:val="24"/>
                <w:highlight w:val="none"/>
              </w:rPr>
              <w:t>供应商参加多个包谈判的成交</w:t>
            </w:r>
            <w:r>
              <w:rPr>
                <w:b w:val="0"/>
                <w:bCs w:val="0"/>
                <w:color w:val="auto"/>
                <w:sz w:val="24"/>
                <w:szCs w:val="24"/>
                <w:highlight w:val="none"/>
              </w:rPr>
              <w:t>包</w:t>
            </w:r>
            <w:r>
              <w:rPr>
                <w:rFonts w:hint="eastAsia"/>
                <w:b w:val="0"/>
                <w:bCs w:val="0"/>
                <w:color w:val="auto"/>
                <w:sz w:val="24"/>
                <w:szCs w:val="24"/>
                <w:highlight w:val="none"/>
              </w:rPr>
              <w:t>数规定：</w:t>
            </w:r>
            <w:r>
              <w:rPr>
                <w:rFonts w:hint="eastAsia"/>
                <w:b w:val="0"/>
                <w:bCs w:val="0"/>
                <w:color w:val="auto"/>
                <w:sz w:val="24"/>
                <w:szCs w:val="18"/>
                <w:highlight w:val="none"/>
                <w:u w:val="single"/>
              </w:rPr>
              <w:t xml:space="preserve"> </w:t>
            </w:r>
            <w:r>
              <w:rPr>
                <w:b w:val="0"/>
                <w:bCs w:val="0"/>
                <w:color w:val="auto"/>
                <w:sz w:val="24"/>
                <w:szCs w:val="18"/>
                <w:highlight w:val="none"/>
                <w:u w:val="single"/>
              </w:rPr>
              <w:t xml:space="preserve"> </w:t>
            </w:r>
            <w:r>
              <w:rPr>
                <w:rFonts w:hint="eastAsia"/>
                <w:b w:val="0"/>
                <w:bCs w:val="0"/>
                <w:color w:val="auto"/>
                <w:sz w:val="24"/>
                <w:szCs w:val="18"/>
                <w:highlight w:val="none"/>
                <w:u w:val="single"/>
                <w:lang w:val="en-US" w:eastAsia="zh-CN"/>
              </w:rPr>
              <w:t>/</w:t>
            </w:r>
            <w:r>
              <w:rPr>
                <w:b w:val="0"/>
                <w:bCs w:val="0"/>
                <w:color w:val="auto"/>
                <w:sz w:val="24"/>
                <w:szCs w:val="18"/>
                <w:highlight w:val="none"/>
                <w:u w:val="single"/>
              </w:rPr>
              <w:t xml:space="preserve">  </w:t>
            </w:r>
          </w:p>
        </w:tc>
      </w:tr>
      <w:tr w14:paraId="7D187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21" w:type="pct"/>
            <w:vAlign w:val="center"/>
          </w:tcPr>
          <w:p w14:paraId="023F801F">
            <w:pPr>
              <w:pStyle w:val="76"/>
              <w:pBdr>
                <w:bottom w:val="none" w:color="auto" w:sz="0" w:space="0"/>
              </w:pBdr>
              <w:tabs>
                <w:tab w:val="clear" w:pos="4153"/>
                <w:tab w:val="clear" w:pos="8306"/>
              </w:tabs>
              <w:adjustRightInd/>
              <w:spacing w:line="24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0</w:t>
            </w:r>
            <w:r>
              <w:rPr>
                <w:bCs/>
                <w:color w:val="auto"/>
                <w:kern w:val="2"/>
                <w:highlight w:val="none"/>
              </w:rPr>
              <w:t>.1</w:t>
            </w:r>
          </w:p>
        </w:tc>
        <w:tc>
          <w:tcPr>
            <w:tcW w:w="1060" w:type="pct"/>
            <w:vAlign w:val="center"/>
          </w:tcPr>
          <w:p w14:paraId="13C1B3E9">
            <w:pPr>
              <w:pStyle w:val="75"/>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谈判保证金</w:t>
            </w:r>
          </w:p>
        </w:tc>
        <w:tc>
          <w:tcPr>
            <w:tcW w:w="3418" w:type="pct"/>
            <w:vAlign w:val="center"/>
          </w:tcPr>
          <w:p w14:paraId="2327CEF5">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不收取</w:t>
            </w:r>
          </w:p>
        </w:tc>
      </w:tr>
      <w:tr w14:paraId="1FD1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1" w:type="pct"/>
            <w:vAlign w:val="center"/>
          </w:tcPr>
          <w:p w14:paraId="0CC0D5A7">
            <w:pPr>
              <w:pStyle w:val="76"/>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1</w:t>
            </w:r>
            <w:r>
              <w:rPr>
                <w:bCs/>
                <w:color w:val="auto"/>
                <w:kern w:val="2"/>
                <w:highlight w:val="none"/>
              </w:rPr>
              <w:t>.1</w:t>
            </w:r>
          </w:p>
        </w:tc>
        <w:tc>
          <w:tcPr>
            <w:tcW w:w="1060" w:type="pct"/>
            <w:vAlign w:val="center"/>
          </w:tcPr>
          <w:p w14:paraId="327E2B50">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谈判有效期</w:t>
            </w:r>
          </w:p>
        </w:tc>
        <w:tc>
          <w:tcPr>
            <w:tcW w:w="3418" w:type="pct"/>
            <w:vAlign w:val="center"/>
          </w:tcPr>
          <w:p w14:paraId="0755F6BB">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single"/>
                <w:lang w:val="en-US" w:eastAsia="zh-CN"/>
              </w:rPr>
              <w:t>90</w:t>
            </w:r>
            <w:r>
              <w:rPr>
                <w:rFonts w:hint="eastAsia"/>
                <w:b w:val="0"/>
                <w:color w:val="auto"/>
                <w:sz w:val="24"/>
                <w:highlight w:val="none"/>
              </w:rPr>
              <w:t>日历日</w:t>
            </w:r>
          </w:p>
        </w:tc>
      </w:tr>
      <w:tr w14:paraId="5256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1" w:type="pct"/>
            <w:vAlign w:val="center"/>
          </w:tcPr>
          <w:p w14:paraId="0BEA80CB">
            <w:pPr>
              <w:pStyle w:val="76"/>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2</w:t>
            </w:r>
            <w:r>
              <w:rPr>
                <w:bCs/>
                <w:color w:val="auto"/>
                <w:kern w:val="2"/>
                <w:highlight w:val="none"/>
              </w:rPr>
              <w:t>.3</w:t>
            </w:r>
          </w:p>
        </w:tc>
        <w:tc>
          <w:tcPr>
            <w:tcW w:w="1060" w:type="pct"/>
            <w:vAlign w:val="center"/>
          </w:tcPr>
          <w:p w14:paraId="6F8C735C">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响应文件解密时间</w:t>
            </w:r>
          </w:p>
        </w:tc>
        <w:tc>
          <w:tcPr>
            <w:tcW w:w="3418" w:type="pct"/>
            <w:vAlign w:val="center"/>
          </w:tcPr>
          <w:p w14:paraId="35F9880C">
            <w:pPr>
              <w:pStyle w:val="75"/>
              <w:widowControl w:val="0"/>
              <w:spacing w:before="0" w:beforeAutospacing="0" w:after="0" w:afterAutospacing="0" w:line="360" w:lineRule="auto"/>
              <w:jc w:val="both"/>
              <w:rPr>
                <w:rFonts w:hint="eastAsia" w:eastAsia="宋体"/>
                <w:b w:val="0"/>
                <w:color w:val="auto"/>
                <w:sz w:val="24"/>
                <w:highlight w:val="none"/>
                <w:u w:val="single"/>
                <w:lang w:eastAsia="zh-CN"/>
              </w:rPr>
            </w:pPr>
            <w:r>
              <w:rPr>
                <w:rFonts w:hint="eastAsia"/>
                <w:b w:val="0"/>
                <w:color w:val="auto"/>
                <w:sz w:val="24"/>
                <w:highlight w:val="none"/>
                <w:u w:val="none"/>
              </w:rPr>
              <w:t>响应文件提交截止时间后</w:t>
            </w:r>
            <w:r>
              <w:rPr>
                <w:rFonts w:hint="eastAsia"/>
                <w:b w:val="0"/>
                <w:color w:val="auto"/>
                <w:sz w:val="24"/>
                <w:highlight w:val="none"/>
                <w:u w:val="single"/>
                <w:lang w:val="en-US" w:eastAsia="zh-CN"/>
              </w:rPr>
              <w:t>60</w:t>
            </w:r>
            <w:r>
              <w:rPr>
                <w:rFonts w:hint="eastAsia"/>
                <w:b w:val="0"/>
                <w:color w:val="auto"/>
                <w:sz w:val="24"/>
                <w:highlight w:val="none"/>
                <w:u w:val="none"/>
              </w:rPr>
              <w:t>分钟内</w:t>
            </w:r>
            <w:r>
              <w:rPr>
                <w:rFonts w:hint="eastAsia" w:ascii="宋体" w:hAnsi="宋体" w:eastAsia="宋体"/>
                <w:b w:val="0"/>
                <w:color w:val="auto"/>
                <w:sz w:val="24"/>
                <w:highlight w:val="none"/>
                <w:u w:val="none"/>
              </w:rPr>
              <w:t>（以本项目网上招投标系统解密倒计时为准）。</w:t>
            </w:r>
          </w:p>
        </w:tc>
      </w:tr>
      <w:tr w14:paraId="7365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1" w:type="pct"/>
            <w:vAlign w:val="center"/>
          </w:tcPr>
          <w:p w14:paraId="5F68DA28">
            <w:pPr>
              <w:pStyle w:val="76"/>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4</w:t>
            </w:r>
            <w:r>
              <w:rPr>
                <w:rFonts w:hint="eastAsia"/>
                <w:bCs/>
                <w:color w:val="auto"/>
                <w:kern w:val="2"/>
                <w:highlight w:val="none"/>
              </w:rPr>
              <w:t>.3</w:t>
            </w:r>
          </w:p>
        </w:tc>
        <w:tc>
          <w:tcPr>
            <w:tcW w:w="1060" w:type="pct"/>
            <w:vAlign w:val="center"/>
          </w:tcPr>
          <w:p w14:paraId="06937ECA">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评审方法</w:t>
            </w:r>
          </w:p>
        </w:tc>
        <w:tc>
          <w:tcPr>
            <w:tcW w:w="3418" w:type="pct"/>
            <w:vAlign w:val="center"/>
          </w:tcPr>
          <w:p w14:paraId="5C7D3D56">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none"/>
              </w:rPr>
              <w:t>最低评标价法</w:t>
            </w:r>
          </w:p>
        </w:tc>
      </w:tr>
      <w:tr w14:paraId="7920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1" w:type="pct"/>
            <w:vAlign w:val="center"/>
          </w:tcPr>
          <w:p w14:paraId="0EB124E4">
            <w:pPr>
              <w:pStyle w:val="76"/>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17</w:t>
            </w:r>
            <w:r>
              <w:rPr>
                <w:bCs/>
                <w:color w:val="auto"/>
                <w:kern w:val="2"/>
                <w:highlight w:val="none"/>
              </w:rPr>
              <w:t>.</w:t>
            </w:r>
            <w:r>
              <w:rPr>
                <w:rFonts w:hint="eastAsia"/>
                <w:bCs/>
                <w:color w:val="auto"/>
                <w:kern w:val="2"/>
                <w:highlight w:val="none"/>
              </w:rPr>
              <w:t>4</w:t>
            </w:r>
          </w:p>
        </w:tc>
        <w:tc>
          <w:tcPr>
            <w:tcW w:w="1060" w:type="pct"/>
            <w:vAlign w:val="center"/>
          </w:tcPr>
          <w:p w14:paraId="3CE87FC8">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最后报价扣除</w:t>
            </w:r>
          </w:p>
          <w:p w14:paraId="5825DE92">
            <w:pPr>
              <w:pStyle w:val="75"/>
              <w:widowControl w:val="0"/>
              <w:spacing w:before="0" w:beforeAutospacing="0" w:after="0" w:afterAutospacing="0" w:line="360" w:lineRule="auto"/>
              <w:jc w:val="both"/>
              <w:rPr>
                <w:b w:val="0"/>
                <w:color w:val="auto"/>
                <w:sz w:val="24"/>
                <w:highlight w:val="none"/>
              </w:rPr>
            </w:pPr>
          </w:p>
        </w:tc>
        <w:tc>
          <w:tcPr>
            <w:tcW w:w="3418" w:type="pct"/>
            <w:vAlign w:val="center"/>
          </w:tcPr>
          <w:p w14:paraId="451E9D6A">
            <w:pPr>
              <w:pStyle w:val="75"/>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（1）</w:t>
            </w:r>
            <w:r>
              <w:rPr>
                <w:rFonts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lang w:val="en-US" w:eastAsia="zh-CN"/>
              </w:rPr>
              <w:t xml:space="preserve"> </w:t>
            </w:r>
            <w:r>
              <w:rPr>
                <w:rFonts w:hint="eastAsia"/>
                <w:b w:val="0"/>
                <w:color w:val="auto"/>
                <w:sz w:val="24"/>
                <w:highlight w:val="none"/>
                <w:u w:val="single"/>
                <w:lang w:val="en-US" w:eastAsia="zh-CN"/>
              </w:rPr>
              <w:t>/</w:t>
            </w:r>
            <w:r>
              <w:rPr>
                <w:rFonts w:hint="eastAsia" w:ascii="宋体" w:hAnsi="宋体" w:eastAsia="宋体"/>
                <w:b w:val="0"/>
                <w:color w:val="auto"/>
                <w:sz w:val="24"/>
                <w:highlight w:val="none"/>
                <w:u w:val="single"/>
                <w:lang w:val="en-US" w:eastAsia="zh-CN"/>
              </w:rPr>
              <w:t xml:space="preserve"> </w:t>
            </w:r>
            <w:r>
              <w:rPr>
                <w:rFonts w:hint="eastAsia" w:ascii="宋体" w:hAnsi="宋体" w:eastAsia="宋体"/>
                <w:b w:val="0"/>
                <w:color w:val="auto"/>
                <w:sz w:val="24"/>
                <w:highlight w:val="none"/>
              </w:rPr>
              <w:t>。</w:t>
            </w:r>
          </w:p>
          <w:p w14:paraId="7D177EC8">
            <w:pPr>
              <w:pStyle w:val="75"/>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（2）监狱企业价格扣除：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70D2638B">
            <w:pPr>
              <w:pStyle w:val="75"/>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7E3AB7B9">
            <w:pPr>
              <w:pStyle w:val="75"/>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lang w:val="en-US" w:eastAsia="zh-CN"/>
              </w:rPr>
              <w:t xml:space="preserve">  </w:t>
            </w:r>
            <w:r>
              <w:rPr>
                <w:rFonts w:hint="eastAsia"/>
                <w:b w:val="0"/>
                <w:color w:val="auto"/>
                <w:sz w:val="24"/>
                <w:highlight w:val="none"/>
                <w:u w:val="single"/>
                <w:lang w:val="en-US" w:eastAsia="zh-CN"/>
              </w:rPr>
              <w:t>/</w:t>
            </w:r>
            <w:r>
              <w:rPr>
                <w:rFonts w:hint="eastAsia" w:ascii="宋体" w:hAnsi="宋体" w:eastAsia="宋体"/>
                <w:b w:val="0"/>
                <w:color w:val="auto"/>
                <w:sz w:val="24"/>
                <w:highlight w:val="none"/>
                <w:u w:val="single"/>
                <w:lang w:val="en-US" w:eastAsia="zh-CN"/>
              </w:rPr>
              <w:t xml:space="preserve"> </w:t>
            </w:r>
            <w:r>
              <w:rPr>
                <w:rFonts w:hint="eastAsia" w:ascii="宋体" w:hAnsi="宋体" w:eastAsia="宋体"/>
                <w:b w:val="0"/>
                <w:color w:val="auto"/>
                <w:sz w:val="24"/>
                <w:highlight w:val="none"/>
              </w:rPr>
              <w:t>。</w:t>
            </w:r>
          </w:p>
          <w:p w14:paraId="64EA5622">
            <w:pPr>
              <w:pStyle w:val="75"/>
              <w:widowControl w:val="0"/>
              <w:spacing w:before="0" w:beforeAutospacing="0" w:after="0" w:afterAutospacing="0" w:line="360" w:lineRule="auto"/>
              <w:jc w:val="both"/>
              <w:rPr>
                <w:b w:val="0"/>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lang w:val="en-US" w:eastAsia="zh-CN"/>
              </w:rPr>
              <w:t xml:space="preserve"> </w:t>
            </w:r>
            <w:r>
              <w:rPr>
                <w:rFonts w:hint="eastAsia"/>
                <w:b w:val="0"/>
                <w:color w:val="auto"/>
                <w:sz w:val="24"/>
                <w:highlight w:val="none"/>
                <w:u w:val="single"/>
                <w:lang w:val="en-US" w:eastAsia="zh-CN"/>
              </w:rPr>
              <w:t>/</w:t>
            </w:r>
            <w:r>
              <w:rPr>
                <w:rFonts w:hint="eastAsia" w:ascii="宋体" w:hAnsi="宋体" w:eastAsia="宋体"/>
                <w:b w:val="0"/>
                <w:color w:val="auto"/>
                <w:sz w:val="24"/>
                <w:highlight w:val="none"/>
                <w:u w:val="single"/>
                <w:lang w:val="en-US" w:eastAsia="zh-CN"/>
              </w:rPr>
              <w:t xml:space="preserve"> </w:t>
            </w:r>
            <w:r>
              <w:rPr>
                <w:rFonts w:hint="eastAsia" w:ascii="宋体" w:hAnsi="宋体" w:eastAsia="宋体"/>
                <w:b w:val="0"/>
                <w:color w:val="auto"/>
                <w:sz w:val="24"/>
                <w:highlight w:val="none"/>
              </w:rPr>
              <w:t>。</w:t>
            </w:r>
          </w:p>
        </w:tc>
      </w:tr>
      <w:tr w14:paraId="7C821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1" w:type="pct"/>
            <w:vMerge w:val="restart"/>
            <w:vAlign w:val="center"/>
          </w:tcPr>
          <w:p w14:paraId="69E7D5BC">
            <w:pPr>
              <w:pStyle w:val="76"/>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19</w:t>
            </w:r>
            <w:r>
              <w:rPr>
                <w:bCs/>
                <w:color w:val="auto"/>
                <w:kern w:val="2"/>
                <w:highlight w:val="none"/>
              </w:rPr>
              <w:t>.</w:t>
            </w:r>
            <w:r>
              <w:rPr>
                <w:rFonts w:hint="eastAsia"/>
                <w:bCs/>
                <w:color w:val="auto"/>
                <w:kern w:val="2"/>
                <w:highlight w:val="none"/>
              </w:rPr>
              <w:t>1</w:t>
            </w:r>
          </w:p>
        </w:tc>
        <w:tc>
          <w:tcPr>
            <w:tcW w:w="1060" w:type="pct"/>
            <w:vMerge w:val="restart"/>
            <w:vAlign w:val="center"/>
          </w:tcPr>
          <w:p w14:paraId="21271186">
            <w:pPr>
              <w:pStyle w:val="75"/>
              <w:widowControl w:val="0"/>
              <w:spacing w:before="0" w:beforeAutospacing="0" w:after="0" w:afterAutospacing="0" w:line="360" w:lineRule="auto"/>
              <w:jc w:val="both"/>
              <w:rPr>
                <w:b w:val="0"/>
                <w:color w:val="auto"/>
                <w:sz w:val="24"/>
                <w:highlight w:val="none"/>
              </w:rPr>
            </w:pPr>
            <w:r>
              <w:rPr>
                <w:rFonts w:hint="eastAsia" w:asciiTheme="minorEastAsia" w:hAnsiTheme="minorEastAsia" w:eastAsiaTheme="minorEastAsia"/>
                <w:b w:val="0"/>
                <w:color w:val="auto"/>
                <w:sz w:val="24"/>
                <w:highlight w:val="none"/>
              </w:rPr>
              <w:t>确定成交候选供应商和成交供应商</w:t>
            </w:r>
          </w:p>
        </w:tc>
        <w:tc>
          <w:tcPr>
            <w:tcW w:w="3418" w:type="pct"/>
            <w:vAlign w:val="center"/>
          </w:tcPr>
          <w:p w14:paraId="3DB66A5C">
            <w:pPr>
              <w:pStyle w:val="75"/>
              <w:widowControl w:val="0"/>
              <w:spacing w:before="0" w:beforeAutospacing="0" w:after="0" w:afterAutospacing="0" w:line="360" w:lineRule="auto"/>
              <w:jc w:val="both"/>
              <w:rPr>
                <w:b w:val="0"/>
                <w:color w:val="auto"/>
                <w:sz w:val="24"/>
                <w:highlight w:val="none"/>
                <w:u w:val="single"/>
              </w:rPr>
            </w:pPr>
            <w:r>
              <w:rPr>
                <w:rFonts w:hint="eastAsia"/>
                <w:b w:val="0"/>
                <w:color w:val="auto"/>
                <w:sz w:val="24"/>
                <w:highlight w:val="none"/>
              </w:rPr>
              <w:t>谈判小组推荐成交</w:t>
            </w:r>
            <w:r>
              <w:rPr>
                <w:b w:val="0"/>
                <w:color w:val="auto"/>
                <w:sz w:val="24"/>
                <w:highlight w:val="none"/>
              </w:rPr>
              <w:t>候选</w:t>
            </w:r>
            <w:r>
              <w:rPr>
                <w:rFonts w:hint="eastAsia"/>
                <w:b w:val="0"/>
                <w:color w:val="auto"/>
                <w:sz w:val="24"/>
                <w:highlight w:val="none"/>
              </w:rPr>
              <w:t>供应商的</w:t>
            </w:r>
            <w:r>
              <w:rPr>
                <w:b w:val="0"/>
                <w:color w:val="auto"/>
                <w:sz w:val="24"/>
                <w:highlight w:val="none"/>
              </w:rPr>
              <w:t>数量</w:t>
            </w:r>
            <w:r>
              <w:rPr>
                <w:rFonts w:hint="eastAsia"/>
                <w:b w:val="0"/>
                <w:color w:val="auto"/>
                <w:sz w:val="24"/>
                <w:highlight w:val="none"/>
              </w:rPr>
              <w:t>：</w:t>
            </w:r>
            <w:r>
              <w:rPr>
                <w:rFonts w:hint="eastAsia" w:ascii="宋体" w:hAnsi="宋体" w:eastAsia="宋体"/>
                <w:b w:val="0"/>
                <w:color w:val="auto"/>
                <w:sz w:val="24"/>
                <w:highlight w:val="none"/>
              </w:rPr>
              <w:t>3家</w:t>
            </w:r>
          </w:p>
        </w:tc>
      </w:tr>
      <w:tr w14:paraId="043B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1" w:type="pct"/>
            <w:vMerge w:val="continue"/>
            <w:vAlign w:val="center"/>
          </w:tcPr>
          <w:p w14:paraId="00FEC408">
            <w:pPr>
              <w:pStyle w:val="76"/>
              <w:pBdr>
                <w:bottom w:val="none" w:color="auto" w:sz="0" w:space="0"/>
              </w:pBdr>
              <w:tabs>
                <w:tab w:val="clear" w:pos="4153"/>
                <w:tab w:val="clear" w:pos="8306"/>
              </w:tabs>
              <w:adjustRightInd/>
              <w:spacing w:line="360" w:lineRule="auto"/>
              <w:textAlignment w:val="auto"/>
              <w:rPr>
                <w:bCs/>
                <w:color w:val="auto"/>
                <w:kern w:val="2"/>
                <w:highlight w:val="none"/>
              </w:rPr>
            </w:pPr>
          </w:p>
        </w:tc>
        <w:tc>
          <w:tcPr>
            <w:tcW w:w="1060" w:type="pct"/>
            <w:vMerge w:val="continue"/>
            <w:vAlign w:val="center"/>
          </w:tcPr>
          <w:p w14:paraId="62DD0945">
            <w:pPr>
              <w:pStyle w:val="75"/>
              <w:widowControl w:val="0"/>
              <w:spacing w:before="0" w:beforeAutospacing="0" w:after="0" w:afterAutospacing="0" w:line="360" w:lineRule="auto"/>
              <w:jc w:val="both"/>
              <w:rPr>
                <w:b w:val="0"/>
                <w:color w:val="auto"/>
                <w:sz w:val="24"/>
                <w:highlight w:val="none"/>
              </w:rPr>
            </w:pPr>
          </w:p>
        </w:tc>
        <w:tc>
          <w:tcPr>
            <w:tcW w:w="3418" w:type="pct"/>
            <w:vAlign w:val="center"/>
          </w:tcPr>
          <w:p w14:paraId="55010B5F">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确定成交供应商：</w:t>
            </w:r>
          </w:p>
          <w:p w14:paraId="7C0C2565">
            <w:pPr>
              <w:pStyle w:val="75"/>
              <w:widowControl w:val="0"/>
              <w:spacing w:before="0" w:beforeAutospacing="0" w:after="0" w:afterAutospacing="0" w:line="360" w:lineRule="auto"/>
              <w:jc w:val="both"/>
              <w:rPr>
                <w:b w:val="0"/>
                <w:color w:val="auto"/>
                <w:sz w:val="24"/>
                <w:highlight w:val="none"/>
              </w:rPr>
            </w:pPr>
            <w:r>
              <w:rPr>
                <w:rFonts w:hint="eastAsia" w:asciiTheme="minorEastAsia" w:hAnsiTheme="minorEastAsia"/>
                <w:color w:val="auto"/>
                <w:sz w:val="24"/>
                <w:szCs w:val="24"/>
                <w:highlight w:val="none"/>
              </w:rPr>
              <w:sym w:font="Wingdings" w:char="00A8"/>
            </w:r>
            <w:r>
              <w:rPr>
                <w:rFonts w:hint="eastAsia"/>
                <w:b w:val="0"/>
                <w:color w:val="auto"/>
                <w:sz w:val="24"/>
                <w:highlight w:val="none"/>
              </w:rPr>
              <w:t xml:space="preserve">采购人委托谈判小组确定 </w:t>
            </w:r>
            <w:r>
              <w:rPr>
                <w:b w:val="0"/>
                <w:color w:val="auto"/>
                <w:sz w:val="24"/>
                <w:highlight w:val="none"/>
              </w:rPr>
              <w:t xml:space="preserve">   </w:t>
            </w:r>
            <w:r>
              <w:rPr>
                <w:rFonts w:hint="eastAsia"/>
                <w:b w:val="0"/>
                <w:color w:val="auto"/>
                <w:sz w:val="24"/>
                <w:highlight w:val="none"/>
              </w:rPr>
              <w:t xml:space="preserve"> </w:t>
            </w:r>
            <w:r>
              <w:rPr>
                <w:rFonts w:hint="eastAsia"/>
                <w:b w:val="0"/>
                <w:color w:val="auto"/>
                <w:sz w:val="24"/>
                <w:highlight w:val="none"/>
                <w:lang w:eastAsia="zh-CN"/>
              </w:rPr>
              <w:t>☑</w:t>
            </w:r>
            <w:r>
              <w:rPr>
                <w:rFonts w:hint="eastAsia"/>
                <w:b w:val="0"/>
                <w:color w:val="auto"/>
                <w:sz w:val="24"/>
                <w:highlight w:val="none"/>
              </w:rPr>
              <w:t>采购人确定</w:t>
            </w:r>
          </w:p>
        </w:tc>
      </w:tr>
      <w:tr w14:paraId="680F4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1" w:type="pct"/>
            <w:vAlign w:val="center"/>
          </w:tcPr>
          <w:p w14:paraId="5BD4F6E5">
            <w:pPr>
              <w:pStyle w:val="76"/>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2</w:t>
            </w:r>
            <w:r>
              <w:rPr>
                <w:rFonts w:hint="eastAsia"/>
                <w:bCs/>
                <w:color w:val="auto"/>
                <w:kern w:val="2"/>
                <w:highlight w:val="none"/>
                <w:lang w:val="en-US" w:eastAsia="zh-CN"/>
              </w:rPr>
              <w:t>2</w:t>
            </w:r>
            <w:r>
              <w:rPr>
                <w:bCs/>
                <w:color w:val="auto"/>
                <w:kern w:val="2"/>
                <w:highlight w:val="none"/>
              </w:rPr>
              <w:t>.</w:t>
            </w:r>
            <w:r>
              <w:rPr>
                <w:rFonts w:hint="eastAsia"/>
                <w:bCs/>
                <w:color w:val="auto"/>
                <w:kern w:val="2"/>
                <w:highlight w:val="none"/>
              </w:rPr>
              <w:t>2</w:t>
            </w:r>
          </w:p>
        </w:tc>
        <w:tc>
          <w:tcPr>
            <w:tcW w:w="1060" w:type="pct"/>
            <w:vAlign w:val="center"/>
          </w:tcPr>
          <w:p w14:paraId="436CA8A1">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随成交结果公告同时公告的内容</w:t>
            </w:r>
          </w:p>
        </w:tc>
        <w:tc>
          <w:tcPr>
            <w:tcW w:w="3418" w:type="pct"/>
            <w:vAlign w:val="center"/>
          </w:tcPr>
          <w:p w14:paraId="37164FB8">
            <w:pPr>
              <w:pStyle w:val="75"/>
              <w:widowControl w:val="0"/>
              <w:spacing w:before="0" w:beforeAutospacing="0" w:after="0" w:afterAutospacing="0" w:line="360" w:lineRule="auto"/>
              <w:jc w:val="both"/>
              <w:rPr>
                <w:rFonts w:ascii="宋体" w:hAnsi="宋体" w:eastAsia="宋体"/>
                <w:b w:val="0"/>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1</w:t>
            </w:r>
            <w:r>
              <w:rPr>
                <w:rFonts w:hint="eastAsia" w:ascii="宋体" w:hAnsi="宋体" w:eastAsia="宋体"/>
                <w:b w:val="0"/>
                <w:color w:val="auto"/>
                <w:sz w:val="24"/>
                <w:highlight w:val="none"/>
                <w:u w:val="none"/>
              </w:rPr>
              <w:t>）中小企业声明函；</w:t>
            </w:r>
          </w:p>
          <w:p w14:paraId="63A30D8E">
            <w:pPr>
              <w:pStyle w:val="75"/>
              <w:widowControl w:val="0"/>
              <w:spacing w:before="0" w:beforeAutospacing="0" w:after="0" w:afterAutospacing="0" w:line="360" w:lineRule="auto"/>
              <w:jc w:val="both"/>
              <w:rPr>
                <w:rFonts w:ascii="宋体" w:hAnsi="宋体" w:eastAsia="宋体"/>
                <w:b w:val="0"/>
                <w:i/>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2）</w:t>
            </w:r>
            <w:r>
              <w:rPr>
                <w:rFonts w:hint="eastAsia" w:ascii="宋体" w:hAnsi="宋体" w:eastAsia="宋体"/>
                <w:b w:val="0"/>
                <w:color w:val="auto"/>
                <w:sz w:val="24"/>
                <w:highlight w:val="none"/>
                <w:u w:val="none"/>
              </w:rPr>
              <w:t>残疾人福利性单位声明函；</w:t>
            </w:r>
          </w:p>
          <w:p w14:paraId="7F6FD21F">
            <w:pPr>
              <w:pStyle w:val="75"/>
              <w:widowControl w:val="0"/>
              <w:spacing w:before="0" w:beforeAutospacing="0" w:after="0" w:afterAutospacing="0" w:line="360" w:lineRule="auto"/>
              <w:jc w:val="both"/>
              <w:rPr>
                <w:b w:val="0"/>
                <w:bCs w:val="0"/>
                <w:color w:val="auto"/>
                <w:sz w:val="24"/>
                <w:szCs w:val="24"/>
                <w:highlight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3</w:t>
            </w:r>
            <w:r>
              <w:rPr>
                <w:rFonts w:hint="eastAsia" w:ascii="宋体" w:hAnsi="宋体" w:eastAsia="宋体"/>
                <w:b w:val="0"/>
                <w:color w:val="auto"/>
                <w:sz w:val="24"/>
                <w:highlight w:val="none"/>
                <w:u w:val="none"/>
              </w:rPr>
              <w:t>）因落实政府采购政策等原因进行价格扣除后中标</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成交</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供应商的评审报价</w:t>
            </w:r>
            <w:r>
              <w:rPr>
                <w:rFonts w:hint="eastAsia"/>
                <w:b w:val="0"/>
                <w:color w:val="auto"/>
                <w:sz w:val="24"/>
                <w:highlight w:val="none"/>
                <w:u w:val="none"/>
                <w:lang w:eastAsia="zh-CN"/>
              </w:rPr>
              <w:t>；</w:t>
            </w:r>
          </w:p>
        </w:tc>
      </w:tr>
      <w:tr w14:paraId="4DB0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1" w:type="pct"/>
            <w:vAlign w:val="center"/>
          </w:tcPr>
          <w:p w14:paraId="1563A858">
            <w:pPr>
              <w:pStyle w:val="76"/>
              <w:pBdr>
                <w:bottom w:val="none" w:color="auto" w:sz="0" w:space="0"/>
              </w:pBdr>
              <w:tabs>
                <w:tab w:val="clear" w:pos="4153"/>
                <w:tab w:val="clear" w:pos="8306"/>
              </w:tabs>
              <w:adjustRightInd/>
              <w:spacing w:line="240" w:lineRule="auto"/>
              <w:textAlignment w:val="auto"/>
              <w:rPr>
                <w:bCs/>
                <w:color w:val="auto"/>
                <w:kern w:val="2"/>
                <w:highlight w:val="none"/>
              </w:rPr>
            </w:pPr>
            <w:r>
              <w:rPr>
                <w:rFonts w:hint="eastAsia"/>
                <w:bCs/>
                <w:color w:val="auto"/>
                <w:kern w:val="2"/>
                <w:highlight w:val="none"/>
              </w:rPr>
              <w:t>2</w:t>
            </w:r>
            <w:r>
              <w:rPr>
                <w:rFonts w:hint="eastAsia"/>
                <w:bCs/>
                <w:color w:val="auto"/>
                <w:kern w:val="2"/>
                <w:highlight w:val="none"/>
                <w:lang w:val="en-US" w:eastAsia="zh-CN"/>
              </w:rPr>
              <w:t>3</w:t>
            </w:r>
            <w:r>
              <w:rPr>
                <w:bCs/>
                <w:color w:val="auto"/>
                <w:kern w:val="2"/>
                <w:highlight w:val="none"/>
              </w:rPr>
              <w:t>.1</w:t>
            </w:r>
          </w:p>
        </w:tc>
        <w:tc>
          <w:tcPr>
            <w:tcW w:w="1060" w:type="pct"/>
            <w:vAlign w:val="center"/>
          </w:tcPr>
          <w:p w14:paraId="50D36227">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成交通知书发出的形式</w:t>
            </w:r>
          </w:p>
        </w:tc>
        <w:tc>
          <w:tcPr>
            <w:tcW w:w="3418" w:type="pct"/>
            <w:vAlign w:val="center"/>
          </w:tcPr>
          <w:p w14:paraId="4F82971D">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 xml:space="preserve">□书面 </w:t>
            </w:r>
            <w:r>
              <w:rPr>
                <w:b w:val="0"/>
                <w:color w:val="auto"/>
                <w:sz w:val="24"/>
                <w:highlight w:val="none"/>
              </w:rPr>
              <w:t xml:space="preserve">    </w:t>
            </w:r>
            <w:r>
              <w:rPr>
                <w:rFonts w:hint="eastAsia"/>
                <w:b w:val="0"/>
                <w:bCs w:val="0"/>
                <w:color w:val="auto"/>
                <w:sz w:val="24"/>
                <w:szCs w:val="24"/>
                <w:highlight w:val="none"/>
              </w:rPr>
              <w:sym w:font="Wingdings" w:char="00FE"/>
            </w:r>
            <w:r>
              <w:rPr>
                <w:rFonts w:hint="eastAsia"/>
                <w:b w:val="0"/>
                <w:color w:val="auto"/>
                <w:sz w:val="24"/>
                <w:highlight w:val="none"/>
              </w:rPr>
              <w:t>数据电文</w:t>
            </w:r>
          </w:p>
        </w:tc>
      </w:tr>
      <w:tr w14:paraId="3392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1" w:type="pct"/>
            <w:vAlign w:val="center"/>
          </w:tcPr>
          <w:p w14:paraId="5C09848A">
            <w:pPr>
              <w:pStyle w:val="76"/>
              <w:pBdr>
                <w:bottom w:val="none" w:color="auto" w:sz="0" w:space="0"/>
              </w:pBdr>
              <w:tabs>
                <w:tab w:val="clear" w:pos="4153"/>
                <w:tab w:val="clear" w:pos="8306"/>
              </w:tabs>
              <w:adjustRightInd/>
              <w:spacing w:line="240" w:lineRule="auto"/>
              <w:textAlignment w:val="auto"/>
              <w:rPr>
                <w:rFonts w:hint="eastAsia" w:ascii="宋体" w:hAnsi="宋体" w:eastAsia="宋体" w:cstheme="minorBidi"/>
                <w:bCs/>
                <w:color w:val="auto"/>
                <w:kern w:val="2"/>
                <w:sz w:val="24"/>
                <w:szCs w:val="20"/>
                <w:highlight w:val="none"/>
                <w:lang w:val="en-US" w:eastAsia="zh-CN" w:bidi="ar-SA"/>
              </w:rPr>
            </w:pPr>
            <w:r>
              <w:rPr>
                <w:rFonts w:hint="eastAsia" w:ascii="宋体" w:hAnsi="宋体" w:eastAsia="宋体" w:cs="宋体"/>
                <w:b w:val="0"/>
                <w:bCs/>
                <w:color w:val="auto"/>
                <w:sz w:val="24"/>
                <w:szCs w:val="24"/>
                <w:highlight w:val="none"/>
                <w:lang w:val="en-US" w:eastAsia="zh-CN"/>
              </w:rPr>
              <w:t>2</w:t>
            </w:r>
            <w:r>
              <w:rPr>
                <w:rFonts w:hint="eastAsia"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.1</w:t>
            </w:r>
          </w:p>
        </w:tc>
        <w:tc>
          <w:tcPr>
            <w:tcW w:w="1060" w:type="pct"/>
            <w:vAlign w:val="center"/>
          </w:tcPr>
          <w:p w14:paraId="7DB139F7">
            <w:pPr>
              <w:pStyle w:val="75"/>
              <w:widowControl w:val="0"/>
              <w:spacing w:before="0" w:beforeAutospacing="0" w:after="0" w:afterAutospacing="0" w:line="360" w:lineRule="auto"/>
              <w:jc w:val="both"/>
              <w:rPr>
                <w:rFonts w:hint="eastAsia" w:ascii="宋体" w:hAnsi="宋体" w:eastAsia="宋体" w:cstheme="minorBidi"/>
                <w:b w:val="0"/>
                <w:bCs/>
                <w:color w:val="auto"/>
                <w:sz w:val="24"/>
                <w:szCs w:val="28"/>
                <w:highlight w:val="none"/>
                <w:lang w:val="en-US" w:eastAsia="zh-CN" w:bidi="ar-SA"/>
              </w:rPr>
            </w:pPr>
            <w:r>
              <w:rPr>
                <w:rFonts w:hint="eastAsia" w:ascii="宋体" w:hAnsi="宋体" w:eastAsia="宋体" w:cs="宋体"/>
                <w:b w:val="0"/>
                <w:bCs/>
                <w:color w:val="auto"/>
                <w:sz w:val="24"/>
                <w:szCs w:val="24"/>
                <w:highlight w:val="none"/>
                <w:lang w:val="en-US" w:eastAsia="zh-CN"/>
              </w:rPr>
              <w:t>告知谈判结果的形式</w:t>
            </w:r>
          </w:p>
        </w:tc>
        <w:tc>
          <w:tcPr>
            <w:tcW w:w="3418" w:type="pct"/>
            <w:vAlign w:val="center"/>
          </w:tcPr>
          <w:p w14:paraId="66C1DFD0">
            <w:pPr>
              <w:pStyle w:val="75"/>
              <w:widowControl w:val="0"/>
              <w:spacing w:before="0" w:beforeAutospacing="0" w:after="0" w:afterAutospacing="0" w:line="360" w:lineRule="auto"/>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sym w:font="Wingdings" w:char="00FE"/>
            </w:r>
            <w:r>
              <w:rPr>
                <w:rFonts w:hint="eastAsia" w:ascii="宋体" w:hAnsi="宋体" w:eastAsia="宋体" w:cs="宋体"/>
                <w:b w:val="0"/>
                <w:bCs/>
                <w:color w:val="auto"/>
                <w:sz w:val="24"/>
                <w:szCs w:val="24"/>
                <w:highlight w:val="none"/>
                <w:lang w:val="en-US" w:eastAsia="zh-CN"/>
              </w:rPr>
              <w:t>供应商自行登录电子</w:t>
            </w:r>
            <w:r>
              <w:rPr>
                <w:rFonts w:hint="eastAsia" w:ascii="宋体" w:hAnsi="宋体" w:eastAsia="宋体" w:cs="宋体"/>
                <w:b w:val="0"/>
                <w:bCs w:val="0"/>
                <w:color w:val="auto"/>
                <w:sz w:val="24"/>
                <w:szCs w:val="24"/>
                <w:highlight w:val="none"/>
                <w:lang w:val="en-US" w:eastAsia="zh-CN"/>
              </w:rPr>
              <w:t>交易</w:t>
            </w:r>
            <w:r>
              <w:rPr>
                <w:rFonts w:hint="eastAsia" w:ascii="宋体" w:hAnsi="宋体" w:eastAsia="宋体" w:cs="宋体"/>
                <w:b w:val="0"/>
                <w:bCs/>
                <w:color w:val="auto"/>
                <w:sz w:val="24"/>
                <w:szCs w:val="24"/>
                <w:highlight w:val="none"/>
                <w:lang w:val="en-US" w:eastAsia="zh-CN"/>
              </w:rPr>
              <w:t>系统查看</w:t>
            </w:r>
          </w:p>
          <w:p w14:paraId="57E9221D">
            <w:pPr>
              <w:pStyle w:val="75"/>
              <w:widowControl w:val="0"/>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ascii="宋体" w:hAnsi="宋体" w:eastAsia="宋体" w:cs="宋体"/>
                <w:b w:val="0"/>
                <w:bCs/>
                <w:color w:val="auto"/>
                <w:sz w:val="24"/>
                <w:szCs w:val="24"/>
                <w:highlight w:val="none"/>
                <w:lang w:val="en-US" w:eastAsia="zh-CN"/>
              </w:rPr>
              <w:t>□</w:t>
            </w:r>
            <w:r>
              <w:rPr>
                <w:rFonts w:hint="eastAsia" w:ascii="宋体" w:hAnsi="宋体" w:eastAsia="宋体"/>
                <w:b w:val="0"/>
                <w:color w:val="auto"/>
                <w:sz w:val="24"/>
                <w:highlight w:val="none"/>
                <w:lang w:val="en-US" w:eastAsia="zh-CN"/>
              </w:rPr>
              <w:t>谈判现场告知</w:t>
            </w:r>
          </w:p>
        </w:tc>
      </w:tr>
      <w:tr w14:paraId="224D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1" w:type="pct"/>
            <w:vAlign w:val="center"/>
          </w:tcPr>
          <w:p w14:paraId="6FBCD243">
            <w:pPr>
              <w:pStyle w:val="76"/>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25</w:t>
            </w:r>
            <w:r>
              <w:rPr>
                <w:bCs/>
                <w:color w:val="auto"/>
                <w:kern w:val="2"/>
                <w:highlight w:val="none"/>
              </w:rPr>
              <w:t>.1</w:t>
            </w:r>
          </w:p>
        </w:tc>
        <w:tc>
          <w:tcPr>
            <w:tcW w:w="1060" w:type="pct"/>
            <w:vAlign w:val="center"/>
          </w:tcPr>
          <w:p w14:paraId="16C0F1EF">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履约保证金</w:t>
            </w:r>
          </w:p>
        </w:tc>
        <w:tc>
          <w:tcPr>
            <w:tcW w:w="3418" w:type="pct"/>
            <w:vAlign w:val="top"/>
          </w:tcPr>
          <w:p w14:paraId="40187042">
            <w:pPr>
              <w:spacing w:line="360" w:lineRule="auto"/>
              <w:rPr>
                <w:bCs/>
                <w:color w:val="auto"/>
                <w:sz w:val="24"/>
                <w:szCs w:val="28"/>
                <w:highlight w:val="none"/>
              </w:rPr>
            </w:pPr>
            <w:r>
              <w:rPr>
                <w:rFonts w:hint="eastAsia"/>
                <w:bCs/>
                <w:color w:val="auto"/>
                <w:sz w:val="24"/>
                <w:szCs w:val="28"/>
                <w:highlight w:val="none"/>
              </w:rPr>
              <w:t>（1）金额：</w:t>
            </w:r>
          </w:p>
          <w:p w14:paraId="67AC0EB5">
            <w:pPr>
              <w:spacing w:line="360" w:lineRule="auto"/>
              <w:rPr>
                <w:bCs/>
                <w:color w:val="auto"/>
                <w:sz w:val="24"/>
                <w:szCs w:val="28"/>
                <w:highlight w:val="none"/>
              </w:rPr>
            </w:pPr>
            <w:r>
              <w:rPr>
                <w:bCs/>
                <w:color w:val="auto"/>
                <w:sz w:val="24"/>
                <w:szCs w:val="28"/>
                <w:highlight w:val="none"/>
              </w:rPr>
              <w:t>□</w:t>
            </w:r>
            <w:r>
              <w:rPr>
                <w:rFonts w:hint="eastAsia"/>
                <w:bCs/>
                <w:color w:val="auto"/>
                <w:sz w:val="24"/>
                <w:szCs w:val="28"/>
                <w:highlight w:val="none"/>
              </w:rPr>
              <w:t>免收</w:t>
            </w:r>
          </w:p>
          <w:p w14:paraId="1F0E36AA">
            <w:pPr>
              <w:spacing w:line="360" w:lineRule="auto"/>
              <w:rPr>
                <w:bCs/>
                <w:color w:val="auto"/>
                <w:sz w:val="24"/>
                <w:szCs w:val="28"/>
                <w:highlight w:val="none"/>
              </w:rPr>
            </w:pPr>
            <w:r>
              <w:rPr>
                <w:rFonts w:hint="eastAsia"/>
                <w:b w:val="0"/>
                <w:color w:val="auto"/>
                <w:sz w:val="24"/>
                <w:highlight w:val="none"/>
                <w:lang w:val="en-US" w:eastAsia="zh-CN"/>
              </w:rPr>
              <w:t>☑</w:t>
            </w:r>
            <w:r>
              <w:rPr>
                <w:rFonts w:hint="eastAsia"/>
                <w:bCs/>
                <w:color w:val="auto"/>
                <w:sz w:val="24"/>
                <w:szCs w:val="28"/>
                <w:highlight w:val="none"/>
              </w:rPr>
              <w:t>合同价的</w:t>
            </w:r>
            <w:r>
              <w:rPr>
                <w:rFonts w:hint="eastAsia"/>
                <w:bCs/>
                <w:color w:val="auto"/>
                <w:sz w:val="24"/>
                <w:szCs w:val="28"/>
                <w:highlight w:val="none"/>
                <w:u w:val="single"/>
                <w:lang w:val="en-US" w:eastAsia="zh-CN"/>
              </w:rPr>
              <w:t>2</w:t>
            </w:r>
            <w:r>
              <w:rPr>
                <w:bCs/>
                <w:color w:val="auto"/>
                <w:sz w:val="24"/>
                <w:szCs w:val="28"/>
                <w:highlight w:val="none"/>
              </w:rPr>
              <w:t>%</w:t>
            </w:r>
          </w:p>
          <w:p w14:paraId="66549786">
            <w:pPr>
              <w:spacing w:line="360" w:lineRule="auto"/>
              <w:rPr>
                <w:bCs/>
                <w:color w:val="auto"/>
                <w:sz w:val="24"/>
                <w:szCs w:val="28"/>
                <w:highlight w:val="none"/>
              </w:rPr>
            </w:pPr>
            <w:r>
              <w:rPr>
                <w:bCs/>
                <w:color w:val="auto"/>
                <w:sz w:val="24"/>
                <w:szCs w:val="28"/>
                <w:highlight w:val="none"/>
              </w:rPr>
              <w:t>□</w:t>
            </w:r>
            <w:r>
              <w:rPr>
                <w:rFonts w:hint="eastAsia"/>
                <w:bCs/>
                <w:color w:val="auto"/>
                <w:sz w:val="24"/>
                <w:szCs w:val="28"/>
                <w:highlight w:val="none"/>
              </w:rPr>
              <w:t>定额收取：人民币</w:t>
            </w:r>
            <w:r>
              <w:rPr>
                <w:rFonts w:hint="eastAsia"/>
                <w:bCs/>
                <w:color w:val="auto"/>
                <w:sz w:val="24"/>
                <w:szCs w:val="28"/>
                <w:highlight w:val="none"/>
                <w:u w:val="single"/>
              </w:rPr>
              <w:t xml:space="preserve">              </w:t>
            </w:r>
            <w:r>
              <w:rPr>
                <w:rFonts w:hint="eastAsia"/>
                <w:bCs/>
                <w:color w:val="auto"/>
                <w:sz w:val="24"/>
                <w:szCs w:val="28"/>
                <w:highlight w:val="none"/>
              </w:rPr>
              <w:t>元</w:t>
            </w:r>
          </w:p>
          <w:p w14:paraId="1E7EA3B2">
            <w:pPr>
              <w:spacing w:line="360" w:lineRule="auto"/>
              <w:rPr>
                <w:bCs/>
                <w:color w:val="auto"/>
                <w:sz w:val="24"/>
                <w:szCs w:val="28"/>
                <w:highlight w:val="none"/>
              </w:rPr>
            </w:pPr>
            <w:r>
              <w:rPr>
                <w:rFonts w:hint="eastAsia"/>
                <w:bCs/>
                <w:color w:val="auto"/>
                <w:sz w:val="24"/>
                <w:szCs w:val="28"/>
                <w:highlight w:val="none"/>
              </w:rPr>
              <w:t>（2）支付方式：</w:t>
            </w:r>
          </w:p>
          <w:p w14:paraId="5E406A7A">
            <w:pPr>
              <w:spacing w:line="360" w:lineRule="auto"/>
              <w:rPr>
                <w:bCs/>
                <w:color w:val="auto"/>
                <w:sz w:val="24"/>
                <w:szCs w:val="28"/>
                <w:highlight w:val="none"/>
              </w:rPr>
            </w:pPr>
            <w:r>
              <w:rPr>
                <w:rFonts w:hint="eastAsia"/>
                <w:b w:val="0"/>
                <w:color w:val="auto"/>
                <w:sz w:val="24"/>
                <w:highlight w:val="none"/>
                <w:lang w:val="en-US" w:eastAsia="zh-CN"/>
              </w:rPr>
              <w:t>☑</w:t>
            </w:r>
            <w:r>
              <w:rPr>
                <w:bCs/>
                <w:color w:val="auto"/>
                <w:sz w:val="24"/>
                <w:szCs w:val="28"/>
                <w:highlight w:val="none"/>
              </w:rPr>
              <w:t>转账/电汇</w:t>
            </w:r>
            <w:r>
              <w:rPr>
                <w:rFonts w:hint="eastAsia"/>
                <w:bCs/>
                <w:color w:val="auto"/>
                <w:sz w:val="24"/>
                <w:szCs w:val="28"/>
                <w:highlight w:val="none"/>
              </w:rPr>
              <w:t xml:space="preserve"> </w:t>
            </w:r>
            <w:r>
              <w:rPr>
                <w:rFonts w:hint="eastAsia"/>
                <w:b w:val="0"/>
                <w:color w:val="auto"/>
                <w:sz w:val="24"/>
                <w:highlight w:val="none"/>
                <w:lang w:val="en-US" w:eastAsia="zh-CN"/>
              </w:rPr>
              <w:t>☑</w:t>
            </w:r>
            <w:r>
              <w:rPr>
                <w:bCs/>
                <w:color w:val="auto"/>
                <w:sz w:val="24"/>
                <w:szCs w:val="28"/>
                <w:highlight w:val="none"/>
              </w:rPr>
              <w:t xml:space="preserve">支票 </w:t>
            </w:r>
            <w:r>
              <w:rPr>
                <w:rFonts w:hint="eastAsia"/>
                <w:b w:val="0"/>
                <w:color w:val="auto"/>
                <w:sz w:val="24"/>
                <w:highlight w:val="none"/>
                <w:lang w:val="en-US" w:eastAsia="zh-CN"/>
              </w:rPr>
              <w:t>☑</w:t>
            </w:r>
            <w:r>
              <w:rPr>
                <w:bCs/>
                <w:color w:val="auto"/>
                <w:sz w:val="24"/>
                <w:szCs w:val="28"/>
                <w:highlight w:val="none"/>
              </w:rPr>
              <w:t>汇票</w:t>
            </w:r>
            <w:r>
              <w:rPr>
                <w:rFonts w:hint="eastAsia"/>
                <w:bCs/>
                <w:color w:val="auto"/>
                <w:sz w:val="24"/>
                <w:szCs w:val="28"/>
                <w:highlight w:val="none"/>
              </w:rPr>
              <w:t xml:space="preserve"> </w:t>
            </w:r>
            <w:r>
              <w:rPr>
                <w:rFonts w:hint="eastAsia"/>
                <w:b w:val="0"/>
                <w:color w:val="auto"/>
                <w:sz w:val="24"/>
                <w:highlight w:val="none"/>
                <w:lang w:val="en-US" w:eastAsia="zh-CN"/>
              </w:rPr>
              <w:t>☑</w:t>
            </w:r>
            <w:r>
              <w:rPr>
                <w:rFonts w:hint="eastAsia"/>
                <w:bCs/>
                <w:color w:val="auto"/>
                <w:sz w:val="24"/>
                <w:szCs w:val="28"/>
                <w:highlight w:val="none"/>
              </w:rPr>
              <w:t xml:space="preserve">本票 </w:t>
            </w:r>
            <w:r>
              <w:rPr>
                <w:rFonts w:hint="eastAsia"/>
                <w:b w:val="0"/>
                <w:color w:val="auto"/>
                <w:sz w:val="24"/>
                <w:highlight w:val="none"/>
                <w:lang w:val="en-US" w:eastAsia="zh-CN"/>
              </w:rPr>
              <w:t>☑</w:t>
            </w:r>
            <w:r>
              <w:rPr>
                <w:bCs/>
                <w:color w:val="auto"/>
                <w:sz w:val="24"/>
                <w:szCs w:val="28"/>
                <w:highlight w:val="none"/>
              </w:rPr>
              <w:t>保</w:t>
            </w:r>
            <w:r>
              <w:rPr>
                <w:rFonts w:hint="eastAsia"/>
                <w:bCs/>
                <w:color w:val="auto"/>
                <w:sz w:val="24"/>
                <w:szCs w:val="28"/>
                <w:highlight w:val="none"/>
              </w:rPr>
              <w:t xml:space="preserve">险 </w:t>
            </w:r>
            <w:r>
              <w:rPr>
                <w:rFonts w:hint="eastAsia"/>
                <w:b w:val="0"/>
                <w:color w:val="auto"/>
                <w:sz w:val="24"/>
                <w:highlight w:val="none"/>
                <w:lang w:val="en-US" w:eastAsia="zh-CN"/>
              </w:rPr>
              <w:t>☑</w:t>
            </w:r>
            <w:r>
              <w:rPr>
                <w:rFonts w:hint="eastAsia"/>
                <w:bCs/>
                <w:color w:val="auto"/>
                <w:sz w:val="24"/>
                <w:szCs w:val="28"/>
                <w:highlight w:val="none"/>
              </w:rPr>
              <w:t>保</w:t>
            </w:r>
            <w:r>
              <w:rPr>
                <w:bCs/>
                <w:color w:val="auto"/>
                <w:sz w:val="24"/>
                <w:szCs w:val="28"/>
                <w:highlight w:val="none"/>
              </w:rPr>
              <w:t>函</w:t>
            </w:r>
          </w:p>
          <w:p w14:paraId="051BBC19">
            <w:pPr>
              <w:numPr>
                <w:ilvl w:val="0"/>
                <w:numId w:val="0"/>
              </w:num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3</w:t>
            </w: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收取单位：</w:t>
            </w:r>
            <w:r>
              <w:rPr>
                <w:rFonts w:hint="eastAsia" w:ascii="宋体" w:hAnsi="宋体" w:eastAsia="宋体"/>
                <w:bCs/>
                <w:color w:val="auto"/>
                <w:kern w:val="0"/>
                <w:sz w:val="24"/>
                <w:szCs w:val="28"/>
                <w:highlight w:val="none"/>
                <w:u w:val="single"/>
              </w:rPr>
              <w:t xml:space="preserve">另行通知    </w:t>
            </w:r>
            <w:r>
              <w:rPr>
                <w:rFonts w:hint="eastAsia" w:ascii="宋体" w:hAnsi="宋体" w:eastAsia="宋体"/>
                <w:bCs/>
                <w:color w:val="auto"/>
                <w:kern w:val="0"/>
                <w:sz w:val="24"/>
                <w:szCs w:val="28"/>
                <w:highlight w:val="none"/>
              </w:rPr>
              <w:t xml:space="preserve">              </w:t>
            </w:r>
          </w:p>
          <w:p w14:paraId="177DD608">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val="en-US" w:eastAsia="zh-CN"/>
              </w:rPr>
              <w:t>（4）收取账号：</w:t>
            </w:r>
            <w:r>
              <w:rPr>
                <w:rFonts w:hint="eastAsia" w:ascii="宋体" w:hAnsi="宋体" w:eastAsia="宋体"/>
                <w:bCs/>
                <w:color w:val="auto"/>
                <w:kern w:val="0"/>
                <w:sz w:val="24"/>
                <w:szCs w:val="28"/>
                <w:highlight w:val="none"/>
                <w:u w:val="single"/>
                <w:lang w:val="en-US" w:eastAsia="zh-CN"/>
              </w:rPr>
              <w:t>另行通知</w:t>
            </w:r>
            <w:r>
              <w:rPr>
                <w:rFonts w:hint="eastAsia" w:ascii="宋体" w:hAnsi="宋体" w:eastAsia="宋体"/>
                <w:bCs/>
                <w:color w:val="auto"/>
                <w:kern w:val="0"/>
                <w:sz w:val="24"/>
                <w:szCs w:val="28"/>
                <w:highlight w:val="none"/>
                <w:u w:val="single"/>
              </w:rPr>
              <w:t xml:space="preserve">    </w:t>
            </w:r>
          </w:p>
          <w:p w14:paraId="53BB8376">
            <w:pPr>
              <w:spacing w:line="360" w:lineRule="auto"/>
              <w:rPr>
                <w:rFonts w:ascii="宋体" w:hAnsi="宋体" w:eastAsia="宋体"/>
                <w:color w:val="auto"/>
                <w:sz w:val="24"/>
                <w:highlight w:val="none"/>
              </w:rPr>
            </w:pPr>
            <w:r>
              <w:rPr>
                <w:rFonts w:hint="eastAsia"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lang w:val="en-US" w:eastAsia="zh-CN"/>
              </w:rPr>
              <w:t>5</w:t>
            </w:r>
            <w:r>
              <w:rPr>
                <w:rFonts w:hint="eastAsia" w:ascii="宋体" w:hAnsi="宋体" w:eastAsia="宋体"/>
                <w:bCs/>
                <w:color w:val="auto"/>
                <w:kern w:val="0"/>
                <w:sz w:val="24"/>
                <w:szCs w:val="28"/>
                <w:highlight w:val="none"/>
              </w:rPr>
              <w:t>）</w:t>
            </w:r>
            <w:r>
              <w:rPr>
                <w:rFonts w:hint="eastAsia" w:ascii="宋体" w:hAnsi="宋体" w:eastAsia="宋体"/>
                <w:color w:val="auto"/>
                <w:sz w:val="24"/>
                <w:highlight w:val="none"/>
              </w:rPr>
              <w:t>退还时间：</w:t>
            </w:r>
            <w:r>
              <w:rPr>
                <w:rFonts w:hint="eastAsia" w:ascii="宋体" w:hAnsi="宋体" w:eastAsia="宋体"/>
                <w:color w:val="auto"/>
                <w:sz w:val="24"/>
                <w:highlight w:val="none"/>
                <w:u w:val="single"/>
              </w:rPr>
              <w:t>另行通知</w:t>
            </w:r>
            <w:r>
              <w:rPr>
                <w:rFonts w:hint="eastAsia" w:ascii="宋体" w:hAnsi="宋体" w:eastAsia="宋体"/>
                <w:bCs/>
                <w:color w:val="auto"/>
                <w:kern w:val="0"/>
                <w:sz w:val="24"/>
                <w:szCs w:val="28"/>
                <w:highlight w:val="none"/>
                <w:u w:val="single"/>
              </w:rPr>
              <w:t xml:space="preserve">    </w:t>
            </w:r>
          </w:p>
          <w:p w14:paraId="5CA2BD51">
            <w:pPr>
              <w:spacing w:line="360" w:lineRule="auto"/>
              <w:rPr>
                <w:b/>
                <w:bCs/>
                <w:color w:val="auto"/>
                <w:sz w:val="24"/>
                <w:szCs w:val="24"/>
                <w:highlight w:val="none"/>
              </w:rPr>
            </w:pPr>
            <w:r>
              <w:rPr>
                <w:rFonts w:hint="eastAsia"/>
                <w:b/>
                <w:bCs/>
                <w:color w:val="auto"/>
                <w:sz w:val="24"/>
                <w:szCs w:val="24"/>
                <w:highlight w:val="none"/>
              </w:rPr>
              <w:t>注意事项：</w:t>
            </w:r>
          </w:p>
          <w:p w14:paraId="4694E8A2">
            <w:pPr>
              <w:spacing w:line="360" w:lineRule="auto"/>
              <w:rPr>
                <w:b/>
                <w:bCs/>
                <w:color w:val="auto"/>
                <w:sz w:val="24"/>
                <w:szCs w:val="24"/>
                <w:highlight w:val="none"/>
              </w:rPr>
            </w:pPr>
            <w:r>
              <w:rPr>
                <w:rFonts w:hint="eastAsia"/>
                <w:b/>
                <w:bCs/>
                <w:color w:val="auto"/>
                <w:sz w:val="24"/>
                <w:szCs w:val="24"/>
                <w:highlight w:val="none"/>
              </w:rPr>
              <w:t>（1）以上各类机构出具的以担保函、保证保险承担责任的方式均须满足无条件见索即付条件。</w:t>
            </w:r>
          </w:p>
          <w:p w14:paraId="526F21B6">
            <w:pPr>
              <w:pStyle w:val="75"/>
              <w:widowControl w:val="0"/>
              <w:spacing w:before="0" w:beforeAutospacing="0" w:after="0" w:afterAutospacing="0" w:line="360" w:lineRule="auto"/>
              <w:jc w:val="both"/>
              <w:rPr>
                <w:color w:val="auto"/>
                <w:sz w:val="24"/>
                <w:highlight w:val="none"/>
              </w:rPr>
            </w:pPr>
            <w:r>
              <w:rPr>
                <w:rFonts w:hint="eastAsia"/>
                <w:bCs w:val="0"/>
                <w:color w:val="auto"/>
                <w:sz w:val="24"/>
                <w:szCs w:val="24"/>
                <w:highlight w:val="none"/>
              </w:rPr>
              <w:t>（2）以担保函、保证保险形式缴纳履约保证金的，受益人和收取单位须为采购人。</w:t>
            </w:r>
          </w:p>
        </w:tc>
      </w:tr>
      <w:tr w14:paraId="0273F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1" w:type="pct"/>
            <w:vAlign w:val="center"/>
          </w:tcPr>
          <w:p w14:paraId="2D972E38">
            <w:pPr>
              <w:pStyle w:val="76"/>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26.1</w:t>
            </w:r>
          </w:p>
        </w:tc>
        <w:tc>
          <w:tcPr>
            <w:tcW w:w="1060" w:type="pct"/>
            <w:vAlign w:val="center"/>
          </w:tcPr>
          <w:p w14:paraId="7769AFD5">
            <w:pPr>
              <w:pStyle w:val="75"/>
              <w:widowControl w:val="0"/>
              <w:spacing w:before="0" w:beforeAutospacing="0" w:after="0" w:afterAutospacing="0" w:line="360" w:lineRule="auto"/>
              <w:jc w:val="both"/>
              <w:rPr>
                <w:b w:val="0"/>
                <w:color w:val="auto"/>
                <w:sz w:val="24"/>
                <w:highlight w:val="none"/>
              </w:rPr>
            </w:pPr>
            <w:r>
              <w:rPr>
                <w:rFonts w:hint="eastAsia" w:ascii="宋体" w:hAnsi="宋体" w:eastAsia="宋体"/>
                <w:b w:val="0"/>
                <w:color w:val="auto"/>
                <w:sz w:val="24"/>
                <w:highlight w:val="none"/>
                <w:lang w:val="en-US" w:eastAsia="zh-CN"/>
              </w:rPr>
              <w:t>代理费用</w:t>
            </w:r>
          </w:p>
        </w:tc>
        <w:tc>
          <w:tcPr>
            <w:tcW w:w="3418" w:type="pct"/>
            <w:vAlign w:val="center"/>
          </w:tcPr>
          <w:p w14:paraId="3C6CAD8E">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color w:val="auto"/>
                <w:spacing w:val="-12"/>
                <w:sz w:val="24"/>
                <w:szCs w:val="24"/>
                <w:highlight w:val="none"/>
              </w:rPr>
              <w:t>：</w:t>
            </w:r>
            <w:r>
              <w:rPr>
                <w:rFonts w:hint="eastAsia" w:ascii="宋体" w:hAnsi="宋体" w:eastAsia="宋体"/>
                <w:bCs/>
                <w:color w:val="auto"/>
                <w:kern w:val="0"/>
                <w:sz w:val="24"/>
                <w:szCs w:val="28"/>
                <w:highlight w:val="none"/>
              </w:rPr>
              <w:sym w:font="Wingdings" w:char="00A8"/>
            </w:r>
            <w:r>
              <w:rPr>
                <w:rFonts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lang w:val="en-US" w:eastAsia="zh-CN"/>
              </w:rPr>
              <w:t xml:space="preserve">   </w:t>
            </w:r>
            <w:r>
              <w:rPr>
                <w:rFonts w:hint="eastAsia" w:ascii="宋体" w:hAnsi="宋体" w:eastAsia="宋体"/>
                <w:bCs/>
                <w:color w:val="auto"/>
                <w:kern w:val="0"/>
                <w:sz w:val="24"/>
                <w:szCs w:val="28"/>
                <w:highlight w:val="none"/>
              </w:rPr>
              <w:sym w:font="Wingdings" w:char="00FE"/>
            </w:r>
            <w:r>
              <w:rPr>
                <w:rFonts w:hint="eastAsia"/>
                <w:bCs/>
                <w:color w:val="auto"/>
                <w:kern w:val="0"/>
                <w:sz w:val="24"/>
                <w:szCs w:val="28"/>
                <w:highlight w:val="none"/>
                <w:lang w:val="en-US" w:eastAsia="zh-CN"/>
              </w:rPr>
              <w:t>成交供应商</w:t>
            </w:r>
          </w:p>
          <w:p w14:paraId="57444746">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r>
              <w:rPr>
                <w:rFonts w:hint="eastAsia" w:cs="宋体"/>
                <w:color w:val="auto"/>
                <w:sz w:val="24"/>
                <w:szCs w:val="24"/>
                <w:highlight w:val="none"/>
                <w:u w:val="single" w:color="auto"/>
                <w:lang w:val="en-US" w:eastAsia="zh-CN"/>
              </w:rPr>
              <w:t>成交供应商</w:t>
            </w:r>
            <w:r>
              <w:rPr>
                <w:rFonts w:hint="eastAsia" w:ascii="宋体" w:hAnsi="宋体" w:eastAsia="宋体" w:cs="宋体"/>
                <w:b w:val="0"/>
                <w:bCs w:val="0"/>
                <w:color w:val="auto"/>
                <w:kern w:val="2"/>
                <w:sz w:val="24"/>
                <w:szCs w:val="24"/>
                <w:highlight w:val="none"/>
                <w:u w:val="single" w:color="auto"/>
                <w:lang w:val="en-US" w:eastAsia="zh-CN" w:bidi="ar-SA"/>
              </w:rPr>
              <w:t>领取成交通知书时一次性支付给代理机构。</w:t>
            </w:r>
            <w:r>
              <w:rPr>
                <w:rFonts w:ascii="宋体" w:hAnsi="宋体" w:eastAsia="宋体" w:cs="宋体"/>
                <w:color w:val="auto"/>
                <w:sz w:val="24"/>
                <w:szCs w:val="24"/>
                <w:highlight w:val="none"/>
                <w:u w:val="single" w:color="auto"/>
              </w:rPr>
              <w:t xml:space="preserve">  </w:t>
            </w:r>
          </w:p>
          <w:p w14:paraId="00E55CEB">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240" w:firstLineChars="100"/>
              <w:jc w:val="both"/>
              <w:textAlignment w:val="auto"/>
              <w:rPr>
                <w:bCs/>
                <w:color w:val="auto"/>
                <w:sz w:val="24"/>
                <w:szCs w:val="28"/>
                <w:highlight w:val="none"/>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hint="default" w:ascii="宋体" w:hAnsi="宋体" w:eastAsia="宋体" w:cs="@仿宋_GB2312"/>
                <w:b w:val="0"/>
                <w:bCs/>
                <w:color w:val="auto"/>
                <w:kern w:val="0"/>
                <w:sz w:val="24"/>
                <w:szCs w:val="28"/>
                <w:highlight w:val="none"/>
                <w:u w:val="single" w:color="auto"/>
                <w:lang w:val="en-US" w:eastAsia="zh-CN" w:bidi="ar-SA"/>
              </w:rPr>
              <w:t>参考《滁州市公共资源交易代理机构及从业人员管理暂行办法》滁公管〔2022〕5号，以及补充文件滁公管综〔2023〕19号《关于进一步明确代理费计取标准的通知》标准，以最高限价（控制价）计算</w:t>
            </w:r>
            <w:r>
              <w:rPr>
                <w:rFonts w:hint="eastAsia" w:ascii="宋体" w:hAnsi="宋体" w:eastAsia="宋体" w:cs="宋体"/>
                <w:b w:val="0"/>
                <w:bCs w:val="0"/>
                <w:color w:val="auto"/>
                <w:kern w:val="2"/>
                <w:sz w:val="24"/>
                <w:szCs w:val="24"/>
                <w:highlight w:val="none"/>
                <w:u w:val="single" w:color="auto"/>
                <w:lang w:val="en-US" w:eastAsia="zh-CN" w:bidi="ar-SA"/>
              </w:rPr>
              <w:t>，</w:t>
            </w:r>
            <w:r>
              <w:rPr>
                <w:rFonts w:hint="eastAsia" w:cs="@仿宋_GB2312"/>
                <w:b w:val="0"/>
                <w:bCs/>
                <w:color w:val="auto"/>
                <w:kern w:val="0"/>
                <w:sz w:val="24"/>
                <w:szCs w:val="28"/>
                <w:highlight w:val="none"/>
                <w:u w:val="single" w:color="auto"/>
                <w:lang w:val="en-US" w:eastAsia="zh-CN" w:bidi="ar-SA"/>
              </w:rPr>
              <w:t>代理费4968</w:t>
            </w:r>
            <w:r>
              <w:rPr>
                <w:rFonts w:hint="eastAsia" w:ascii="宋体" w:hAnsi="宋体" w:eastAsia="宋体" w:cs="宋体"/>
                <w:b w:val="0"/>
                <w:bCs w:val="0"/>
                <w:color w:val="auto"/>
                <w:kern w:val="2"/>
                <w:sz w:val="24"/>
                <w:szCs w:val="24"/>
                <w:highlight w:val="none"/>
                <w:u w:val="single" w:color="auto"/>
                <w:lang w:val="en-US" w:eastAsia="zh-CN" w:bidi="ar-SA"/>
              </w:rPr>
              <w:t>元。</w:t>
            </w:r>
          </w:p>
        </w:tc>
      </w:tr>
      <w:tr w14:paraId="7BDB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1" w:type="pct"/>
            <w:vAlign w:val="center"/>
          </w:tcPr>
          <w:p w14:paraId="3B9F61A0">
            <w:pPr>
              <w:pStyle w:val="76"/>
              <w:pBdr>
                <w:bottom w:val="none" w:color="auto" w:sz="0" w:space="0"/>
              </w:pBdr>
              <w:tabs>
                <w:tab w:val="clear" w:pos="4153"/>
                <w:tab w:val="clear" w:pos="8306"/>
              </w:tabs>
              <w:adjustRightInd/>
              <w:spacing w:line="360" w:lineRule="auto"/>
              <w:textAlignment w:val="auto"/>
              <w:rPr>
                <w:rFonts w:hint="default" w:ascii="宋体" w:hAnsi="宋体" w:eastAsia="宋体" w:cs="@仿宋_GB2312"/>
                <w:bCs/>
                <w:color w:val="auto"/>
                <w:kern w:val="2"/>
                <w:sz w:val="24"/>
                <w:szCs w:val="20"/>
                <w:highlight w:val="none"/>
                <w:lang w:val="en-US" w:eastAsia="zh-CN" w:bidi="ar-SA"/>
              </w:rPr>
            </w:pPr>
            <w:r>
              <w:rPr>
                <w:rFonts w:hint="eastAsia"/>
                <w:bCs/>
                <w:color w:val="auto"/>
                <w:kern w:val="2"/>
                <w:highlight w:val="none"/>
                <w:lang w:val="en-US" w:eastAsia="zh-CN"/>
              </w:rPr>
              <w:t>27.1</w:t>
            </w:r>
          </w:p>
        </w:tc>
        <w:tc>
          <w:tcPr>
            <w:tcW w:w="1060" w:type="pct"/>
            <w:vAlign w:val="center"/>
          </w:tcPr>
          <w:p w14:paraId="6586C77B">
            <w:pPr>
              <w:pStyle w:val="75"/>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签订合同和合同公告时间</w:t>
            </w:r>
          </w:p>
        </w:tc>
        <w:tc>
          <w:tcPr>
            <w:tcW w:w="3418" w:type="pct"/>
            <w:vAlign w:val="center"/>
          </w:tcPr>
          <w:p w14:paraId="6F05A692">
            <w:pPr>
              <w:pStyle w:val="75"/>
              <w:widowControl w:val="0"/>
              <w:spacing w:before="0" w:beforeAutospacing="0" w:after="0" w:afterAutospacing="0" w:line="360" w:lineRule="auto"/>
              <w:jc w:val="both"/>
              <w:rPr>
                <w:rFonts w:hint="eastAsia" w:ascii="宋体" w:hAnsi="宋体" w:eastAsia="宋体"/>
                <w:b w:val="0"/>
                <w:bCs/>
                <w:color w:val="auto"/>
                <w:sz w:val="24"/>
                <w:highlight w:val="none"/>
                <w:lang w:val="en-US" w:eastAsia="zh-CN"/>
              </w:rPr>
            </w:pPr>
            <w:r>
              <w:rPr>
                <w:rFonts w:hint="eastAsia"/>
                <w:b w:val="0"/>
                <w:bCs/>
                <w:color w:val="auto"/>
                <w:sz w:val="24"/>
                <w:highlight w:val="none"/>
                <w:lang w:val="en-US" w:eastAsia="zh-CN"/>
              </w:rPr>
              <w:t>（1）</w:t>
            </w:r>
            <w:r>
              <w:rPr>
                <w:rFonts w:hint="eastAsia" w:ascii="宋体" w:hAnsi="宋体" w:eastAsia="宋体"/>
                <w:b w:val="0"/>
                <w:bCs/>
                <w:color w:val="auto"/>
                <w:sz w:val="24"/>
                <w:highlight w:val="none"/>
                <w:lang w:val="en-US" w:eastAsia="zh-CN"/>
              </w:rPr>
              <w:t>采购人与成交供应商应当自发出成交通知书之日起7个工作日内签订合同，采购合同签订之日起2个工作日内完成政府采购合同公开。</w:t>
            </w:r>
          </w:p>
          <w:p w14:paraId="11CD2912">
            <w:pPr>
              <w:pStyle w:val="75"/>
              <w:widowControl w:val="0"/>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ascii="宋体" w:hAnsi="宋体" w:eastAsia="宋体" w:cs="宋体"/>
                <w:b w:val="0"/>
                <w:bCs/>
                <w:color w:val="auto"/>
                <w:sz w:val="24"/>
                <w:szCs w:val="24"/>
                <w:highlight w:val="none"/>
              </w:rPr>
              <w:t>（2）采购人与</w:t>
            </w:r>
            <w:r>
              <w:rPr>
                <w:rFonts w:hint="eastAsia" w:ascii="宋体" w:hAnsi="宋体" w:eastAsia="宋体"/>
                <w:b w:val="0"/>
                <w:bCs/>
                <w:color w:val="auto"/>
                <w:sz w:val="24"/>
                <w:highlight w:val="none"/>
                <w:lang w:val="en-US" w:eastAsia="zh-CN"/>
              </w:rPr>
              <w:t>成交供应商</w:t>
            </w:r>
            <w:r>
              <w:rPr>
                <w:rFonts w:ascii="宋体" w:hAnsi="宋体" w:eastAsia="宋体" w:cs="宋体"/>
                <w:b w:val="0"/>
                <w:bCs/>
                <w:color w:val="auto"/>
                <w:sz w:val="24"/>
                <w:szCs w:val="24"/>
                <w:highlight w:val="none"/>
              </w:rPr>
              <w:t>不得擅自变更合同，依照政府采购法确需变更政府采购合同内容的，采购人应当自合同变更之日起2个工作日内在安徽省政府采购网</w:t>
            </w:r>
            <w:r>
              <w:rPr>
                <w:rFonts w:hint="eastAsia" w:cs="宋体"/>
                <w:b w:val="0"/>
                <w:bCs/>
                <w:color w:val="auto"/>
                <w:sz w:val="24"/>
                <w:szCs w:val="24"/>
                <w:highlight w:val="none"/>
                <w:lang w:val="en-US" w:eastAsia="zh-CN"/>
              </w:rPr>
              <w:t>和滁州市公共资源交易中心网</w:t>
            </w:r>
            <w:r>
              <w:rPr>
                <w:rFonts w:ascii="宋体" w:hAnsi="宋体" w:eastAsia="宋体" w:cs="宋体"/>
                <w:b w:val="0"/>
                <w:bCs/>
                <w:color w:val="auto"/>
                <w:sz w:val="24"/>
                <w:szCs w:val="24"/>
                <w:highlight w:val="none"/>
              </w:rPr>
              <w:t>发布政府采购合同变更公告，但涉及国家秘密、商业秘密的信息和其他依法不得公开的信息除外。</w:t>
            </w:r>
          </w:p>
        </w:tc>
      </w:tr>
      <w:tr w14:paraId="069AC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1" w:type="pct"/>
            <w:vAlign w:val="center"/>
          </w:tcPr>
          <w:p w14:paraId="1ECEBC57">
            <w:pPr>
              <w:pStyle w:val="76"/>
              <w:pBdr>
                <w:bottom w:val="none" w:color="auto" w:sz="0" w:space="0"/>
              </w:pBdr>
              <w:tabs>
                <w:tab w:val="clear" w:pos="4153"/>
                <w:tab w:val="clear" w:pos="8306"/>
              </w:tabs>
              <w:adjustRightInd/>
              <w:spacing w:line="360" w:lineRule="auto"/>
              <w:textAlignment w:val="auto"/>
              <w:rPr>
                <w:rFonts w:hint="default" w:eastAsia="宋体"/>
                <w:bCs/>
                <w:color w:val="auto"/>
                <w:kern w:val="2"/>
                <w:highlight w:val="none"/>
                <w:lang w:val="en-US" w:eastAsia="zh-CN"/>
              </w:rPr>
            </w:pPr>
            <w:r>
              <w:rPr>
                <w:rFonts w:hint="eastAsia"/>
                <w:bCs/>
                <w:color w:val="auto"/>
                <w:kern w:val="2"/>
                <w:highlight w:val="none"/>
                <w:lang w:val="en-US" w:eastAsia="zh-CN"/>
              </w:rPr>
              <w:t>29.3</w:t>
            </w:r>
          </w:p>
        </w:tc>
        <w:tc>
          <w:tcPr>
            <w:tcW w:w="1060" w:type="pct"/>
            <w:vAlign w:val="center"/>
          </w:tcPr>
          <w:p w14:paraId="6FD29FB9">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质疑函递交方式、接收部门、联系电话和通讯地址</w:t>
            </w:r>
          </w:p>
        </w:tc>
        <w:tc>
          <w:tcPr>
            <w:tcW w:w="3418" w:type="pct"/>
            <w:vAlign w:val="center"/>
          </w:tcPr>
          <w:p w14:paraId="45E4ED87">
            <w:pPr>
              <w:pStyle w:val="75"/>
              <w:widowControl w:val="0"/>
              <w:spacing w:before="0" w:beforeAutospacing="0" w:after="0" w:afterAutospacing="0" w:line="360" w:lineRule="auto"/>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rPr>
              <w:t>递交方式：</w:t>
            </w:r>
            <w:r>
              <w:rPr>
                <w:rFonts w:hint="eastAsia" w:ascii="宋体" w:hAnsi="宋体" w:eastAsia="宋体"/>
                <w:b w:val="0"/>
                <w:color w:val="auto"/>
                <w:sz w:val="24"/>
                <w:highlight w:val="none"/>
                <w:u w:val="single"/>
              </w:rPr>
              <w:t>如供应商对谈判文件有质疑，依据中华人民共和国财政部令第 94 号《政府采购质疑和投诉办法》规定提出质疑</w:t>
            </w:r>
          </w:p>
          <w:p w14:paraId="67B4B4D1">
            <w:pPr>
              <w:pStyle w:val="75"/>
              <w:widowControl w:val="0"/>
              <w:spacing w:before="0" w:beforeAutospacing="0" w:after="0" w:afterAutospacing="0" w:line="360" w:lineRule="auto"/>
              <w:ind w:firstLine="480" w:firstLineChars="200"/>
              <w:jc w:val="both"/>
              <w:rPr>
                <w:rFonts w:hint="eastAsia" w:ascii="宋体" w:hAnsi="宋体" w:eastAsia="宋体"/>
                <w:b w:val="0"/>
                <w:color w:val="auto"/>
                <w:sz w:val="24"/>
                <w:highlight w:val="none"/>
                <w:lang w:val="en-US" w:eastAsia="zh-CN"/>
              </w:rPr>
            </w:pPr>
            <w:r>
              <w:rPr>
                <w:rFonts w:hint="eastAsia" w:ascii="宋体" w:hAnsi="宋体" w:eastAsia="宋体"/>
                <w:b w:val="0"/>
                <w:bCs/>
                <w:color w:val="auto"/>
                <w:kern w:val="0"/>
                <w:sz w:val="24"/>
                <w:szCs w:val="28"/>
                <w:highlight w:val="none"/>
                <w:u w:val="single"/>
              </w:rPr>
              <w:t>供应商可以通过书面形式提出，也可以通过线上提出质疑【通过线上向滁州市公共资源交易中心网电子交易系统提出质疑（具体操作步骤和程序请参见服务指南&gt;交易须知&gt;在线异议、质疑和投诉操作手册）】。一份质疑函只能针对一个项目提出质疑，且针对同一采购程序环节的质疑应当一次性提出</w:t>
            </w:r>
            <w:r>
              <w:rPr>
                <w:rFonts w:hint="eastAsia" w:ascii="宋体" w:hAnsi="宋体" w:eastAsia="宋体"/>
                <w:b w:val="0"/>
                <w:bCs/>
                <w:color w:val="auto"/>
                <w:kern w:val="0"/>
                <w:sz w:val="24"/>
                <w:szCs w:val="28"/>
                <w:highlight w:val="none"/>
                <w:u w:val="single"/>
                <w:lang w:eastAsia="zh-CN"/>
              </w:rPr>
              <w:t>。</w:t>
            </w:r>
          </w:p>
          <w:p w14:paraId="5BD2979D">
            <w:pPr>
              <w:pStyle w:val="75"/>
              <w:widowControl w:val="0"/>
              <w:spacing w:before="0" w:beforeAutospacing="0" w:after="0" w:afterAutospacing="0" w:line="360" w:lineRule="auto"/>
              <w:jc w:val="both"/>
              <w:rPr>
                <w:rFonts w:hint="eastAsia" w:ascii="宋体" w:hAnsi="宋体" w:eastAsia="宋体"/>
                <w:b w:val="0"/>
                <w:bCs w:val="0"/>
                <w:color w:val="auto"/>
                <w:sz w:val="24"/>
                <w:szCs w:val="18"/>
                <w:highlight w:val="none"/>
                <w:lang w:eastAsia="zh-CN"/>
              </w:rPr>
            </w:pPr>
            <w:r>
              <w:rPr>
                <w:rFonts w:hint="eastAsia" w:ascii="宋体" w:hAnsi="宋体" w:eastAsia="宋体"/>
                <w:b w:val="0"/>
                <w:color w:val="auto"/>
                <w:sz w:val="24"/>
                <w:highlight w:val="none"/>
              </w:rPr>
              <w:t>接收部门：</w:t>
            </w:r>
            <w:r>
              <w:rPr>
                <w:rFonts w:hint="eastAsia"/>
                <w:color w:val="auto"/>
                <w:sz w:val="24"/>
                <w:szCs w:val="18"/>
                <w:highlight w:val="none"/>
                <w:u w:val="single"/>
                <w:lang w:eastAsia="zh-CN"/>
              </w:rPr>
              <w:t>滁州市园林景观管理中心</w:t>
            </w:r>
            <w:r>
              <w:rPr>
                <w:rFonts w:hint="eastAsia"/>
                <w:bCs/>
                <w:color w:val="auto"/>
                <w:kern w:val="0"/>
                <w:sz w:val="24"/>
                <w:szCs w:val="28"/>
                <w:highlight w:val="none"/>
                <w:u w:val="single"/>
                <w:lang w:val="en-US" w:eastAsia="zh-CN"/>
              </w:rPr>
              <w:t>或</w:t>
            </w:r>
            <w:r>
              <w:rPr>
                <w:rFonts w:hint="eastAsia" w:ascii="宋体" w:hAnsi="宋体" w:eastAsia="宋体"/>
                <w:bCs/>
                <w:color w:val="auto"/>
                <w:kern w:val="0"/>
                <w:sz w:val="24"/>
                <w:szCs w:val="28"/>
                <w:highlight w:val="none"/>
                <w:u w:val="single"/>
                <w:lang w:eastAsia="zh-CN"/>
              </w:rPr>
              <w:t>滁州市城投工程咨询管理有限公司；</w:t>
            </w:r>
          </w:p>
          <w:p w14:paraId="0EB546D7">
            <w:pPr>
              <w:pStyle w:val="75"/>
              <w:widowControl w:val="0"/>
              <w:spacing w:before="0" w:beforeAutospacing="0" w:after="0" w:afterAutospacing="0" w:line="360" w:lineRule="auto"/>
              <w:jc w:val="both"/>
              <w:rPr>
                <w:rFonts w:hint="eastAsia" w:ascii="宋体" w:hAnsi="宋体" w:eastAsia="宋体"/>
                <w:bCs/>
                <w:color w:val="auto"/>
                <w:kern w:val="0"/>
                <w:sz w:val="24"/>
                <w:szCs w:val="28"/>
                <w:highlight w:val="none"/>
                <w:u w:val="single"/>
              </w:rPr>
            </w:pPr>
            <w:r>
              <w:rPr>
                <w:rFonts w:ascii="宋体" w:hAnsi="宋体" w:eastAsia="宋体"/>
                <w:b w:val="0"/>
                <w:color w:val="auto"/>
                <w:sz w:val="24"/>
                <w:highlight w:val="none"/>
              </w:rPr>
              <w:t>联系电话：</w:t>
            </w:r>
            <w:r>
              <w:rPr>
                <w:rFonts w:hint="eastAsia"/>
                <w:bCs/>
                <w:color w:val="auto"/>
                <w:kern w:val="0"/>
                <w:sz w:val="24"/>
                <w:szCs w:val="28"/>
                <w:highlight w:val="none"/>
                <w:u w:val="single"/>
                <w:lang w:eastAsia="zh-CN"/>
              </w:rPr>
              <w:t>0550-3010861</w:t>
            </w:r>
            <w:r>
              <w:rPr>
                <w:rFonts w:hint="eastAsia" w:ascii="宋体" w:hAnsi="宋体" w:eastAsia="宋体"/>
                <w:bCs/>
                <w:color w:val="auto"/>
                <w:kern w:val="0"/>
                <w:sz w:val="24"/>
                <w:szCs w:val="28"/>
                <w:highlight w:val="none"/>
                <w:u w:val="single"/>
                <w:lang w:eastAsia="zh-CN"/>
              </w:rPr>
              <w:t>、</w:t>
            </w:r>
            <w:r>
              <w:rPr>
                <w:rFonts w:hint="eastAsia"/>
                <w:bCs/>
                <w:color w:val="auto"/>
                <w:kern w:val="0"/>
                <w:sz w:val="24"/>
                <w:szCs w:val="28"/>
                <w:highlight w:val="none"/>
                <w:u w:val="single"/>
                <w:lang w:eastAsia="zh-CN"/>
              </w:rPr>
              <w:t>0550-3519516</w:t>
            </w:r>
            <w:r>
              <w:rPr>
                <w:rFonts w:hint="eastAsia" w:ascii="宋体" w:hAnsi="宋体" w:eastAsia="宋体"/>
                <w:bCs/>
                <w:color w:val="auto"/>
                <w:kern w:val="0"/>
                <w:sz w:val="24"/>
                <w:szCs w:val="28"/>
                <w:highlight w:val="none"/>
                <w:u w:val="single"/>
                <w:lang w:eastAsia="zh-CN"/>
              </w:rPr>
              <w:t>、</w:t>
            </w:r>
            <w:r>
              <w:rPr>
                <w:rFonts w:hint="eastAsia"/>
                <w:bCs/>
                <w:color w:val="auto"/>
                <w:kern w:val="0"/>
                <w:sz w:val="24"/>
                <w:szCs w:val="28"/>
                <w:highlight w:val="none"/>
                <w:u w:val="single"/>
                <w:lang w:val="en-US" w:eastAsia="zh-CN"/>
              </w:rPr>
              <w:t>18712012204</w:t>
            </w:r>
            <w:r>
              <w:rPr>
                <w:rFonts w:hint="eastAsia" w:ascii="宋体" w:hAnsi="宋体" w:eastAsia="宋体"/>
                <w:bCs/>
                <w:color w:val="auto"/>
                <w:kern w:val="0"/>
                <w:sz w:val="24"/>
                <w:szCs w:val="28"/>
                <w:highlight w:val="none"/>
                <w:u w:val="single"/>
                <w:lang w:eastAsia="zh-CN"/>
              </w:rPr>
              <w:t>；</w:t>
            </w:r>
          </w:p>
          <w:p w14:paraId="04E8CF1D">
            <w:pPr>
              <w:pStyle w:val="75"/>
              <w:widowControl w:val="0"/>
              <w:spacing w:before="0" w:beforeAutospacing="0" w:after="0" w:afterAutospacing="0" w:line="360" w:lineRule="auto"/>
              <w:jc w:val="both"/>
              <w:rPr>
                <w:b w:val="0"/>
                <w:color w:val="auto"/>
                <w:sz w:val="24"/>
                <w:highlight w:val="none"/>
              </w:rPr>
            </w:pPr>
            <w:r>
              <w:rPr>
                <w:rFonts w:hint="eastAsia" w:ascii="宋体" w:hAnsi="宋体" w:eastAsia="宋体"/>
                <w:b w:val="0"/>
                <w:color w:val="auto"/>
                <w:sz w:val="24"/>
                <w:highlight w:val="none"/>
              </w:rPr>
              <w:t>通讯地址：</w:t>
            </w:r>
            <w:r>
              <w:rPr>
                <w:rFonts w:hint="eastAsia"/>
                <w:color w:val="auto"/>
                <w:sz w:val="24"/>
                <w:szCs w:val="18"/>
                <w:highlight w:val="none"/>
                <w:u w:val="single"/>
                <w:lang w:eastAsia="zh-CN"/>
              </w:rPr>
              <w:t>滁州市花园西路81号林业大厦8楼</w:t>
            </w:r>
            <w:r>
              <w:rPr>
                <w:rFonts w:hint="eastAsia" w:ascii="宋体" w:hAnsi="宋体" w:eastAsia="宋体"/>
                <w:color w:val="auto"/>
                <w:sz w:val="24"/>
                <w:szCs w:val="18"/>
                <w:highlight w:val="none"/>
                <w:u w:val="single"/>
                <w:lang w:eastAsia="zh-CN"/>
              </w:rPr>
              <w:t>、</w:t>
            </w:r>
            <w:r>
              <w:rPr>
                <w:rFonts w:hint="eastAsia" w:ascii="宋体" w:hAnsi="宋体" w:eastAsia="宋体"/>
                <w:bCs/>
                <w:color w:val="auto"/>
                <w:kern w:val="0"/>
                <w:sz w:val="24"/>
                <w:szCs w:val="28"/>
                <w:highlight w:val="none"/>
                <w:u w:val="single"/>
                <w:lang w:eastAsia="zh-CN"/>
              </w:rPr>
              <w:t>滁州市龙蟠大道109号房产大厦</w:t>
            </w:r>
            <w:r>
              <w:rPr>
                <w:rFonts w:hint="eastAsia" w:ascii="宋体" w:hAnsi="宋体" w:eastAsia="宋体"/>
                <w:bCs/>
                <w:color w:val="auto"/>
                <w:kern w:val="0"/>
                <w:sz w:val="24"/>
                <w:szCs w:val="28"/>
                <w:highlight w:val="none"/>
                <w:u w:val="single"/>
                <w:lang w:val="en-US" w:eastAsia="zh-CN"/>
              </w:rPr>
              <w:t>6</w:t>
            </w:r>
            <w:r>
              <w:rPr>
                <w:rFonts w:hint="eastAsia" w:ascii="宋体" w:hAnsi="宋体" w:eastAsia="宋体"/>
                <w:bCs/>
                <w:color w:val="auto"/>
                <w:kern w:val="0"/>
                <w:sz w:val="24"/>
                <w:szCs w:val="28"/>
                <w:highlight w:val="none"/>
                <w:u w:val="single"/>
                <w:lang w:eastAsia="zh-CN"/>
              </w:rPr>
              <w:t>楼</w:t>
            </w:r>
            <w:r>
              <w:rPr>
                <w:rFonts w:hint="eastAsia" w:ascii="宋体" w:hAnsi="宋体" w:eastAsia="宋体"/>
                <w:bCs/>
                <w:color w:val="auto"/>
                <w:kern w:val="0"/>
                <w:sz w:val="24"/>
                <w:szCs w:val="28"/>
                <w:highlight w:val="none"/>
                <w:u w:val="single"/>
                <w:lang w:val="en-US" w:eastAsia="zh-CN"/>
              </w:rPr>
              <w:t>605室</w:t>
            </w:r>
            <w:r>
              <w:rPr>
                <w:rFonts w:hint="eastAsia" w:ascii="宋体" w:hAnsi="宋体" w:eastAsia="宋体"/>
                <w:bCs/>
                <w:color w:val="auto"/>
                <w:kern w:val="0"/>
                <w:sz w:val="24"/>
                <w:szCs w:val="28"/>
                <w:highlight w:val="none"/>
                <w:u w:val="single"/>
                <w:lang w:eastAsia="zh-CN"/>
              </w:rPr>
              <w:t>。</w:t>
            </w:r>
          </w:p>
        </w:tc>
      </w:tr>
      <w:tr w14:paraId="1D8B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1" w:type="pct"/>
            <w:vAlign w:val="center"/>
          </w:tcPr>
          <w:p w14:paraId="746A6F46">
            <w:pPr>
              <w:pStyle w:val="76"/>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w:t>
            </w:r>
            <w:r>
              <w:rPr>
                <w:rFonts w:hint="eastAsia"/>
                <w:bCs/>
                <w:color w:val="auto"/>
                <w:kern w:val="2"/>
                <w:highlight w:val="none"/>
                <w:lang w:val="en-US" w:eastAsia="zh-CN"/>
              </w:rPr>
              <w:t>0</w:t>
            </w:r>
          </w:p>
        </w:tc>
        <w:tc>
          <w:tcPr>
            <w:tcW w:w="1060" w:type="pct"/>
            <w:vAlign w:val="center"/>
          </w:tcPr>
          <w:p w14:paraId="1D15FC5C">
            <w:pPr>
              <w:pStyle w:val="75"/>
              <w:widowControl w:val="0"/>
              <w:spacing w:before="0" w:beforeAutospacing="0" w:after="0" w:afterAutospacing="0" w:line="360" w:lineRule="auto"/>
              <w:jc w:val="both"/>
              <w:rPr>
                <w:b w:val="0"/>
                <w:color w:val="auto"/>
                <w:sz w:val="24"/>
                <w:highlight w:val="none"/>
              </w:rPr>
            </w:pPr>
            <w:r>
              <w:rPr>
                <w:rFonts w:hint="eastAsia" w:ascii="宋体" w:hAnsi="宋体" w:eastAsia="宋体"/>
                <w:b w:val="0"/>
                <w:color w:val="auto"/>
                <w:sz w:val="24"/>
                <w:highlight w:val="none"/>
                <w:lang w:val="en-US" w:eastAsia="zh-CN"/>
              </w:rPr>
              <w:t>其他内容</w:t>
            </w:r>
          </w:p>
        </w:tc>
        <w:tc>
          <w:tcPr>
            <w:tcW w:w="3418" w:type="pct"/>
            <w:vAlign w:val="center"/>
          </w:tcPr>
          <w:p w14:paraId="1C789C39">
            <w:pPr>
              <w:pStyle w:val="75"/>
              <w:widowControl w:val="0"/>
              <w:numPr>
                <w:ilvl w:val="0"/>
                <w:numId w:val="0"/>
              </w:numPr>
              <w:spacing w:before="0" w:beforeAutospacing="0" w:after="0" w:afterAutospacing="0" w:line="360" w:lineRule="auto"/>
              <w:jc w:val="both"/>
              <w:rPr>
                <w:rFonts w:hint="eastAsia" w:cs="@仿宋_GB2312" w:asciiTheme="minorEastAsia" w:hAnsiTheme="minorEastAsia" w:eastAsiaTheme="minorEastAsia"/>
                <w:b w:val="0"/>
                <w:bCs/>
                <w:color w:val="auto"/>
                <w:kern w:val="2"/>
                <w:sz w:val="24"/>
                <w:szCs w:val="24"/>
                <w:highlight w:val="none"/>
                <w:u w:val="none"/>
                <w:lang w:val="en-US" w:eastAsia="zh-CN" w:bidi="ar-SA"/>
              </w:rPr>
            </w:pPr>
            <w:r>
              <w:rPr>
                <w:rFonts w:hint="eastAsia" w:cs="@仿宋_GB2312" w:asciiTheme="minorEastAsia" w:hAnsiTheme="minorEastAsia" w:eastAsiaTheme="minorEastAsia"/>
                <w:b w:val="0"/>
                <w:bCs/>
                <w:color w:val="auto"/>
                <w:kern w:val="2"/>
                <w:sz w:val="24"/>
                <w:szCs w:val="24"/>
                <w:highlight w:val="none"/>
                <w:u w:val="none"/>
                <w:lang w:val="en-US" w:eastAsia="zh-CN" w:bidi="ar-SA"/>
              </w:rPr>
              <w:t>1.系统中提供的表格与采购文件中不一致时，以采购文件中提供的表格格式为准。</w:t>
            </w:r>
          </w:p>
          <w:p w14:paraId="2AE4DFE3">
            <w:pPr>
              <w:pStyle w:val="75"/>
              <w:widowControl w:val="0"/>
              <w:numPr>
                <w:ilvl w:val="0"/>
                <w:numId w:val="0"/>
              </w:numPr>
              <w:spacing w:before="0" w:beforeAutospacing="0" w:after="0" w:afterAutospacing="0" w:line="360" w:lineRule="auto"/>
              <w:jc w:val="both"/>
              <w:rPr>
                <w:rFonts w:hint="eastAsia" w:cs="@仿宋_GB2312" w:asciiTheme="minorEastAsia" w:hAnsiTheme="minorEastAsia" w:eastAsiaTheme="minorEastAsia"/>
                <w:b w:val="0"/>
                <w:bCs/>
                <w:color w:val="auto"/>
                <w:kern w:val="2"/>
                <w:sz w:val="24"/>
                <w:szCs w:val="24"/>
                <w:highlight w:val="none"/>
                <w:u w:val="none"/>
                <w:lang w:val="en-US" w:eastAsia="zh-CN" w:bidi="ar-SA"/>
              </w:rPr>
            </w:pPr>
            <w:r>
              <w:rPr>
                <w:rFonts w:hint="eastAsia" w:cs="@仿宋_GB2312" w:asciiTheme="minorEastAsia" w:hAnsiTheme="minorEastAsia" w:eastAsiaTheme="minorEastAsia"/>
                <w:b w:val="0"/>
                <w:bCs/>
                <w:color w:val="auto"/>
                <w:kern w:val="2"/>
                <w:sz w:val="24"/>
                <w:szCs w:val="24"/>
                <w:highlight w:val="none"/>
                <w:u w:val="none"/>
                <w:lang w:val="en-US" w:eastAsia="zh-CN" w:bidi="ar-SA"/>
              </w:rPr>
              <w:t>2、本谈判文件前后条款若有不一致之处，在更正公告时又未作出明确规定时，各供应商的响应文件只要满足其中任一条款，均视为对本谈判文件的响应。</w:t>
            </w:r>
          </w:p>
          <w:p w14:paraId="5F08B3CA">
            <w:pPr>
              <w:pStyle w:val="75"/>
              <w:widowControl w:val="0"/>
              <w:numPr>
                <w:ilvl w:val="0"/>
                <w:numId w:val="0"/>
              </w:numPr>
              <w:spacing w:before="0" w:beforeAutospacing="0" w:after="0" w:afterAutospacing="0" w:line="360" w:lineRule="auto"/>
              <w:jc w:val="both"/>
              <w:rPr>
                <w:rFonts w:hint="eastAsia" w:cs="@仿宋_GB2312" w:asciiTheme="minorEastAsia" w:hAnsiTheme="minorEastAsia" w:eastAsiaTheme="minorEastAsia"/>
                <w:b w:val="0"/>
                <w:bCs/>
                <w:color w:val="auto"/>
                <w:kern w:val="2"/>
                <w:sz w:val="24"/>
                <w:szCs w:val="24"/>
                <w:highlight w:val="none"/>
                <w:u w:val="none"/>
                <w:lang w:val="en-US" w:eastAsia="zh-CN" w:bidi="ar-SA"/>
              </w:rPr>
            </w:pPr>
            <w:r>
              <w:rPr>
                <w:rFonts w:hint="eastAsia" w:cs="@仿宋_GB2312" w:asciiTheme="minorEastAsia" w:hAnsiTheme="minorEastAsia" w:eastAsiaTheme="minorEastAsia"/>
                <w:b w:val="0"/>
                <w:bCs/>
                <w:color w:val="auto"/>
                <w:kern w:val="2"/>
                <w:sz w:val="24"/>
                <w:szCs w:val="24"/>
                <w:highlight w:val="none"/>
                <w:u w:val="none"/>
                <w:lang w:val="en-US" w:eastAsia="zh-CN" w:bidi="ar-SA"/>
              </w:rPr>
              <w:t>3、本项目谈判邀请与本谈判文件不一致之处，以本谈判文件为准；如供应商须知前附表的规定与供应商须知的规定不一致，以供应商须知前附表为准。</w:t>
            </w:r>
          </w:p>
          <w:p w14:paraId="3417F01E">
            <w:pPr>
              <w:pStyle w:val="75"/>
              <w:widowControl w:val="0"/>
              <w:numPr>
                <w:ilvl w:val="0"/>
                <w:numId w:val="0"/>
              </w:numPr>
              <w:spacing w:before="0" w:beforeAutospacing="0" w:after="0" w:afterAutospacing="0" w:line="360" w:lineRule="auto"/>
              <w:jc w:val="both"/>
              <w:rPr>
                <w:rFonts w:hint="default" w:cs="@仿宋_GB2312" w:asciiTheme="minorEastAsia" w:hAnsiTheme="minorEastAsia" w:eastAsiaTheme="minorEastAsia"/>
                <w:b w:val="0"/>
                <w:bCs/>
                <w:color w:val="auto"/>
                <w:kern w:val="2"/>
                <w:sz w:val="24"/>
                <w:szCs w:val="24"/>
                <w:highlight w:val="none"/>
                <w:u w:val="none"/>
                <w:lang w:val="en-US" w:eastAsia="zh-CN" w:bidi="ar-SA"/>
              </w:rPr>
            </w:pPr>
            <w:r>
              <w:rPr>
                <w:rFonts w:hint="eastAsia" w:cs="@仿宋_GB2312" w:asciiTheme="minorEastAsia" w:hAnsiTheme="minorEastAsia" w:eastAsiaTheme="minorEastAsia"/>
                <w:b w:val="0"/>
                <w:bCs/>
                <w:color w:val="auto"/>
                <w:kern w:val="2"/>
                <w:sz w:val="24"/>
                <w:szCs w:val="24"/>
                <w:highlight w:val="none"/>
                <w:u w:val="none"/>
                <w:lang w:val="en-US" w:eastAsia="zh-CN" w:bidi="ar-SA"/>
              </w:rPr>
              <w:t>4.本文件的最终解释权归采购人、采购代理机构所有。</w:t>
            </w:r>
          </w:p>
          <w:p w14:paraId="2682BC2D">
            <w:pPr>
              <w:pStyle w:val="75"/>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360" w:lineRule="auto"/>
              <w:jc w:val="both"/>
              <w:textAlignment w:val="auto"/>
              <w:rPr>
                <w:rFonts w:hint="eastAsia" w:cs="@仿宋_GB2312" w:asciiTheme="minorEastAsia" w:hAnsiTheme="minorEastAsia" w:eastAsiaTheme="minorEastAsia"/>
                <w:b w:val="0"/>
                <w:bCs/>
                <w:color w:val="auto"/>
                <w:kern w:val="2"/>
                <w:sz w:val="24"/>
                <w:szCs w:val="24"/>
                <w:highlight w:val="none"/>
                <w:u w:val="none"/>
                <w:lang w:val="en-US" w:eastAsia="zh-CN" w:bidi="ar-SA"/>
              </w:rPr>
            </w:pPr>
            <w:r>
              <w:rPr>
                <w:rFonts w:hint="eastAsia" w:cs="@仿宋_GB2312" w:asciiTheme="minorEastAsia" w:hAnsiTheme="minorEastAsia" w:eastAsiaTheme="minorEastAsia"/>
                <w:b w:val="0"/>
                <w:bCs/>
                <w:color w:val="auto"/>
                <w:kern w:val="2"/>
                <w:sz w:val="24"/>
                <w:szCs w:val="24"/>
                <w:highlight w:val="none"/>
                <w:u w:val="none"/>
                <w:lang w:val="en-US" w:eastAsia="zh-CN" w:bidi="ar-SA"/>
              </w:rPr>
              <w:t>5.1 质疑供应商对采购人、采购代理机构的答复不满意，或者采购人、采购代理机构未在规定的时间内答复的，可以在答复期满后十五个工作日内按有关规定，以书面形式（ http://ggzy.chuzhou.gov.cn/fwzn/011001/011001001/011001001003/20200727/7fb88e17-63dd-4f17-b17c-290526c6eda8.html）向同级政府 采 购 监 督 管 理 部 门 提 出 投 诉 或 者 线 上 提 交 投 诉 材 料（http://ggzy.chuzhou.gov.cn/fwzn/011001/011001001/011001001003/20200221/b079d9ca-90f2-4cce-aa7c-94a444e7ac91.html）。</w:t>
            </w:r>
          </w:p>
          <w:p w14:paraId="67F713F2">
            <w:pPr>
              <w:pStyle w:val="75"/>
              <w:widowControl w:val="0"/>
              <w:numPr>
                <w:ilvl w:val="0"/>
                <w:numId w:val="0"/>
              </w:numPr>
              <w:spacing w:before="0" w:beforeAutospacing="0" w:after="0" w:afterAutospacing="0" w:line="360" w:lineRule="auto"/>
              <w:jc w:val="both"/>
              <w:rPr>
                <w:rFonts w:hint="eastAsia" w:cs="@仿宋_GB2312" w:asciiTheme="minorEastAsia" w:hAnsiTheme="minorEastAsia" w:eastAsiaTheme="minorEastAsia"/>
                <w:b w:val="0"/>
                <w:bCs/>
                <w:color w:val="auto"/>
                <w:kern w:val="2"/>
                <w:sz w:val="24"/>
                <w:szCs w:val="24"/>
                <w:highlight w:val="none"/>
                <w:u w:val="none"/>
                <w:lang w:val="en-US" w:eastAsia="zh-CN" w:bidi="ar-SA"/>
              </w:rPr>
            </w:pPr>
            <w:r>
              <w:rPr>
                <w:rFonts w:hint="eastAsia" w:cs="@仿宋_GB2312" w:asciiTheme="minorEastAsia" w:hAnsiTheme="minorEastAsia" w:eastAsiaTheme="minorEastAsia"/>
                <w:b w:val="0"/>
                <w:bCs/>
                <w:color w:val="auto"/>
                <w:kern w:val="2"/>
                <w:sz w:val="24"/>
                <w:szCs w:val="24"/>
                <w:highlight w:val="none"/>
                <w:u w:val="none"/>
                <w:lang w:val="en-US" w:eastAsia="zh-CN" w:bidi="ar-SA"/>
              </w:rPr>
              <w:t>5.2 政府采购监督管理部门应当在收到投诉后 30 个工作日内，对投诉事项作出处理决定，并以书面形式通知投诉人和与投诉事项有关的当事人，并在安徽省政府采购网公告。政府采购监督管理部门处理投诉事项，需要检验、检测、鉴定、专家评审 以及需要投诉人补正材料的，所需时间不计算在投诉处理期限内。</w:t>
            </w:r>
          </w:p>
          <w:p w14:paraId="6252DD2C">
            <w:pPr>
              <w:pStyle w:val="75"/>
              <w:widowControl w:val="0"/>
              <w:numPr>
                <w:ilvl w:val="0"/>
                <w:numId w:val="0"/>
              </w:numPr>
              <w:spacing w:before="0" w:beforeAutospacing="0" w:after="0" w:afterAutospacing="0" w:line="360" w:lineRule="auto"/>
              <w:jc w:val="both"/>
              <w:rPr>
                <w:rFonts w:hint="eastAsia" w:cs="@仿宋_GB2312" w:asciiTheme="minorEastAsia" w:hAnsiTheme="minorEastAsia" w:eastAsiaTheme="minorEastAsia"/>
                <w:b w:val="0"/>
                <w:bCs/>
                <w:color w:val="auto"/>
                <w:kern w:val="2"/>
                <w:sz w:val="24"/>
                <w:szCs w:val="24"/>
                <w:highlight w:val="none"/>
                <w:u w:val="none"/>
                <w:lang w:val="en-US" w:eastAsia="zh-CN" w:bidi="ar-SA"/>
              </w:rPr>
            </w:pPr>
            <w:r>
              <w:rPr>
                <w:rFonts w:hint="eastAsia" w:cs="@仿宋_GB2312" w:asciiTheme="minorEastAsia" w:hAnsiTheme="minorEastAsia" w:eastAsiaTheme="minorEastAsia"/>
                <w:b w:val="0"/>
                <w:bCs/>
                <w:color w:val="auto"/>
                <w:kern w:val="2"/>
                <w:sz w:val="24"/>
                <w:szCs w:val="24"/>
                <w:highlight w:val="none"/>
                <w:u w:val="none"/>
                <w:lang w:val="en-US" w:eastAsia="zh-CN" w:bidi="ar-SA"/>
              </w:rPr>
              <w:t>5.3 政府采购监督管理部门在处理投诉事项期间，可以视具体情况书面通知采购人暂停采购活动，但暂停时间最长不得超过 30 日。</w:t>
            </w:r>
          </w:p>
          <w:p w14:paraId="76E43E5D">
            <w:pPr>
              <w:pStyle w:val="75"/>
              <w:widowControl w:val="0"/>
              <w:numPr>
                <w:ilvl w:val="0"/>
                <w:numId w:val="0"/>
              </w:numPr>
              <w:spacing w:before="0" w:beforeAutospacing="0" w:after="0" w:afterAutospacing="0" w:line="360" w:lineRule="auto"/>
              <w:jc w:val="both"/>
              <w:rPr>
                <w:rFonts w:hint="eastAsia" w:cs="@仿宋_GB2312" w:asciiTheme="minorEastAsia" w:hAnsiTheme="minorEastAsia" w:eastAsiaTheme="minorEastAsia"/>
                <w:b w:val="0"/>
                <w:bCs/>
                <w:color w:val="auto"/>
                <w:kern w:val="2"/>
                <w:sz w:val="24"/>
                <w:szCs w:val="24"/>
                <w:highlight w:val="none"/>
                <w:u w:val="none"/>
                <w:lang w:val="en-US" w:eastAsia="zh-CN" w:bidi="ar-SA"/>
              </w:rPr>
            </w:pPr>
            <w:r>
              <w:rPr>
                <w:rFonts w:hint="eastAsia" w:cs="@仿宋_GB2312" w:asciiTheme="minorEastAsia" w:hAnsiTheme="minorEastAsia" w:eastAsiaTheme="minorEastAsia"/>
                <w:b w:val="0"/>
                <w:bCs/>
                <w:color w:val="auto"/>
                <w:kern w:val="2"/>
                <w:sz w:val="24"/>
                <w:szCs w:val="24"/>
                <w:highlight w:val="none"/>
                <w:u w:val="none"/>
                <w:lang w:val="en-US" w:eastAsia="zh-CN" w:bidi="ar-SA"/>
              </w:rPr>
              <w:t>6.同义词语：</w:t>
            </w:r>
          </w:p>
          <w:p w14:paraId="4536C781">
            <w:pPr>
              <w:pStyle w:val="75"/>
              <w:widowControl w:val="0"/>
              <w:numPr>
                <w:ilvl w:val="0"/>
                <w:numId w:val="0"/>
              </w:numPr>
              <w:spacing w:before="0" w:beforeAutospacing="0" w:after="0" w:afterAutospacing="0" w:line="360" w:lineRule="auto"/>
              <w:jc w:val="both"/>
              <w:rPr>
                <w:b w:val="0"/>
                <w:color w:val="auto"/>
                <w:sz w:val="24"/>
                <w:highlight w:val="none"/>
              </w:rPr>
            </w:pPr>
            <w:r>
              <w:rPr>
                <w:rFonts w:hint="eastAsia" w:cs="@仿宋_GB2312" w:asciiTheme="minorEastAsia" w:hAnsiTheme="minorEastAsia" w:eastAsiaTheme="minorEastAsia"/>
                <w:b w:val="0"/>
                <w:bCs/>
                <w:color w:val="auto"/>
                <w:kern w:val="2"/>
                <w:sz w:val="24"/>
                <w:szCs w:val="24"/>
                <w:highlight w:val="none"/>
                <w:u w:val="none"/>
                <w:lang w:val="en-US" w:eastAsia="zh-CN" w:bidi="ar-SA"/>
              </w:rPr>
              <w:t>谈判文件第六章响应文件格式、附件1“关于联合惩戒失信行为加强信用查询管理的通知”等章节中 “招标人”、“投标人”，等同于“采购人”、“供应商”。</w:t>
            </w:r>
          </w:p>
        </w:tc>
      </w:tr>
      <w:tr w14:paraId="2264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1" w:type="pct"/>
            <w:vAlign w:val="center"/>
          </w:tcPr>
          <w:p w14:paraId="4B29FA91">
            <w:pPr>
              <w:pStyle w:val="76"/>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1</w:t>
            </w:r>
          </w:p>
        </w:tc>
        <w:tc>
          <w:tcPr>
            <w:tcW w:w="1060" w:type="pct"/>
            <w:vAlign w:val="center"/>
          </w:tcPr>
          <w:p w14:paraId="4ADEC727">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承包方式</w:t>
            </w:r>
          </w:p>
        </w:tc>
        <w:tc>
          <w:tcPr>
            <w:tcW w:w="3418" w:type="pct"/>
            <w:vAlign w:val="center"/>
          </w:tcPr>
          <w:p w14:paraId="179CFA0B">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w:t>
            </w:r>
            <w:r>
              <w:rPr>
                <w:rFonts w:hint="eastAsia"/>
                <w:b w:val="0"/>
                <w:color w:val="auto"/>
                <w:sz w:val="24"/>
                <w:highlight w:val="none"/>
              </w:rPr>
              <w:t xml:space="preserve">施工总承包  </w:t>
            </w:r>
            <w:r>
              <w:rPr>
                <w:rFonts w:hint="eastAsia"/>
                <w:b w:val="0"/>
                <w:color w:val="auto"/>
                <w:sz w:val="24"/>
                <w:highlight w:val="none"/>
                <w:lang w:eastAsia="zh-CN"/>
              </w:rPr>
              <w:t>☑</w:t>
            </w:r>
            <w:r>
              <w:rPr>
                <w:rFonts w:hint="eastAsia"/>
                <w:b w:val="0"/>
                <w:color w:val="auto"/>
                <w:sz w:val="24"/>
                <w:highlight w:val="none"/>
              </w:rPr>
              <w:t>专业承包</w:t>
            </w:r>
          </w:p>
        </w:tc>
      </w:tr>
      <w:tr w14:paraId="4D8B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1" w:type="pct"/>
            <w:vAlign w:val="center"/>
          </w:tcPr>
          <w:p w14:paraId="09E4876E">
            <w:pPr>
              <w:pStyle w:val="76"/>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2</w:t>
            </w:r>
          </w:p>
        </w:tc>
        <w:tc>
          <w:tcPr>
            <w:tcW w:w="1060" w:type="pct"/>
            <w:vAlign w:val="center"/>
          </w:tcPr>
          <w:p w14:paraId="4415C14F">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计价方式</w:t>
            </w:r>
          </w:p>
        </w:tc>
        <w:tc>
          <w:tcPr>
            <w:tcW w:w="3418" w:type="pct"/>
            <w:vAlign w:val="center"/>
          </w:tcPr>
          <w:p w14:paraId="7B67DDE4">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w:t>
            </w:r>
            <w:r>
              <w:rPr>
                <w:rFonts w:hint="eastAsia"/>
                <w:b w:val="0"/>
                <w:color w:val="auto"/>
                <w:sz w:val="24"/>
                <w:highlight w:val="none"/>
              </w:rPr>
              <w:t>工程量清单综合单价报价法</w:t>
            </w:r>
          </w:p>
          <w:p w14:paraId="36AAE29B">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□全费用综合单价报价法</w:t>
            </w:r>
          </w:p>
        </w:tc>
      </w:tr>
      <w:tr w14:paraId="33217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1" w:type="pct"/>
            <w:vAlign w:val="center"/>
          </w:tcPr>
          <w:p w14:paraId="40691A65">
            <w:pPr>
              <w:pStyle w:val="76"/>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3</w:t>
            </w:r>
          </w:p>
        </w:tc>
        <w:tc>
          <w:tcPr>
            <w:tcW w:w="1060" w:type="pct"/>
            <w:vAlign w:val="center"/>
          </w:tcPr>
          <w:p w14:paraId="50ED5C08">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计划</w:t>
            </w:r>
            <w:r>
              <w:rPr>
                <w:b w:val="0"/>
                <w:color w:val="auto"/>
                <w:sz w:val="24"/>
                <w:highlight w:val="none"/>
              </w:rPr>
              <w:t>工期</w:t>
            </w:r>
          </w:p>
        </w:tc>
        <w:tc>
          <w:tcPr>
            <w:tcW w:w="3418" w:type="pct"/>
            <w:vAlign w:val="center"/>
          </w:tcPr>
          <w:p w14:paraId="203FEA99">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计划</w:t>
            </w:r>
            <w:r>
              <w:rPr>
                <w:rFonts w:hint="eastAsia"/>
                <w:b w:val="0"/>
                <w:color w:val="auto"/>
                <w:sz w:val="24"/>
                <w:highlight w:val="none"/>
                <w:lang w:val="en-US" w:eastAsia="zh-CN"/>
              </w:rPr>
              <w:t>总工期</w:t>
            </w:r>
            <w:r>
              <w:rPr>
                <w:rFonts w:hint="eastAsia"/>
                <w:b w:val="0"/>
                <w:color w:val="auto"/>
                <w:sz w:val="24"/>
                <w:highlight w:val="none"/>
                <w:lang w:eastAsia="zh-CN"/>
              </w:rPr>
              <w:t>不高于120个日历天</w:t>
            </w:r>
            <w:r>
              <w:rPr>
                <w:rFonts w:hint="eastAsia"/>
                <w:b w:val="0"/>
                <w:color w:val="auto"/>
                <w:sz w:val="24"/>
                <w:highlight w:val="none"/>
              </w:rPr>
              <w:t>。</w:t>
            </w:r>
            <w:r>
              <w:rPr>
                <w:rFonts w:hint="eastAsia"/>
                <w:b w:val="0"/>
                <w:color w:val="auto"/>
                <w:sz w:val="24"/>
                <w:highlight w:val="none"/>
                <w:lang w:eastAsia="zh-CN"/>
              </w:rPr>
              <w:t>供应商自报的承诺工期为考核标准。因供应商原因造成的工期延误，每推迟一天，按合同价款（扣除暂估价和暂列金）万分之二处以违约金</w:t>
            </w:r>
            <w:r>
              <w:rPr>
                <w:rFonts w:hint="eastAsia"/>
                <w:b w:val="0"/>
                <w:color w:val="auto"/>
                <w:sz w:val="24"/>
                <w:highlight w:val="none"/>
              </w:rPr>
              <w:t>。</w:t>
            </w:r>
          </w:p>
          <w:p w14:paraId="3814FB62">
            <w:pPr>
              <w:pStyle w:val="75"/>
              <w:widowControl w:val="0"/>
              <w:spacing w:before="0" w:beforeAutospacing="0" w:after="0" w:afterAutospacing="0" w:line="360" w:lineRule="auto"/>
              <w:jc w:val="both"/>
              <w:rPr>
                <w:b w:val="0"/>
                <w:color w:val="auto"/>
                <w:sz w:val="24"/>
                <w:highlight w:val="none"/>
              </w:rPr>
            </w:pPr>
            <w:r>
              <w:rPr>
                <w:b w:val="0"/>
                <w:color w:val="auto"/>
                <w:sz w:val="24"/>
                <w:highlight w:val="none"/>
              </w:rPr>
              <w:t>计划开工日期：</w:t>
            </w:r>
            <w:bookmarkStart w:id="49" w:name="EB2a2e1a22d449405a860670c095486ab8"/>
            <w:r>
              <w:rPr>
                <w:rFonts w:hint="eastAsia"/>
                <w:b w:val="0"/>
                <w:color w:val="auto"/>
                <w:sz w:val="24"/>
                <w:highlight w:val="none"/>
              </w:rPr>
              <w:t>具体开工时间以开工令为准。</w:t>
            </w:r>
            <w:bookmarkEnd w:id="49"/>
          </w:p>
        </w:tc>
      </w:tr>
      <w:tr w14:paraId="1BB48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1" w:type="pct"/>
            <w:vAlign w:val="center"/>
          </w:tcPr>
          <w:p w14:paraId="5607EDA4">
            <w:pPr>
              <w:pStyle w:val="76"/>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4</w:t>
            </w:r>
          </w:p>
        </w:tc>
        <w:tc>
          <w:tcPr>
            <w:tcW w:w="1060" w:type="pct"/>
            <w:vAlign w:val="center"/>
          </w:tcPr>
          <w:p w14:paraId="71A0367B">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质量标准要求</w:t>
            </w:r>
          </w:p>
        </w:tc>
        <w:tc>
          <w:tcPr>
            <w:tcW w:w="3418" w:type="pct"/>
            <w:vAlign w:val="center"/>
          </w:tcPr>
          <w:p w14:paraId="7F8109C7">
            <w:pPr>
              <w:pStyle w:val="102"/>
              <w:tabs>
                <w:tab w:val="left" w:pos="1152"/>
              </w:tabs>
              <w:spacing w:before="0" w:beforeAutospacing="0" w:after="0" w:afterAutospacing="0" w:line="360" w:lineRule="auto"/>
              <w:rPr>
                <w:b/>
                <w:color w:val="auto"/>
                <w:highlight w:val="none"/>
              </w:rPr>
            </w:pPr>
            <w:r>
              <w:rPr>
                <w:rFonts w:hint="eastAsia" w:cs="@仿宋_GB2312"/>
                <w:bCs/>
                <w:color w:val="auto"/>
                <w:szCs w:val="28"/>
                <w:highlight w:val="none"/>
              </w:rPr>
              <w:t>质量标准：合格</w:t>
            </w:r>
          </w:p>
        </w:tc>
      </w:tr>
      <w:tr w14:paraId="41326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1" w:type="pct"/>
            <w:vAlign w:val="center"/>
          </w:tcPr>
          <w:p w14:paraId="08CE4F68">
            <w:pPr>
              <w:pStyle w:val="76"/>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5</w:t>
            </w:r>
          </w:p>
        </w:tc>
        <w:tc>
          <w:tcPr>
            <w:tcW w:w="1060" w:type="pct"/>
            <w:vAlign w:val="center"/>
          </w:tcPr>
          <w:p w14:paraId="5626D598">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安全文明要求</w:t>
            </w:r>
          </w:p>
        </w:tc>
        <w:tc>
          <w:tcPr>
            <w:tcW w:w="3418" w:type="pct"/>
            <w:vAlign w:val="center"/>
          </w:tcPr>
          <w:p w14:paraId="19D25CCD">
            <w:pPr>
              <w:pStyle w:val="75"/>
              <w:widowControl w:val="0"/>
              <w:spacing w:before="0" w:beforeAutospacing="0" w:after="0" w:afterAutospacing="0" w:line="360" w:lineRule="auto"/>
              <w:jc w:val="both"/>
              <w:rPr>
                <w:b w:val="0"/>
                <w:color w:val="auto"/>
                <w:sz w:val="24"/>
                <w:highlight w:val="none"/>
              </w:rPr>
            </w:pPr>
            <w:r>
              <w:rPr>
                <w:rFonts w:hint="eastAsia"/>
                <w:b w:val="0"/>
                <w:bCs w:val="0"/>
                <w:color w:val="auto"/>
                <w:sz w:val="24"/>
                <w:highlight w:val="none"/>
              </w:rPr>
              <w:t>必须确保安全文明施工，符合国家和项目所在地现行相关规定</w:t>
            </w:r>
          </w:p>
        </w:tc>
      </w:tr>
      <w:tr w14:paraId="5ED5B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1" w:type="pct"/>
            <w:vAlign w:val="center"/>
          </w:tcPr>
          <w:p w14:paraId="5595B2D9">
            <w:pPr>
              <w:pStyle w:val="76"/>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6</w:t>
            </w:r>
          </w:p>
        </w:tc>
        <w:tc>
          <w:tcPr>
            <w:tcW w:w="1060" w:type="pct"/>
            <w:vAlign w:val="center"/>
          </w:tcPr>
          <w:p w14:paraId="6D4C76AC">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总包及分包规定</w:t>
            </w:r>
          </w:p>
        </w:tc>
        <w:tc>
          <w:tcPr>
            <w:tcW w:w="3418" w:type="pct"/>
            <w:vAlign w:val="center"/>
          </w:tcPr>
          <w:p w14:paraId="634A926A">
            <w:pPr>
              <w:spacing w:line="360" w:lineRule="auto"/>
              <w:rPr>
                <w:rFonts w:ascii="Calibri" w:hAnsi="Calibri" w:cs="Times New Roman"/>
                <w:b w:val="0"/>
                <w:bCs w:val="0"/>
                <w:color w:val="auto"/>
                <w:kern w:val="2"/>
                <w:sz w:val="24"/>
                <w:szCs w:val="28"/>
                <w:highlight w:val="none"/>
              </w:rPr>
            </w:pPr>
            <w:r>
              <w:rPr>
                <w:rFonts w:hint="eastAsia" w:ascii="Calibri" w:hAnsi="Calibri" w:cs="Times New Roman"/>
                <w:b w:val="0"/>
                <w:bCs w:val="0"/>
                <w:color w:val="auto"/>
                <w:kern w:val="2"/>
                <w:sz w:val="24"/>
                <w:szCs w:val="28"/>
                <w:highlight w:val="none"/>
              </w:rPr>
              <w:t>供应商不得在成交后将工程转包给其它施工单位。</w:t>
            </w:r>
          </w:p>
          <w:p w14:paraId="53142C5F">
            <w:pPr>
              <w:spacing w:line="360" w:lineRule="auto"/>
              <w:jc w:val="left"/>
              <w:rPr>
                <w:rFonts w:cs="Times New Roman"/>
                <w:b w:val="0"/>
                <w:bCs w:val="0"/>
                <w:color w:val="auto"/>
                <w:kern w:val="2"/>
                <w:sz w:val="24"/>
                <w:szCs w:val="22"/>
                <w:highlight w:val="none"/>
              </w:rPr>
            </w:pPr>
            <w:r>
              <w:rPr>
                <w:rFonts w:hint="eastAsia" w:cs="Times New Roman"/>
                <w:b w:val="0"/>
                <w:bCs w:val="0"/>
                <w:color w:val="auto"/>
                <w:kern w:val="2"/>
                <w:sz w:val="24"/>
                <w:szCs w:val="22"/>
                <w:highlight w:val="none"/>
              </w:rPr>
              <w:t>分包情况</w:t>
            </w:r>
          </w:p>
          <w:p w14:paraId="73B17DD2">
            <w:pPr>
              <w:spacing w:line="360" w:lineRule="auto"/>
              <w:jc w:val="left"/>
              <w:rPr>
                <w:rFonts w:cs="Times New Roman"/>
                <w:color w:val="auto"/>
                <w:kern w:val="2"/>
                <w:sz w:val="24"/>
                <w:szCs w:val="22"/>
                <w:highlight w:val="none"/>
              </w:rPr>
            </w:pPr>
            <w:r>
              <w:rPr>
                <w:rFonts w:hint="eastAsia" w:cs="Times New Roman"/>
                <w:color w:val="auto"/>
                <w:kern w:val="2"/>
                <w:sz w:val="24"/>
                <w:szCs w:val="22"/>
                <w:highlight w:val="none"/>
                <w:lang w:eastAsia="zh-CN"/>
              </w:rPr>
              <w:t>□</w:t>
            </w:r>
            <w:r>
              <w:rPr>
                <w:rFonts w:hint="eastAsia" w:cs="Times New Roman"/>
                <w:color w:val="auto"/>
                <w:kern w:val="2"/>
                <w:sz w:val="24"/>
                <w:szCs w:val="22"/>
                <w:highlight w:val="none"/>
              </w:rPr>
              <w:t>允许专业分包，</w:t>
            </w:r>
            <w:r>
              <w:rPr>
                <w:rFonts w:hint="eastAsia" w:ascii="Calibri" w:hAnsi="Calibri" w:cs="Times New Roman"/>
                <w:color w:val="auto"/>
                <w:kern w:val="2"/>
                <w:sz w:val="24"/>
                <w:szCs w:val="22"/>
                <w:highlight w:val="none"/>
              </w:rPr>
              <w:t>分包项目、内容及分包商须经采购人及监理单位同意和认可</w:t>
            </w:r>
          </w:p>
          <w:p w14:paraId="76FCB80E">
            <w:pPr>
              <w:pStyle w:val="75"/>
              <w:widowControl w:val="0"/>
              <w:spacing w:before="0" w:beforeAutospacing="0" w:after="0" w:afterAutospacing="0" w:line="360" w:lineRule="auto"/>
              <w:jc w:val="both"/>
              <w:rPr>
                <w:b w:val="0"/>
                <w:color w:val="auto"/>
                <w:sz w:val="24"/>
                <w:highlight w:val="none"/>
              </w:rPr>
            </w:pPr>
            <w:r>
              <w:rPr>
                <w:rFonts w:hint="eastAsia" w:cs="Times New Roman"/>
                <w:b w:val="0"/>
                <w:bCs w:val="0"/>
                <w:color w:val="auto"/>
                <w:kern w:val="2"/>
                <w:sz w:val="24"/>
                <w:szCs w:val="22"/>
                <w:highlight w:val="none"/>
                <w:lang w:eastAsia="zh-CN"/>
              </w:rPr>
              <w:t>☑</w:t>
            </w:r>
            <w:r>
              <w:rPr>
                <w:rFonts w:hint="eastAsia" w:cs="Times New Roman"/>
                <w:b w:val="0"/>
                <w:bCs w:val="0"/>
                <w:color w:val="auto"/>
                <w:kern w:val="2"/>
                <w:sz w:val="24"/>
                <w:szCs w:val="22"/>
                <w:highlight w:val="none"/>
              </w:rPr>
              <w:t>不允许</w:t>
            </w:r>
          </w:p>
        </w:tc>
      </w:tr>
      <w:tr w14:paraId="03C51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1" w:type="pct"/>
            <w:vAlign w:val="center"/>
          </w:tcPr>
          <w:p w14:paraId="6D308B84">
            <w:pPr>
              <w:pStyle w:val="76"/>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7</w:t>
            </w:r>
          </w:p>
        </w:tc>
        <w:tc>
          <w:tcPr>
            <w:tcW w:w="1060" w:type="pct"/>
            <w:vAlign w:val="center"/>
          </w:tcPr>
          <w:p w14:paraId="7B0769E3">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现场条件</w:t>
            </w:r>
          </w:p>
        </w:tc>
        <w:tc>
          <w:tcPr>
            <w:tcW w:w="3418" w:type="pct"/>
            <w:vAlign w:val="center"/>
          </w:tcPr>
          <w:p w14:paraId="058F0A46">
            <w:pPr>
              <w:pStyle w:val="75"/>
              <w:widowControl w:val="0"/>
              <w:spacing w:before="0" w:beforeAutospacing="0" w:after="0" w:afterAutospacing="0" w:line="360" w:lineRule="auto"/>
              <w:jc w:val="both"/>
              <w:rPr>
                <w:b w:val="0"/>
                <w:color w:val="auto"/>
                <w:sz w:val="24"/>
                <w:highlight w:val="none"/>
              </w:rPr>
            </w:pPr>
            <w:r>
              <w:rPr>
                <w:rFonts w:hint="eastAsia"/>
                <w:b w:val="0"/>
                <w:bCs w:val="0"/>
                <w:color w:val="auto"/>
                <w:sz w:val="24"/>
                <w:highlight w:val="none"/>
              </w:rPr>
              <w:t>具备开工条件</w:t>
            </w:r>
          </w:p>
        </w:tc>
      </w:tr>
      <w:tr w14:paraId="16E08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1" w:type="pct"/>
            <w:vAlign w:val="center"/>
          </w:tcPr>
          <w:p w14:paraId="2AC8CB70">
            <w:pPr>
              <w:pStyle w:val="76"/>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8</w:t>
            </w:r>
          </w:p>
        </w:tc>
        <w:tc>
          <w:tcPr>
            <w:tcW w:w="1060" w:type="pct"/>
            <w:vAlign w:val="center"/>
          </w:tcPr>
          <w:p w14:paraId="24DA6DF8">
            <w:pPr>
              <w:pStyle w:val="75"/>
              <w:widowControl w:val="0"/>
              <w:spacing w:before="0" w:beforeAutospacing="0" w:after="0" w:afterAutospacing="0" w:line="360" w:lineRule="auto"/>
              <w:jc w:val="both"/>
              <w:rPr>
                <w:b w:val="0"/>
                <w:color w:val="auto"/>
                <w:sz w:val="24"/>
                <w:highlight w:val="none"/>
              </w:rPr>
            </w:pPr>
            <w:r>
              <w:rPr>
                <w:rFonts w:hint="eastAsia"/>
                <w:b w:val="0"/>
                <w:bCs w:val="0"/>
                <w:color w:val="auto"/>
                <w:sz w:val="24"/>
                <w:highlight w:val="none"/>
              </w:rPr>
              <w:t>采购人提供的资料</w:t>
            </w:r>
          </w:p>
        </w:tc>
        <w:tc>
          <w:tcPr>
            <w:tcW w:w="3418" w:type="pct"/>
            <w:vAlign w:val="center"/>
          </w:tcPr>
          <w:p w14:paraId="188D75EF">
            <w:pPr>
              <w:adjustRightInd w:val="0"/>
              <w:snapToGrid w:val="0"/>
              <w:spacing w:line="360" w:lineRule="auto"/>
              <w:jc w:val="left"/>
              <w:rPr>
                <w:bCs/>
                <w:color w:val="auto"/>
                <w:sz w:val="24"/>
                <w:szCs w:val="28"/>
                <w:highlight w:val="none"/>
              </w:rPr>
            </w:pPr>
            <w:r>
              <w:rPr>
                <w:rFonts w:hint="eastAsia"/>
                <w:bCs/>
                <w:color w:val="auto"/>
                <w:sz w:val="24"/>
                <w:szCs w:val="28"/>
                <w:highlight w:val="none"/>
                <w:lang w:eastAsia="zh-CN"/>
              </w:rPr>
              <w:t>☑</w:t>
            </w:r>
            <w:r>
              <w:rPr>
                <w:rFonts w:hint="eastAsia"/>
                <w:bCs/>
                <w:color w:val="auto"/>
                <w:sz w:val="24"/>
                <w:szCs w:val="28"/>
                <w:highlight w:val="none"/>
              </w:rPr>
              <w:t>谈判文件</w:t>
            </w:r>
          </w:p>
          <w:p w14:paraId="1714A136">
            <w:pPr>
              <w:adjustRightInd w:val="0"/>
              <w:snapToGrid w:val="0"/>
              <w:spacing w:line="360" w:lineRule="auto"/>
              <w:jc w:val="left"/>
              <w:rPr>
                <w:bCs/>
                <w:color w:val="auto"/>
                <w:sz w:val="24"/>
                <w:szCs w:val="28"/>
                <w:highlight w:val="none"/>
              </w:rPr>
            </w:pPr>
            <w:r>
              <w:rPr>
                <w:rFonts w:hint="eastAsia"/>
                <w:bCs/>
                <w:color w:val="auto"/>
                <w:sz w:val="24"/>
                <w:szCs w:val="28"/>
                <w:highlight w:val="none"/>
                <w:lang w:eastAsia="zh-CN"/>
              </w:rPr>
              <w:t>☑</w:t>
            </w:r>
            <w:r>
              <w:rPr>
                <w:rFonts w:hint="eastAsia"/>
                <w:bCs/>
                <w:color w:val="auto"/>
                <w:sz w:val="24"/>
                <w:szCs w:val="28"/>
                <w:highlight w:val="none"/>
              </w:rPr>
              <w:t>工程量清单</w:t>
            </w:r>
          </w:p>
          <w:p w14:paraId="76545AEE">
            <w:pPr>
              <w:adjustRightInd w:val="0"/>
              <w:snapToGrid w:val="0"/>
              <w:spacing w:line="360" w:lineRule="auto"/>
              <w:jc w:val="left"/>
              <w:rPr>
                <w:bCs/>
                <w:color w:val="auto"/>
                <w:sz w:val="24"/>
                <w:szCs w:val="28"/>
                <w:highlight w:val="none"/>
              </w:rPr>
            </w:pPr>
            <w:r>
              <w:rPr>
                <w:rFonts w:hint="eastAsia"/>
                <w:bCs/>
                <w:color w:val="auto"/>
                <w:sz w:val="24"/>
                <w:szCs w:val="28"/>
                <w:highlight w:val="none"/>
                <w:lang w:eastAsia="zh-CN"/>
              </w:rPr>
              <w:t>☑</w:t>
            </w:r>
            <w:r>
              <w:rPr>
                <w:rFonts w:hint="eastAsia"/>
                <w:bCs/>
                <w:color w:val="auto"/>
                <w:sz w:val="24"/>
                <w:szCs w:val="28"/>
                <w:highlight w:val="none"/>
              </w:rPr>
              <w:t>最高投标限价</w:t>
            </w:r>
          </w:p>
          <w:p w14:paraId="717F17CC">
            <w:pPr>
              <w:adjustRightInd w:val="0"/>
              <w:snapToGrid w:val="0"/>
              <w:spacing w:line="360" w:lineRule="auto"/>
              <w:jc w:val="left"/>
              <w:rPr>
                <w:bCs/>
                <w:color w:val="auto"/>
                <w:sz w:val="24"/>
                <w:szCs w:val="28"/>
                <w:highlight w:val="none"/>
              </w:rPr>
            </w:pPr>
            <w:r>
              <w:rPr>
                <w:rFonts w:hint="eastAsia"/>
                <w:bCs/>
                <w:color w:val="auto"/>
                <w:sz w:val="24"/>
                <w:szCs w:val="28"/>
                <w:highlight w:val="none"/>
                <w:lang w:eastAsia="zh-CN"/>
              </w:rPr>
              <w:t>☑</w:t>
            </w:r>
            <w:r>
              <w:rPr>
                <w:rFonts w:hint="eastAsia"/>
                <w:bCs/>
                <w:color w:val="auto"/>
                <w:sz w:val="24"/>
                <w:szCs w:val="28"/>
                <w:highlight w:val="none"/>
              </w:rPr>
              <w:t>电子版图纸</w:t>
            </w:r>
          </w:p>
          <w:p w14:paraId="2E3DB973">
            <w:pPr>
              <w:adjustRightInd w:val="0"/>
              <w:snapToGrid w:val="0"/>
              <w:spacing w:line="360" w:lineRule="auto"/>
              <w:jc w:val="left"/>
              <w:rPr>
                <w:rFonts w:hint="eastAsia"/>
                <w:bCs/>
                <w:color w:val="auto"/>
                <w:sz w:val="24"/>
                <w:szCs w:val="28"/>
                <w:highlight w:val="none"/>
              </w:rPr>
            </w:pPr>
            <w:r>
              <w:rPr>
                <w:rFonts w:hint="eastAsia"/>
                <w:bCs/>
                <w:color w:val="auto"/>
                <w:sz w:val="24"/>
                <w:szCs w:val="28"/>
                <w:highlight w:val="none"/>
              </w:rPr>
              <w:t>获得方式：网上下载</w:t>
            </w:r>
          </w:p>
          <w:p w14:paraId="296B9630">
            <w:pPr>
              <w:adjustRightInd w:val="0"/>
              <w:snapToGrid w:val="0"/>
              <w:spacing w:line="360" w:lineRule="auto"/>
              <w:jc w:val="left"/>
              <w:rPr>
                <w:b w:val="0"/>
                <w:color w:val="auto"/>
                <w:sz w:val="24"/>
                <w:highlight w:val="none"/>
              </w:rPr>
            </w:pPr>
            <w:r>
              <w:rPr>
                <w:rFonts w:hint="eastAsia"/>
                <w:color w:val="auto"/>
                <w:sz w:val="24"/>
                <w:highlight w:val="none"/>
              </w:rPr>
              <w:t>上述资料请供应商在获取谈判文件后，自行登录电子交易系统下载本项目附件。</w:t>
            </w:r>
          </w:p>
        </w:tc>
      </w:tr>
      <w:tr w14:paraId="6B3E6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1" w:type="pct"/>
            <w:vAlign w:val="center"/>
          </w:tcPr>
          <w:p w14:paraId="7DB4ABD8">
            <w:pPr>
              <w:pStyle w:val="76"/>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rFonts w:hint="eastAsia"/>
                <w:bCs/>
                <w:color w:val="auto"/>
                <w:kern w:val="2"/>
                <w:highlight w:val="none"/>
                <w:lang w:val="en-US" w:eastAsia="zh-CN"/>
              </w:rPr>
              <w:t>30</w:t>
            </w:r>
            <w:r>
              <w:rPr>
                <w:bCs/>
                <w:color w:val="auto"/>
                <w:kern w:val="2"/>
                <w:highlight w:val="none"/>
              </w:rPr>
              <w:t>.</w:t>
            </w:r>
            <w:r>
              <w:rPr>
                <w:rFonts w:hint="eastAsia"/>
                <w:bCs/>
                <w:color w:val="auto"/>
                <w:kern w:val="2"/>
                <w:highlight w:val="none"/>
                <w:lang w:val="en-US" w:eastAsia="zh-CN"/>
              </w:rPr>
              <w:t>9</w:t>
            </w:r>
          </w:p>
        </w:tc>
        <w:tc>
          <w:tcPr>
            <w:tcW w:w="1060" w:type="pct"/>
            <w:vAlign w:val="center"/>
          </w:tcPr>
          <w:p w14:paraId="54517C67">
            <w:pPr>
              <w:pStyle w:val="75"/>
              <w:widowControl w:val="0"/>
              <w:spacing w:before="0" w:beforeAutospacing="0" w:after="0" w:afterAutospacing="0" w:line="360" w:lineRule="auto"/>
              <w:jc w:val="both"/>
              <w:rPr>
                <w:b w:val="0"/>
                <w:color w:val="auto"/>
                <w:sz w:val="24"/>
                <w:highlight w:val="none"/>
              </w:rPr>
            </w:pPr>
            <w:r>
              <w:rPr>
                <w:rFonts w:hint="eastAsia"/>
                <w:b w:val="0"/>
                <w:bCs w:val="0"/>
                <w:color w:val="auto"/>
                <w:sz w:val="24"/>
                <w:highlight w:val="none"/>
              </w:rPr>
              <w:t>工程量清单和最高投标限价编制费</w:t>
            </w:r>
          </w:p>
        </w:tc>
        <w:tc>
          <w:tcPr>
            <w:tcW w:w="3418" w:type="pct"/>
            <w:vAlign w:val="center"/>
          </w:tcPr>
          <w:p w14:paraId="05101BA2">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ascii="宋体" w:hAnsi="宋体" w:eastAsia="宋体" w:cs="宋体"/>
                <w:color w:val="auto"/>
                <w:sz w:val="24"/>
                <w:szCs w:val="24"/>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color w:val="auto"/>
                <w:spacing w:val="-12"/>
                <w:sz w:val="24"/>
                <w:szCs w:val="24"/>
                <w:highlight w:val="none"/>
              </w:rPr>
              <w:t>：</w:t>
            </w:r>
            <w:r>
              <w:rPr>
                <w:rFonts w:ascii="宋体" w:hAnsi="宋体" w:eastAsia="宋体" w:cs="宋体"/>
                <w:color w:val="auto"/>
                <w:sz w:val="24"/>
                <w:szCs w:val="24"/>
                <w:highlight w:val="none"/>
                <w:u w:val="single" w:color="auto"/>
              </w:rPr>
              <w:t xml:space="preserve"> </w:t>
            </w:r>
            <w:r>
              <w:rPr>
                <w:rFonts w:hint="eastAsia" w:cs="宋体"/>
                <w:color w:val="auto"/>
                <w:sz w:val="24"/>
                <w:szCs w:val="24"/>
                <w:highlight w:val="none"/>
                <w:u w:val="single" w:color="auto"/>
                <w:lang w:val="en-US" w:eastAsia="zh-CN"/>
              </w:rPr>
              <w:t xml:space="preserve"> 采购人</w:t>
            </w:r>
            <w:r>
              <w:rPr>
                <w:rFonts w:ascii="宋体" w:hAnsi="宋体" w:eastAsia="宋体" w:cs="宋体"/>
                <w:color w:val="auto"/>
                <w:sz w:val="24"/>
                <w:szCs w:val="24"/>
                <w:highlight w:val="none"/>
                <w:u w:val="single" w:color="auto"/>
              </w:rPr>
              <w:t xml:space="preserve">   </w:t>
            </w:r>
          </w:p>
          <w:p w14:paraId="7C3F0E79">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r>
              <w:rPr>
                <w:rFonts w:hint="eastAsia" w:cs="宋体"/>
                <w:color w:val="auto"/>
                <w:sz w:val="24"/>
                <w:szCs w:val="24"/>
                <w:highlight w:val="none"/>
                <w:u w:val="single" w:color="auto"/>
                <w:lang w:val="en-US" w:eastAsia="zh-CN"/>
              </w:rPr>
              <w:t>转账</w:t>
            </w:r>
            <w:r>
              <w:rPr>
                <w:rFonts w:ascii="宋体" w:hAnsi="宋体" w:eastAsia="宋体" w:cs="宋体"/>
                <w:color w:val="auto"/>
                <w:sz w:val="24"/>
                <w:szCs w:val="24"/>
                <w:highlight w:val="none"/>
                <w:u w:val="single" w:color="auto"/>
              </w:rPr>
              <w:t xml:space="preserve">     </w:t>
            </w:r>
          </w:p>
          <w:p w14:paraId="712D444A">
            <w:pPr>
              <w:pStyle w:val="75"/>
              <w:widowControl w:val="0"/>
              <w:spacing w:before="0" w:beforeAutospacing="0" w:after="0" w:afterAutospacing="0" w:line="360" w:lineRule="auto"/>
              <w:jc w:val="both"/>
              <w:rPr>
                <w:b w:val="0"/>
                <w:color w:val="auto"/>
                <w:sz w:val="24"/>
                <w:highlight w:val="none"/>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ascii="宋体" w:hAnsi="宋体" w:eastAsia="宋体" w:cs="宋体"/>
                <w:color w:val="auto"/>
                <w:sz w:val="24"/>
                <w:szCs w:val="24"/>
                <w:highlight w:val="none"/>
                <w:u w:val="single" w:color="auto"/>
              </w:rPr>
              <w:t xml:space="preserve"> </w:t>
            </w:r>
            <w:r>
              <w:rPr>
                <w:rFonts w:ascii="宋体" w:hAnsi="宋体" w:eastAsia="宋体" w:cs="宋体"/>
                <w:b w:val="0"/>
                <w:bCs w:val="0"/>
                <w:color w:val="auto"/>
                <w:sz w:val="24"/>
                <w:szCs w:val="24"/>
                <w:highlight w:val="none"/>
                <w:u w:val="single" w:color="auto"/>
                <w:lang w:val="en-US" w:eastAsia="zh-CN" w:bidi="ar-SA"/>
              </w:rPr>
              <w:t xml:space="preserve"> </w:t>
            </w:r>
            <w:r>
              <w:rPr>
                <w:rFonts w:hint="eastAsia" w:ascii="宋体" w:hAnsi="宋体" w:eastAsia="宋体" w:cs="宋体"/>
                <w:b w:val="0"/>
                <w:bCs w:val="0"/>
                <w:color w:val="auto"/>
                <w:sz w:val="24"/>
                <w:szCs w:val="24"/>
                <w:highlight w:val="none"/>
                <w:u w:val="single" w:color="auto"/>
                <w:lang w:val="en-US" w:eastAsia="zh-CN" w:bidi="ar-SA"/>
              </w:rPr>
              <w:t>双方约定为准</w:t>
            </w:r>
            <w:r>
              <w:rPr>
                <w:rFonts w:ascii="宋体" w:hAnsi="宋体" w:eastAsia="宋体" w:cs="宋体"/>
                <w:color w:val="auto"/>
                <w:sz w:val="24"/>
                <w:szCs w:val="24"/>
                <w:highlight w:val="none"/>
                <w:u w:val="single" w:color="auto"/>
              </w:rPr>
              <w:t xml:space="preserve">  </w:t>
            </w:r>
          </w:p>
        </w:tc>
      </w:tr>
      <w:tr w14:paraId="0A771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1" w:type="pct"/>
            <w:vAlign w:val="center"/>
          </w:tcPr>
          <w:p w14:paraId="03C88CB2">
            <w:pPr>
              <w:pStyle w:val="76"/>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.1</w:t>
            </w:r>
            <w:r>
              <w:rPr>
                <w:rFonts w:hint="eastAsia"/>
                <w:bCs/>
                <w:color w:val="auto"/>
                <w:kern w:val="2"/>
                <w:highlight w:val="none"/>
                <w:lang w:val="en-US" w:eastAsia="zh-CN"/>
              </w:rPr>
              <w:t>0</w:t>
            </w:r>
          </w:p>
        </w:tc>
        <w:tc>
          <w:tcPr>
            <w:tcW w:w="1060" w:type="pct"/>
            <w:vAlign w:val="center"/>
          </w:tcPr>
          <w:p w14:paraId="7CFC66ED">
            <w:pPr>
              <w:pStyle w:val="75"/>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其他补充说明</w:t>
            </w:r>
          </w:p>
        </w:tc>
        <w:tc>
          <w:tcPr>
            <w:tcW w:w="3418" w:type="pct"/>
            <w:vAlign w:val="center"/>
          </w:tcPr>
          <w:p w14:paraId="3B218CBE">
            <w:pPr>
              <w:numPr>
                <w:ilvl w:val="0"/>
                <w:numId w:val="0"/>
              </w:numPr>
              <w:spacing w:line="360" w:lineRule="auto"/>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lang w:val="en-US" w:eastAsia="zh-CN"/>
              </w:rPr>
              <w:t>1、解释权：</w:t>
            </w:r>
          </w:p>
          <w:p w14:paraId="0210FCE3">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构成本</w:t>
            </w:r>
            <w:r>
              <w:rPr>
                <w:rFonts w:hint="eastAsia" w:asciiTheme="minorEastAsia" w:hAnsiTheme="minorEastAsia" w:eastAsiaTheme="minorEastAsia"/>
                <w:bCs/>
                <w:color w:val="auto"/>
                <w:sz w:val="24"/>
                <w:szCs w:val="24"/>
                <w:highlight w:val="none"/>
              </w:rPr>
              <w:t>谈判</w:t>
            </w:r>
            <w:r>
              <w:rPr>
                <w:rFonts w:asciiTheme="minorEastAsia" w:hAnsiTheme="minorEastAsia" w:eastAsiaTheme="minorEastAsia"/>
                <w:bCs/>
                <w:color w:val="auto"/>
                <w:sz w:val="24"/>
                <w:szCs w:val="24"/>
                <w:highlight w:val="none"/>
              </w:rPr>
              <w:t>文件的各个组成文件应互为解释，互为说明；</w:t>
            </w:r>
          </w:p>
          <w:p w14:paraId="2466A324">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同一组成文件中就同一事项的规定或约定不一致的，以编排顺序在后者为准；</w:t>
            </w:r>
          </w:p>
          <w:p w14:paraId="6ABDEB89">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79A40EBC">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除</w:t>
            </w:r>
            <w:r>
              <w:rPr>
                <w:rFonts w:hint="eastAsia" w:asciiTheme="minorEastAsia" w:hAnsiTheme="minorEastAsia" w:eastAsiaTheme="minorEastAsia"/>
                <w:bCs/>
                <w:color w:val="auto"/>
                <w:sz w:val="24"/>
                <w:szCs w:val="24"/>
                <w:highlight w:val="none"/>
              </w:rPr>
              <w:t>谈判</w:t>
            </w:r>
            <w:r>
              <w:rPr>
                <w:rFonts w:asciiTheme="minorEastAsia" w:hAnsiTheme="minorEastAsia" w:eastAsiaTheme="minorEastAsia"/>
                <w:bCs/>
                <w:color w:val="auto"/>
                <w:sz w:val="24"/>
                <w:szCs w:val="24"/>
                <w:highlight w:val="none"/>
              </w:rPr>
              <w:t>文件中有特别规定外，仅适用于</w:t>
            </w:r>
            <w:r>
              <w:rPr>
                <w:rFonts w:hint="eastAsia" w:asciiTheme="minorEastAsia" w:hAnsiTheme="minorEastAsia" w:eastAsiaTheme="minorEastAsia"/>
                <w:bCs/>
                <w:color w:val="auto"/>
                <w:sz w:val="24"/>
                <w:szCs w:val="24"/>
                <w:highlight w:val="none"/>
              </w:rPr>
              <w:t>谈判及响应文件提交</w:t>
            </w:r>
            <w:r>
              <w:rPr>
                <w:rFonts w:asciiTheme="minorEastAsia" w:hAnsiTheme="minorEastAsia" w:eastAsiaTheme="minorEastAsia"/>
                <w:bCs/>
                <w:color w:val="auto"/>
                <w:sz w:val="24"/>
                <w:szCs w:val="24"/>
                <w:highlight w:val="none"/>
              </w:rPr>
              <w:t>阶段的规定，按</w:t>
            </w:r>
            <w:r>
              <w:rPr>
                <w:rFonts w:hint="eastAsia" w:asciiTheme="minorEastAsia" w:hAnsiTheme="minorEastAsia" w:eastAsiaTheme="minorEastAsia"/>
                <w:bCs/>
                <w:color w:val="auto"/>
                <w:sz w:val="24"/>
                <w:szCs w:val="24"/>
                <w:highlight w:val="none"/>
              </w:rPr>
              <w:t>竞争性谈判</w:t>
            </w:r>
            <w:r>
              <w:rPr>
                <w:rFonts w:asciiTheme="minorEastAsia" w:hAnsiTheme="minorEastAsia" w:eastAsiaTheme="minorEastAsia"/>
                <w:bCs/>
                <w:color w:val="auto"/>
                <w:sz w:val="24"/>
                <w:szCs w:val="24"/>
                <w:highlight w:val="none"/>
              </w:rPr>
              <w:t>公告、</w:t>
            </w:r>
            <w:r>
              <w:rPr>
                <w:rFonts w:hint="eastAsia" w:asciiTheme="minorEastAsia" w:hAnsiTheme="minorEastAsia" w:eastAsiaTheme="minorEastAsia"/>
                <w:bCs/>
                <w:color w:val="auto"/>
                <w:sz w:val="24"/>
                <w:szCs w:val="24"/>
                <w:highlight w:val="none"/>
              </w:rPr>
              <w:t>谈判邀请、供应商</w:t>
            </w:r>
            <w:r>
              <w:rPr>
                <w:rFonts w:asciiTheme="minorEastAsia" w:hAnsiTheme="minorEastAsia" w:eastAsiaTheme="minorEastAsia"/>
                <w:bCs/>
                <w:color w:val="auto"/>
                <w:sz w:val="24"/>
                <w:szCs w:val="24"/>
                <w:highlight w:val="none"/>
              </w:rPr>
              <w:t>须知、评</w:t>
            </w:r>
            <w:r>
              <w:rPr>
                <w:rFonts w:hint="eastAsia" w:asciiTheme="minorEastAsia" w:hAnsiTheme="minorEastAsia" w:eastAsiaTheme="minorEastAsia"/>
                <w:bCs/>
                <w:color w:val="auto"/>
                <w:sz w:val="24"/>
                <w:szCs w:val="24"/>
                <w:highlight w:val="none"/>
              </w:rPr>
              <w:t>审方</w:t>
            </w:r>
            <w:r>
              <w:rPr>
                <w:rFonts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响应</w:t>
            </w:r>
            <w:r>
              <w:rPr>
                <w:rFonts w:asciiTheme="minorEastAsia" w:hAnsiTheme="minorEastAsia" w:eastAsiaTheme="minorEastAsia"/>
                <w:bCs/>
                <w:color w:val="auto"/>
                <w:sz w:val="24"/>
                <w:szCs w:val="24"/>
                <w:highlight w:val="none"/>
              </w:rPr>
              <w:t>文件格式的先后顺序解释；</w:t>
            </w:r>
          </w:p>
          <w:p w14:paraId="0FC10CC6">
            <w:pPr>
              <w:pStyle w:val="75"/>
              <w:widowControl w:val="0"/>
              <w:spacing w:before="0" w:beforeAutospacing="0" w:after="0" w:afterAutospacing="0" w:line="360" w:lineRule="auto"/>
              <w:jc w:val="both"/>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（5）</w:t>
            </w:r>
            <w:r>
              <w:rPr>
                <w:rFonts w:asciiTheme="minorEastAsia" w:hAnsiTheme="minorEastAsia" w:eastAsiaTheme="minorEastAsia"/>
                <w:b w:val="0"/>
                <w:color w:val="auto"/>
                <w:sz w:val="24"/>
                <w:szCs w:val="24"/>
                <w:highlight w:val="none"/>
              </w:rPr>
              <w:t>按本款前述规定仍不能形成结论的，由</w:t>
            </w:r>
            <w:r>
              <w:rPr>
                <w:rFonts w:hint="eastAsia" w:asciiTheme="minorEastAsia" w:hAnsiTheme="minorEastAsia" w:eastAsiaTheme="minorEastAsia"/>
                <w:b w:val="0"/>
                <w:color w:val="auto"/>
                <w:sz w:val="24"/>
                <w:szCs w:val="24"/>
                <w:highlight w:val="none"/>
              </w:rPr>
              <w:t>采购</w:t>
            </w:r>
            <w:r>
              <w:rPr>
                <w:rFonts w:asciiTheme="minorEastAsia" w:hAnsiTheme="minorEastAsia" w:eastAsiaTheme="minorEastAsia"/>
                <w:b w:val="0"/>
                <w:color w:val="auto"/>
                <w:sz w:val="24"/>
                <w:szCs w:val="24"/>
                <w:highlight w:val="none"/>
              </w:rPr>
              <w:t>人负责解释。</w:t>
            </w:r>
          </w:p>
          <w:p w14:paraId="3A75D2FC">
            <w:pPr>
              <w:pStyle w:val="75"/>
              <w:widowControl w:val="0"/>
              <w:spacing w:before="0" w:beforeAutospacing="0" w:after="0" w:afterAutospacing="0" w:line="360" w:lineRule="auto"/>
              <w:jc w:val="both"/>
              <w:rPr>
                <w:rFonts w:hint="eastAsia"/>
                <w:b w:val="0"/>
                <w:color w:val="auto"/>
                <w:sz w:val="24"/>
                <w:highlight w:val="none"/>
              </w:rPr>
            </w:pPr>
            <w:r>
              <w:rPr>
                <w:rFonts w:hint="eastAsia"/>
                <w:b w:val="0"/>
                <w:color w:val="auto"/>
                <w:sz w:val="24"/>
                <w:highlight w:val="none"/>
                <w:lang w:val="en-US" w:eastAsia="zh-CN"/>
              </w:rPr>
              <w:t>2、</w:t>
            </w:r>
            <w:r>
              <w:rPr>
                <w:rFonts w:hint="eastAsia"/>
                <w:b w:val="0"/>
                <w:color w:val="auto"/>
                <w:sz w:val="24"/>
                <w:highlight w:val="none"/>
              </w:rPr>
              <w:t>“政采贷”融资指引：有融资需求的供应商在取得政府采购中标或成交通知书后，可访问安徽省政府采购网“政采贷”栏目，查看和联系第三方平台或者金融机构，商洽融资事项，确定融资意向。供应商签署政府采购中标（成交）合同后，登录“徽采云”金融服务模块，选择意向产品进行申请，并填写相关信息，“徽采云”金融服务模块将供应商融资申请信息推送第三方平台、意向金融机构。</w:t>
            </w:r>
          </w:p>
          <w:p w14:paraId="4126B195">
            <w:pPr>
              <w:pStyle w:val="51"/>
              <w:keepNext w:val="0"/>
              <w:keepLines w:val="0"/>
              <w:widowControl w:val="0"/>
              <w:suppressLineNumbers w:val="0"/>
              <w:spacing w:before="0" w:beforeAutospacing="0" w:after="0" w:afterAutospacing="0" w:line="360" w:lineRule="auto"/>
              <w:ind w:left="0" w:right="0"/>
              <w:jc w:val="both"/>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3、电子保函指引：成交供应商可访问安徽省政府采购网“融资/保函”栏目，申请办理电子保函（包括：履约保函、预付款保函）。</w:t>
            </w:r>
          </w:p>
          <w:p w14:paraId="07F5CC6F">
            <w:pPr>
              <w:pStyle w:val="51"/>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val="0"/>
                <w:bCs/>
                <w:color w:val="auto"/>
                <w:kern w:val="2"/>
                <w:sz w:val="24"/>
                <w:szCs w:val="24"/>
                <w:highlight w:val="none"/>
              </w:rPr>
            </w:pPr>
            <w:r>
              <w:rPr>
                <w:rFonts w:hint="eastAsia" w:cs="@仿宋_GB2312" w:asciiTheme="minorEastAsia" w:hAnsiTheme="minorEastAsia" w:eastAsiaTheme="minorEastAsia"/>
                <w:b w:val="0"/>
                <w:bCs/>
                <w:color w:val="auto"/>
                <w:kern w:val="2"/>
                <w:sz w:val="24"/>
                <w:szCs w:val="24"/>
                <w:highlight w:val="none"/>
                <w:lang w:val="en-US" w:eastAsia="zh-CN" w:bidi="ar-SA"/>
              </w:rPr>
              <w:t>4.</w:t>
            </w:r>
            <w:r>
              <w:rPr>
                <w:rFonts w:hint="eastAsia" w:ascii="宋体" w:hAnsi="宋体" w:eastAsia="宋体" w:cs="宋体"/>
                <w:b w:val="0"/>
                <w:bCs/>
                <w:color w:val="auto"/>
                <w:kern w:val="2"/>
                <w:sz w:val="24"/>
                <w:szCs w:val="24"/>
                <w:highlight w:val="none"/>
                <w:lang w:val="en-US" w:eastAsia="zh-CN" w:bidi="ar"/>
              </w:rPr>
              <w:t>部分可提供线下政采贷的金融机构：</w:t>
            </w:r>
          </w:p>
          <w:p w14:paraId="13ADF6DD">
            <w:pPr>
              <w:pStyle w:val="75"/>
              <w:widowControl w:val="0"/>
              <w:spacing w:before="0" w:beforeAutospacing="0" w:after="0" w:afterAutospacing="0" w:line="360" w:lineRule="auto"/>
              <w:jc w:val="both"/>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市本级</w:t>
            </w:r>
          </w:p>
          <w:p w14:paraId="27C30BD5">
            <w:pPr>
              <w:pStyle w:val="75"/>
              <w:widowControl w:val="0"/>
              <w:spacing w:before="0" w:beforeAutospacing="0" w:after="0" w:afterAutospacing="0" w:line="360" w:lineRule="auto"/>
              <w:jc w:val="both"/>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金融机构名称：兴业银行滁州分行</w:t>
            </w:r>
          </w:p>
          <w:p w14:paraId="2200500E">
            <w:pPr>
              <w:pStyle w:val="75"/>
              <w:widowControl w:val="0"/>
              <w:spacing w:before="0" w:beforeAutospacing="0" w:after="0" w:afterAutospacing="0" w:line="360" w:lineRule="auto"/>
              <w:jc w:val="both"/>
              <w:rPr>
                <w:rFonts w:hint="eastAsia" w:asciiTheme="minorEastAsia" w:hAnsiTheme="minorEastAsia" w:eastAsiaTheme="minorEastAsia" w:cstheme="minorBidi"/>
                <w:b w:val="0"/>
                <w:bCs/>
                <w:color w:val="auto"/>
                <w:sz w:val="24"/>
                <w:szCs w:val="24"/>
                <w:highlight w:val="none"/>
                <w:lang w:val="en-US" w:eastAsia="zh-CN" w:bidi="ar-SA"/>
              </w:rPr>
            </w:pPr>
            <w:r>
              <w:rPr>
                <w:rFonts w:hint="eastAsia" w:asciiTheme="minorEastAsia" w:hAnsiTheme="minorEastAsia" w:eastAsiaTheme="minorEastAsia" w:cstheme="minorBidi"/>
                <w:b w:val="0"/>
                <w:bCs/>
                <w:color w:val="auto"/>
                <w:sz w:val="24"/>
                <w:szCs w:val="24"/>
                <w:highlight w:val="none"/>
                <w:lang w:val="en-US" w:eastAsia="zh-CN" w:bidi="ar-SA"/>
              </w:rPr>
              <w:t>安徽省滁州市琅琊区丰乐大道1090号</w:t>
            </w:r>
          </w:p>
          <w:p w14:paraId="5E3B9DC6">
            <w:pPr>
              <w:pStyle w:val="75"/>
              <w:widowControl w:val="0"/>
              <w:numPr>
                <w:ilvl w:val="0"/>
                <w:numId w:val="0"/>
              </w:numPr>
              <w:spacing w:before="0" w:beforeAutospacing="0" w:after="0" w:afterAutospacing="0" w:line="360" w:lineRule="auto"/>
              <w:jc w:val="both"/>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cstheme="minorBidi"/>
                <w:b w:val="0"/>
                <w:bCs/>
                <w:color w:val="auto"/>
                <w:sz w:val="24"/>
                <w:szCs w:val="24"/>
                <w:highlight w:val="none"/>
                <w:lang w:val="en-US" w:eastAsia="zh-CN" w:bidi="ar-SA"/>
              </w:rPr>
              <w:t>伏庚：17755080811</w:t>
            </w:r>
          </w:p>
        </w:tc>
      </w:tr>
      <w:tr w14:paraId="0C91C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1" w:type="pct"/>
            <w:vAlign w:val="center"/>
          </w:tcPr>
          <w:p w14:paraId="77D49164">
            <w:pPr>
              <w:pStyle w:val="76"/>
              <w:pBdr>
                <w:bottom w:val="none" w:color="auto" w:sz="0" w:space="0"/>
              </w:pBdr>
              <w:tabs>
                <w:tab w:val="clear" w:pos="4153"/>
                <w:tab w:val="clear" w:pos="8306"/>
              </w:tabs>
              <w:adjustRightInd/>
              <w:spacing w:line="360" w:lineRule="auto"/>
              <w:textAlignment w:val="auto"/>
              <w:rPr>
                <w:rFonts w:hint="default" w:eastAsia="宋体"/>
                <w:bCs/>
                <w:color w:val="auto"/>
                <w:kern w:val="2"/>
                <w:highlight w:val="none"/>
                <w:lang w:val="en-US" w:eastAsia="zh-CN"/>
              </w:rPr>
            </w:pPr>
            <w:r>
              <w:rPr>
                <w:rFonts w:hint="eastAsia"/>
                <w:bCs/>
                <w:color w:val="auto"/>
                <w:kern w:val="2"/>
                <w:highlight w:val="none"/>
                <w:lang w:val="en-US" w:eastAsia="zh-CN"/>
              </w:rPr>
              <w:t>30.11</w:t>
            </w:r>
          </w:p>
        </w:tc>
        <w:tc>
          <w:tcPr>
            <w:tcW w:w="1060" w:type="pct"/>
            <w:vAlign w:val="center"/>
          </w:tcPr>
          <w:p w14:paraId="2E90DB9F">
            <w:pPr>
              <w:pStyle w:val="75"/>
              <w:widowControl w:val="0"/>
              <w:spacing w:before="0" w:beforeAutospacing="0" w:after="0" w:afterAutospacing="0" w:line="360" w:lineRule="auto"/>
              <w:jc w:val="both"/>
              <w:rPr>
                <w:rFonts w:hint="default" w:eastAsia="宋体"/>
                <w:b w:val="0"/>
                <w:color w:val="auto"/>
                <w:sz w:val="24"/>
                <w:highlight w:val="none"/>
                <w:lang w:val="en-US" w:eastAsia="zh-CN"/>
              </w:rPr>
            </w:pPr>
            <w:r>
              <w:rPr>
                <w:rFonts w:hint="eastAsia"/>
                <w:b w:val="0"/>
                <w:color w:val="auto"/>
                <w:sz w:val="24"/>
                <w:highlight w:val="none"/>
                <w:lang w:val="en-US" w:eastAsia="zh-CN"/>
              </w:rPr>
              <w:t>特别提示</w:t>
            </w:r>
          </w:p>
        </w:tc>
        <w:tc>
          <w:tcPr>
            <w:tcW w:w="3418" w:type="pct"/>
            <w:vAlign w:val="center"/>
          </w:tcPr>
          <w:p w14:paraId="12108A83">
            <w:pPr>
              <w:pStyle w:val="7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jc w:val="both"/>
              <w:textAlignment w:val="auto"/>
              <w:rPr>
                <w:rFonts w:hint="eastAsia" w:cs="@仿宋_GB2312" w:asciiTheme="minorEastAsia" w:hAnsiTheme="minorEastAsia" w:eastAsiaTheme="minorEastAsia"/>
                <w:b w:val="0"/>
                <w:bCs/>
                <w:color w:val="auto"/>
                <w:kern w:val="2"/>
                <w:sz w:val="24"/>
                <w:szCs w:val="24"/>
                <w:highlight w:val="none"/>
                <w:u w:val="none"/>
                <w:lang w:val="en-US" w:eastAsia="zh-CN" w:bidi="ar-SA"/>
              </w:rPr>
            </w:pPr>
            <w:r>
              <w:rPr>
                <w:rFonts w:hint="eastAsia" w:cs="@仿宋_GB2312" w:asciiTheme="minorEastAsia" w:hAnsiTheme="minorEastAsia" w:eastAsiaTheme="minorEastAsia"/>
                <w:b w:val="0"/>
                <w:bCs/>
                <w:color w:val="auto"/>
                <w:kern w:val="2"/>
                <w:sz w:val="24"/>
                <w:szCs w:val="24"/>
                <w:highlight w:val="none"/>
                <w:u w:val="none"/>
                <w:lang w:val="en-US" w:eastAsia="zh-CN" w:bidi="ar-SA"/>
              </w:rPr>
              <w:t>（1）供应商应填写信息并下载谈判文件，否则无法上传响应文件。注：供应商如为联合体的,牵头人必须填写信息（信息包括联合体所有成员信息)并下载谈判文件。</w:t>
            </w:r>
          </w:p>
          <w:p w14:paraId="63EA8853">
            <w:pPr>
              <w:pStyle w:val="7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jc w:val="both"/>
              <w:textAlignment w:val="auto"/>
              <w:rPr>
                <w:rFonts w:hint="eastAsia" w:cs="@仿宋_GB2312" w:asciiTheme="minorEastAsia" w:hAnsiTheme="minorEastAsia" w:eastAsiaTheme="minorEastAsia"/>
                <w:b w:val="0"/>
                <w:bCs/>
                <w:color w:val="auto"/>
                <w:kern w:val="2"/>
                <w:sz w:val="24"/>
                <w:szCs w:val="24"/>
                <w:highlight w:val="none"/>
                <w:u w:val="none"/>
                <w:lang w:val="en-US" w:eastAsia="zh-CN" w:bidi="ar-SA"/>
              </w:rPr>
            </w:pPr>
            <w:r>
              <w:rPr>
                <w:rFonts w:hint="eastAsia" w:cs="@仿宋_GB2312" w:asciiTheme="minorEastAsia" w:hAnsiTheme="minorEastAsia" w:eastAsiaTheme="minorEastAsia"/>
                <w:b w:val="0"/>
                <w:bCs/>
                <w:color w:val="auto"/>
                <w:kern w:val="2"/>
                <w:sz w:val="24"/>
                <w:szCs w:val="24"/>
                <w:highlight w:val="none"/>
                <w:u w:val="none"/>
                <w:lang w:val="en-US" w:eastAsia="zh-CN" w:bidi="ar-SA"/>
              </w:rPr>
              <w:t>（2）本项目采用电子招标投标，请供应商在滁州市公共资源交易中心网&gt;服务指南&gt;软件下载栏目点击下载投标文件制作工具。供应商需采用最新版投标文件制作工具。软件运行需在国际互联网络通畅状态，供应商需注意更新，以免造成响应文件制作错误，如因此导致谈判小组否决其参与资格，责任自负。如有技术问题请联系0550-3801701，4009980000。</w:t>
            </w:r>
          </w:p>
          <w:p w14:paraId="755CA8EA">
            <w:pPr>
              <w:pStyle w:val="7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jc w:val="both"/>
              <w:textAlignment w:val="auto"/>
              <w:rPr>
                <w:rFonts w:hint="eastAsia" w:cs="@仿宋_GB2312" w:asciiTheme="minorEastAsia" w:hAnsiTheme="minorEastAsia" w:eastAsiaTheme="minorEastAsia"/>
                <w:b w:val="0"/>
                <w:bCs/>
                <w:color w:val="auto"/>
                <w:kern w:val="2"/>
                <w:sz w:val="24"/>
                <w:szCs w:val="24"/>
                <w:highlight w:val="none"/>
                <w:u w:val="none"/>
                <w:lang w:val="en-US" w:eastAsia="zh-CN" w:bidi="ar-SA"/>
              </w:rPr>
            </w:pPr>
            <w:r>
              <w:rPr>
                <w:rFonts w:hint="eastAsia" w:cs="@仿宋_GB2312" w:asciiTheme="minorEastAsia" w:hAnsiTheme="minorEastAsia" w:eastAsiaTheme="minorEastAsia"/>
                <w:b w:val="0"/>
                <w:bCs/>
                <w:color w:val="auto"/>
                <w:kern w:val="2"/>
                <w:sz w:val="24"/>
                <w:szCs w:val="24"/>
                <w:highlight w:val="none"/>
                <w:u w:val="none"/>
                <w:lang w:val="en-US" w:eastAsia="zh-CN" w:bidi="ar-SA"/>
              </w:rPr>
              <w:t>（3）如果过程中出现谈判文件更改，应以最后发布的答疑澄清文件中的模板制作本项目最新响应文件。</w:t>
            </w:r>
          </w:p>
          <w:p w14:paraId="0DA674F4">
            <w:pPr>
              <w:pStyle w:val="7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jc w:val="both"/>
              <w:textAlignment w:val="auto"/>
              <w:rPr>
                <w:rFonts w:hint="eastAsia" w:cs="@仿宋_GB2312" w:asciiTheme="minorEastAsia" w:hAnsiTheme="minorEastAsia" w:eastAsiaTheme="minorEastAsia"/>
                <w:b w:val="0"/>
                <w:bCs/>
                <w:color w:val="auto"/>
                <w:kern w:val="2"/>
                <w:sz w:val="24"/>
                <w:szCs w:val="24"/>
                <w:highlight w:val="none"/>
                <w:u w:val="none"/>
                <w:lang w:val="en-US" w:eastAsia="zh-CN" w:bidi="ar-SA"/>
              </w:rPr>
            </w:pPr>
            <w:r>
              <w:rPr>
                <w:rFonts w:hint="eastAsia" w:cs="@仿宋_GB2312" w:asciiTheme="minorEastAsia" w:hAnsiTheme="minorEastAsia" w:eastAsiaTheme="minorEastAsia"/>
                <w:b w:val="0"/>
                <w:bCs/>
                <w:color w:val="auto"/>
                <w:kern w:val="2"/>
                <w:sz w:val="24"/>
                <w:szCs w:val="24"/>
                <w:highlight w:val="none"/>
                <w:u w:val="none"/>
                <w:lang w:val="en-US" w:eastAsia="zh-CN" w:bidi="ar-SA"/>
              </w:rPr>
              <w:t xml:space="preserve">（4）供应商应当用本单位CA数字证书制作响应文件，制作成功后进行响应文件上传。 </w:t>
            </w:r>
          </w:p>
          <w:p w14:paraId="4DF7CEA1">
            <w:pPr>
              <w:pStyle w:val="7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jc w:val="both"/>
              <w:textAlignment w:val="auto"/>
              <w:rPr>
                <w:rFonts w:hint="eastAsia" w:cs="@仿宋_GB2312" w:asciiTheme="minorEastAsia" w:hAnsiTheme="minorEastAsia" w:eastAsiaTheme="minorEastAsia"/>
                <w:b w:val="0"/>
                <w:bCs/>
                <w:color w:val="auto"/>
                <w:kern w:val="2"/>
                <w:sz w:val="24"/>
                <w:szCs w:val="24"/>
                <w:highlight w:val="none"/>
                <w:u w:val="none"/>
                <w:lang w:val="en-US" w:eastAsia="zh-CN" w:bidi="ar-SA"/>
              </w:rPr>
            </w:pPr>
            <w:r>
              <w:rPr>
                <w:rFonts w:hint="eastAsia" w:cs="@仿宋_GB2312" w:asciiTheme="minorEastAsia" w:hAnsiTheme="minorEastAsia" w:eastAsiaTheme="minorEastAsia"/>
                <w:b w:val="0"/>
                <w:bCs/>
                <w:color w:val="auto"/>
                <w:kern w:val="2"/>
                <w:sz w:val="24"/>
                <w:szCs w:val="24"/>
                <w:highlight w:val="none"/>
                <w:u w:val="none"/>
                <w:lang w:val="en-US" w:eastAsia="zh-CN" w:bidi="ar-SA"/>
              </w:rPr>
              <w:t>（5）供应商须用CA数字证书盖章和加密响应文件，建议使用主锁。（如未办理CA数字证书请及时办理，网上办理和窗口办理均可。查看办理所需资料请登录滁州市公共资源交易中心网&gt;服务指南&gt;办事指南&gt;CA数字证书和电子签章。因未及时办理CA数字证书手续导致无法投标的，责任自负。</w:t>
            </w:r>
          </w:p>
          <w:p w14:paraId="1107947F">
            <w:pPr>
              <w:pStyle w:val="7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jc w:val="both"/>
              <w:textAlignment w:val="auto"/>
              <w:rPr>
                <w:rFonts w:hint="eastAsia" w:cs="@仿宋_GB2312" w:asciiTheme="minorEastAsia" w:hAnsiTheme="minorEastAsia" w:eastAsiaTheme="minorEastAsia"/>
                <w:b w:val="0"/>
                <w:bCs/>
                <w:color w:val="auto"/>
                <w:kern w:val="2"/>
                <w:sz w:val="24"/>
                <w:szCs w:val="24"/>
                <w:highlight w:val="none"/>
                <w:u w:val="none"/>
                <w:lang w:val="en-US" w:eastAsia="zh-CN" w:bidi="ar-SA"/>
              </w:rPr>
            </w:pPr>
            <w:r>
              <w:rPr>
                <w:rFonts w:hint="eastAsia" w:cs="@仿宋_GB2312" w:asciiTheme="minorEastAsia" w:hAnsiTheme="minorEastAsia" w:eastAsiaTheme="minorEastAsia"/>
                <w:b w:val="0"/>
                <w:bCs/>
                <w:color w:val="auto"/>
                <w:kern w:val="2"/>
                <w:sz w:val="24"/>
                <w:szCs w:val="24"/>
                <w:highlight w:val="none"/>
                <w:u w:val="none"/>
                <w:lang w:val="en-US" w:eastAsia="zh-CN" w:bidi="ar-SA"/>
              </w:rPr>
              <w:t>（6）请供应商注意加密响应文件CA数字证书的有效期，不在有效期的CA数字证书无法解密响应文件。</w:t>
            </w:r>
          </w:p>
          <w:p w14:paraId="272FD669">
            <w:pPr>
              <w:pStyle w:val="7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jc w:val="both"/>
              <w:textAlignment w:val="auto"/>
              <w:rPr>
                <w:rFonts w:hint="eastAsia" w:cs="@仿宋_GB2312" w:asciiTheme="minorEastAsia" w:hAnsiTheme="minorEastAsia" w:eastAsiaTheme="minorEastAsia"/>
                <w:b w:val="0"/>
                <w:bCs/>
                <w:color w:val="auto"/>
                <w:kern w:val="2"/>
                <w:sz w:val="24"/>
                <w:szCs w:val="24"/>
                <w:highlight w:val="none"/>
                <w:u w:val="none"/>
                <w:lang w:val="en-US" w:eastAsia="zh-CN" w:bidi="ar-SA"/>
              </w:rPr>
            </w:pPr>
            <w:r>
              <w:rPr>
                <w:rFonts w:hint="eastAsia" w:cs="@仿宋_GB2312" w:asciiTheme="minorEastAsia" w:hAnsiTheme="minorEastAsia" w:eastAsiaTheme="minorEastAsia"/>
                <w:b w:val="0"/>
                <w:bCs/>
                <w:color w:val="auto"/>
                <w:kern w:val="2"/>
                <w:sz w:val="24"/>
                <w:szCs w:val="24"/>
                <w:highlight w:val="none"/>
                <w:u w:val="none"/>
                <w:lang w:val="en-US" w:eastAsia="zh-CN" w:bidi="ar-SA"/>
              </w:rPr>
              <w:t>（7）供应商投标MAC地址或供应商联系人或联系电话相同的，由谈判小组否决其资格，并报告监管部门作不良行为处理和进一步调查。</w:t>
            </w:r>
          </w:p>
          <w:p w14:paraId="452318A6">
            <w:pPr>
              <w:pStyle w:val="7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jc w:val="both"/>
              <w:textAlignment w:val="auto"/>
              <w:rPr>
                <w:rFonts w:hint="eastAsia" w:cs="@仿宋_GB2312" w:asciiTheme="minorEastAsia" w:hAnsiTheme="minorEastAsia" w:eastAsiaTheme="minorEastAsia"/>
                <w:b w:val="0"/>
                <w:bCs/>
                <w:color w:val="auto"/>
                <w:kern w:val="2"/>
                <w:sz w:val="24"/>
                <w:szCs w:val="24"/>
                <w:highlight w:val="none"/>
                <w:u w:val="none"/>
                <w:lang w:val="en-US" w:eastAsia="zh-CN" w:bidi="ar-SA"/>
              </w:rPr>
            </w:pPr>
            <w:r>
              <w:rPr>
                <w:rFonts w:hint="eastAsia" w:cs="@仿宋_GB2312" w:asciiTheme="minorEastAsia" w:hAnsiTheme="minorEastAsia" w:eastAsiaTheme="minorEastAsia"/>
                <w:b w:val="0"/>
                <w:bCs/>
                <w:color w:val="auto"/>
                <w:kern w:val="2"/>
                <w:sz w:val="24"/>
                <w:szCs w:val="24"/>
                <w:highlight w:val="none"/>
                <w:u w:val="none"/>
                <w:lang w:val="en-US" w:eastAsia="zh-CN" w:bidi="ar-SA"/>
              </w:rPr>
              <w:t>（8）供应商单方面出现其他供应商材料的（组成联合体响应的除外），由谈判小组否决其响应。</w:t>
            </w:r>
          </w:p>
          <w:p w14:paraId="3023CB90">
            <w:pPr>
              <w:pStyle w:val="7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jc w:val="both"/>
              <w:textAlignment w:val="auto"/>
              <w:rPr>
                <w:rFonts w:hint="eastAsia" w:cs="@仿宋_GB2312" w:asciiTheme="minorEastAsia" w:hAnsiTheme="minorEastAsia" w:eastAsiaTheme="minorEastAsia"/>
                <w:b w:val="0"/>
                <w:bCs/>
                <w:color w:val="auto"/>
                <w:kern w:val="2"/>
                <w:sz w:val="24"/>
                <w:szCs w:val="24"/>
                <w:highlight w:val="none"/>
                <w:u w:val="none"/>
                <w:lang w:val="en-US" w:eastAsia="zh-CN" w:bidi="ar-SA"/>
              </w:rPr>
            </w:pPr>
            <w:r>
              <w:rPr>
                <w:rFonts w:hint="eastAsia" w:cs="@仿宋_GB2312" w:asciiTheme="minorEastAsia" w:hAnsiTheme="minorEastAsia" w:eastAsiaTheme="minorEastAsia"/>
                <w:b w:val="0"/>
                <w:bCs/>
                <w:color w:val="auto"/>
                <w:kern w:val="2"/>
                <w:sz w:val="24"/>
                <w:szCs w:val="24"/>
                <w:highlight w:val="none"/>
                <w:u w:val="none"/>
                <w:lang w:val="en-US" w:eastAsia="zh-CN" w:bidi="ar-SA"/>
              </w:rPr>
              <w:t>（9）评审时查询响应文件制作机器码、文件创建标识码及造价软件加密锁号。若存在响应文件制作机器码或创建标识码或造价软件加密锁号信息与其他供应商雷同的，由谈判小组否决其资格，依法依规予以处理。</w:t>
            </w:r>
          </w:p>
          <w:p w14:paraId="35B9C321">
            <w:pPr>
              <w:pStyle w:val="7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Theme="minorEastAsia" w:hAnsiTheme="minorEastAsia" w:eastAsiaTheme="minorEastAsia"/>
                <w:b w:val="0"/>
                <w:color w:val="auto"/>
                <w:sz w:val="24"/>
                <w:szCs w:val="24"/>
                <w:highlight w:val="none"/>
              </w:rPr>
            </w:pPr>
            <w:r>
              <w:rPr>
                <w:rFonts w:hint="eastAsia" w:cs="@仿宋_GB2312" w:asciiTheme="minorEastAsia" w:hAnsiTheme="minorEastAsia" w:eastAsiaTheme="minorEastAsia"/>
                <w:b w:val="0"/>
                <w:bCs/>
                <w:color w:val="auto"/>
                <w:kern w:val="2"/>
                <w:sz w:val="24"/>
                <w:szCs w:val="24"/>
                <w:highlight w:val="none"/>
                <w:u w:val="none"/>
                <w:lang w:val="en-US" w:eastAsia="zh-CN" w:bidi="ar-SA"/>
              </w:rPr>
              <w:t>（10）电子加密响应文件上传到系统后，需要供应商和代理公司到响应文件提交截止后共同解锁，不存在商务报价等信息通过系统泄密的风险；响应文件提交截止时间前，已上传的响应文件也可以撤回修改。集中到响应文件提交截止时间前上传电子加密响应文件，可能出现由于供应商制作电子响应文件不熟练、网络拥堵等不可预知的情况而且无法及时解决，丧失响应机会，请各供应商提前制作、上传电子加密响应文件，否则由于无法及时上传电子加密响应文件而无效响应的情况，责任自负！</w:t>
            </w:r>
          </w:p>
        </w:tc>
      </w:tr>
      <w:tr w14:paraId="6352E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1" w:type="pct"/>
            <w:vAlign w:val="center"/>
          </w:tcPr>
          <w:p w14:paraId="3108C267">
            <w:pPr>
              <w:pStyle w:val="76"/>
              <w:pBdr>
                <w:bottom w:val="none" w:color="auto" w:sz="0" w:space="0"/>
              </w:pBdr>
              <w:tabs>
                <w:tab w:val="clear" w:pos="4153"/>
                <w:tab w:val="clear" w:pos="8306"/>
              </w:tabs>
              <w:adjustRightInd/>
              <w:spacing w:line="360" w:lineRule="auto"/>
              <w:textAlignment w:val="auto"/>
              <w:rPr>
                <w:rFonts w:hint="default"/>
                <w:bCs/>
                <w:color w:val="auto"/>
                <w:kern w:val="2"/>
                <w:highlight w:val="none"/>
                <w:lang w:val="en-US" w:eastAsia="zh-CN"/>
              </w:rPr>
            </w:pPr>
            <w:r>
              <w:rPr>
                <w:rFonts w:hint="eastAsia"/>
                <w:bCs/>
                <w:color w:val="auto"/>
                <w:kern w:val="2"/>
                <w:highlight w:val="none"/>
                <w:lang w:val="en-US" w:eastAsia="zh-CN"/>
              </w:rPr>
              <w:t>30.12</w:t>
            </w:r>
          </w:p>
        </w:tc>
        <w:tc>
          <w:tcPr>
            <w:tcW w:w="1060" w:type="pct"/>
            <w:vAlign w:val="center"/>
          </w:tcPr>
          <w:p w14:paraId="2C879F1B">
            <w:pPr>
              <w:pStyle w:val="75"/>
              <w:widowControl w:val="0"/>
              <w:spacing w:before="0" w:beforeAutospacing="0" w:after="0" w:afterAutospacing="0" w:line="360" w:lineRule="auto"/>
              <w:jc w:val="both"/>
              <w:rPr>
                <w:rFonts w:hint="eastAsia"/>
                <w:b w:val="0"/>
                <w:color w:val="auto"/>
                <w:sz w:val="24"/>
                <w:highlight w:val="none"/>
                <w:lang w:val="en-US" w:eastAsia="zh-CN"/>
              </w:rPr>
            </w:pPr>
            <w:r>
              <w:rPr>
                <w:rFonts w:hint="eastAsia"/>
                <w:b w:val="0"/>
                <w:color w:val="auto"/>
                <w:sz w:val="24"/>
                <w:highlight w:val="none"/>
                <w:lang w:val="en-US" w:eastAsia="zh-CN"/>
              </w:rPr>
              <w:t>评审过程中</w:t>
            </w:r>
          </w:p>
          <w:p w14:paraId="3FA27498">
            <w:pPr>
              <w:pStyle w:val="75"/>
              <w:widowControl w:val="0"/>
              <w:spacing w:before="0" w:beforeAutospacing="0" w:after="0" w:afterAutospacing="0" w:line="360" w:lineRule="auto"/>
              <w:jc w:val="both"/>
              <w:rPr>
                <w:rFonts w:hint="eastAsia"/>
                <w:b w:val="0"/>
                <w:color w:val="auto"/>
                <w:sz w:val="24"/>
                <w:highlight w:val="none"/>
                <w:lang w:val="en-US" w:eastAsia="zh-CN"/>
              </w:rPr>
            </w:pPr>
            <w:r>
              <w:rPr>
                <w:rFonts w:hint="eastAsia"/>
                <w:b w:val="0"/>
                <w:color w:val="auto"/>
                <w:sz w:val="24"/>
                <w:highlight w:val="none"/>
                <w:lang w:val="en-US" w:eastAsia="zh-CN"/>
              </w:rPr>
              <w:t>的澄清、说明</w:t>
            </w:r>
          </w:p>
          <w:p w14:paraId="74E7CA99">
            <w:pPr>
              <w:pStyle w:val="75"/>
              <w:widowControl w:val="0"/>
              <w:spacing w:before="0" w:beforeAutospacing="0" w:after="0" w:afterAutospacing="0" w:line="360" w:lineRule="auto"/>
              <w:jc w:val="both"/>
              <w:rPr>
                <w:rFonts w:hint="eastAsia"/>
                <w:b w:val="0"/>
                <w:color w:val="auto"/>
                <w:sz w:val="24"/>
                <w:highlight w:val="none"/>
                <w:lang w:val="en-US" w:eastAsia="zh-CN"/>
              </w:rPr>
            </w:pPr>
            <w:r>
              <w:rPr>
                <w:rFonts w:hint="eastAsia"/>
                <w:b w:val="0"/>
                <w:color w:val="auto"/>
                <w:sz w:val="24"/>
                <w:highlight w:val="none"/>
                <w:lang w:val="en-US" w:eastAsia="zh-CN"/>
              </w:rPr>
              <w:t>或补正</w:t>
            </w:r>
          </w:p>
        </w:tc>
        <w:tc>
          <w:tcPr>
            <w:tcW w:w="3418" w:type="pct"/>
            <w:vAlign w:val="center"/>
          </w:tcPr>
          <w:p w14:paraId="6EE9D627">
            <w:pPr>
              <w:pStyle w:val="7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jc w:val="both"/>
              <w:textAlignment w:val="auto"/>
              <w:rPr>
                <w:rFonts w:hint="eastAsia" w:cs="@仿宋_GB2312" w:asciiTheme="minorEastAsia" w:hAnsiTheme="minorEastAsia" w:eastAsiaTheme="minorEastAsia"/>
                <w:b w:val="0"/>
                <w:bCs/>
                <w:color w:val="auto"/>
                <w:kern w:val="2"/>
                <w:sz w:val="24"/>
                <w:szCs w:val="24"/>
                <w:highlight w:val="none"/>
                <w:u w:val="none"/>
                <w:lang w:val="en-US" w:eastAsia="zh-CN" w:bidi="ar-SA"/>
              </w:rPr>
            </w:pPr>
            <w:r>
              <w:rPr>
                <w:rFonts w:hint="eastAsia" w:cs="@仿宋_GB2312" w:asciiTheme="minorEastAsia" w:hAnsiTheme="minorEastAsia" w:eastAsiaTheme="minorEastAsia"/>
                <w:b w:val="0"/>
                <w:bCs/>
                <w:color w:val="auto"/>
                <w:kern w:val="2"/>
                <w:sz w:val="24"/>
                <w:szCs w:val="24"/>
                <w:highlight w:val="none"/>
                <w:u w:val="none"/>
                <w:lang w:val="en-US" w:eastAsia="zh-CN" w:bidi="ar-SA"/>
              </w:rPr>
              <w:t>（1）谈判小组通过网上招投标系统将需要澄清、说明或补正的内容以询标函的形式发送给供应商，供应商应安排专人登录网上招投标系统并保持在线状态，并确保联系方式有效，以便及时接收谈判小组可能发出的询标函。</w:t>
            </w:r>
          </w:p>
          <w:p w14:paraId="16D0ED7D">
            <w:pPr>
              <w:pStyle w:val="7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jc w:val="both"/>
              <w:textAlignment w:val="auto"/>
              <w:rPr>
                <w:rFonts w:hint="eastAsia" w:cs="@仿宋_GB2312" w:asciiTheme="minorEastAsia" w:hAnsiTheme="minorEastAsia" w:eastAsiaTheme="minorEastAsia"/>
                <w:b w:val="0"/>
                <w:bCs/>
                <w:color w:val="auto"/>
                <w:kern w:val="2"/>
                <w:sz w:val="24"/>
                <w:szCs w:val="24"/>
                <w:highlight w:val="none"/>
                <w:u w:val="none"/>
                <w:lang w:val="en-US" w:eastAsia="zh-CN" w:bidi="ar-SA"/>
              </w:rPr>
            </w:pPr>
            <w:r>
              <w:rPr>
                <w:rFonts w:hint="eastAsia" w:cs="@仿宋_GB2312" w:asciiTheme="minorEastAsia" w:hAnsiTheme="minorEastAsia" w:eastAsiaTheme="minorEastAsia"/>
                <w:b w:val="0"/>
                <w:bCs/>
                <w:color w:val="auto"/>
                <w:kern w:val="2"/>
                <w:sz w:val="24"/>
                <w:szCs w:val="24"/>
                <w:highlight w:val="none"/>
                <w:u w:val="none"/>
                <w:lang w:val="en-US" w:eastAsia="zh-CN" w:bidi="ar-SA"/>
              </w:rPr>
              <w:t>（2）因供应商未登录网上招投标系统导致无法及时接收询标函（远程网上询标）或未在规定时间内按谈判小组要求进行澄清、说明或补正内容的视同供应商放弃澄清、说明或补正内容的权利，谈判小组可按对供应商不利的解释进行判定。</w:t>
            </w:r>
          </w:p>
        </w:tc>
      </w:tr>
      <w:tr w14:paraId="5C99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1" w:type="pct"/>
            <w:vAlign w:val="center"/>
          </w:tcPr>
          <w:p w14:paraId="1CA13F36">
            <w:pPr>
              <w:pStyle w:val="76"/>
              <w:pBdr>
                <w:bottom w:val="none" w:color="auto" w:sz="0" w:space="0"/>
              </w:pBdr>
              <w:tabs>
                <w:tab w:val="clear" w:pos="4153"/>
                <w:tab w:val="clear" w:pos="8306"/>
              </w:tabs>
              <w:adjustRightInd/>
              <w:spacing w:line="360" w:lineRule="auto"/>
              <w:textAlignment w:val="auto"/>
              <w:rPr>
                <w:rFonts w:hint="default"/>
                <w:bCs/>
                <w:color w:val="auto"/>
                <w:kern w:val="2"/>
                <w:highlight w:val="none"/>
                <w:lang w:val="en-US" w:eastAsia="zh-CN"/>
              </w:rPr>
            </w:pPr>
            <w:r>
              <w:rPr>
                <w:rFonts w:hint="eastAsia"/>
                <w:bCs/>
                <w:color w:val="auto"/>
                <w:kern w:val="2"/>
                <w:highlight w:val="none"/>
                <w:lang w:val="en-US" w:eastAsia="zh-CN"/>
              </w:rPr>
              <w:t>30.13</w:t>
            </w:r>
          </w:p>
        </w:tc>
        <w:tc>
          <w:tcPr>
            <w:tcW w:w="1060" w:type="pct"/>
            <w:vAlign w:val="center"/>
          </w:tcPr>
          <w:p w14:paraId="459AC379">
            <w:pPr>
              <w:pStyle w:val="75"/>
              <w:widowControl w:val="0"/>
              <w:spacing w:before="0" w:beforeAutospacing="0" w:after="0" w:afterAutospacing="0" w:line="360" w:lineRule="auto"/>
              <w:jc w:val="center"/>
              <w:rPr>
                <w:rFonts w:hint="default"/>
                <w:b w:val="0"/>
                <w:color w:val="auto"/>
                <w:sz w:val="24"/>
                <w:highlight w:val="none"/>
                <w:lang w:val="en-US" w:eastAsia="zh-CN"/>
              </w:rPr>
            </w:pPr>
            <w:r>
              <w:rPr>
                <w:rFonts w:hint="eastAsia"/>
                <w:b w:val="0"/>
                <w:color w:val="auto"/>
                <w:sz w:val="24"/>
                <w:highlight w:val="none"/>
                <w:lang w:val="en-US" w:eastAsia="zh-CN"/>
              </w:rPr>
              <w:t>投诉</w:t>
            </w:r>
          </w:p>
        </w:tc>
        <w:tc>
          <w:tcPr>
            <w:tcW w:w="3418" w:type="pct"/>
            <w:vAlign w:val="center"/>
          </w:tcPr>
          <w:p w14:paraId="207AA1A3">
            <w:pPr>
              <w:pStyle w:val="7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jc w:val="both"/>
              <w:textAlignment w:val="auto"/>
              <w:rPr>
                <w:rFonts w:hint="eastAsia" w:cs="@仿宋_GB2312" w:asciiTheme="minorEastAsia" w:hAnsiTheme="minorEastAsia" w:eastAsiaTheme="minorEastAsia"/>
                <w:b w:val="0"/>
                <w:bCs/>
                <w:color w:val="auto"/>
                <w:kern w:val="2"/>
                <w:sz w:val="24"/>
                <w:szCs w:val="24"/>
                <w:highlight w:val="none"/>
                <w:u w:val="none"/>
                <w:lang w:val="en-US" w:eastAsia="zh-CN" w:bidi="ar-SA"/>
              </w:rPr>
            </w:pPr>
            <w:r>
              <w:rPr>
                <w:rFonts w:hint="eastAsia" w:cs="@仿宋_GB2312" w:asciiTheme="minorEastAsia" w:hAnsiTheme="minorEastAsia" w:eastAsiaTheme="minorEastAsia"/>
                <w:b w:val="0"/>
                <w:bCs/>
                <w:color w:val="auto"/>
                <w:kern w:val="2"/>
                <w:sz w:val="24"/>
                <w:szCs w:val="24"/>
                <w:highlight w:val="none"/>
                <w:u w:val="none"/>
                <w:lang w:val="en-US" w:eastAsia="zh-CN" w:bidi="ar-SA"/>
              </w:rPr>
              <w:t>供应商对采购人或采购代理机构的答复不满意，或者采购人或采购代理机构未在规定的时间内答复的，可以在答复期满后十五个工作日内按有关规定，以书面形式向同级政府采购监督管理部门提出投诉。</w:t>
            </w:r>
          </w:p>
        </w:tc>
      </w:tr>
      <w:tr w14:paraId="6434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1" w:type="pct"/>
            <w:vAlign w:val="center"/>
          </w:tcPr>
          <w:p w14:paraId="7205F082">
            <w:pPr>
              <w:pStyle w:val="76"/>
              <w:pBdr>
                <w:bottom w:val="none" w:color="auto" w:sz="0" w:space="0"/>
              </w:pBdr>
              <w:tabs>
                <w:tab w:val="clear" w:pos="4153"/>
                <w:tab w:val="clear" w:pos="8306"/>
              </w:tabs>
              <w:adjustRightInd/>
              <w:spacing w:line="360" w:lineRule="auto"/>
              <w:textAlignment w:val="auto"/>
              <w:rPr>
                <w:rFonts w:hint="default"/>
                <w:bCs/>
                <w:color w:val="auto"/>
                <w:kern w:val="2"/>
                <w:highlight w:val="none"/>
                <w:lang w:val="en-US" w:eastAsia="zh-CN"/>
              </w:rPr>
            </w:pPr>
            <w:r>
              <w:rPr>
                <w:rFonts w:hint="eastAsia"/>
                <w:bCs/>
                <w:color w:val="auto"/>
                <w:kern w:val="2"/>
                <w:highlight w:val="none"/>
                <w:lang w:val="en-US" w:eastAsia="zh-CN"/>
              </w:rPr>
              <w:t>30.14</w:t>
            </w:r>
          </w:p>
        </w:tc>
        <w:tc>
          <w:tcPr>
            <w:tcW w:w="1060" w:type="pct"/>
            <w:vAlign w:val="center"/>
          </w:tcPr>
          <w:p w14:paraId="3EAD0BA4">
            <w:pPr>
              <w:pStyle w:val="75"/>
              <w:widowControl w:val="0"/>
              <w:spacing w:before="0" w:beforeAutospacing="0" w:after="0" w:afterAutospacing="0" w:line="360" w:lineRule="auto"/>
              <w:jc w:val="center"/>
              <w:rPr>
                <w:rFonts w:hint="default"/>
                <w:b w:val="0"/>
                <w:color w:val="auto"/>
                <w:sz w:val="24"/>
                <w:highlight w:val="none"/>
                <w:lang w:val="en-US" w:eastAsia="zh-CN"/>
              </w:rPr>
            </w:pPr>
            <w:r>
              <w:rPr>
                <w:rFonts w:hint="eastAsia"/>
                <w:b w:val="0"/>
                <w:color w:val="auto"/>
                <w:sz w:val="24"/>
                <w:highlight w:val="none"/>
                <w:lang w:val="en-US" w:eastAsia="zh-CN"/>
              </w:rPr>
              <w:t>重要要求</w:t>
            </w:r>
          </w:p>
        </w:tc>
        <w:tc>
          <w:tcPr>
            <w:tcW w:w="3418" w:type="pct"/>
            <w:vAlign w:val="center"/>
          </w:tcPr>
          <w:p w14:paraId="568DBA11">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1.本项目为面向中小企业预留份额的采购包，专门面向中</w:t>
            </w:r>
          </w:p>
          <w:p w14:paraId="0D5DB7B9">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小企业采购。专门面向中小企业采购的项目或者采购包，</w:t>
            </w:r>
          </w:p>
          <w:p w14:paraId="71E2E6C2">
            <w:pPr>
              <w:pStyle w:val="5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 xml:space="preserve">不再执行价格评审优惠的扶持政策。 </w:t>
            </w:r>
          </w:p>
          <w:p w14:paraId="2B8DF1AA">
            <w:pPr>
              <w:pStyle w:val="7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Theme="minorEastAsia" w:hAnsiTheme="minorEastAsia" w:eastAsiaTheme="minorEastAsia"/>
                <w:b w:val="0"/>
                <w:color w:val="auto"/>
                <w:sz w:val="24"/>
                <w:szCs w:val="24"/>
                <w:highlight w:val="none"/>
              </w:rPr>
            </w:pPr>
            <w:r>
              <w:rPr>
                <w:rFonts w:hint="eastAsia" w:asciiTheme="minorEastAsia" w:hAnsiTheme="minorEastAsia" w:eastAsiaTheme="minorEastAsia" w:cstheme="minorBidi"/>
                <w:b w:val="0"/>
                <w:bCs/>
                <w:color w:val="auto"/>
                <w:sz w:val="24"/>
                <w:szCs w:val="24"/>
                <w:highlight w:val="none"/>
                <w:lang w:val="en-US" w:eastAsia="zh-CN" w:bidi="ar-SA"/>
              </w:rPr>
              <w:t>2.</w:t>
            </w:r>
            <w:r>
              <w:rPr>
                <w:rFonts w:hint="eastAsia" w:asciiTheme="minorEastAsia" w:hAnsiTheme="minorEastAsia" w:eastAsiaTheme="minorEastAsia"/>
                <w:b w:val="0"/>
                <w:color w:val="auto"/>
                <w:sz w:val="24"/>
                <w:szCs w:val="24"/>
                <w:highlight w:val="none"/>
              </w:rPr>
              <w:t>采购标的对应的中小企业划分标准所属行业：建筑业</w:t>
            </w:r>
          </w:p>
          <w:p w14:paraId="3DDB3474">
            <w:pPr>
              <w:pStyle w:val="7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jc w:val="both"/>
              <w:textAlignment w:val="auto"/>
              <w:rPr>
                <w:rFonts w:hint="eastAsia" w:cs="@仿宋_GB2312" w:asciiTheme="minorEastAsia" w:hAnsiTheme="minorEastAsia" w:eastAsiaTheme="minorEastAsia"/>
                <w:b w:val="0"/>
                <w:bCs/>
                <w:color w:val="auto"/>
                <w:kern w:val="2"/>
                <w:sz w:val="24"/>
                <w:szCs w:val="24"/>
                <w:highlight w:val="none"/>
                <w:u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3.</w:t>
            </w:r>
            <w:r>
              <w:rPr>
                <w:rFonts w:hint="eastAsia" w:cs="@仿宋_GB2312" w:asciiTheme="minorEastAsia" w:hAnsiTheme="minorEastAsia" w:eastAsiaTheme="minorEastAsia"/>
                <w:b w:val="0"/>
                <w:bCs/>
                <w:color w:val="auto"/>
                <w:kern w:val="2"/>
                <w:sz w:val="24"/>
                <w:szCs w:val="24"/>
                <w:highlight w:val="none"/>
                <w:u w:val="none"/>
                <w:lang w:val="en-US" w:eastAsia="zh-CN" w:bidi="ar-SA"/>
              </w:rPr>
              <w:t>落实政府采购支持节能产品、环境标志产品政策。</w:t>
            </w:r>
          </w:p>
        </w:tc>
      </w:tr>
    </w:tbl>
    <w:p w14:paraId="00912014">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50" w:name="_Toc10975"/>
      <w:bookmarkStart w:id="51" w:name="_Toc32464"/>
      <w:bookmarkStart w:id="52" w:name="_Toc19323"/>
      <w:r>
        <w:rPr>
          <w:rFonts w:hint="eastAsia" w:asciiTheme="minorEastAsia" w:hAnsiTheme="minorEastAsia" w:eastAsiaTheme="minorEastAsia"/>
          <w:b/>
          <w:color w:val="auto"/>
          <w:sz w:val="24"/>
          <w:highlight w:val="none"/>
        </w:rPr>
        <w:t>二、供应商</w:t>
      </w:r>
      <w:r>
        <w:rPr>
          <w:rFonts w:asciiTheme="minorEastAsia" w:hAnsiTheme="minorEastAsia" w:eastAsiaTheme="minorEastAsia"/>
          <w:b/>
          <w:color w:val="auto"/>
          <w:sz w:val="24"/>
          <w:highlight w:val="none"/>
        </w:rPr>
        <w:t>须知</w:t>
      </w:r>
      <w:r>
        <w:rPr>
          <w:rFonts w:hint="eastAsia" w:asciiTheme="minorEastAsia" w:hAnsiTheme="minorEastAsia" w:eastAsiaTheme="minorEastAsia"/>
          <w:b/>
          <w:color w:val="auto"/>
          <w:sz w:val="24"/>
          <w:highlight w:val="none"/>
        </w:rPr>
        <w:t>正文</w:t>
      </w:r>
      <w:bookmarkEnd w:id="50"/>
      <w:bookmarkEnd w:id="51"/>
      <w:bookmarkEnd w:id="52"/>
    </w:p>
    <w:p w14:paraId="43C6EC6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采购人、采购代理机构及供应商</w:t>
      </w:r>
    </w:p>
    <w:p w14:paraId="372C23FA">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.1采购人：是指依法开展政府采购活动的国家机关、事业单位、团体组织。</w:t>
      </w:r>
    </w:p>
    <w:p w14:paraId="6EADD886">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.2采购代理机构：是指集中采购机构或从事采购代理业务的社会中介机构。</w:t>
      </w:r>
    </w:p>
    <w:p w14:paraId="5E919914">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.3政府采购监督管理部门：</w:t>
      </w:r>
      <w:r>
        <w:rPr>
          <w:rFonts w:hint="eastAsia"/>
          <w:color w:val="auto"/>
          <w:sz w:val="24"/>
          <w:highlight w:val="none"/>
        </w:rPr>
        <w:t>各级人民政府指定的有关部门依法履行与政府采购活动有关的监督管理职责。</w:t>
      </w:r>
    </w:p>
    <w:p w14:paraId="34C16424">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.4</w:t>
      </w:r>
      <w:r>
        <w:rPr>
          <w:rFonts w:hint="eastAsia"/>
          <w:color w:val="auto"/>
          <w:sz w:val="24"/>
          <w:highlight w:val="none"/>
        </w:rPr>
        <w:t>供应商</w:t>
      </w:r>
      <w:r>
        <w:rPr>
          <w:color w:val="auto"/>
          <w:sz w:val="24"/>
          <w:highlight w:val="none"/>
        </w:rPr>
        <w:t>：是指向采购人提供货物、工程或者服务的法人、</w:t>
      </w:r>
      <w:r>
        <w:rPr>
          <w:rFonts w:hint="eastAsia"/>
          <w:color w:val="auto"/>
          <w:sz w:val="24"/>
          <w:highlight w:val="none"/>
          <w:lang w:val="en-US" w:eastAsia="zh-CN"/>
        </w:rPr>
        <w:t>其他</w:t>
      </w:r>
      <w:r>
        <w:rPr>
          <w:color w:val="auto"/>
          <w:sz w:val="24"/>
          <w:highlight w:val="none"/>
        </w:rPr>
        <w:t>组织或者自然人。</w:t>
      </w:r>
      <w:r>
        <w:rPr>
          <w:rFonts w:hint="eastAsia"/>
          <w:color w:val="auto"/>
          <w:sz w:val="24"/>
          <w:highlight w:val="none"/>
        </w:rPr>
        <w:t>分支机构不得参加政府采购活动，但银行、保险、石油石化、电力、电信等特殊行业除外。</w:t>
      </w:r>
      <w:r>
        <w:rPr>
          <w:color w:val="auto"/>
          <w:sz w:val="24"/>
          <w:highlight w:val="none"/>
        </w:rPr>
        <w:t>本项目的</w:t>
      </w:r>
      <w:r>
        <w:rPr>
          <w:rFonts w:hint="eastAsia"/>
          <w:color w:val="auto"/>
          <w:sz w:val="24"/>
          <w:highlight w:val="none"/>
        </w:rPr>
        <w:t>供应商</w:t>
      </w:r>
      <w:r>
        <w:rPr>
          <w:color w:val="auto"/>
          <w:sz w:val="24"/>
          <w:highlight w:val="none"/>
        </w:rPr>
        <w:t>须满足以下条件：</w:t>
      </w:r>
    </w:p>
    <w:p w14:paraId="5AA5E970">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.4.</w:t>
      </w:r>
      <w:r>
        <w:rPr>
          <w:rFonts w:hint="eastAsia"/>
          <w:color w:val="auto"/>
          <w:sz w:val="24"/>
          <w:highlight w:val="none"/>
          <w:lang w:val="en-US" w:eastAsia="zh-CN"/>
        </w:rPr>
        <w:t>1</w:t>
      </w:r>
      <w:r>
        <w:rPr>
          <w:color w:val="auto"/>
          <w:sz w:val="24"/>
          <w:highlight w:val="none"/>
        </w:rPr>
        <w:t>具备《中华人民共和国政府采购法》第二十二条关于供应商条件的规定，遵守本项目采购人本级和上级财政部门政府采购的有关规定。</w:t>
      </w:r>
    </w:p>
    <w:p w14:paraId="1648A0C3">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.4.</w:t>
      </w:r>
      <w:r>
        <w:rPr>
          <w:rFonts w:hint="eastAsia"/>
          <w:color w:val="auto"/>
          <w:sz w:val="24"/>
          <w:highlight w:val="none"/>
          <w:lang w:val="en-US" w:eastAsia="zh-CN"/>
        </w:rPr>
        <w:t>2</w:t>
      </w:r>
      <w:r>
        <w:rPr>
          <w:color w:val="auto"/>
          <w:sz w:val="24"/>
          <w:highlight w:val="none"/>
        </w:rPr>
        <w:t>以采购代理机构认可的方式获得了本项目的</w:t>
      </w:r>
      <w:r>
        <w:rPr>
          <w:rFonts w:hint="eastAsia"/>
          <w:color w:val="auto"/>
          <w:sz w:val="24"/>
          <w:highlight w:val="none"/>
        </w:rPr>
        <w:t>谈判</w:t>
      </w:r>
      <w:r>
        <w:rPr>
          <w:color w:val="auto"/>
          <w:sz w:val="24"/>
          <w:highlight w:val="none"/>
        </w:rPr>
        <w:t>文件。</w:t>
      </w:r>
    </w:p>
    <w:p w14:paraId="50AA0BEF">
      <w:pPr>
        <w:spacing w:line="360" w:lineRule="auto"/>
        <w:ind w:firstLine="435"/>
        <w:rPr>
          <w:color w:val="auto"/>
          <w:sz w:val="24"/>
          <w:highlight w:val="none"/>
        </w:rPr>
      </w:pPr>
      <w:r>
        <w:rPr>
          <w:rFonts w:hint="eastAsia"/>
          <w:bCs/>
          <w:color w:val="auto"/>
          <w:sz w:val="24"/>
          <w:szCs w:val="28"/>
          <w:highlight w:val="none"/>
          <w:lang w:val="en-US" w:eastAsia="zh-CN"/>
        </w:rPr>
        <w:t>1</w:t>
      </w:r>
      <w:r>
        <w:rPr>
          <w:bCs/>
          <w:color w:val="auto"/>
          <w:sz w:val="24"/>
          <w:szCs w:val="28"/>
          <w:highlight w:val="none"/>
        </w:rPr>
        <w:t>.5</w:t>
      </w:r>
      <w:r>
        <w:rPr>
          <w:rFonts w:hint="eastAsia"/>
          <w:bCs/>
          <w:color w:val="auto"/>
          <w:sz w:val="24"/>
          <w:szCs w:val="28"/>
          <w:highlight w:val="none"/>
        </w:rPr>
        <w:t>若竞争性谈判公告</w:t>
      </w:r>
      <w:r>
        <w:rPr>
          <w:bCs/>
          <w:color w:val="auto"/>
          <w:sz w:val="24"/>
          <w:szCs w:val="28"/>
          <w:highlight w:val="none"/>
        </w:rPr>
        <w:t>中允许联合体</w:t>
      </w:r>
      <w:r>
        <w:rPr>
          <w:rFonts w:hint="eastAsia"/>
          <w:bCs/>
          <w:color w:val="auto"/>
          <w:sz w:val="24"/>
          <w:szCs w:val="28"/>
          <w:highlight w:val="none"/>
        </w:rPr>
        <w:t>参加谈判</w:t>
      </w:r>
      <w:r>
        <w:rPr>
          <w:bCs/>
          <w:color w:val="auto"/>
          <w:sz w:val="24"/>
          <w:szCs w:val="28"/>
          <w:highlight w:val="none"/>
        </w:rPr>
        <w:t>，对联合体规定如下：</w:t>
      </w:r>
    </w:p>
    <w:p w14:paraId="70999B7C">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.1</w:t>
      </w:r>
      <w:r>
        <w:rPr>
          <w:rFonts w:hint="eastAsia"/>
          <w:color w:val="auto"/>
          <w:sz w:val="24"/>
          <w:highlight w:val="none"/>
        </w:rPr>
        <w:t>两个以上供应商可以组成一个谈判联合体，以一个供应商的身份谈判</w:t>
      </w:r>
      <w:r>
        <w:rPr>
          <w:color w:val="auto"/>
          <w:sz w:val="24"/>
          <w:highlight w:val="none"/>
        </w:rPr>
        <w:t>。</w:t>
      </w:r>
      <w:r>
        <w:rPr>
          <w:b w:val="0"/>
          <w:color w:val="auto"/>
          <w:sz w:val="24"/>
          <w:highlight w:val="none"/>
        </w:rPr>
        <w:t>联合体参加谈判的，</w:t>
      </w:r>
      <w:r>
        <w:rPr>
          <w:rFonts w:hint="eastAsia"/>
          <w:b w:val="0"/>
          <w:color w:val="auto"/>
          <w:sz w:val="24"/>
          <w:highlight w:val="none"/>
        </w:rPr>
        <w:t>谈判文件获取</w:t>
      </w:r>
      <w:r>
        <w:rPr>
          <w:b w:val="0"/>
          <w:color w:val="auto"/>
          <w:sz w:val="24"/>
          <w:highlight w:val="none"/>
        </w:rPr>
        <w:t>手续由联合体</w:t>
      </w:r>
      <w:r>
        <w:rPr>
          <w:rFonts w:hint="eastAsia"/>
          <w:b w:val="0"/>
          <w:color w:val="auto"/>
          <w:sz w:val="24"/>
          <w:highlight w:val="none"/>
        </w:rPr>
        <w:t>中</w:t>
      </w:r>
      <w:r>
        <w:rPr>
          <w:b w:val="0"/>
          <w:color w:val="auto"/>
          <w:sz w:val="24"/>
          <w:highlight w:val="none"/>
        </w:rPr>
        <w:t>任一</w:t>
      </w:r>
      <w:r>
        <w:rPr>
          <w:rFonts w:hint="eastAsia"/>
          <w:b w:val="0"/>
          <w:color w:val="auto"/>
          <w:sz w:val="24"/>
          <w:highlight w:val="none"/>
        </w:rPr>
        <w:t>成员单位</w:t>
      </w:r>
      <w:r>
        <w:rPr>
          <w:b w:val="0"/>
          <w:color w:val="auto"/>
          <w:sz w:val="24"/>
          <w:highlight w:val="none"/>
        </w:rPr>
        <w:t>办理均可。</w:t>
      </w:r>
    </w:p>
    <w:p w14:paraId="7BD4C9A4">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.2联合体各方均应符合《中华人民共和国政府采购法》第二十二条规定的条件。</w:t>
      </w:r>
    </w:p>
    <w:p w14:paraId="5B8CBB62">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.3采购人根据采购项目对</w:t>
      </w:r>
      <w:r>
        <w:rPr>
          <w:rFonts w:hint="eastAsia"/>
          <w:color w:val="auto"/>
          <w:sz w:val="24"/>
          <w:highlight w:val="none"/>
        </w:rPr>
        <w:t>供应商</w:t>
      </w:r>
      <w:r>
        <w:rPr>
          <w:color w:val="auto"/>
          <w:sz w:val="24"/>
          <w:highlight w:val="none"/>
        </w:rPr>
        <w:t>的特殊要求，联合体中至少应当有一方符合相关规定。</w:t>
      </w:r>
    </w:p>
    <w:p w14:paraId="587219BD">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.4联合体各方应签订</w:t>
      </w:r>
      <w:r>
        <w:rPr>
          <w:rFonts w:hint="eastAsia"/>
          <w:color w:val="auto"/>
          <w:sz w:val="24"/>
          <w:highlight w:val="none"/>
        </w:rPr>
        <w:t>联合协议</w:t>
      </w:r>
      <w:r>
        <w:rPr>
          <w:color w:val="auto"/>
          <w:sz w:val="24"/>
          <w:highlight w:val="none"/>
        </w:rPr>
        <w:t>，明确约定联合体各方承担的工作和相应的责任，并将</w:t>
      </w:r>
      <w:r>
        <w:rPr>
          <w:rFonts w:hint="eastAsia"/>
          <w:color w:val="auto"/>
          <w:sz w:val="24"/>
          <w:highlight w:val="none"/>
        </w:rPr>
        <w:t>联合协议</w:t>
      </w:r>
      <w:r>
        <w:rPr>
          <w:color w:val="auto"/>
          <w:sz w:val="24"/>
          <w:highlight w:val="none"/>
        </w:rPr>
        <w:t>作为</w:t>
      </w:r>
      <w:r>
        <w:rPr>
          <w:rFonts w:hint="eastAsia"/>
          <w:color w:val="auto"/>
          <w:sz w:val="24"/>
          <w:highlight w:val="none"/>
        </w:rPr>
        <w:t>响应</w:t>
      </w:r>
      <w:r>
        <w:rPr>
          <w:color w:val="auto"/>
          <w:sz w:val="24"/>
          <w:highlight w:val="none"/>
        </w:rPr>
        <w:t>文件</w:t>
      </w:r>
      <w:r>
        <w:rPr>
          <w:rFonts w:hint="eastAsia"/>
          <w:color w:val="auto"/>
          <w:sz w:val="24"/>
          <w:highlight w:val="none"/>
        </w:rPr>
        <w:t>的</w:t>
      </w:r>
      <w:r>
        <w:rPr>
          <w:color w:val="auto"/>
          <w:sz w:val="24"/>
          <w:highlight w:val="none"/>
        </w:rPr>
        <w:t>一部分提交。</w:t>
      </w:r>
    </w:p>
    <w:p w14:paraId="1C2F76D5">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.5大中型企业、其他自然人、法人或者非法人组织与小型、微型企业组成联合体共同参加</w:t>
      </w:r>
      <w:r>
        <w:rPr>
          <w:rFonts w:hint="eastAsia"/>
          <w:color w:val="auto"/>
          <w:sz w:val="24"/>
          <w:highlight w:val="none"/>
        </w:rPr>
        <w:t>谈判</w:t>
      </w:r>
      <w:r>
        <w:rPr>
          <w:color w:val="auto"/>
          <w:sz w:val="24"/>
          <w:highlight w:val="none"/>
        </w:rPr>
        <w:t>，</w:t>
      </w:r>
      <w:r>
        <w:rPr>
          <w:rFonts w:hint="eastAsia"/>
          <w:color w:val="auto"/>
          <w:sz w:val="24"/>
          <w:highlight w:val="none"/>
        </w:rPr>
        <w:t>联合协议中</w:t>
      </w:r>
      <w:r>
        <w:rPr>
          <w:color w:val="auto"/>
          <w:sz w:val="24"/>
          <w:highlight w:val="none"/>
        </w:rPr>
        <w:t>应写明小型、微型企业的协议合同金额占到</w:t>
      </w:r>
      <w:r>
        <w:rPr>
          <w:rFonts w:hint="eastAsia"/>
          <w:color w:val="auto"/>
          <w:sz w:val="24"/>
          <w:highlight w:val="none"/>
        </w:rPr>
        <w:t>联合协议合同</w:t>
      </w:r>
      <w:r>
        <w:rPr>
          <w:color w:val="auto"/>
          <w:sz w:val="24"/>
          <w:highlight w:val="none"/>
        </w:rPr>
        <w:t>总金额的比例。</w:t>
      </w:r>
    </w:p>
    <w:p w14:paraId="557F8742">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.5.6</w:t>
      </w:r>
      <w:r>
        <w:rPr>
          <w:rFonts w:hint="eastAsia"/>
          <w:color w:val="auto"/>
          <w:sz w:val="24"/>
          <w:highlight w:val="none"/>
        </w:rPr>
        <w:t>联合体中有同类资质的供应商按照联合体分工承担相同工作的，</w:t>
      </w:r>
      <w:r>
        <w:rPr>
          <w:color w:val="auto"/>
          <w:sz w:val="24"/>
          <w:highlight w:val="none"/>
        </w:rPr>
        <w:t>应当按照</w:t>
      </w:r>
      <w:r>
        <w:rPr>
          <w:rFonts w:hint="eastAsia"/>
          <w:color w:val="auto"/>
          <w:sz w:val="24"/>
          <w:highlight w:val="none"/>
        </w:rPr>
        <w:t>资质等级较低的供应商确定资质等级。</w:t>
      </w:r>
    </w:p>
    <w:p w14:paraId="50EF7113">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.7以联合体形式参加政府采购活动的，联合体各方不得再单独参加或者与其他供应商另外组成联合体参加本项目</w:t>
      </w:r>
      <w:r>
        <w:rPr>
          <w:rFonts w:hint="eastAsia"/>
          <w:color w:val="auto"/>
          <w:sz w:val="24"/>
          <w:highlight w:val="none"/>
        </w:rPr>
        <w:t>谈判</w:t>
      </w:r>
      <w:r>
        <w:rPr>
          <w:color w:val="auto"/>
          <w:sz w:val="24"/>
          <w:highlight w:val="none"/>
        </w:rPr>
        <w:t>，否则相关</w:t>
      </w:r>
      <w:r>
        <w:rPr>
          <w:rFonts w:hint="eastAsia"/>
          <w:color w:val="auto"/>
          <w:sz w:val="24"/>
          <w:highlight w:val="none"/>
        </w:rPr>
        <w:t>响应文件将被认定为</w:t>
      </w:r>
      <w:r>
        <w:rPr>
          <w:rFonts w:hint="eastAsia"/>
          <w:b/>
          <w:color w:val="auto"/>
          <w:sz w:val="24"/>
          <w:highlight w:val="none"/>
        </w:rPr>
        <w:t>响应无效</w:t>
      </w:r>
      <w:r>
        <w:rPr>
          <w:color w:val="auto"/>
          <w:sz w:val="24"/>
          <w:highlight w:val="none"/>
        </w:rPr>
        <w:t>。</w:t>
      </w:r>
    </w:p>
    <w:p w14:paraId="4CE0AA67">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.8对联合体参加谈判的其他资格要求见</w:t>
      </w:r>
      <w:r>
        <w:rPr>
          <w:rFonts w:hint="eastAsia" w:ascii="宋体" w:hAnsi="宋体" w:eastAsia="宋体"/>
          <w:color w:val="auto"/>
          <w:sz w:val="24"/>
          <w:highlight w:val="none"/>
          <w:lang w:val="en-US" w:eastAsia="zh-CN"/>
        </w:rPr>
        <w:t>申请人的</w:t>
      </w:r>
      <w:r>
        <w:rPr>
          <w:rFonts w:hint="eastAsia" w:ascii="宋体" w:hAnsi="宋体" w:eastAsia="宋体"/>
          <w:color w:val="auto"/>
          <w:sz w:val="24"/>
          <w:highlight w:val="none"/>
        </w:rPr>
        <w:t>资格</w:t>
      </w:r>
      <w:r>
        <w:rPr>
          <w:rFonts w:hint="eastAsia" w:ascii="宋体" w:hAnsi="宋体" w:eastAsia="宋体"/>
          <w:color w:val="auto"/>
          <w:sz w:val="24"/>
          <w:highlight w:val="none"/>
          <w:lang w:val="en-US" w:eastAsia="zh-CN"/>
        </w:rPr>
        <w:t>要求</w:t>
      </w:r>
      <w:r>
        <w:rPr>
          <w:color w:val="auto"/>
          <w:sz w:val="24"/>
          <w:highlight w:val="none"/>
        </w:rPr>
        <w:t>。</w:t>
      </w:r>
    </w:p>
    <w:p w14:paraId="5114F268">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资金</w:t>
      </w:r>
      <w:r>
        <w:rPr>
          <w:rFonts w:hint="eastAsia" w:asciiTheme="minorEastAsia" w:hAnsiTheme="minorEastAsia" w:eastAsiaTheme="minorEastAsia"/>
          <w:b/>
          <w:color w:val="auto"/>
          <w:sz w:val="24"/>
          <w:highlight w:val="none"/>
          <w:lang w:val="en-US" w:eastAsia="zh-CN"/>
        </w:rPr>
        <w:t>落实情况</w:t>
      </w:r>
    </w:p>
    <w:p w14:paraId="639C392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.1本项目的采购人已获得足以支付本次谈判后所签订的合同项下的资金。</w:t>
      </w:r>
    </w:p>
    <w:p w14:paraId="00C6826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谈判费用</w:t>
      </w:r>
    </w:p>
    <w:p w14:paraId="20856B12">
      <w:pPr>
        <w:spacing w:line="360" w:lineRule="auto"/>
        <w:ind w:firstLine="437"/>
        <w:rPr>
          <w:color w:val="auto"/>
          <w:sz w:val="24"/>
          <w:highlight w:val="none"/>
        </w:rPr>
      </w:pPr>
      <w:r>
        <w:rPr>
          <w:rFonts w:hint="eastAsia"/>
          <w:color w:val="auto"/>
          <w:sz w:val="24"/>
          <w:highlight w:val="none"/>
        </w:rPr>
        <w:t>不论谈判的结果如何，供应商应承担其所有与准备和参加谈判有关的费用。</w:t>
      </w:r>
    </w:p>
    <w:p w14:paraId="0CB4BF0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适用法律</w:t>
      </w:r>
    </w:p>
    <w:p w14:paraId="7D59738C">
      <w:pPr>
        <w:spacing w:line="360" w:lineRule="auto"/>
        <w:ind w:firstLine="435"/>
        <w:rPr>
          <w:rFonts w:asciiTheme="minorEastAsia" w:hAnsiTheme="minorEastAsia" w:eastAsiaTheme="minorEastAsia"/>
          <w:color w:val="auto"/>
          <w:sz w:val="24"/>
          <w:highlight w:val="none"/>
        </w:rPr>
      </w:pPr>
      <w:r>
        <w:rPr>
          <w:rFonts w:hint="eastAsia"/>
          <w:color w:val="auto"/>
          <w:sz w:val="24"/>
          <w:highlight w:val="none"/>
        </w:rPr>
        <w:t>本项目采购人、采购代理机构、供应商、谈判小组的相关行为均受《中华人民共和国政府采购法》、《中华人民共和国政府采购法实施条例》及本项目本级和上级财政部门、政府采购监督管理部门的政府采购有关规定的约束，其权利受到上述法律法规的保护。</w:t>
      </w:r>
    </w:p>
    <w:p w14:paraId="70D134C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谈判文件构成</w:t>
      </w:r>
    </w:p>
    <w:p w14:paraId="77DF038C">
      <w:pPr>
        <w:spacing w:line="360" w:lineRule="auto"/>
        <w:ind w:firstLine="435"/>
        <w:rPr>
          <w:color w:val="auto"/>
          <w:sz w:val="24"/>
          <w:highlight w:val="none"/>
        </w:rPr>
      </w:pPr>
      <w:r>
        <w:rPr>
          <w:rFonts w:hint="eastAsia"/>
          <w:color w:val="auto"/>
          <w:sz w:val="24"/>
          <w:highlight w:val="none"/>
          <w:lang w:val="en-US" w:eastAsia="zh-CN"/>
        </w:rPr>
        <w:t>5</w:t>
      </w:r>
      <w:r>
        <w:rPr>
          <w:rFonts w:hint="eastAsia"/>
          <w:color w:val="auto"/>
          <w:sz w:val="24"/>
          <w:highlight w:val="none"/>
        </w:rPr>
        <w:t>.1谈判文件包括下列内容：</w:t>
      </w:r>
    </w:p>
    <w:p w14:paraId="1DC17A08">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谈判邀请</w:t>
      </w:r>
    </w:p>
    <w:p w14:paraId="136B09DD">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须知</w:t>
      </w:r>
    </w:p>
    <w:p w14:paraId="150AA7E2">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546A5FE6">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评审方法</w:t>
      </w:r>
      <w:r>
        <w:rPr>
          <w:rFonts w:asciiTheme="minorEastAsia" w:hAnsiTheme="minorEastAsia" w:eastAsiaTheme="minorEastAsia"/>
          <w:color w:val="auto"/>
          <w:sz w:val="24"/>
          <w:highlight w:val="none"/>
        </w:rPr>
        <w:t>和标准</w:t>
      </w:r>
    </w:p>
    <w:p w14:paraId="638BFDB1">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0D4801F6">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文件格式</w:t>
      </w:r>
    </w:p>
    <w:p w14:paraId="4AFD8C7D">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lang w:val="en-US" w:eastAsia="zh-CN"/>
        </w:rPr>
        <w:t>七</w:t>
      </w:r>
      <w:r>
        <w:rPr>
          <w:rFonts w:hint="eastAsia" w:asciiTheme="minorEastAsia" w:hAnsiTheme="minorEastAsia" w:eastAsiaTheme="minorEastAsia"/>
          <w:color w:val="auto"/>
          <w:sz w:val="24"/>
          <w:highlight w:val="none"/>
        </w:rPr>
        <w:t>章</w:t>
      </w:r>
      <w:r>
        <w:rPr>
          <w:rFonts w:asciiTheme="minorEastAsia" w:hAnsiTheme="minorEastAsia" w:eastAsiaTheme="minorEastAsia"/>
          <w:color w:val="auto"/>
          <w:sz w:val="24"/>
          <w:highlight w:val="none"/>
        </w:rPr>
        <w:t xml:space="preserve">  政府采购供应商</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02F5E80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踏勘</w:t>
      </w:r>
      <w:r>
        <w:rPr>
          <w:rFonts w:hint="eastAsia" w:asciiTheme="minorEastAsia" w:hAnsiTheme="minorEastAsia" w:eastAsiaTheme="minorEastAsia"/>
          <w:color w:val="auto"/>
          <w:sz w:val="24"/>
          <w:highlight w:val="none"/>
          <w:lang w:eastAsia="zh-CN"/>
        </w:rPr>
        <w:t>（</w:t>
      </w:r>
      <w:r>
        <w:rPr>
          <w:rFonts w:hint="eastAsia" w:ascii="宋体" w:hAnsi="宋体" w:eastAsia="宋体" w:cs="@仿宋_GB2312"/>
          <w:b w:val="0"/>
          <w:bCs/>
          <w:color w:val="auto"/>
          <w:kern w:val="2"/>
          <w:sz w:val="24"/>
          <w:szCs w:val="22"/>
          <w:highlight w:val="none"/>
          <w:lang w:val="en-US" w:eastAsia="zh-CN" w:bidi="ar-SA"/>
        </w:rPr>
        <w:t>标前答疑会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44E8F88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应认真阅读</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文件所有的事项、格式、条款和技术规范等。</w:t>
      </w:r>
    </w:p>
    <w:p w14:paraId="0B9BAE1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谈判文件的澄清与修改</w:t>
      </w:r>
    </w:p>
    <w:p w14:paraId="414BBED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1供应商</w:t>
      </w:r>
      <w:r>
        <w:rPr>
          <w:rFonts w:asciiTheme="minorEastAsia" w:hAnsiTheme="minorEastAsia" w:eastAsiaTheme="minorEastAsia"/>
          <w:color w:val="auto"/>
          <w:sz w:val="24"/>
          <w:highlight w:val="none"/>
        </w:rPr>
        <w:t>如对</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文件内容有疑问，必须在</w:t>
      </w:r>
      <w:r>
        <w:rPr>
          <w:color w:val="auto"/>
          <w:sz w:val="24"/>
          <w:highlight w:val="none"/>
          <w:u w:val="single"/>
        </w:rPr>
        <w:t>供应商须知前附表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截止时间前以网上提问形式</w:t>
      </w:r>
      <w:r>
        <w:rPr>
          <w:rFonts w:hint="eastAsia" w:asciiTheme="minorEastAsia" w:hAnsiTheme="minorEastAsia" w:eastAsiaTheme="minorEastAsia"/>
          <w:color w:val="auto"/>
          <w:sz w:val="24"/>
          <w:highlight w:val="none"/>
        </w:rPr>
        <w:t>（电子交易系统）</w:t>
      </w:r>
      <w:r>
        <w:rPr>
          <w:rFonts w:asciiTheme="minorEastAsia" w:hAnsiTheme="minorEastAsia" w:eastAsiaTheme="minorEastAsia"/>
          <w:color w:val="auto"/>
          <w:sz w:val="24"/>
          <w:highlight w:val="none"/>
        </w:rPr>
        <w:t>提交给采购代理机构。</w:t>
      </w:r>
    </w:p>
    <w:p w14:paraId="18666D9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答复供应商</w:t>
      </w:r>
      <w:r>
        <w:rPr>
          <w:rFonts w:hint="eastAsia" w:asciiTheme="minorEastAsia" w:hAnsiTheme="minorEastAsia" w:eastAsiaTheme="minorEastAsia"/>
          <w:color w:val="auto"/>
          <w:sz w:val="24"/>
          <w:highlight w:val="none"/>
        </w:rPr>
        <w:t>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w:t>
      </w:r>
      <w:r>
        <w:rPr>
          <w:rFonts w:hint="eastAsia" w:asciiTheme="minorEastAsia" w:hAnsiTheme="minorEastAsia" w:eastAsiaTheme="minorEastAsia"/>
          <w:color w:val="auto"/>
          <w:sz w:val="24"/>
          <w:highlight w:val="none"/>
          <w:lang w:val="en-US" w:eastAsia="zh-CN"/>
        </w:rPr>
        <w:t>谈判</w:t>
      </w:r>
      <w:r>
        <w:rPr>
          <w:rFonts w:hint="eastAsia" w:asciiTheme="minorEastAsia" w:hAnsiTheme="minorEastAsia" w:eastAsiaTheme="minorEastAsia"/>
          <w:color w:val="auto"/>
          <w:sz w:val="24"/>
          <w:highlight w:val="none"/>
        </w:rPr>
        <w:t>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w:t>
      </w:r>
      <w:bookmarkStart w:id="53" w:name="_Hlk16458572"/>
      <w:r>
        <w:rPr>
          <w:rFonts w:hint="eastAsia"/>
          <w:color w:val="auto"/>
          <w:sz w:val="24"/>
          <w:szCs w:val="18"/>
          <w:highlight w:val="none"/>
        </w:rPr>
        <w:t>安徽省政府采购网</w:t>
      </w:r>
      <w:bookmarkEnd w:id="53"/>
      <w:r>
        <w:rPr>
          <w:rFonts w:hint="eastAsia" w:asciiTheme="minorEastAsia" w:hAnsiTheme="minorEastAsia" w:eastAsiaTheme="minorEastAsia"/>
          <w:color w:val="auto"/>
          <w:sz w:val="24"/>
          <w:highlight w:val="none"/>
        </w:rPr>
        <w:t>发布更正公告的方式澄清或者修改谈判文件，更正公告的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起约束作用</w:t>
      </w:r>
      <w:r>
        <w:rPr>
          <w:rFonts w:hint="eastAsia" w:asciiTheme="minorEastAsia" w:hAnsiTheme="minorEastAsia" w:eastAsiaTheme="minorEastAsia"/>
          <w:color w:val="auto"/>
          <w:sz w:val="24"/>
          <w:highlight w:val="none"/>
        </w:rPr>
        <w:t>。供应商应主动上网查询。采购代理机构不承担供应商未及时关注相关信息引发的相关责任。</w:t>
      </w:r>
    </w:p>
    <w:p w14:paraId="244952A7">
      <w:pPr>
        <w:spacing w:line="360" w:lineRule="auto"/>
        <w:ind w:firstLine="435"/>
        <w:rPr>
          <w:color w:val="auto"/>
          <w:sz w:val="24"/>
          <w:highlight w:val="none"/>
        </w:rPr>
      </w:pPr>
      <w:r>
        <w:rPr>
          <w:rFonts w:hint="eastAsia"/>
          <w:color w:val="auto"/>
          <w:sz w:val="24"/>
          <w:highlight w:val="none"/>
          <w:lang w:val="en-US" w:eastAsia="zh-CN"/>
        </w:rPr>
        <w:t>6</w:t>
      </w:r>
      <w:r>
        <w:rPr>
          <w:rFonts w:hint="eastAsia"/>
          <w:color w:val="auto"/>
          <w:sz w:val="24"/>
          <w:highlight w:val="none"/>
        </w:rPr>
        <w:t>.3任何人或任何组织向供应商提供的任何书面或口头资料，未经采购代理机构在网上发布或书面通知，均作无效处理，不得作为谈判文件的组成部分。采购代理机构对供应商由此而做出的推论、理解和结论概不负责。</w:t>
      </w:r>
    </w:p>
    <w:p w14:paraId="45AB895B">
      <w:pPr>
        <w:spacing w:line="360" w:lineRule="auto"/>
        <w:ind w:firstLine="435"/>
        <w:rPr>
          <w:rFonts w:hint="eastAsia" w:asciiTheme="minorEastAsia" w:hAnsiTheme="minorEastAsia" w:eastAsiaTheme="minorEastAsia"/>
          <w:iCs/>
          <w:color w:val="auto"/>
          <w:sz w:val="24"/>
          <w:highlight w:val="none"/>
          <w:lang w:eastAsia="zh-CN"/>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本谈判</w:t>
      </w:r>
      <w:r>
        <w:rPr>
          <w:rFonts w:asciiTheme="minorEastAsia" w:hAnsiTheme="minorEastAsia" w:eastAsiaTheme="minorEastAsia"/>
          <w:color w:val="auto"/>
          <w:sz w:val="24"/>
          <w:highlight w:val="none"/>
        </w:rPr>
        <w:t>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lang w:eastAsia="zh-CN"/>
        </w:rPr>
        <w:t>。</w:t>
      </w:r>
    </w:p>
    <w:p w14:paraId="3A51B9E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谈判范围及响应文件中标准和计量单位的使用</w:t>
      </w:r>
    </w:p>
    <w:p w14:paraId="583821C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.1项目有分包的，供应商可</w:t>
      </w:r>
      <w:r>
        <w:rPr>
          <w:rFonts w:hint="eastAsia" w:asciiTheme="minorEastAsia" w:hAnsiTheme="minorEastAsia" w:eastAsiaTheme="minorEastAsia"/>
          <w:color w:val="auto"/>
          <w:sz w:val="24"/>
          <w:highlight w:val="none"/>
        </w:rPr>
        <w:t>参与</w:t>
      </w:r>
      <w:r>
        <w:rPr>
          <w:rFonts w:asciiTheme="minorEastAsia" w:hAnsiTheme="minorEastAsia" w:eastAsiaTheme="minorEastAsia"/>
          <w:color w:val="auto"/>
          <w:sz w:val="24"/>
          <w:highlight w:val="none"/>
        </w:rPr>
        <w:t>其中某一个或</w:t>
      </w:r>
      <w:r>
        <w:rPr>
          <w:rFonts w:hint="eastAsia" w:asciiTheme="minorEastAsia" w:hAnsiTheme="minorEastAsia" w:eastAsiaTheme="minorEastAsia"/>
          <w:color w:val="auto"/>
          <w:sz w:val="24"/>
          <w:highlight w:val="none"/>
        </w:rPr>
        <w:t>多</w:t>
      </w:r>
      <w:r>
        <w:rPr>
          <w:rFonts w:asciiTheme="minorEastAsia" w:hAnsiTheme="minorEastAsia" w:eastAsiaTheme="minorEastAsia"/>
          <w:color w:val="auto"/>
          <w:sz w:val="24"/>
          <w:highlight w:val="none"/>
        </w:rPr>
        <w:t>个分包</w:t>
      </w:r>
      <w:r>
        <w:rPr>
          <w:rFonts w:hint="eastAsia" w:asciiTheme="minorEastAsia" w:hAnsiTheme="minorEastAsia" w:eastAsiaTheme="minorEastAsia"/>
          <w:color w:val="auto"/>
          <w:sz w:val="24"/>
          <w:highlight w:val="none"/>
        </w:rPr>
        <w:t>的谈判</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成交包数详见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中规定。</w:t>
      </w:r>
    </w:p>
    <w:p w14:paraId="6F41D49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无论谈判文件中是否要求，供应商所</w:t>
      </w:r>
      <w:r>
        <w:rPr>
          <w:rFonts w:hint="eastAsia" w:asciiTheme="minorEastAsia" w:hAnsiTheme="minorEastAsia" w:eastAsiaTheme="minorEastAsia"/>
          <w:color w:val="auto"/>
          <w:sz w:val="24"/>
          <w:highlight w:val="none"/>
        </w:rPr>
        <w:t>承担</w:t>
      </w:r>
      <w:r>
        <w:rPr>
          <w:rFonts w:asciiTheme="minorEastAsia" w:hAnsiTheme="minorEastAsia" w:eastAsiaTheme="minorEastAsia"/>
          <w:color w:val="auto"/>
          <w:sz w:val="24"/>
          <w:highlight w:val="none"/>
        </w:rPr>
        <w:t>工程及伴随的货物和</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均应符合国家强制性标准。</w:t>
      </w:r>
    </w:p>
    <w:p w14:paraId="0C0A302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供应商与采购代理机构之间与谈判有关的所有往来通知、函件和响应文件均用中文表述。供应商随响应文件提供的证明文件和资料可以为其他语言，但必须附中文译文。翻译的中文资料与外文资料如果出现差异时，以中文为准。</w:t>
      </w:r>
    </w:p>
    <w:p w14:paraId="1F63E9A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除谈判文件中有特殊要求外，响应文件中所使用的计量单位，应采用中华人民共和国法定计量单位。</w:t>
      </w:r>
    </w:p>
    <w:p w14:paraId="4145E8CA">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响应文件构成</w:t>
      </w:r>
    </w:p>
    <w:p w14:paraId="43A28777">
      <w:pPr>
        <w:spacing w:line="360" w:lineRule="auto"/>
        <w:ind w:firstLine="43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.1供应商应完整地按谈判文件提供的响应文件格式及要求编写响应文件，具体内容详见第六章响应文件格式的相关内容。</w:t>
      </w:r>
    </w:p>
    <w:p w14:paraId="3EAFABF6">
      <w:pPr>
        <w:spacing w:line="360" w:lineRule="auto"/>
        <w:ind w:firstLine="437"/>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.2</w:t>
      </w:r>
      <w:r>
        <w:rPr>
          <w:rFonts w:hint="eastAsia"/>
          <w:color w:val="auto"/>
          <w:sz w:val="24"/>
          <w:highlight w:val="none"/>
        </w:rPr>
        <w:t>供应商应提交谈判文件要求的证明文件，证明其响应内容符合谈判文件规定。该证明文件是响应文件的一部分</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bookmarkStart w:id="54" w:name="_Hlk11703583"/>
      <w:r>
        <w:rPr>
          <w:rFonts w:hint="eastAsia" w:asciiTheme="minorEastAsia" w:hAnsiTheme="minorEastAsia" w:eastAsiaTheme="minorEastAsia"/>
          <w:color w:val="auto"/>
          <w:sz w:val="24"/>
          <w:highlight w:val="none"/>
        </w:rPr>
        <w:t>。</w:t>
      </w:r>
    </w:p>
    <w:bookmarkEnd w:id="54"/>
    <w:p w14:paraId="377F4BC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8.3</w:t>
      </w:r>
      <w:r>
        <w:rPr>
          <w:rFonts w:asciiTheme="minorEastAsia" w:hAnsiTheme="minorEastAsia" w:eastAsiaTheme="minorEastAsia"/>
          <w:color w:val="auto"/>
          <w:sz w:val="24"/>
          <w:highlight w:val="none"/>
        </w:rPr>
        <w:t>为保证</w:t>
      </w:r>
      <w:r>
        <w:rPr>
          <w:color w:val="auto"/>
          <w:sz w:val="24"/>
          <w:highlight w:val="none"/>
        </w:rPr>
        <w:t>公平</w:t>
      </w:r>
      <w:r>
        <w:rPr>
          <w:rFonts w:asciiTheme="minorEastAsia" w:hAnsiTheme="minorEastAsia" w:eastAsiaTheme="minorEastAsia"/>
          <w:color w:val="auto"/>
          <w:sz w:val="24"/>
          <w:highlight w:val="none"/>
        </w:rPr>
        <w:t>公正，除非谈判文件另有规定或说明，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对同一项目</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时，不得同时提供</w:t>
      </w:r>
      <w:r>
        <w:rPr>
          <w:rFonts w:hint="eastAsia" w:asciiTheme="minorEastAsia" w:hAnsiTheme="minorEastAsia" w:eastAsiaTheme="minorEastAsia"/>
          <w:color w:val="auto"/>
          <w:sz w:val="24"/>
          <w:highlight w:val="none"/>
        </w:rPr>
        <w:t>备选谈判</w:t>
      </w:r>
      <w:r>
        <w:rPr>
          <w:rFonts w:asciiTheme="minorEastAsia" w:hAnsiTheme="minorEastAsia" w:eastAsiaTheme="minorEastAsia"/>
          <w:color w:val="auto"/>
          <w:sz w:val="24"/>
          <w:highlight w:val="none"/>
        </w:rPr>
        <w:t>方案。</w:t>
      </w:r>
    </w:p>
    <w:p w14:paraId="564F85D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报价</w:t>
      </w:r>
    </w:p>
    <w:p w14:paraId="335B0D2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的报价应当包括满足本次</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全部</w:t>
      </w:r>
      <w:r>
        <w:rPr>
          <w:rFonts w:hint="eastAsia" w:asciiTheme="minorEastAsia" w:hAnsiTheme="minorEastAsia" w:eastAsiaTheme="minorEastAsia"/>
          <w:color w:val="auto"/>
          <w:sz w:val="24"/>
          <w:highlight w:val="none"/>
        </w:rPr>
        <w:t>内容。所有报价均应以人民币报价，供应商的谈判报价应遵守《中华人民共和国价格法》。</w:t>
      </w:r>
    </w:p>
    <w:p w14:paraId="2EBC8A8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最后报价均不得高于谈判文件（公告）列明的项目预算</w:t>
      </w:r>
      <w:r>
        <w:rPr>
          <w:rFonts w:hint="eastAsia" w:asciiTheme="minorEastAsia" w:hAnsiTheme="minorEastAsia" w:eastAsiaTheme="minorEastAsia"/>
          <w:color w:val="auto"/>
          <w:sz w:val="24"/>
          <w:highlight w:val="none"/>
        </w:rPr>
        <w:t>、最高投标限价</w:t>
      </w:r>
      <w:r>
        <w:rPr>
          <w:rFonts w:asciiTheme="minorEastAsia" w:hAnsiTheme="minorEastAsia" w:eastAsiaTheme="minorEastAsia"/>
          <w:color w:val="auto"/>
          <w:sz w:val="24"/>
          <w:highlight w:val="none"/>
        </w:rPr>
        <w:t>，否则其响应文件将被认定为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334D80B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报价</w:t>
      </w:r>
      <w:r>
        <w:rPr>
          <w:rFonts w:asciiTheme="minorEastAsia" w:hAnsiTheme="minorEastAsia" w:eastAsiaTheme="minorEastAsia"/>
          <w:color w:val="auto"/>
          <w:sz w:val="24"/>
          <w:highlight w:val="none"/>
        </w:rPr>
        <w:t>在合同履行过程中是固定不变的，不得以任何理由予以变更。任何包含价格调整要求的</w:t>
      </w:r>
      <w:r>
        <w:rPr>
          <w:rFonts w:hint="eastAsia" w:asciiTheme="minorEastAsia" w:hAnsiTheme="minorEastAsia" w:eastAsiaTheme="minorEastAsia"/>
          <w:color w:val="auto"/>
          <w:sz w:val="24"/>
          <w:highlight w:val="none"/>
        </w:rPr>
        <w:t>报价</w:t>
      </w:r>
      <w:r>
        <w:rPr>
          <w:rFonts w:asciiTheme="minorEastAsia" w:hAnsiTheme="minorEastAsia" w:eastAsiaTheme="minorEastAsia"/>
          <w:color w:val="auto"/>
          <w:sz w:val="24"/>
          <w:highlight w:val="none"/>
        </w:rPr>
        <w:t>，其</w:t>
      </w:r>
      <w:r>
        <w:rPr>
          <w:rFonts w:hint="eastAsia" w:asciiTheme="minorEastAsia" w:hAnsiTheme="minorEastAsia" w:eastAsiaTheme="minorEastAsia"/>
          <w:color w:val="auto"/>
          <w:sz w:val="24"/>
          <w:highlight w:val="none"/>
        </w:rPr>
        <w:t>响应文件将被认定为</w:t>
      </w:r>
      <w:r>
        <w:rPr>
          <w:rFonts w:hint="eastAsia"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464CE90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采购人不接受具有附加条件的报价。</w:t>
      </w:r>
    </w:p>
    <w:p w14:paraId="5CFE790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谈判保证金</w:t>
      </w:r>
    </w:p>
    <w:p w14:paraId="45D3CD0A">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rPr>
        <w:t>1</w:t>
      </w:r>
      <w:r>
        <w:rPr>
          <w:rFonts w:hint="eastAsia" w:cs="@仿宋_GB2312" w:asciiTheme="minorEastAsia" w:hAnsiTheme="minorEastAsia" w:eastAsiaTheme="minorEastAsia"/>
          <w:color w:val="auto"/>
          <w:kern w:val="2"/>
          <w:sz w:val="24"/>
          <w:highlight w:val="none"/>
          <w:lang w:val="en-US" w:eastAsia="zh-CN"/>
        </w:rPr>
        <w:t>0</w:t>
      </w:r>
      <w:r>
        <w:rPr>
          <w:rFonts w:hint="eastAsia" w:cs="@仿宋_GB2312" w:asciiTheme="minorEastAsia" w:hAnsiTheme="minorEastAsia" w:eastAsiaTheme="minorEastAsia"/>
          <w:color w:val="auto"/>
          <w:kern w:val="2"/>
          <w:sz w:val="24"/>
          <w:highlight w:val="none"/>
        </w:rPr>
        <w:t>.1本项目不收取谈判保证金。</w:t>
      </w:r>
    </w:p>
    <w:p w14:paraId="1397684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谈判有效期</w:t>
      </w:r>
    </w:p>
    <w:p w14:paraId="5DD0BEAD">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.1谈判有效期为从响应文件提交截止之日算起的日历天数，谈判有效期详见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1E27FA4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.2在谈判有效期内，供应商的谈判保持有效，供应商不得要求撤销或修改其响应文件。谈判有效期不满足要求的响应，其响应文件将被认定为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66D74C4E">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为保证有充分时间签订合同，采购人或采购代理机构可根据实际情况，在原谈判有效期截止之前，要求供应商延长谈判有效期。接受该要求的供应商将不会被要求和允许修正其响应文件。供应商可以拒绝延长谈判有效期的要求，且不承担任何责任。上述要求和答复都应以书面形式提交。</w:t>
      </w:r>
    </w:p>
    <w:p w14:paraId="5AD14B1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响应文件的提交、修改与撤回</w:t>
      </w:r>
    </w:p>
    <w:p w14:paraId="0E43DE24">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.1供应商应当在</w:t>
      </w:r>
      <w:r>
        <w:rPr>
          <w:rFonts w:hint="eastAsia" w:asciiTheme="minorEastAsia" w:hAnsiTheme="minorEastAsia" w:eastAsiaTheme="minorEastAsia"/>
          <w:color w:val="auto"/>
          <w:sz w:val="24"/>
          <w:highlight w:val="none"/>
          <w:lang w:val="en-US" w:eastAsia="zh-CN"/>
        </w:rPr>
        <w:t>竞争性谈判公告</w:t>
      </w:r>
      <w:r>
        <w:rPr>
          <w:rFonts w:hint="eastAsia" w:asciiTheme="minorEastAsia" w:hAnsiTheme="minorEastAsia" w:eastAsiaTheme="minorEastAsia"/>
          <w:color w:val="auto"/>
          <w:sz w:val="24"/>
          <w:highlight w:val="none"/>
        </w:rPr>
        <w:t>规定的响应文件提交截止时间前</w:t>
      </w:r>
      <w:r>
        <w:rPr>
          <w:rFonts w:asciiTheme="minorEastAsia" w:hAnsiTheme="minorEastAsia" w:eastAsiaTheme="minorEastAsia"/>
          <w:color w:val="auto"/>
          <w:sz w:val="24"/>
          <w:highlight w:val="none"/>
        </w:rPr>
        <w:t>，将加密的</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4B201108">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4B12F9B4">
      <w:pPr>
        <w:spacing w:line="360" w:lineRule="auto"/>
        <w:ind w:firstLine="435"/>
        <w:rPr>
          <w:rFonts w:hint="eastAsia"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供应商应在</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规定的解密时间前对</w:t>
      </w:r>
      <w:r>
        <w:rPr>
          <w:rFonts w:hint="eastAsia" w:asciiTheme="minorEastAsia" w:hAnsiTheme="minorEastAsia" w:eastAsiaTheme="minorEastAsia"/>
          <w:color w:val="auto"/>
          <w:sz w:val="24"/>
          <w:highlight w:val="none"/>
          <w:lang w:val="en-US" w:eastAsia="zh-CN"/>
        </w:rPr>
        <w:t>其</w:t>
      </w:r>
      <w:r>
        <w:rPr>
          <w:rFonts w:hint="eastAsia" w:asciiTheme="minorEastAsia" w:hAnsiTheme="minorEastAsia" w:eastAsiaTheme="minorEastAsia"/>
          <w:color w:val="auto"/>
          <w:sz w:val="24"/>
          <w:highlight w:val="none"/>
        </w:rPr>
        <w:t>响应文件进行解密</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未在规定时间内进行解密的，</w:t>
      </w:r>
      <w:r>
        <w:rPr>
          <w:rFonts w:hint="eastAsia" w:asciiTheme="minorEastAsia" w:hAnsiTheme="minorEastAsia" w:eastAsiaTheme="minorEastAsia"/>
          <w:b/>
          <w:color w:val="auto"/>
          <w:sz w:val="24"/>
          <w:highlight w:val="none"/>
        </w:rPr>
        <w:t>响应无效</w:t>
      </w:r>
      <w:r>
        <w:rPr>
          <w:rFonts w:hint="eastAsia" w:asciiTheme="minorEastAsia" w:hAnsiTheme="minorEastAsia" w:eastAsiaTheme="minorEastAsia"/>
          <w:b/>
          <w:color w:val="auto"/>
          <w:sz w:val="24"/>
          <w:highlight w:val="none"/>
          <w:lang w:eastAsia="zh-CN"/>
        </w:rPr>
        <w:t>。</w:t>
      </w:r>
    </w:p>
    <w:p w14:paraId="00BF013F">
      <w:pPr>
        <w:spacing w:line="360" w:lineRule="auto"/>
        <w:ind w:firstLine="435"/>
        <w:rPr>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.4在响应文件提交截止时间之后，供应商不得对其响应文件做任何修改。</w:t>
      </w:r>
      <w:r>
        <w:rPr>
          <w:rFonts w:hint="eastAsia"/>
          <w:color w:val="auto"/>
          <w:sz w:val="24"/>
          <w:highlight w:val="none"/>
        </w:rPr>
        <w:t>但属于谈判小组在评审中发现的计算错误并进行核实的修改、按照谈判文件的变动情况和谈判小组的要求重新提交响应文件的，不在此列。</w:t>
      </w:r>
    </w:p>
    <w:p w14:paraId="201916A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8.</w:t>
      </w:r>
      <w:r>
        <w:rPr>
          <w:rFonts w:hint="eastAsia" w:asciiTheme="minorEastAsia" w:hAnsiTheme="minorEastAsia" w:eastAsiaTheme="minorEastAsia"/>
          <w:b/>
          <w:color w:val="auto"/>
          <w:sz w:val="24"/>
          <w:highlight w:val="none"/>
        </w:rPr>
        <w:t>谈判小组</w:t>
      </w:r>
    </w:p>
    <w:p w14:paraId="1A1378D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.1本项目将依法组建谈判小组，谈判小组成员由3人以上单数组成，谈判小组及其成员应当依照政府采购的有关规定履行相关职责和义务。</w:t>
      </w:r>
    </w:p>
    <w:p w14:paraId="6832449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.2谈判小组依法对响应文件进行评审，并根据谈判文件规定的程序、评定成交的标准等事项与实质性响应谈判文件要求的供应商进行谈判。</w:t>
      </w:r>
    </w:p>
    <w:p w14:paraId="6F3FA92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.3谈判小组应当从质量和服务均能满足谈判文件实质性响应要求的供应商中，按照评审</w:t>
      </w:r>
      <w:r>
        <w:rPr>
          <w:rFonts w:hint="eastAsia" w:asciiTheme="minorEastAsia" w:hAnsiTheme="minorEastAsia" w:eastAsiaTheme="minorEastAsia"/>
          <w:color w:val="auto"/>
          <w:sz w:val="24"/>
          <w:highlight w:val="none"/>
        </w:rPr>
        <w:t>方</w:t>
      </w:r>
      <w:r>
        <w:rPr>
          <w:rFonts w:asciiTheme="minorEastAsia" w:hAnsiTheme="minorEastAsia" w:eastAsiaTheme="minorEastAsia"/>
          <w:color w:val="auto"/>
          <w:sz w:val="24"/>
          <w:highlight w:val="none"/>
        </w:rPr>
        <w:t>法</w:t>
      </w:r>
      <w:r>
        <w:rPr>
          <w:rFonts w:hint="eastAsia" w:asciiTheme="minorEastAsia" w:hAnsiTheme="minorEastAsia" w:eastAsiaTheme="minorEastAsia"/>
          <w:color w:val="auto"/>
          <w:sz w:val="24"/>
          <w:highlight w:val="none"/>
        </w:rPr>
        <w:t>和标准推荐</w:t>
      </w:r>
      <w:r>
        <w:rPr>
          <w:rFonts w:asciiTheme="minorEastAsia" w:hAnsiTheme="minorEastAsia" w:eastAsiaTheme="minorEastAsia"/>
          <w:color w:val="auto"/>
          <w:sz w:val="24"/>
          <w:highlight w:val="none"/>
        </w:rPr>
        <w:t>成交候选供应商，并编写</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报告。</w:t>
      </w:r>
    </w:p>
    <w:p w14:paraId="0F1B1A13">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.响应文件的评审与谈判</w:t>
      </w:r>
    </w:p>
    <w:p w14:paraId="30AA0A73">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rPr>
        <w:t>1</w:t>
      </w:r>
      <w:r>
        <w:rPr>
          <w:rFonts w:hint="eastAsia" w:cs="@仿宋_GB2312" w:asciiTheme="minorEastAsia" w:hAnsiTheme="minorEastAsia" w:eastAsiaTheme="minorEastAsia"/>
          <w:color w:val="auto"/>
          <w:kern w:val="2"/>
          <w:sz w:val="24"/>
          <w:highlight w:val="none"/>
          <w:lang w:val="en-US" w:eastAsia="zh-CN"/>
        </w:rPr>
        <w:t>4</w:t>
      </w:r>
      <w:r>
        <w:rPr>
          <w:rFonts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rPr>
        <w:t>1采购人和采购代理机构将在</w:t>
      </w:r>
      <w:r>
        <w:rPr>
          <w:rFonts w:hint="eastAsia" w:cs="@仿宋_GB2312" w:asciiTheme="minorEastAsia" w:hAnsiTheme="minorEastAsia" w:eastAsiaTheme="minorEastAsia"/>
          <w:color w:val="auto"/>
          <w:kern w:val="2"/>
          <w:sz w:val="24"/>
          <w:highlight w:val="none"/>
          <w:u w:val="none"/>
          <w:lang w:val="en-US" w:eastAsia="zh-CN"/>
        </w:rPr>
        <w:t>竞争性谈判公告</w:t>
      </w:r>
      <w:r>
        <w:rPr>
          <w:rFonts w:hint="eastAsia" w:cs="@仿宋_GB2312" w:asciiTheme="minorEastAsia" w:hAnsiTheme="minorEastAsia" w:eastAsiaTheme="minorEastAsia"/>
          <w:color w:val="auto"/>
          <w:kern w:val="2"/>
          <w:sz w:val="24"/>
          <w:highlight w:val="none"/>
        </w:rPr>
        <w:t>规定的时间和地点组织谈判。</w:t>
      </w:r>
    </w:p>
    <w:p w14:paraId="5F2E826C">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rPr>
        <w:t>1</w:t>
      </w:r>
      <w:r>
        <w:rPr>
          <w:rFonts w:hint="eastAsia" w:cs="@仿宋_GB2312" w:asciiTheme="minorEastAsia" w:hAnsiTheme="minorEastAsia" w:eastAsiaTheme="minorEastAsia"/>
          <w:color w:val="auto"/>
          <w:kern w:val="2"/>
          <w:sz w:val="24"/>
          <w:highlight w:val="none"/>
          <w:lang w:val="en-US" w:eastAsia="zh-CN"/>
        </w:rPr>
        <w:t>4</w:t>
      </w:r>
      <w:r>
        <w:rPr>
          <w:rFonts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rPr>
        <w:t>2竞争性谈判采用最低评标价法评审。</w:t>
      </w:r>
    </w:p>
    <w:p w14:paraId="1A0625E8">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rPr>
        <w:t>最低评标价法，是指响应文件满足谈判文件全部实质性要求且最后报价最低的供应商为成交候选人的评审办法。</w:t>
      </w:r>
    </w:p>
    <w:p w14:paraId="3353C2BB">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rPr>
        <w:t>1</w:t>
      </w:r>
      <w:r>
        <w:rPr>
          <w:rFonts w:hint="eastAsia" w:cs="@仿宋_GB2312" w:asciiTheme="minorEastAsia" w:hAnsiTheme="minorEastAsia" w:eastAsiaTheme="minorEastAsia"/>
          <w:color w:val="auto"/>
          <w:kern w:val="2"/>
          <w:sz w:val="24"/>
          <w:highlight w:val="none"/>
          <w:lang w:val="en-US" w:eastAsia="zh-CN"/>
        </w:rPr>
        <w:t>4</w:t>
      </w:r>
      <w:r>
        <w:rPr>
          <w:rFonts w:hint="eastAsia" w:cs="@仿宋_GB2312" w:asciiTheme="minorEastAsia" w:hAnsiTheme="minorEastAsia" w:eastAsiaTheme="minorEastAsia"/>
          <w:color w:val="auto"/>
          <w:kern w:val="2"/>
          <w:sz w:val="24"/>
          <w:highlight w:val="none"/>
        </w:rPr>
        <w:t>.3谈判小组将按照谈判文件规定的评审办法和</w:t>
      </w:r>
      <w:r>
        <w:rPr>
          <w:rFonts w:cs="@仿宋_GB2312" w:asciiTheme="minorEastAsia" w:hAnsiTheme="minorEastAsia" w:eastAsiaTheme="minorEastAsia"/>
          <w:color w:val="auto"/>
          <w:kern w:val="2"/>
          <w:sz w:val="24"/>
          <w:highlight w:val="none"/>
        </w:rPr>
        <w:t>标准</w:t>
      </w:r>
      <w:r>
        <w:rPr>
          <w:rFonts w:hint="eastAsia" w:cs="@仿宋_GB2312" w:asciiTheme="minorEastAsia" w:hAnsiTheme="minorEastAsia" w:eastAsiaTheme="minorEastAsia"/>
          <w:color w:val="auto"/>
          <w:kern w:val="2"/>
          <w:sz w:val="24"/>
          <w:highlight w:val="none"/>
        </w:rPr>
        <w:t>对供应商独立进行评审。评审程序如下：</w:t>
      </w:r>
    </w:p>
    <w:p w14:paraId="1834CED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b/>
          <w:color w:val="auto"/>
          <w:sz w:val="24"/>
          <w:highlight w:val="none"/>
        </w:rPr>
        <w:t>初审</w:t>
      </w:r>
      <w:r>
        <w:rPr>
          <w:rFonts w:hint="eastAsia" w:asciiTheme="minorEastAsia" w:hAnsiTheme="minorEastAsia" w:eastAsiaTheme="minorEastAsia"/>
          <w:color w:val="auto"/>
          <w:sz w:val="24"/>
          <w:highlight w:val="none"/>
        </w:rPr>
        <w:t>。谈判小组对供应商必须满足和实质性响应的内容进行评审，供应商未实质性响应谈判文件要求导致响应无效的，谈判小组将以书面询标的方式告知有关供应商。</w:t>
      </w:r>
    </w:p>
    <w:p w14:paraId="6C823D2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采购人或采购代理机构将在响应文件提交截止时间后至评审结束前通过“信用中国”网站(www.creditchina.gov.cn)、中国政府采购网(www.ccgp.gov.cn)查询相关</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518A8800">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w:t>
      </w:r>
      <w:r>
        <w:rPr>
          <w:rFonts w:hint="eastAsia" w:cs="宋体"/>
          <w:color w:val="auto"/>
          <w:sz w:val="24"/>
          <w:szCs w:val="24"/>
          <w:highlight w:val="none"/>
          <w:lang w:val="en-US" w:eastAsia="zh-CN"/>
        </w:rPr>
        <w:t>谈判</w:t>
      </w:r>
      <w:r>
        <w:rPr>
          <w:rFonts w:hint="eastAsia" w:ascii="宋体" w:hAnsi="宋体" w:eastAsia="宋体" w:cs="宋体"/>
          <w:color w:val="auto"/>
          <w:sz w:val="24"/>
          <w:szCs w:val="24"/>
          <w:highlight w:val="none"/>
        </w:rPr>
        <w:t>的，联合体成员存在以上不良信用记录的，联合体</w:t>
      </w:r>
      <w:r>
        <w:rPr>
          <w:rFonts w:hint="eastAsia" w:cs="宋体"/>
          <w:color w:val="auto"/>
          <w:sz w:val="24"/>
          <w:szCs w:val="24"/>
          <w:highlight w:val="none"/>
          <w:lang w:val="en-US" w:eastAsia="zh-CN"/>
        </w:rPr>
        <w:t>谈判</w:t>
      </w:r>
      <w:r>
        <w:rPr>
          <w:rFonts w:hint="eastAsia" w:ascii="宋体" w:hAnsi="宋体" w:eastAsia="宋体" w:cs="宋体"/>
          <w:color w:val="auto"/>
          <w:sz w:val="24"/>
          <w:szCs w:val="24"/>
          <w:highlight w:val="none"/>
        </w:rPr>
        <w:t>将被认定为</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无效</w:t>
      </w:r>
      <w:r>
        <w:rPr>
          <w:rFonts w:hint="eastAsia" w:ascii="宋体" w:hAnsi="宋体" w:eastAsia="宋体" w:cs="宋体"/>
          <w:color w:val="auto"/>
          <w:sz w:val="24"/>
          <w:szCs w:val="24"/>
          <w:highlight w:val="none"/>
        </w:rPr>
        <w:t>。</w:t>
      </w:r>
    </w:p>
    <w:p w14:paraId="0CAD8BDA">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w:t>
      </w:r>
      <w:r>
        <w:rPr>
          <w:rFonts w:hint="eastAsia"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p w14:paraId="4E664A6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b/>
          <w:color w:val="auto"/>
          <w:sz w:val="24"/>
          <w:highlight w:val="none"/>
        </w:rPr>
        <w:t>谈判</w:t>
      </w:r>
      <w:r>
        <w:rPr>
          <w:rFonts w:hint="eastAsia" w:asciiTheme="minorEastAsia" w:hAnsiTheme="minorEastAsia" w:eastAsiaTheme="minorEastAsia"/>
          <w:color w:val="auto"/>
          <w:sz w:val="24"/>
          <w:highlight w:val="none"/>
        </w:rPr>
        <w:t>。初审合格后，谈判小组将按网上加密电子响应文件提交顺序集中与单一供应商分别进行谈判，并给予所有参加谈判的供应商平等的谈判机会。</w:t>
      </w:r>
    </w:p>
    <w:p w14:paraId="38F3055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.3.3</w:t>
      </w:r>
      <w:r>
        <w:rPr>
          <w:rFonts w:asciiTheme="minorEastAsia" w:hAnsiTheme="minorEastAsia" w:eastAsiaTheme="minorEastAsia"/>
          <w:b/>
          <w:color w:val="auto"/>
          <w:sz w:val="24"/>
          <w:highlight w:val="none"/>
        </w:rPr>
        <w:t>报价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谈判结束后，谈判小组应当要求所有</w:t>
      </w:r>
      <w:r>
        <w:rPr>
          <w:rFonts w:hint="eastAsia" w:asciiTheme="minorEastAsia" w:hAnsiTheme="minorEastAsia" w:eastAsiaTheme="minorEastAsia"/>
          <w:color w:val="auto"/>
          <w:sz w:val="24"/>
          <w:highlight w:val="none"/>
        </w:rPr>
        <w:t>继续参加谈判</w:t>
      </w:r>
      <w:r>
        <w:rPr>
          <w:rFonts w:asciiTheme="minorEastAsia" w:hAnsiTheme="minorEastAsia" w:eastAsiaTheme="minorEastAsia"/>
          <w:color w:val="auto"/>
          <w:sz w:val="24"/>
          <w:highlight w:val="none"/>
        </w:rPr>
        <w:t>的供应商在规定时间内提交最后报价</w:t>
      </w:r>
      <w:r>
        <w:rPr>
          <w:rFonts w:hint="eastAsia"/>
          <w:color w:val="auto"/>
          <w:sz w:val="24"/>
          <w:highlight w:val="none"/>
        </w:rPr>
        <w:t>。</w:t>
      </w:r>
    </w:p>
    <w:p w14:paraId="443887A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.4相关说明。</w:t>
      </w:r>
    </w:p>
    <w:p w14:paraId="603DFAF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.4.1为保证谈判活动顺利进行，供应商可派相关技术人员进行网上答疑；</w:t>
      </w:r>
    </w:p>
    <w:p w14:paraId="0BC9C32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.4.2谈判</w:t>
      </w:r>
      <w:r>
        <w:rPr>
          <w:rFonts w:asciiTheme="minorEastAsia" w:hAnsiTheme="minorEastAsia" w:eastAsiaTheme="minorEastAsia"/>
          <w:color w:val="auto"/>
          <w:sz w:val="24"/>
          <w:highlight w:val="none"/>
        </w:rPr>
        <w:t>小组根据与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谈判情况可能实质性变动</w:t>
      </w:r>
      <w:r>
        <w:rPr>
          <w:rFonts w:hint="eastAsia" w:asciiTheme="minorEastAsia" w:hAnsiTheme="minorEastAsia" w:eastAsiaTheme="minorEastAsia"/>
          <w:color w:val="auto"/>
          <w:sz w:val="24"/>
          <w:highlight w:val="none"/>
        </w:rPr>
        <w:t>谈判文件</w:t>
      </w:r>
      <w:r>
        <w:rPr>
          <w:rFonts w:asciiTheme="minorEastAsia" w:hAnsiTheme="minorEastAsia" w:eastAsiaTheme="minorEastAsia"/>
          <w:color w:val="auto"/>
          <w:sz w:val="24"/>
          <w:highlight w:val="none"/>
        </w:rPr>
        <w:t>的内容，包括采购需求中的技术、服务要求以及合同草案条款。谈判文件有实质性变动的，</w:t>
      </w:r>
      <w:r>
        <w:rPr>
          <w:rFonts w:hint="eastAsia" w:asciiTheme="minorEastAsia" w:hAnsiTheme="minorEastAsia" w:eastAsiaTheme="minorEastAsia"/>
          <w:color w:val="auto"/>
          <w:sz w:val="24"/>
          <w:highlight w:val="none"/>
        </w:rPr>
        <w:t>经采购人代表确认作为谈判文件的有效组成部分，</w:t>
      </w:r>
      <w:r>
        <w:rPr>
          <w:rFonts w:asciiTheme="minorEastAsia" w:hAnsiTheme="minorEastAsia" w:eastAsiaTheme="minorEastAsia"/>
          <w:color w:val="auto"/>
          <w:sz w:val="24"/>
          <w:highlight w:val="none"/>
        </w:rPr>
        <w:t>谈判小组</w:t>
      </w:r>
      <w:r>
        <w:rPr>
          <w:rFonts w:hint="eastAsia" w:asciiTheme="minorEastAsia" w:hAnsiTheme="minorEastAsia" w:eastAsiaTheme="minorEastAsia"/>
          <w:color w:val="auto"/>
          <w:sz w:val="24"/>
          <w:highlight w:val="none"/>
        </w:rPr>
        <w:t>将</w:t>
      </w:r>
      <w:r>
        <w:rPr>
          <w:rFonts w:asciiTheme="minorEastAsia" w:hAnsiTheme="minorEastAsia" w:eastAsiaTheme="minorEastAsia"/>
          <w:color w:val="auto"/>
          <w:sz w:val="24"/>
          <w:highlight w:val="none"/>
        </w:rPr>
        <w:t>以书面形式通知所有参加谈判的供应商。</w:t>
      </w:r>
    </w:p>
    <w:p w14:paraId="2CD9865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4.3谈判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asciiTheme="minorEastAsia" w:hAnsiTheme="minorEastAsia" w:eastAsiaTheme="minorEastAsia"/>
          <w:b/>
          <w:color w:val="auto"/>
          <w:sz w:val="24"/>
          <w:highlight w:val="none"/>
        </w:rPr>
        <w:t>响应无效。</w:t>
      </w:r>
    </w:p>
    <w:p w14:paraId="3DB855F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.4.4</w:t>
      </w:r>
      <w:r>
        <w:rPr>
          <w:rFonts w:asciiTheme="minorEastAsia" w:hAnsiTheme="minorEastAsia" w:eastAsiaTheme="minorEastAsia"/>
          <w:color w:val="auto"/>
          <w:sz w:val="24"/>
          <w:highlight w:val="none"/>
        </w:rPr>
        <w:t>无论何种原因，即使供应商</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时携带了证书材料的原件，但响应文件中未提供与之内容完全一致的</w:t>
      </w:r>
      <w:r>
        <w:rPr>
          <w:rFonts w:hint="eastAsia" w:asciiTheme="minorEastAsia" w:hAnsiTheme="minorEastAsia" w:eastAsiaTheme="minorEastAsia"/>
          <w:color w:val="auto"/>
          <w:sz w:val="24"/>
          <w:highlight w:val="none"/>
        </w:rPr>
        <w:t>扫描件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小组可以视同其未提供。</w:t>
      </w:r>
    </w:p>
    <w:p w14:paraId="796BAA9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.4.5谈判</w:t>
      </w:r>
      <w:r>
        <w:rPr>
          <w:rFonts w:asciiTheme="minorEastAsia" w:hAnsiTheme="minorEastAsia" w:eastAsiaTheme="minorEastAsia"/>
          <w:color w:val="auto"/>
          <w:sz w:val="24"/>
          <w:highlight w:val="none"/>
        </w:rPr>
        <w:t>小组决定响应文件的响应性及符合性只根据响应文件本身的内容，而不寻求其他外部证据。</w:t>
      </w:r>
    </w:p>
    <w:p w14:paraId="60A9560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rPr>
        <w:t>授权</w:t>
      </w:r>
      <w:r>
        <w:rPr>
          <w:rFonts w:asciiTheme="minorEastAsia" w:hAnsiTheme="minorEastAsia" w:eastAsiaTheme="minorEastAsia"/>
          <w:color w:val="auto"/>
          <w:sz w:val="24"/>
          <w:highlight w:val="none"/>
        </w:rPr>
        <w:t>代表对</w:t>
      </w:r>
      <w:r>
        <w:rPr>
          <w:rFonts w:hint="eastAsia" w:asciiTheme="minorEastAsia" w:hAnsiTheme="minorEastAsia" w:eastAsiaTheme="minorEastAsia"/>
          <w:color w:val="auto"/>
          <w:sz w:val="24"/>
          <w:highlight w:val="none"/>
        </w:rPr>
        <w:t>谈判过程</w:t>
      </w:r>
      <w:r>
        <w:rPr>
          <w:rFonts w:asciiTheme="minorEastAsia" w:hAnsiTheme="minorEastAsia" w:eastAsiaTheme="minorEastAsia"/>
          <w:color w:val="auto"/>
          <w:sz w:val="24"/>
          <w:highlight w:val="none"/>
        </w:rPr>
        <w:t>有疑义，以及认为采购人、采购代理机构相关工作人员有需要回避的情形的，应当场提出询问或者回避申请</w:t>
      </w:r>
      <w:r>
        <w:rPr>
          <w:rFonts w:hint="eastAsia" w:asciiTheme="minorEastAsia" w:hAnsiTheme="minorEastAsia" w:eastAsiaTheme="minorEastAsia"/>
          <w:color w:val="auto"/>
          <w:sz w:val="24"/>
          <w:highlight w:val="none"/>
        </w:rPr>
        <w:t>，并说明理由。</w:t>
      </w:r>
      <w:r>
        <w:rPr>
          <w:rFonts w:asciiTheme="minorEastAsia" w:hAnsiTheme="minorEastAsia" w:eastAsiaTheme="minorEastAsia"/>
          <w:color w:val="auto"/>
          <w:sz w:val="24"/>
          <w:highlight w:val="none"/>
        </w:rPr>
        <w:t xml:space="preserve"> </w:t>
      </w:r>
    </w:p>
    <w:p w14:paraId="248BDEF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.终止竞争性谈判</w:t>
      </w:r>
    </w:p>
    <w:p w14:paraId="167D1CD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.1出现下列情况之一时，采购人和采购代理机构有权宣布终止竞争性谈判采购，并将理由通知所有供应商：</w:t>
      </w:r>
    </w:p>
    <w:p w14:paraId="1F382BE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（1）有效供应商数量不足，导致本次谈判缺乏竞争的；</w:t>
      </w:r>
    </w:p>
    <w:p w14:paraId="3585B73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（2）出现影响采购公正的违法、违规行为的；</w:t>
      </w:r>
    </w:p>
    <w:p w14:paraId="0E4C70D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（3）因重大变故，采购任务取消的；</w:t>
      </w:r>
    </w:p>
    <w:p w14:paraId="6BB46BB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（4）政府采购法律法规规定的其他情形。</w:t>
      </w:r>
    </w:p>
    <w:p w14:paraId="03E5941A">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16</w:t>
      </w:r>
      <w:r>
        <w:rPr>
          <w:rFonts w:asciiTheme="minorEastAsia" w:hAnsiTheme="minorEastAsia" w:eastAsiaTheme="minorEastAsia"/>
          <w:b/>
          <w:color w:val="auto"/>
          <w:sz w:val="24"/>
          <w:highlight w:val="none"/>
        </w:rPr>
        <w:t>.响应文件的澄清、说明或</w:t>
      </w:r>
      <w:r>
        <w:rPr>
          <w:rFonts w:hint="eastAsia" w:asciiTheme="minorEastAsia" w:hAnsiTheme="minorEastAsia" w:eastAsiaTheme="minorEastAsia"/>
          <w:b/>
          <w:color w:val="auto"/>
          <w:sz w:val="24"/>
          <w:highlight w:val="none"/>
        </w:rPr>
        <w:t>更正</w:t>
      </w:r>
    </w:p>
    <w:p w14:paraId="48B6536A">
      <w:pPr>
        <w:spacing w:line="360" w:lineRule="auto"/>
        <w:ind w:firstLine="470" w:firstLineChars="196"/>
        <w:rPr>
          <w:color w:val="auto"/>
          <w:sz w:val="24"/>
          <w:highlight w:val="none"/>
        </w:rPr>
      </w:pPr>
      <w:r>
        <w:rPr>
          <w:rFonts w:hint="eastAsia"/>
          <w:color w:val="auto"/>
          <w:sz w:val="24"/>
          <w:highlight w:val="none"/>
          <w:lang w:val="en-US" w:eastAsia="zh-CN"/>
        </w:rPr>
        <w:t>16</w:t>
      </w:r>
      <w:r>
        <w:rPr>
          <w:rFonts w:hint="eastAsia"/>
          <w:color w:val="auto"/>
          <w:sz w:val="24"/>
          <w:highlight w:val="none"/>
        </w:rPr>
        <w:t>.1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00E61FBC">
      <w:pPr>
        <w:spacing w:line="360" w:lineRule="auto"/>
        <w:ind w:firstLine="470" w:firstLineChars="196"/>
        <w:rPr>
          <w:color w:val="auto"/>
          <w:sz w:val="24"/>
          <w:highlight w:val="none"/>
        </w:rPr>
      </w:pPr>
      <w:r>
        <w:rPr>
          <w:rFonts w:hint="eastAsia"/>
          <w:color w:val="auto"/>
          <w:sz w:val="24"/>
          <w:highlight w:val="none"/>
          <w:lang w:val="en-US" w:eastAsia="zh-CN"/>
        </w:rPr>
        <w:t>16</w:t>
      </w:r>
      <w:r>
        <w:rPr>
          <w:rFonts w:hint="eastAsia"/>
          <w:color w:val="auto"/>
          <w:sz w:val="24"/>
          <w:highlight w:val="none"/>
        </w:rPr>
        <w:t>.2谈判小组要求供应商澄清、说明或者更正响应文件应当以书面形式（询标）作出。供应商的澄清、说明或者更正应当由法定代表人或其授权代表签字或者加盖公章</w:t>
      </w:r>
      <w:r>
        <w:rPr>
          <w:rFonts w:hint="eastAsia"/>
          <w:color w:val="auto"/>
          <w:sz w:val="24"/>
          <w:highlight w:val="none"/>
          <w:lang w:eastAsia="zh-CN"/>
        </w:rPr>
        <w:t>（</w:t>
      </w:r>
      <w:r>
        <w:rPr>
          <w:rFonts w:hint="eastAsia"/>
          <w:color w:val="auto"/>
          <w:sz w:val="24"/>
          <w:highlight w:val="none"/>
          <w:lang w:val="en-US" w:eastAsia="zh-CN"/>
        </w:rPr>
        <w:t>电子签章</w:t>
      </w:r>
      <w:r>
        <w:rPr>
          <w:rFonts w:hint="eastAsia"/>
          <w:color w:val="auto"/>
          <w:sz w:val="24"/>
          <w:highlight w:val="none"/>
          <w:lang w:eastAsia="zh-CN"/>
        </w:rPr>
        <w:t>）</w:t>
      </w:r>
      <w:r>
        <w:rPr>
          <w:rFonts w:hint="eastAsia"/>
          <w:color w:val="auto"/>
          <w:sz w:val="24"/>
          <w:highlight w:val="none"/>
        </w:rPr>
        <w:t>。</w:t>
      </w:r>
    </w:p>
    <w:p w14:paraId="1D362511">
      <w:pPr>
        <w:spacing w:line="360" w:lineRule="auto"/>
        <w:ind w:firstLine="435"/>
        <w:rPr>
          <w:color w:val="auto"/>
          <w:sz w:val="24"/>
          <w:highlight w:val="none"/>
        </w:rPr>
      </w:pPr>
      <w:r>
        <w:rPr>
          <w:rFonts w:hint="eastAsia"/>
          <w:b/>
          <w:color w:val="auto"/>
          <w:sz w:val="24"/>
          <w:highlight w:val="none"/>
        </w:rPr>
        <w:t>如有询标，授权代表（或法定代表人）可通过远程登录的方式接受网上询标，也可凭本人有效身份证明参加询标。因授权代表联系不上</w:t>
      </w:r>
      <w:r>
        <w:rPr>
          <w:rFonts w:hint="eastAsia"/>
          <w:b/>
          <w:bCs/>
          <w:color w:val="auto"/>
          <w:sz w:val="24"/>
          <w:highlight w:val="none"/>
        </w:rPr>
        <w:t>、没有及时登录系统等情形</w:t>
      </w:r>
      <w:r>
        <w:rPr>
          <w:rFonts w:hint="eastAsia"/>
          <w:b/>
          <w:color w:val="auto"/>
          <w:sz w:val="24"/>
          <w:highlight w:val="none"/>
        </w:rPr>
        <w:t>而无法接受谈判小组询标的，供应商自行承担相关风险。</w:t>
      </w:r>
    </w:p>
    <w:p w14:paraId="14BA6A64">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宋体" w:hAnsi="宋体" w:eastAsia="宋体"/>
          <w:b/>
          <w:color w:val="auto"/>
          <w:sz w:val="24"/>
          <w:highlight w:val="none"/>
        </w:rPr>
        <w:t>本项目采用远程开标，具体操作方法详见服务指南&gt;交易须知&gt;开标大厅远程解密、质疑(异议)及回复以及评标过程中询标流程操作手册。</w:t>
      </w:r>
    </w:p>
    <w:p w14:paraId="239227F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17</w:t>
      </w:r>
      <w:r>
        <w:rPr>
          <w:rFonts w:asciiTheme="minorEastAsia" w:hAnsiTheme="minorEastAsia" w:eastAsiaTheme="minorEastAsia"/>
          <w:b/>
          <w:color w:val="auto"/>
          <w:sz w:val="24"/>
          <w:highlight w:val="none"/>
        </w:rPr>
        <w:t>.最后报价</w:t>
      </w:r>
    </w:p>
    <w:p w14:paraId="7FAE7F2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谈判并不限定只进行二轮报价，如果谈判小组认为有必要，可以要求供应商进行多轮报价</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本项目约定为二轮报价</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w:t>
      </w:r>
    </w:p>
    <w:p w14:paraId="5A44628E">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eastAsia="zh-CN"/>
        </w:rPr>
        <w:t>本次</w:t>
      </w:r>
      <w:r>
        <w:rPr>
          <w:rFonts w:hint="eastAsia" w:asciiTheme="minorEastAsia" w:hAnsiTheme="minorEastAsia" w:eastAsiaTheme="minorEastAsia"/>
          <w:color w:val="auto"/>
          <w:sz w:val="24"/>
          <w:highlight w:val="none"/>
          <w:lang w:val="en-US" w:eastAsia="zh-CN"/>
        </w:rPr>
        <w:t>谈判</w:t>
      </w:r>
      <w:r>
        <w:rPr>
          <w:rFonts w:hint="eastAsia" w:asciiTheme="minorEastAsia" w:hAnsiTheme="minorEastAsia" w:eastAsiaTheme="minorEastAsia"/>
          <w:color w:val="auto"/>
          <w:sz w:val="24"/>
          <w:highlight w:val="none"/>
          <w:lang w:eastAsia="zh-CN"/>
        </w:rPr>
        <w:t>实行</w:t>
      </w:r>
      <w:r>
        <w:rPr>
          <w:rFonts w:hint="eastAsia" w:asciiTheme="minorEastAsia" w:hAnsiTheme="minorEastAsia" w:eastAsiaTheme="minorEastAsia"/>
          <w:color w:val="auto"/>
          <w:sz w:val="24"/>
          <w:highlight w:val="none"/>
          <w:lang w:val="en-US" w:eastAsia="zh-CN"/>
        </w:rPr>
        <w:t>二轮报价</w:t>
      </w:r>
      <w:r>
        <w:rPr>
          <w:rFonts w:hint="eastAsia" w:asciiTheme="minorEastAsia" w:hAnsiTheme="minorEastAsia" w:eastAsiaTheme="minorEastAsia"/>
          <w:color w:val="auto"/>
          <w:sz w:val="24"/>
          <w:highlight w:val="none"/>
          <w:lang w:eastAsia="zh-CN"/>
        </w:rPr>
        <w:t>。第一</w:t>
      </w:r>
      <w:r>
        <w:rPr>
          <w:rFonts w:hint="eastAsia" w:asciiTheme="minorEastAsia" w:hAnsiTheme="minorEastAsia" w:eastAsiaTheme="minorEastAsia"/>
          <w:color w:val="auto"/>
          <w:sz w:val="24"/>
          <w:highlight w:val="none"/>
          <w:lang w:val="en-US" w:eastAsia="zh-CN"/>
        </w:rPr>
        <w:t>轮</w:t>
      </w:r>
      <w:r>
        <w:rPr>
          <w:rFonts w:hint="eastAsia" w:asciiTheme="minorEastAsia" w:hAnsiTheme="minorEastAsia" w:eastAsiaTheme="minorEastAsia"/>
          <w:color w:val="auto"/>
          <w:sz w:val="24"/>
          <w:highlight w:val="none"/>
          <w:lang w:eastAsia="zh-CN"/>
        </w:rPr>
        <w:t>报价为供应商在响应文件中填报的报价，第</w:t>
      </w:r>
      <w:r>
        <w:rPr>
          <w:rFonts w:hint="eastAsia" w:asciiTheme="minorEastAsia" w:hAnsiTheme="minorEastAsia" w:eastAsiaTheme="minorEastAsia"/>
          <w:color w:val="auto"/>
          <w:sz w:val="24"/>
          <w:highlight w:val="none"/>
          <w:lang w:val="en-US" w:eastAsia="zh-CN"/>
        </w:rPr>
        <w:t>二轮</w:t>
      </w:r>
      <w:r>
        <w:rPr>
          <w:rFonts w:hint="eastAsia" w:asciiTheme="minorEastAsia" w:hAnsiTheme="minorEastAsia" w:eastAsiaTheme="minorEastAsia"/>
          <w:color w:val="auto"/>
          <w:sz w:val="24"/>
          <w:highlight w:val="none"/>
          <w:lang w:eastAsia="zh-CN"/>
        </w:rPr>
        <w:t>报价在响应文件通过评审后，由谈判小组通过评标系统以询标方式，向响应文件评审有效的各供应商进行询标，各供应商应在评标系统询标规定的时间内，通过“评标澄清回复”进行第</w:t>
      </w:r>
      <w:r>
        <w:rPr>
          <w:rFonts w:hint="eastAsia" w:asciiTheme="minorEastAsia" w:hAnsiTheme="minorEastAsia" w:eastAsiaTheme="minorEastAsia"/>
          <w:color w:val="auto"/>
          <w:sz w:val="24"/>
          <w:highlight w:val="none"/>
          <w:lang w:val="en-US" w:eastAsia="zh-CN"/>
        </w:rPr>
        <w:t>二轮</w:t>
      </w:r>
      <w:r>
        <w:rPr>
          <w:rFonts w:hint="eastAsia" w:asciiTheme="minorEastAsia" w:hAnsiTheme="minorEastAsia" w:eastAsiaTheme="minorEastAsia"/>
          <w:color w:val="auto"/>
          <w:sz w:val="24"/>
          <w:highlight w:val="none"/>
          <w:lang w:eastAsia="zh-CN"/>
        </w:rPr>
        <w:t>报价。各供应商应及时查看系统质询问题并及时进行第</w:t>
      </w:r>
      <w:r>
        <w:rPr>
          <w:rFonts w:hint="eastAsia" w:asciiTheme="minorEastAsia" w:hAnsiTheme="minorEastAsia" w:eastAsiaTheme="minorEastAsia"/>
          <w:color w:val="auto"/>
          <w:sz w:val="24"/>
          <w:highlight w:val="none"/>
          <w:lang w:val="en-US" w:eastAsia="zh-CN"/>
        </w:rPr>
        <w:t>二轮</w:t>
      </w:r>
      <w:r>
        <w:rPr>
          <w:rFonts w:hint="eastAsia" w:asciiTheme="minorEastAsia" w:hAnsiTheme="minorEastAsia" w:eastAsiaTheme="minorEastAsia"/>
          <w:color w:val="auto"/>
          <w:sz w:val="24"/>
          <w:highlight w:val="none"/>
          <w:lang w:eastAsia="zh-CN"/>
        </w:rPr>
        <w:t>报价，第</w:t>
      </w:r>
      <w:r>
        <w:rPr>
          <w:rFonts w:hint="eastAsia" w:asciiTheme="minorEastAsia" w:hAnsiTheme="minorEastAsia" w:eastAsiaTheme="minorEastAsia"/>
          <w:color w:val="auto"/>
          <w:sz w:val="24"/>
          <w:highlight w:val="none"/>
          <w:lang w:val="en-US" w:eastAsia="zh-CN"/>
        </w:rPr>
        <w:t>二轮</w:t>
      </w:r>
      <w:r>
        <w:rPr>
          <w:rFonts w:hint="eastAsia" w:asciiTheme="minorEastAsia" w:hAnsiTheme="minorEastAsia" w:eastAsiaTheme="minorEastAsia"/>
          <w:color w:val="auto"/>
          <w:sz w:val="24"/>
          <w:highlight w:val="none"/>
          <w:lang w:eastAsia="zh-CN"/>
        </w:rPr>
        <w:t>报价即为最后报价，若供应商未在系统询标规定的时间内进行第</w:t>
      </w:r>
      <w:r>
        <w:rPr>
          <w:rFonts w:hint="eastAsia" w:asciiTheme="minorEastAsia" w:hAnsiTheme="minorEastAsia" w:eastAsiaTheme="minorEastAsia"/>
          <w:color w:val="auto"/>
          <w:sz w:val="24"/>
          <w:highlight w:val="none"/>
          <w:lang w:val="en-US" w:eastAsia="zh-CN"/>
        </w:rPr>
        <w:t>二轮报价</w:t>
      </w:r>
      <w:r>
        <w:rPr>
          <w:rFonts w:hint="eastAsia" w:asciiTheme="minorEastAsia" w:hAnsiTheme="minorEastAsia" w:eastAsiaTheme="minorEastAsia"/>
          <w:color w:val="auto"/>
          <w:sz w:val="24"/>
          <w:highlight w:val="none"/>
          <w:lang w:eastAsia="zh-CN"/>
        </w:rPr>
        <w:t>（最后报价）或第</w:t>
      </w:r>
      <w:r>
        <w:rPr>
          <w:rFonts w:hint="eastAsia" w:asciiTheme="minorEastAsia" w:hAnsiTheme="minorEastAsia" w:eastAsiaTheme="minorEastAsia"/>
          <w:color w:val="auto"/>
          <w:sz w:val="24"/>
          <w:highlight w:val="none"/>
          <w:lang w:val="en-US" w:eastAsia="zh-CN"/>
        </w:rPr>
        <w:t>二轮</w:t>
      </w:r>
      <w:r>
        <w:rPr>
          <w:rFonts w:hint="eastAsia" w:asciiTheme="minorEastAsia" w:hAnsiTheme="minorEastAsia" w:eastAsiaTheme="minorEastAsia"/>
          <w:color w:val="auto"/>
          <w:sz w:val="24"/>
          <w:highlight w:val="none"/>
          <w:lang w:eastAsia="zh-CN"/>
        </w:rPr>
        <w:t>报价被谈判小组认为不符合要求的，谈判小组默认其响应文件中填报的价格为供应商的最后报价，</w:t>
      </w:r>
      <w:r>
        <w:rPr>
          <w:rFonts w:hint="eastAsia" w:asciiTheme="minorEastAsia" w:hAnsiTheme="minorEastAsia" w:eastAsiaTheme="minorEastAsia"/>
          <w:color w:val="auto"/>
          <w:sz w:val="24"/>
          <w:highlight w:val="none"/>
          <w:lang w:val="en-US" w:eastAsia="zh-CN"/>
        </w:rPr>
        <w:t>谈判</w:t>
      </w:r>
      <w:r>
        <w:rPr>
          <w:rFonts w:hint="eastAsia" w:asciiTheme="minorEastAsia" w:hAnsiTheme="minorEastAsia" w:eastAsiaTheme="minorEastAsia"/>
          <w:color w:val="auto"/>
          <w:sz w:val="24"/>
          <w:highlight w:val="none"/>
          <w:lang w:eastAsia="zh-CN"/>
        </w:rPr>
        <w:t>价格以供应商的最后报价为准。望各供应商务必全程在线，及时进行回复，否则，因此给其造成相关后果，自行承担。采用分项报价的项目，最后报价的各分项结合第</w:t>
      </w:r>
      <w:r>
        <w:rPr>
          <w:rFonts w:hint="eastAsia" w:asciiTheme="minorEastAsia" w:hAnsiTheme="minorEastAsia" w:eastAsiaTheme="minorEastAsia"/>
          <w:color w:val="auto"/>
          <w:sz w:val="24"/>
          <w:highlight w:val="none"/>
          <w:lang w:val="en-US" w:eastAsia="zh-CN"/>
        </w:rPr>
        <w:t>一轮</w:t>
      </w:r>
      <w:r>
        <w:rPr>
          <w:rFonts w:hint="eastAsia" w:asciiTheme="minorEastAsia" w:hAnsiTheme="minorEastAsia" w:eastAsiaTheme="minorEastAsia"/>
          <w:color w:val="auto"/>
          <w:sz w:val="24"/>
          <w:highlight w:val="none"/>
          <w:lang w:eastAsia="zh-CN"/>
        </w:rPr>
        <w:t>报价中的各项单价按总价同比例下浮，价款结算时按成交下浮比率进行调整。</w:t>
      </w:r>
    </w:p>
    <w:p w14:paraId="7863A40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在谈判内容不做实质性变更或重大调整的前提下，供应商下轮报价不得高于上一轮报价</w:t>
      </w:r>
      <w:r>
        <w:rPr>
          <w:rFonts w:hint="eastAsia" w:asciiTheme="minorEastAsia" w:hAnsiTheme="minorEastAsia" w:eastAsiaTheme="minorEastAsia"/>
          <w:color w:val="auto"/>
          <w:sz w:val="24"/>
          <w:highlight w:val="none"/>
        </w:rPr>
        <w:t>。</w:t>
      </w:r>
    </w:p>
    <w:p w14:paraId="2C47EF1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最后报价是供应商响应文件的有效组成部分，最后报价也是签订合同的依据。</w:t>
      </w:r>
    </w:p>
    <w:p w14:paraId="408238D3">
      <w:pPr>
        <w:spacing w:line="360" w:lineRule="auto"/>
        <w:ind w:firstLine="435"/>
        <w:rPr>
          <w:rFonts w:asciiTheme="majorEastAsia" w:hAnsiTheme="majorEastAsia" w:eastAsiaTheme="majorEastAsia"/>
          <w:color w:val="auto"/>
          <w:sz w:val="24"/>
          <w:highlight w:val="none"/>
        </w:rPr>
      </w:pPr>
      <w:bookmarkStart w:id="55" w:name="_Hlk60607655"/>
      <w:r>
        <w:rPr>
          <w:rFonts w:hint="eastAsia" w:asciiTheme="majorEastAsia" w:hAnsiTheme="majorEastAsia" w:eastAsiaTheme="majorEastAsia"/>
          <w:color w:val="auto"/>
          <w:sz w:val="24"/>
          <w:highlight w:val="none"/>
          <w:lang w:val="en-US" w:eastAsia="zh-CN"/>
        </w:rPr>
        <w:t>17</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4</w:t>
      </w:r>
      <w:r>
        <w:rPr>
          <w:rFonts w:hint="eastAsia" w:asciiTheme="majorEastAsia" w:hAnsiTheme="majorEastAsia" w:eastAsiaTheme="majorEastAsia"/>
          <w:color w:val="auto"/>
          <w:sz w:val="24"/>
          <w:highlight w:val="none"/>
        </w:rPr>
        <w:t>根据《政府采购促进中小企业发展管理办法》（财库〔</w:t>
      </w:r>
      <w:r>
        <w:rPr>
          <w:rFonts w:asciiTheme="majorEastAsia" w:hAnsiTheme="majorEastAsia" w:eastAsiaTheme="majorEastAsia"/>
          <w:color w:val="auto"/>
          <w:sz w:val="24"/>
          <w:highlight w:val="none"/>
        </w:rPr>
        <w:t>2020〕46号</w:t>
      </w:r>
      <w:r>
        <w:rPr>
          <w:rFonts w:hint="eastAsia" w:asciiTheme="majorEastAsia" w:hAnsiTheme="majorEastAsia" w:eastAsiaTheme="majorEastAsia"/>
          <w:color w:val="auto"/>
          <w:sz w:val="24"/>
          <w:highlight w:val="none"/>
        </w:rPr>
        <w:t>）、《三部门联合发布关于促进残疾人就业政府采购政策的通知》（财库〔2017〕141号）和《</w:t>
      </w:r>
      <w:r>
        <w:rPr>
          <w:rFonts w:asciiTheme="majorEastAsia" w:hAnsiTheme="majorEastAsia" w:eastAsiaTheme="majorEastAsia"/>
          <w:color w:val="auto"/>
          <w:sz w:val="24"/>
          <w:highlight w:val="none"/>
        </w:rPr>
        <w:t>财政部 司法部关于政府采购支持监狱企业发展有关问题的通知</w:t>
      </w:r>
      <w:r>
        <w:rPr>
          <w:rFonts w:hint="eastAsia" w:asciiTheme="majorEastAsia" w:hAnsiTheme="majorEastAsia" w:eastAsiaTheme="majorEastAsia"/>
          <w:color w:val="auto"/>
          <w:sz w:val="24"/>
          <w:highlight w:val="none"/>
        </w:rPr>
        <w:t>》（财库〔2014〕68号）的规定，对满足价格扣除条件且在响应文件中提交了</w:t>
      </w:r>
      <w:r>
        <w:rPr>
          <w:rFonts w:asciiTheme="majorEastAsia" w:hAnsiTheme="majorEastAsia" w:eastAsiaTheme="majorEastAsia"/>
          <w:color w:val="auto"/>
          <w:sz w:val="24"/>
          <w:highlight w:val="none"/>
        </w:rPr>
        <w:t>《中小企业声明函》</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《残疾人福利性单位声明函》</w:t>
      </w:r>
      <w:r>
        <w:rPr>
          <w:rFonts w:hint="eastAsia" w:asciiTheme="majorEastAsia" w:hAnsiTheme="majorEastAsia" w:eastAsiaTheme="majorEastAsia"/>
          <w:color w:val="auto"/>
          <w:sz w:val="24"/>
          <w:highlight w:val="none"/>
        </w:rPr>
        <w:t>或省级以上监狱管理局、戒毒管理局（含新疆生产建设兵团）出具的属于监狱企业的证明文件的供应商，其最后报价按照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中规定的标准扣除后的价格参与评审。对于同时属于小微企业、监狱企业或残疾人福利性单位的，不重复进行最后报价扣除。</w:t>
      </w:r>
    </w:p>
    <w:p w14:paraId="70FACA5D">
      <w:pPr>
        <w:spacing w:line="360" w:lineRule="auto"/>
        <w:ind w:firstLine="43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Theme="majorEastAsia" w:hAnsiTheme="majorEastAsia" w:eastAsiaTheme="majorEastAsia"/>
          <w:color w:val="auto"/>
          <w:sz w:val="24"/>
          <w:highlight w:val="none"/>
        </w:rPr>
        <w:t>30%以上的，可给予联合体或者大中型企业的</w:t>
      </w:r>
      <w:r>
        <w:rPr>
          <w:rFonts w:hint="eastAsia" w:asciiTheme="majorEastAsia" w:hAnsiTheme="majorEastAsia" w:eastAsiaTheme="majorEastAsia"/>
          <w:color w:val="auto"/>
          <w:sz w:val="24"/>
          <w:highlight w:val="none"/>
        </w:rPr>
        <w:t>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w:t>
      </w:r>
      <w:r>
        <w:rPr>
          <w:rFonts w:asciiTheme="majorEastAsia" w:hAnsiTheme="majorEastAsia" w:eastAsiaTheme="majorEastAsia"/>
          <w:color w:val="auto"/>
          <w:sz w:val="24"/>
          <w:highlight w:val="none"/>
        </w:rPr>
        <w:t>。</w:t>
      </w:r>
      <w:r>
        <w:rPr>
          <w:rFonts w:hint="eastAsia" w:asciiTheme="majorEastAsia" w:hAnsiTheme="majorEastAsia" w:eastAsiaTheme="majorEastAsia"/>
          <w:color w:val="auto"/>
          <w:sz w:val="24"/>
          <w:highlight w:val="none"/>
        </w:rPr>
        <w:t>组成联合体或者接受分包的小微企业与联合体内其他企业、分包企业之间存在直接控股、管理关系的，不享受价格扣除优惠政策。</w:t>
      </w:r>
    </w:p>
    <w:p w14:paraId="75DFE9F9">
      <w:pPr>
        <w:spacing w:line="360" w:lineRule="auto"/>
        <w:ind w:firstLine="435"/>
        <w:rPr>
          <w:rFonts w:cs="@仿宋_GB2312"/>
          <w:color w:val="auto"/>
          <w:kern w:val="2"/>
          <w:sz w:val="24"/>
          <w:szCs w:val="22"/>
          <w:highlight w:val="none"/>
        </w:rPr>
      </w:pPr>
      <w:r>
        <w:rPr>
          <w:rFonts w:hint="eastAsia" w:asciiTheme="majorEastAsia" w:hAnsiTheme="majorEastAsia" w:eastAsiaTheme="majorEastAsia"/>
          <w:color w:val="auto"/>
          <w:sz w:val="24"/>
          <w:highlight w:val="none"/>
        </w:rPr>
        <w:t>以联合体形式参加政府采购活动，联合体各方均为中小企业的，联合体视同中小企业。其中，联合体各方均为小微企业的，联合体视同小微企业。</w:t>
      </w:r>
      <w:bookmarkEnd w:id="55"/>
      <w:r>
        <w:rPr>
          <w:rFonts w:hint="eastAsia" w:cs="@仿宋_GB2312"/>
          <w:color w:val="auto"/>
          <w:kern w:val="2"/>
          <w:sz w:val="24"/>
          <w:szCs w:val="22"/>
          <w:highlight w:val="none"/>
        </w:rPr>
        <w:t xml:space="preserve"> </w:t>
      </w:r>
    </w:p>
    <w:p w14:paraId="6C45B80C">
      <w:pPr>
        <w:spacing w:line="360" w:lineRule="auto"/>
        <w:ind w:firstLine="435"/>
        <w:rPr>
          <w:rFonts w:cs="@仿宋_GB2312"/>
          <w:color w:val="auto"/>
          <w:kern w:val="2"/>
          <w:sz w:val="24"/>
          <w:szCs w:val="22"/>
          <w:highlight w:val="none"/>
        </w:rPr>
      </w:pPr>
      <w:r>
        <w:rPr>
          <w:rFonts w:hint="eastAsia" w:cs="@仿宋_GB2312"/>
          <w:color w:val="auto"/>
          <w:kern w:val="2"/>
          <w:sz w:val="24"/>
          <w:szCs w:val="22"/>
          <w:highlight w:val="none"/>
          <w:lang w:val="en-US" w:eastAsia="zh-CN"/>
        </w:rPr>
        <w:t>17</w:t>
      </w:r>
      <w:r>
        <w:rPr>
          <w:rFonts w:hint="eastAsia" w:cs="@仿宋_GB2312"/>
          <w:color w:val="auto"/>
          <w:kern w:val="2"/>
          <w:sz w:val="24"/>
          <w:szCs w:val="22"/>
          <w:highlight w:val="none"/>
        </w:rPr>
        <w:t>.</w:t>
      </w:r>
      <w:r>
        <w:rPr>
          <w:rFonts w:hint="eastAsia" w:cs="@仿宋_GB2312"/>
          <w:color w:val="auto"/>
          <w:kern w:val="2"/>
          <w:sz w:val="24"/>
          <w:szCs w:val="22"/>
          <w:highlight w:val="none"/>
          <w:lang w:val="en-US" w:eastAsia="zh-CN"/>
        </w:rPr>
        <w:t>5</w:t>
      </w:r>
      <w:r>
        <w:rPr>
          <w:rFonts w:hint="eastAsia" w:cs="@仿宋_GB2312"/>
          <w:color w:val="auto"/>
          <w:kern w:val="2"/>
          <w:sz w:val="24"/>
          <w:szCs w:val="22"/>
          <w:highlight w:val="none"/>
        </w:rPr>
        <w:t>供应商应当按照企业定额或项目所在地最新建设工程计价依据以及材料市场价格信息等，结合自身实力、施工经验、现场环境以及谈判文件的要求自主报价。</w:t>
      </w:r>
    </w:p>
    <w:p w14:paraId="7AC1361E">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w:t>
      </w:r>
      <w:r>
        <w:rPr>
          <w:rFonts w:hint="eastAsia"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6</w:t>
      </w:r>
      <w:r>
        <w:rPr>
          <w:rFonts w:hint="eastAsia" w:cs="@仿宋_GB2312" w:asciiTheme="minorEastAsia" w:hAnsiTheme="minorEastAsia" w:eastAsiaTheme="minorEastAsia"/>
          <w:color w:val="auto"/>
          <w:kern w:val="2"/>
          <w:sz w:val="24"/>
          <w:highlight w:val="none"/>
        </w:rPr>
        <w:t>除非采购人对谈判文件予以澄清、修改，否则供应商应按采购人提供的工程量清单中列出的工程项目和工程量逐项填报综合单价和合价。供应商不得在工程量清单中任意增删、修改清单项目与工程量及项目排列顺序。</w:t>
      </w:r>
    </w:p>
    <w:p w14:paraId="3D76ED74">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17.7</w:t>
      </w:r>
      <w:r>
        <w:rPr>
          <w:rFonts w:hint="eastAsia" w:cs="@仿宋_GB2312" w:asciiTheme="minorEastAsia" w:hAnsiTheme="minorEastAsia" w:eastAsiaTheme="minorEastAsia"/>
          <w:color w:val="auto"/>
          <w:kern w:val="2"/>
          <w:sz w:val="24"/>
          <w:highlight w:val="none"/>
        </w:rPr>
        <w:t>除非合同中另有规定，供应商在工程量清单报价书中所报的价格包括完成谈判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供应商在响应文件中提出的各项支付金额的总和。每一清单项目只允许有一个报价，任何有选择的报价将不予接受。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14:paraId="5628CE95">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w:t>
      </w:r>
      <w:r>
        <w:rPr>
          <w:rFonts w:hint="eastAsia"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8</w:t>
      </w:r>
      <w:r>
        <w:rPr>
          <w:rFonts w:hint="eastAsia" w:cs="@仿宋_GB2312" w:asciiTheme="minorEastAsia" w:hAnsiTheme="minorEastAsia" w:eastAsiaTheme="minorEastAsia"/>
          <w:color w:val="auto"/>
          <w:kern w:val="2"/>
          <w:sz w:val="24"/>
          <w:highlight w:val="none"/>
        </w:rPr>
        <w:t>本项目的施工地点为本须知前附表所述，供应商可到施工现场踏勘以充分了解工地位置、情况、道路、储存空间、装卸限制及任何其它足以影响谈判报价的情况，任何因忽视或误解施工场地情况而导致的索赔或工期延长申请将不被批准。对于受施工现场场地限制，如需要另外寻找场地解决临时住宿、材料及设备堆放，由此所产生的费用应包含在谈判报价范围内，采购人不再承担该费用。</w:t>
      </w:r>
    </w:p>
    <w:p w14:paraId="12F254F0">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hint="eastAsia" w:cs="@仿宋_GB2312" w:asciiTheme="minorEastAsia" w:hAnsiTheme="minorEastAsia" w:eastAsiaTheme="minorEastAsia"/>
          <w:color w:val="auto"/>
          <w:kern w:val="2"/>
          <w:sz w:val="24"/>
          <w:highlight w:val="none"/>
        </w:rPr>
        <w:t>工程造价的确定与控制</w:t>
      </w:r>
    </w:p>
    <w:p w14:paraId="142B6170">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hint="eastAsia" w:cs="@仿宋_GB2312" w:asciiTheme="minorEastAsia" w:hAnsiTheme="minorEastAsia" w:eastAsiaTheme="minorEastAsia"/>
          <w:color w:val="auto"/>
          <w:kern w:val="2"/>
          <w:sz w:val="24"/>
          <w:highlight w:val="none"/>
        </w:rPr>
        <w:t>.1本工程确定成交供应商后，工程总造价在谈判范围内包定，除经批准的设计变更、经济签证外，其它工程造价增减均不予签证计价。</w:t>
      </w:r>
    </w:p>
    <w:p w14:paraId="40473315">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hint="eastAsia" w:cs="@仿宋_GB2312" w:asciiTheme="minorEastAsia" w:hAnsiTheme="minorEastAsia" w:eastAsiaTheme="minorEastAsia"/>
          <w:color w:val="auto"/>
          <w:kern w:val="2"/>
          <w:sz w:val="24"/>
          <w:highlight w:val="none"/>
        </w:rPr>
        <w:t>.2谈判前，供应商应认真对照施工设计图纸等文件核对采购人提供的工程量清单，发现工程量存在项目划分误差、计量单位误差、数量误差、遗漏项目的，必须在网上询问截止时间前向采购人提出疑问，否则采购人可不予答复。</w:t>
      </w:r>
    </w:p>
    <w:p w14:paraId="304127F2">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hint="eastAsia" w:cs="@仿宋_GB2312" w:asciiTheme="minorEastAsia" w:hAnsiTheme="minorEastAsia" w:eastAsiaTheme="minorEastAsia"/>
          <w:color w:val="auto"/>
          <w:kern w:val="2"/>
          <w:sz w:val="24"/>
          <w:highlight w:val="none"/>
        </w:rPr>
        <w:t>.3</w:t>
      </w:r>
      <w:r>
        <w:rPr>
          <w:rFonts w:hint="eastAsia" w:ascii="宋体" w:hAnsi="宋体" w:eastAsia="宋体" w:cs="宋体"/>
          <w:b w:val="0"/>
          <w:bCs w:val="0"/>
          <w:color w:val="auto"/>
          <w:kern w:val="2"/>
          <w:sz w:val="24"/>
          <w:szCs w:val="24"/>
          <w:highlight w:val="none"/>
        </w:rPr>
        <w:t>采购人对疑问应进行核实，确认工程量单项子目误差在±3%（含±3%）以内的，采购人可不予调整工程量，供应商应将其误差考虑在综合单价内；若有遗漏项目或单项子目工程量误差超过±3%的，采购人应进行修正并重新公布准确的工程量清单。</w:t>
      </w:r>
    </w:p>
    <w:p w14:paraId="7338543E">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rPr>
        <w:t>4供应商在规定时间内未对工程量清单提出疑问的，成交后，采购人不再对工程量清单的项目和数量进行校对调整。供应商必须按其报价完成竞争性谈判文件规定范围内的设计图纸规定的所有工程项目。</w:t>
      </w:r>
    </w:p>
    <w:p w14:paraId="56D7C7AB">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17.10</w:t>
      </w:r>
      <w:r>
        <w:rPr>
          <w:rFonts w:hint="eastAsia" w:cs="@仿宋_GB2312" w:asciiTheme="minorEastAsia" w:hAnsiTheme="minorEastAsia" w:eastAsiaTheme="minorEastAsia"/>
          <w:color w:val="auto"/>
          <w:kern w:val="2"/>
          <w:sz w:val="24"/>
          <w:highlight w:val="none"/>
        </w:rPr>
        <w:t>成交供应商在工程量清单报价书中所报的综合单价一律不予调整。</w:t>
      </w:r>
    </w:p>
    <w:p w14:paraId="6182B9D6">
      <w:pPr>
        <w:spacing w:line="360" w:lineRule="auto"/>
        <w:ind w:firstLine="435"/>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2"/>
          <w:sz w:val="24"/>
          <w:highlight w:val="none"/>
          <w:lang w:val="en-US" w:eastAsia="zh-CN"/>
        </w:rPr>
        <w:t>17.11</w:t>
      </w:r>
      <w:r>
        <w:rPr>
          <w:rFonts w:hint="eastAsia" w:cs="@仿宋_GB2312" w:asciiTheme="minorEastAsia" w:hAnsiTheme="minorEastAsia" w:eastAsiaTheme="minorEastAsia"/>
          <w:color w:val="auto"/>
          <w:kern w:val="2"/>
          <w:sz w:val="24"/>
          <w:highlight w:val="none"/>
        </w:rPr>
        <w:t>本工程不接受恶意不平衡报价，不保证最低价成交。</w:t>
      </w:r>
    </w:p>
    <w:p w14:paraId="5AB2084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成交候选供应商的推荐原则及标准</w:t>
      </w:r>
    </w:p>
    <w:p w14:paraId="5C39CE8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谈判小组</w:t>
      </w:r>
      <w:r>
        <w:rPr>
          <w:rFonts w:asciiTheme="minorEastAsia" w:hAnsiTheme="minorEastAsia" w:eastAsiaTheme="minorEastAsia"/>
          <w:color w:val="auto"/>
          <w:sz w:val="24"/>
          <w:highlight w:val="none"/>
        </w:rPr>
        <w:t>依据本项目</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文件所约定的</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方法</w:t>
      </w:r>
      <w:r>
        <w:rPr>
          <w:rFonts w:hint="eastAsia" w:asciiTheme="minorEastAsia" w:hAnsiTheme="minorEastAsia" w:eastAsiaTheme="minorEastAsia"/>
          <w:color w:val="auto"/>
          <w:sz w:val="24"/>
          <w:highlight w:val="none"/>
        </w:rPr>
        <w:t>和</w:t>
      </w:r>
      <w:r>
        <w:rPr>
          <w:rFonts w:asciiTheme="minorEastAsia" w:hAnsiTheme="minorEastAsia" w:eastAsiaTheme="minorEastAsia"/>
          <w:color w:val="auto"/>
          <w:sz w:val="24"/>
          <w:highlight w:val="none"/>
        </w:rPr>
        <w:t>标准，</w:t>
      </w:r>
      <w:r>
        <w:rPr>
          <w:rFonts w:hint="eastAsia" w:asciiTheme="minorEastAsia" w:hAnsiTheme="minorEastAsia" w:eastAsiaTheme="minorEastAsia"/>
          <w:color w:val="auto"/>
          <w:sz w:val="24"/>
          <w:highlight w:val="none"/>
        </w:rPr>
        <w:t>按照最后报价由低到高的顺序依次推荐成交候选人。最后报价相同的，</w:t>
      </w:r>
      <w:r>
        <w:rPr>
          <w:rFonts w:asciiTheme="minorEastAsia" w:hAnsiTheme="minorEastAsia" w:eastAsiaTheme="minorEastAsia"/>
          <w:color w:val="auto"/>
          <w:sz w:val="24"/>
          <w:highlight w:val="none"/>
        </w:rPr>
        <w:t>则</w:t>
      </w:r>
      <w:r>
        <w:rPr>
          <w:rFonts w:hint="eastAsia" w:asciiTheme="minorEastAsia" w:hAnsiTheme="minorEastAsia" w:eastAsiaTheme="minorEastAsia"/>
          <w:color w:val="auto"/>
          <w:sz w:val="24"/>
          <w:highlight w:val="none"/>
        </w:rPr>
        <w:t>由谈判小组采取随机抽取方式确定。</w:t>
      </w:r>
    </w:p>
    <w:p w14:paraId="23D20CD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确定成交候选供应商和成交供应商</w:t>
      </w:r>
    </w:p>
    <w:p w14:paraId="35AAB8DB">
      <w:pPr>
        <w:spacing w:line="360" w:lineRule="auto"/>
        <w:ind w:firstLine="435"/>
        <w:rPr>
          <w:rFonts w:asciiTheme="minorEastAsia" w:hAnsiTheme="minorEastAsia" w:eastAsiaTheme="minorEastAsia"/>
          <w:color w:val="auto"/>
          <w:sz w:val="24"/>
          <w:highlight w:val="none"/>
        </w:rPr>
      </w:pPr>
      <w:r>
        <w:rPr>
          <w:rFonts w:hint="eastAsia"/>
          <w:color w:val="auto"/>
          <w:sz w:val="24"/>
          <w:highlight w:val="none"/>
          <w:lang w:val="en-US" w:eastAsia="zh-CN"/>
        </w:rPr>
        <w:t>19</w:t>
      </w:r>
      <w:r>
        <w:rPr>
          <w:rFonts w:hint="eastAsia"/>
          <w:color w:val="auto"/>
          <w:sz w:val="24"/>
          <w:highlight w:val="none"/>
        </w:rPr>
        <w:t>.1谈判小组按照最后报价由低到高的顺序和</w:t>
      </w:r>
      <w:r>
        <w:rPr>
          <w:rFonts w:hint="eastAsia" w:asciiTheme="minorEastAsia" w:hAnsiTheme="minorEastAsia" w:eastAsiaTheme="minorEastAsia"/>
          <w:color w:val="auto"/>
          <w:sz w:val="24"/>
          <w:highlight w:val="none"/>
          <w:u w:val="single"/>
        </w:rPr>
        <w:t>供应商</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w:t>
      </w:r>
      <w:r>
        <w:rPr>
          <w:rFonts w:hint="eastAsia"/>
          <w:color w:val="auto"/>
          <w:sz w:val="24"/>
          <w:highlight w:val="none"/>
        </w:rPr>
        <w:t>确定成交候选人，并标明排列顺序。</w:t>
      </w:r>
      <w:r>
        <w:rPr>
          <w:rFonts w:hint="eastAsia" w:asciiTheme="minorEastAsia" w:hAnsiTheme="minorEastAsia" w:eastAsiaTheme="minorEastAsia"/>
          <w:color w:val="auto"/>
          <w:sz w:val="24"/>
          <w:highlight w:val="none"/>
        </w:rPr>
        <w:t>按</w:t>
      </w:r>
      <w:r>
        <w:rPr>
          <w:rFonts w:hint="eastAsia" w:asciiTheme="minorEastAsia" w:hAnsiTheme="minorEastAsia" w:eastAsiaTheme="minorEastAsia"/>
          <w:color w:val="auto"/>
          <w:sz w:val="24"/>
          <w:highlight w:val="none"/>
          <w:u w:val="single"/>
          <w:lang w:val="en-US" w:eastAsia="zh-CN"/>
        </w:rPr>
        <w:t>供应商</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w:t>
      </w:r>
      <w:r>
        <w:rPr>
          <w:rFonts w:hint="eastAsia" w:asciiTheme="minorEastAsia" w:hAnsiTheme="minorEastAsia" w:eastAsiaTheme="minorEastAsia"/>
          <w:color w:val="auto"/>
          <w:sz w:val="24"/>
          <w:highlight w:val="none"/>
          <w:lang w:val="en-US" w:eastAsia="zh-CN"/>
        </w:rPr>
        <w:t>谈判小组</w:t>
      </w:r>
      <w:r>
        <w:rPr>
          <w:rFonts w:asciiTheme="minorEastAsia" w:hAnsiTheme="minorEastAsia" w:eastAsiaTheme="minorEastAsia"/>
          <w:color w:val="auto"/>
          <w:sz w:val="24"/>
          <w:highlight w:val="none"/>
        </w:rPr>
        <w:t>或采购人确定</w:t>
      </w:r>
      <w:r>
        <w:rPr>
          <w:rFonts w:hint="eastAsia" w:asciiTheme="minorEastAsia" w:hAnsiTheme="minorEastAsia" w:eastAsiaTheme="minorEastAsia"/>
          <w:color w:val="auto"/>
          <w:sz w:val="24"/>
          <w:highlight w:val="none"/>
          <w:lang w:val="en-US" w:eastAsia="zh-CN"/>
        </w:rPr>
        <w:t>成交供应商</w:t>
      </w:r>
      <w:r>
        <w:rPr>
          <w:rFonts w:asciiTheme="minorEastAsia" w:hAnsiTheme="minorEastAsia" w:eastAsiaTheme="minorEastAsia"/>
          <w:color w:val="auto"/>
          <w:sz w:val="24"/>
          <w:highlight w:val="none"/>
        </w:rPr>
        <w:t>。</w:t>
      </w:r>
    </w:p>
    <w:p w14:paraId="7424B76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20</w:t>
      </w:r>
      <w:r>
        <w:rPr>
          <w:rFonts w:asciiTheme="minorEastAsia" w:hAnsiTheme="minorEastAsia" w:eastAsiaTheme="minorEastAsia"/>
          <w:b/>
          <w:color w:val="auto"/>
          <w:sz w:val="24"/>
          <w:highlight w:val="none"/>
        </w:rPr>
        <w:t>.编写评审报告</w:t>
      </w:r>
    </w:p>
    <w:p w14:paraId="0D38D5F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20</w:t>
      </w:r>
      <w:r>
        <w:rPr>
          <w:rFonts w:hint="eastAsia" w:asciiTheme="minorEastAsia" w:hAnsiTheme="minorEastAsia" w:eastAsiaTheme="minorEastAsia"/>
          <w:color w:val="auto"/>
          <w:sz w:val="24"/>
          <w:highlight w:val="none"/>
        </w:rPr>
        <w:t>.1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w:t>
      </w:r>
    </w:p>
    <w:p w14:paraId="0E3D0C4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3F31BA35">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1</w:t>
      </w:r>
      <w:r>
        <w:rPr>
          <w:rFonts w:hint="eastAsia"/>
          <w:color w:val="auto"/>
          <w:sz w:val="24"/>
          <w:highlight w:val="none"/>
        </w:rPr>
        <w:t>.1评审将在严格保密的情况下进行。</w:t>
      </w:r>
    </w:p>
    <w:p w14:paraId="39E5142D">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1</w:t>
      </w:r>
      <w:r>
        <w:rPr>
          <w:rFonts w:hint="eastAsia"/>
          <w:color w:val="auto"/>
          <w:sz w:val="24"/>
          <w:highlight w:val="none"/>
        </w:rPr>
        <w:t>.2有关人员</w:t>
      </w:r>
      <w:r>
        <w:rPr>
          <w:color w:val="auto"/>
          <w:sz w:val="24"/>
          <w:highlight w:val="none"/>
        </w:rPr>
        <w:t>应当</w:t>
      </w:r>
      <w:r>
        <w:rPr>
          <w:rFonts w:hint="eastAsia"/>
          <w:color w:val="auto"/>
          <w:sz w:val="24"/>
          <w:highlight w:val="none"/>
        </w:rPr>
        <w:t>遵</w:t>
      </w:r>
      <w:r>
        <w:rPr>
          <w:color w:val="auto"/>
          <w:sz w:val="24"/>
          <w:highlight w:val="none"/>
        </w:rPr>
        <w:t>守</w:t>
      </w:r>
      <w:r>
        <w:rPr>
          <w:rFonts w:hint="eastAsia"/>
          <w:color w:val="auto"/>
          <w:sz w:val="24"/>
          <w:highlight w:val="none"/>
        </w:rPr>
        <w:t>评审</w:t>
      </w:r>
      <w:r>
        <w:rPr>
          <w:color w:val="auto"/>
          <w:sz w:val="24"/>
          <w:highlight w:val="none"/>
        </w:rPr>
        <w:t>工作纪律，不得</w:t>
      </w:r>
      <w:r>
        <w:rPr>
          <w:rFonts w:hint="eastAsia"/>
          <w:color w:val="auto"/>
          <w:sz w:val="24"/>
          <w:highlight w:val="none"/>
        </w:rPr>
        <w:t>泄露评审文件</w:t>
      </w:r>
      <w:r>
        <w:rPr>
          <w:color w:val="auto"/>
          <w:sz w:val="24"/>
          <w:highlight w:val="none"/>
        </w:rPr>
        <w:t>、</w:t>
      </w:r>
      <w:r>
        <w:rPr>
          <w:rFonts w:hint="eastAsia"/>
          <w:color w:val="auto"/>
          <w:sz w:val="24"/>
          <w:highlight w:val="none"/>
        </w:rPr>
        <w:t>评审</w:t>
      </w:r>
      <w:r>
        <w:rPr>
          <w:color w:val="auto"/>
          <w:sz w:val="24"/>
          <w:highlight w:val="none"/>
        </w:rPr>
        <w:t>情况和</w:t>
      </w:r>
      <w:r>
        <w:rPr>
          <w:rFonts w:hint="eastAsia"/>
          <w:color w:val="auto"/>
          <w:sz w:val="24"/>
          <w:highlight w:val="none"/>
        </w:rPr>
        <w:t>评审</w:t>
      </w:r>
      <w:r>
        <w:rPr>
          <w:color w:val="auto"/>
          <w:sz w:val="24"/>
          <w:highlight w:val="none"/>
        </w:rPr>
        <w:t>中获悉的</w:t>
      </w:r>
      <w:r>
        <w:rPr>
          <w:rFonts w:hint="eastAsia"/>
          <w:color w:val="auto"/>
          <w:sz w:val="24"/>
          <w:highlight w:val="none"/>
        </w:rPr>
        <w:t>国家秘密、</w:t>
      </w:r>
      <w:r>
        <w:rPr>
          <w:color w:val="auto"/>
          <w:sz w:val="24"/>
          <w:highlight w:val="none"/>
        </w:rPr>
        <w:t>商业秘密。</w:t>
      </w:r>
    </w:p>
    <w:p w14:paraId="50042D34">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.成交结果公告</w:t>
      </w:r>
    </w:p>
    <w:p w14:paraId="5ED7BF11">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.1为体现“公开、公平、公正”的原则，谈判结束后，</w:t>
      </w:r>
      <w:r>
        <w:rPr>
          <w:rFonts w:hint="eastAsia" w:asciiTheme="minorEastAsia" w:hAnsiTheme="minorEastAsia" w:eastAsiaTheme="minorEastAsia"/>
          <w:color w:val="auto"/>
          <w:sz w:val="24"/>
          <w:highlight w:val="none"/>
        </w:rPr>
        <w:t>采购代理机构将</w:t>
      </w:r>
      <w:r>
        <w:rPr>
          <w:rFonts w:hint="eastAsia"/>
          <w:color w:val="auto"/>
          <w:sz w:val="24"/>
          <w:szCs w:val="18"/>
          <w:highlight w:val="none"/>
        </w:rPr>
        <w:t>在安徽省政府采购网（www.ccgp-anhui.gov.cn）</w:t>
      </w:r>
      <w:r>
        <w:rPr>
          <w:rFonts w:hint="eastAsia"/>
          <w:color w:val="auto"/>
          <w:sz w:val="24"/>
          <w:szCs w:val="18"/>
          <w:highlight w:val="none"/>
          <w:lang w:eastAsia="zh-CN"/>
        </w:rPr>
        <w:t>、滁州市公共资源交易中心（https://ggzy.chuzhou.gov.cn/）上发布成交结果公告</w:t>
      </w:r>
      <w:r>
        <w:rPr>
          <w:rFonts w:asciiTheme="minorEastAsia" w:hAnsiTheme="minorEastAsia" w:eastAsiaTheme="minorEastAsia"/>
          <w:color w:val="auto"/>
          <w:sz w:val="24"/>
          <w:highlight w:val="none"/>
        </w:rPr>
        <w:t>。</w:t>
      </w:r>
    </w:p>
    <w:p w14:paraId="0981ECB7">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.2成交结果公告内容应当包括采购人及其委托的采购代理机构的名称、地址、联系方式，项目名称和项目编号，成交供应商名称、地址和成交金额，主要成交标的的名称、</w:t>
      </w:r>
      <w:r>
        <w:rPr>
          <w:rFonts w:hint="eastAsia" w:asciiTheme="minorEastAsia" w:hAnsiTheme="minorEastAsia" w:eastAsiaTheme="minorEastAsia"/>
          <w:color w:val="auto"/>
          <w:sz w:val="24"/>
          <w:highlight w:val="none"/>
          <w:lang w:val="en-US" w:eastAsia="zh-CN"/>
        </w:rPr>
        <w:t>品牌（如有）、</w:t>
      </w:r>
      <w:r>
        <w:rPr>
          <w:rFonts w:asciiTheme="minorEastAsia" w:hAnsiTheme="minorEastAsia" w:eastAsiaTheme="minorEastAsia"/>
          <w:color w:val="auto"/>
          <w:sz w:val="24"/>
          <w:highlight w:val="none"/>
        </w:rPr>
        <w:t>规格型号、数量、单价、服务要求，成交结果公告期限、评审专家名单以及</w:t>
      </w:r>
      <w:r>
        <w:rPr>
          <w:rFonts w:hint="eastAsia"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中约定进行公告的内容。</w:t>
      </w:r>
    </w:p>
    <w:p w14:paraId="0AA215BC">
      <w:pPr>
        <w:spacing w:line="360" w:lineRule="auto"/>
        <w:ind w:firstLine="437"/>
        <w:outlineLvl w:val="2"/>
        <w:rPr>
          <w:b/>
          <w:color w:val="auto"/>
          <w:sz w:val="24"/>
          <w:highlight w:val="none"/>
        </w:rPr>
      </w:pPr>
      <w:r>
        <w:rPr>
          <w:b/>
          <w:color w:val="auto"/>
          <w:sz w:val="24"/>
          <w:highlight w:val="none"/>
        </w:rPr>
        <w:t>2</w:t>
      </w:r>
      <w:r>
        <w:rPr>
          <w:rFonts w:hint="eastAsia"/>
          <w:b/>
          <w:color w:val="auto"/>
          <w:sz w:val="24"/>
          <w:highlight w:val="none"/>
          <w:lang w:val="en-US" w:eastAsia="zh-CN"/>
        </w:rPr>
        <w:t>3</w:t>
      </w:r>
      <w:r>
        <w:rPr>
          <w:b/>
          <w:color w:val="auto"/>
          <w:sz w:val="24"/>
          <w:highlight w:val="none"/>
        </w:rPr>
        <w:t>.成交通知书</w:t>
      </w:r>
    </w:p>
    <w:p w14:paraId="4D79BB1B">
      <w:pPr>
        <w:spacing w:line="360" w:lineRule="auto"/>
        <w:ind w:firstLine="435"/>
        <w:rPr>
          <w:rFonts w:hint="eastAsia" w:eastAsia="宋体"/>
          <w:b/>
          <w:bCs/>
          <w:color w:val="auto"/>
          <w:sz w:val="24"/>
          <w:highlight w:val="none"/>
          <w:lang w:eastAsia="zh-CN"/>
        </w:rPr>
      </w:pPr>
      <w:r>
        <w:rPr>
          <w:color w:val="auto"/>
          <w:sz w:val="24"/>
          <w:highlight w:val="none"/>
        </w:rPr>
        <w:t>2</w:t>
      </w:r>
      <w:r>
        <w:rPr>
          <w:rFonts w:hint="eastAsia"/>
          <w:color w:val="auto"/>
          <w:sz w:val="24"/>
          <w:highlight w:val="none"/>
          <w:lang w:val="en-US" w:eastAsia="zh-CN"/>
        </w:rPr>
        <w:t>3</w:t>
      </w:r>
      <w:r>
        <w:rPr>
          <w:color w:val="auto"/>
          <w:sz w:val="24"/>
          <w:highlight w:val="none"/>
        </w:rPr>
        <w:t>.1采购代理机构发布成交结果公告的同时</w:t>
      </w:r>
      <w:r>
        <w:rPr>
          <w:rFonts w:asciiTheme="minorEastAsia" w:hAnsiTheme="minorEastAsia" w:eastAsiaTheme="minorEastAsia"/>
          <w:color w:val="auto"/>
          <w:sz w:val="24"/>
          <w:highlight w:val="none"/>
        </w:rPr>
        <w:t>以</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color w:val="auto"/>
          <w:sz w:val="24"/>
          <w:highlight w:val="none"/>
        </w:rPr>
        <w:t>向成交供应商发出成交通知书。</w:t>
      </w:r>
      <w:r>
        <w:rPr>
          <w:rFonts w:hint="eastAsia"/>
          <w:b/>
          <w:bCs/>
          <w:color w:val="auto"/>
          <w:sz w:val="24"/>
          <w:highlight w:val="none"/>
        </w:rPr>
        <w:t>中标通知书须加盖采购人、采购代理机构公章并经公共资源交易中心加盖见证章后，方可发出</w:t>
      </w:r>
      <w:r>
        <w:rPr>
          <w:rFonts w:hint="eastAsia"/>
          <w:b/>
          <w:bCs/>
          <w:color w:val="auto"/>
          <w:sz w:val="24"/>
          <w:highlight w:val="none"/>
          <w:lang w:eastAsia="zh-CN"/>
        </w:rPr>
        <w:t>。</w:t>
      </w:r>
    </w:p>
    <w:p w14:paraId="0B9171A1">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3</w:t>
      </w:r>
      <w:r>
        <w:rPr>
          <w:color w:val="auto"/>
          <w:sz w:val="24"/>
          <w:highlight w:val="none"/>
        </w:rPr>
        <w:t>.2成交通知书对采购人和成交供应商具有同等法律效力。成交通知书发出以后，采购人改变成交结果或者成交供应商放弃成交资格，应当承担相应的法律责任。</w:t>
      </w:r>
    </w:p>
    <w:p w14:paraId="14D8D9B2">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3</w:t>
      </w:r>
      <w:r>
        <w:rPr>
          <w:color w:val="auto"/>
          <w:sz w:val="24"/>
          <w:highlight w:val="none"/>
        </w:rPr>
        <w:t>.3成交通知书是合同的组成部分。</w:t>
      </w:r>
    </w:p>
    <w:p w14:paraId="1566BB02">
      <w:pPr>
        <w:spacing w:line="360" w:lineRule="auto"/>
        <w:ind w:firstLine="437"/>
        <w:outlineLvl w:val="2"/>
        <w:rPr>
          <w:b/>
          <w:color w:val="auto"/>
          <w:sz w:val="24"/>
          <w:highlight w:val="none"/>
        </w:rPr>
      </w:pPr>
      <w:r>
        <w:rPr>
          <w:rFonts w:hint="eastAsia"/>
          <w:b/>
          <w:color w:val="auto"/>
          <w:sz w:val="24"/>
          <w:highlight w:val="none"/>
        </w:rPr>
        <w:t>2</w:t>
      </w:r>
      <w:r>
        <w:rPr>
          <w:rFonts w:hint="eastAsia"/>
          <w:b/>
          <w:color w:val="auto"/>
          <w:sz w:val="24"/>
          <w:highlight w:val="none"/>
          <w:lang w:val="en-US" w:eastAsia="zh-CN"/>
        </w:rPr>
        <w:t>4</w:t>
      </w:r>
      <w:r>
        <w:rPr>
          <w:b/>
          <w:color w:val="auto"/>
          <w:sz w:val="24"/>
          <w:highlight w:val="none"/>
        </w:rPr>
        <w:t>.告知</w:t>
      </w:r>
      <w:r>
        <w:rPr>
          <w:rFonts w:hint="eastAsia" w:asciiTheme="minorEastAsia" w:hAnsiTheme="minorEastAsia" w:eastAsiaTheme="minorEastAsia"/>
          <w:b/>
          <w:color w:val="auto"/>
          <w:sz w:val="24"/>
          <w:highlight w:val="none"/>
        </w:rPr>
        <w:t>谈判</w:t>
      </w:r>
      <w:r>
        <w:rPr>
          <w:b/>
          <w:color w:val="auto"/>
          <w:sz w:val="24"/>
          <w:highlight w:val="none"/>
        </w:rPr>
        <w:t>结果</w:t>
      </w:r>
    </w:p>
    <w:p w14:paraId="467D8802">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.1在公告成交结果的同时，采购代理机构同时以</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规定的形式告知未成交供应商本人的排序。</w:t>
      </w:r>
    </w:p>
    <w:p w14:paraId="1827BD3C">
      <w:pPr>
        <w:spacing w:line="360" w:lineRule="auto"/>
        <w:ind w:firstLine="480" w:firstLineChars="200"/>
        <w:rPr>
          <w:color w:val="auto"/>
          <w:sz w:val="24"/>
          <w:highlight w:val="none"/>
        </w:rPr>
      </w:pPr>
      <w:r>
        <w:rPr>
          <w:rFonts w:hint="eastAsia" w:ascii="宋体" w:hAnsi="宋体" w:eastAsia="宋体" w:cs="宋体"/>
          <w:color w:val="auto"/>
          <w:sz w:val="24"/>
          <w:szCs w:val="24"/>
          <w:highlight w:val="none"/>
        </w:rPr>
        <w:t>2</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采购代理机构对未成交的供应商不做未成交原因的解释</w:t>
      </w:r>
      <w:r>
        <w:rPr>
          <w:color w:val="auto"/>
          <w:sz w:val="24"/>
          <w:highlight w:val="none"/>
        </w:rPr>
        <w:t>。</w:t>
      </w:r>
    </w:p>
    <w:p w14:paraId="0F1B68A9">
      <w:pPr>
        <w:spacing w:line="360" w:lineRule="auto"/>
        <w:ind w:firstLine="437"/>
        <w:outlineLvl w:val="2"/>
        <w:rPr>
          <w:b/>
          <w:color w:val="auto"/>
          <w:sz w:val="24"/>
          <w:highlight w:val="none"/>
        </w:rPr>
      </w:pPr>
      <w:r>
        <w:rPr>
          <w:rFonts w:hint="eastAsia"/>
          <w:b/>
          <w:color w:val="auto"/>
          <w:sz w:val="24"/>
          <w:highlight w:val="none"/>
          <w:lang w:val="en-US" w:eastAsia="zh-CN"/>
        </w:rPr>
        <w:t>25</w:t>
      </w:r>
      <w:r>
        <w:rPr>
          <w:b/>
          <w:color w:val="auto"/>
          <w:sz w:val="24"/>
          <w:highlight w:val="none"/>
        </w:rPr>
        <w:t>.履约</w:t>
      </w:r>
      <w:r>
        <w:rPr>
          <w:rFonts w:asciiTheme="minorEastAsia" w:hAnsiTheme="minorEastAsia" w:eastAsiaTheme="minorEastAsia"/>
          <w:b/>
          <w:color w:val="auto"/>
          <w:sz w:val="24"/>
          <w:highlight w:val="none"/>
        </w:rPr>
        <w:t>保证金</w:t>
      </w:r>
    </w:p>
    <w:p w14:paraId="5C6353BA">
      <w:pPr>
        <w:spacing w:line="360" w:lineRule="auto"/>
        <w:ind w:firstLine="435"/>
        <w:rPr>
          <w:color w:val="auto"/>
          <w:sz w:val="24"/>
          <w:highlight w:val="none"/>
        </w:rPr>
      </w:pPr>
      <w:r>
        <w:rPr>
          <w:rFonts w:hint="eastAsia"/>
          <w:color w:val="auto"/>
          <w:sz w:val="24"/>
          <w:highlight w:val="none"/>
          <w:lang w:val="en-US" w:eastAsia="zh-CN"/>
        </w:rPr>
        <w:t>25</w:t>
      </w:r>
      <w:r>
        <w:rPr>
          <w:color w:val="auto"/>
          <w:sz w:val="24"/>
          <w:highlight w:val="none"/>
        </w:rPr>
        <w:t>.1成交供应商应按照</w:t>
      </w:r>
      <w:r>
        <w:rPr>
          <w:color w:val="auto"/>
          <w:sz w:val="24"/>
          <w:highlight w:val="none"/>
          <w:u w:val="single"/>
        </w:rPr>
        <w:t>供应商须知前附表</w:t>
      </w:r>
      <w:r>
        <w:rPr>
          <w:color w:val="auto"/>
          <w:sz w:val="24"/>
          <w:highlight w:val="none"/>
        </w:rPr>
        <w:t>规定</w:t>
      </w:r>
      <w:r>
        <w:rPr>
          <w:rFonts w:hint="eastAsia"/>
          <w:color w:val="auto"/>
          <w:sz w:val="24"/>
          <w:highlight w:val="none"/>
        </w:rPr>
        <w:t>缴纳</w:t>
      </w:r>
      <w:r>
        <w:rPr>
          <w:color w:val="auto"/>
          <w:sz w:val="24"/>
          <w:highlight w:val="none"/>
        </w:rPr>
        <w:t>履约保证金。</w:t>
      </w:r>
    </w:p>
    <w:p w14:paraId="2E6CF0B1">
      <w:pPr>
        <w:spacing w:line="360" w:lineRule="auto"/>
        <w:ind w:firstLine="435"/>
        <w:rPr>
          <w:color w:val="auto"/>
          <w:sz w:val="24"/>
          <w:highlight w:val="none"/>
        </w:rPr>
      </w:pPr>
      <w:r>
        <w:rPr>
          <w:rFonts w:hint="eastAsia"/>
          <w:color w:val="auto"/>
          <w:sz w:val="24"/>
          <w:highlight w:val="none"/>
          <w:lang w:val="en-US" w:eastAsia="zh-CN"/>
        </w:rPr>
        <w:t>25</w:t>
      </w:r>
      <w:r>
        <w:rPr>
          <w:color w:val="auto"/>
          <w:sz w:val="24"/>
          <w:highlight w:val="none"/>
        </w:rPr>
        <w:t>.2如果成交供应商没有按照上述履约保证金的规定执行，将视为放弃成交资格。在此情况下，采购人可确定下一成交候选供应商为成交供应商，也可以重新开展采购活动。</w:t>
      </w:r>
    </w:p>
    <w:p w14:paraId="1D071FB7">
      <w:pPr>
        <w:spacing w:line="360" w:lineRule="auto"/>
        <w:ind w:firstLine="437"/>
        <w:outlineLvl w:val="2"/>
        <w:rPr>
          <w:rFonts w:hint="default" w:eastAsia="宋体"/>
          <w:b/>
          <w:color w:val="auto"/>
          <w:sz w:val="24"/>
          <w:highlight w:val="none"/>
          <w:lang w:val="en-US" w:eastAsia="zh-CN"/>
        </w:rPr>
      </w:pPr>
      <w:r>
        <w:rPr>
          <w:rFonts w:hint="eastAsia"/>
          <w:b/>
          <w:color w:val="auto"/>
          <w:sz w:val="24"/>
          <w:highlight w:val="none"/>
          <w:lang w:val="en-US" w:eastAsia="zh-CN"/>
        </w:rPr>
        <w:t>26</w:t>
      </w:r>
      <w:r>
        <w:rPr>
          <w:b/>
          <w:color w:val="auto"/>
          <w:sz w:val="24"/>
          <w:highlight w:val="none"/>
        </w:rPr>
        <w:t>.</w:t>
      </w:r>
      <w:r>
        <w:rPr>
          <w:rFonts w:hint="eastAsia"/>
          <w:b/>
          <w:color w:val="auto"/>
          <w:sz w:val="24"/>
          <w:highlight w:val="none"/>
          <w:lang w:val="en-US" w:eastAsia="zh-CN"/>
        </w:rPr>
        <w:t>代理费用</w:t>
      </w:r>
    </w:p>
    <w:p w14:paraId="26542A03">
      <w:pPr>
        <w:spacing w:line="360" w:lineRule="auto"/>
        <w:ind w:firstLine="435"/>
        <w:rPr>
          <w:color w:val="auto"/>
          <w:sz w:val="24"/>
          <w:highlight w:val="none"/>
        </w:rPr>
      </w:pPr>
      <w:r>
        <w:rPr>
          <w:rFonts w:hint="eastAsia"/>
          <w:color w:val="auto"/>
          <w:sz w:val="24"/>
          <w:highlight w:val="none"/>
          <w:lang w:val="en-US" w:eastAsia="zh-CN"/>
        </w:rPr>
        <w:t>26</w:t>
      </w:r>
      <w:r>
        <w:rPr>
          <w:color w:val="auto"/>
          <w:sz w:val="24"/>
          <w:highlight w:val="none"/>
        </w:rPr>
        <w:t>.1本项目</w:t>
      </w:r>
      <w:r>
        <w:rPr>
          <w:rFonts w:hint="eastAsia"/>
          <w:color w:val="auto"/>
          <w:sz w:val="24"/>
          <w:highlight w:val="none"/>
          <w:lang w:val="en-US" w:eastAsia="zh-CN"/>
        </w:rPr>
        <w:t>代理费用</w:t>
      </w:r>
      <w:r>
        <w:rPr>
          <w:color w:val="auto"/>
          <w:sz w:val="24"/>
          <w:highlight w:val="none"/>
        </w:rPr>
        <w:t>的收取按</w:t>
      </w:r>
      <w:r>
        <w:rPr>
          <w:rFonts w:hint="eastAsia"/>
          <w:color w:val="auto"/>
          <w:sz w:val="24"/>
          <w:highlight w:val="none"/>
          <w:u w:val="single"/>
        </w:rPr>
        <w:t>供应商</w:t>
      </w:r>
      <w:r>
        <w:rPr>
          <w:color w:val="auto"/>
          <w:sz w:val="24"/>
          <w:highlight w:val="none"/>
          <w:u w:val="single"/>
        </w:rPr>
        <w:t>须知前附表</w:t>
      </w:r>
      <w:r>
        <w:rPr>
          <w:color w:val="auto"/>
          <w:sz w:val="24"/>
          <w:highlight w:val="none"/>
        </w:rPr>
        <w:t>的规定执行。</w:t>
      </w:r>
    </w:p>
    <w:p w14:paraId="5ECFC7D6">
      <w:pPr>
        <w:spacing w:line="360" w:lineRule="auto"/>
        <w:ind w:firstLine="437"/>
        <w:outlineLvl w:val="2"/>
        <w:rPr>
          <w:b/>
          <w:color w:val="auto"/>
          <w:sz w:val="24"/>
          <w:highlight w:val="none"/>
        </w:rPr>
      </w:pPr>
      <w:r>
        <w:rPr>
          <w:rFonts w:hint="eastAsia"/>
          <w:b/>
          <w:color w:val="auto"/>
          <w:sz w:val="24"/>
          <w:highlight w:val="none"/>
          <w:lang w:val="en-US" w:eastAsia="zh-CN"/>
        </w:rPr>
        <w:t>27</w:t>
      </w:r>
      <w:r>
        <w:rPr>
          <w:b/>
          <w:color w:val="auto"/>
          <w:sz w:val="24"/>
          <w:highlight w:val="none"/>
        </w:rPr>
        <w:t>.签订</w:t>
      </w:r>
      <w:r>
        <w:rPr>
          <w:rFonts w:asciiTheme="minorEastAsia" w:hAnsiTheme="minorEastAsia" w:eastAsiaTheme="minorEastAsia"/>
          <w:b/>
          <w:color w:val="auto"/>
          <w:sz w:val="24"/>
          <w:highlight w:val="none"/>
        </w:rPr>
        <w:t>合同</w:t>
      </w:r>
    </w:p>
    <w:p w14:paraId="447F0093">
      <w:pPr>
        <w:spacing w:line="360" w:lineRule="auto"/>
        <w:ind w:firstLine="435"/>
        <w:rPr>
          <w:color w:val="auto"/>
          <w:sz w:val="24"/>
          <w:highlight w:val="none"/>
        </w:rPr>
      </w:pPr>
      <w:r>
        <w:rPr>
          <w:rFonts w:hint="eastAsia"/>
          <w:color w:val="auto"/>
          <w:sz w:val="24"/>
          <w:highlight w:val="none"/>
          <w:lang w:val="en-US" w:eastAsia="zh-CN"/>
        </w:rPr>
        <w:t>27</w:t>
      </w:r>
      <w:r>
        <w:rPr>
          <w:color w:val="auto"/>
          <w:sz w:val="24"/>
          <w:highlight w:val="none"/>
        </w:rPr>
        <w:t>.1</w:t>
      </w:r>
      <w:r>
        <w:rPr>
          <w:rFonts w:hint="eastAsia" w:ascii="宋体" w:hAnsi="宋体" w:eastAsia="宋体" w:cs="宋体"/>
          <w:color w:val="auto"/>
          <w:sz w:val="24"/>
          <w:szCs w:val="24"/>
          <w:highlight w:val="none"/>
          <w:u w:val="none"/>
          <w:lang w:val="en-US" w:eastAsia="zh-CN"/>
        </w:rPr>
        <w:t>采购人与成交供应商应当按照</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371C5A3E">
      <w:pPr>
        <w:spacing w:line="360" w:lineRule="auto"/>
        <w:ind w:firstLine="435"/>
        <w:rPr>
          <w:color w:val="auto"/>
          <w:sz w:val="24"/>
          <w:highlight w:val="none"/>
        </w:rPr>
      </w:pPr>
      <w:r>
        <w:rPr>
          <w:rFonts w:hint="eastAsia"/>
          <w:color w:val="auto"/>
          <w:sz w:val="24"/>
          <w:highlight w:val="none"/>
          <w:lang w:val="en-US" w:eastAsia="zh-CN"/>
        </w:rPr>
        <w:t>27</w:t>
      </w:r>
      <w:r>
        <w:rPr>
          <w:color w:val="auto"/>
          <w:sz w:val="24"/>
          <w:highlight w:val="none"/>
        </w:rPr>
        <w:t>.2谈判文件、成交供应商的响应文件及其澄清文件等，均为签订合同的依据。</w:t>
      </w:r>
    </w:p>
    <w:p w14:paraId="56054E0D">
      <w:pPr>
        <w:spacing w:line="360" w:lineRule="auto"/>
        <w:ind w:firstLine="470" w:firstLineChars="196"/>
        <w:rPr>
          <w:color w:val="auto"/>
          <w:sz w:val="24"/>
          <w:highlight w:val="none"/>
        </w:rPr>
      </w:pPr>
      <w:r>
        <w:rPr>
          <w:rFonts w:hint="eastAsia"/>
          <w:color w:val="auto"/>
          <w:sz w:val="24"/>
          <w:highlight w:val="none"/>
          <w:lang w:val="en-US" w:eastAsia="zh-CN"/>
        </w:rPr>
        <w:t>27</w:t>
      </w:r>
      <w:r>
        <w:rPr>
          <w:color w:val="auto"/>
          <w:sz w:val="24"/>
          <w:highlight w:val="none"/>
        </w:rPr>
        <w:t>.3成交供应商拒绝与采购人签订合同的，采购人可以按照评审报告推荐的成交候选供应商名单排序，确定下一成交候选供应商为成交供应商，也可以重新开展采购活动。</w:t>
      </w:r>
      <w:r>
        <w:rPr>
          <w:rFonts w:hint="eastAsia"/>
          <w:color w:val="auto"/>
          <w:sz w:val="24"/>
          <w:highlight w:val="none"/>
        </w:rPr>
        <w:t>成交供应商拒绝签订政府采购合同的不得参加对该项目重新开展的采购活动。</w:t>
      </w:r>
    </w:p>
    <w:p w14:paraId="5B6B30B7">
      <w:pPr>
        <w:spacing w:line="360" w:lineRule="auto"/>
        <w:ind w:firstLine="470" w:firstLineChars="196"/>
        <w:rPr>
          <w:color w:val="auto"/>
          <w:sz w:val="24"/>
          <w:highlight w:val="none"/>
        </w:rPr>
      </w:pPr>
      <w:bookmarkStart w:id="56" w:name="_Hlk60264926"/>
      <w:r>
        <w:rPr>
          <w:rFonts w:hint="eastAsia"/>
          <w:color w:val="auto"/>
          <w:sz w:val="24"/>
          <w:highlight w:val="none"/>
          <w:lang w:val="en-US" w:eastAsia="zh-CN"/>
        </w:rPr>
        <w:t>27</w:t>
      </w:r>
      <w:r>
        <w:rPr>
          <w:rFonts w:hint="eastAsia"/>
          <w:color w:val="auto"/>
          <w:sz w:val="24"/>
          <w:highlight w:val="none"/>
        </w:rPr>
        <w:t>.</w:t>
      </w:r>
      <w:r>
        <w:rPr>
          <w:color w:val="auto"/>
          <w:sz w:val="24"/>
          <w:highlight w:val="none"/>
        </w:rPr>
        <w:t>4</w:t>
      </w:r>
      <w:r>
        <w:rPr>
          <w:rFonts w:hint="eastAsia"/>
          <w:color w:val="auto"/>
          <w:sz w:val="24"/>
          <w:highlight w:val="none"/>
        </w:rPr>
        <w:t>依据《政府采购促进中小企业发展管理办法》（财库〔</w:t>
      </w:r>
      <w:r>
        <w:rPr>
          <w:color w:val="auto"/>
          <w:sz w:val="24"/>
          <w:highlight w:val="none"/>
        </w:rPr>
        <w:t>2020〕46号</w:t>
      </w:r>
      <w:r>
        <w:rPr>
          <w:rFonts w:hint="eastAsia"/>
          <w:color w:val="auto"/>
          <w:sz w:val="24"/>
          <w:highlight w:val="none"/>
        </w:rPr>
        <w:t>）规定享受扶持政策获得政府采购合同的，小微企业不得将合同分包给大中型企业，中型企业不得将合同分包给大型企业。</w:t>
      </w:r>
      <w:bookmarkEnd w:id="56"/>
    </w:p>
    <w:p w14:paraId="6B2031F4">
      <w:pPr>
        <w:spacing w:line="360" w:lineRule="auto"/>
        <w:ind w:firstLine="437"/>
        <w:outlineLvl w:val="2"/>
        <w:rPr>
          <w:b/>
          <w:color w:val="auto"/>
          <w:sz w:val="24"/>
          <w:highlight w:val="none"/>
        </w:rPr>
      </w:pPr>
      <w:r>
        <w:rPr>
          <w:rFonts w:hint="eastAsia"/>
          <w:b/>
          <w:color w:val="auto"/>
          <w:sz w:val="24"/>
          <w:highlight w:val="none"/>
          <w:lang w:val="en-US" w:eastAsia="zh-CN"/>
        </w:rPr>
        <w:t>28</w:t>
      </w:r>
      <w:r>
        <w:rPr>
          <w:b/>
          <w:color w:val="auto"/>
          <w:sz w:val="24"/>
          <w:highlight w:val="none"/>
        </w:rPr>
        <w:t>.廉洁</w:t>
      </w:r>
      <w:r>
        <w:rPr>
          <w:rFonts w:asciiTheme="minorEastAsia" w:hAnsiTheme="minorEastAsia" w:eastAsiaTheme="minorEastAsia"/>
          <w:b/>
          <w:color w:val="auto"/>
          <w:sz w:val="24"/>
          <w:highlight w:val="none"/>
        </w:rPr>
        <w:t>自律</w:t>
      </w:r>
      <w:r>
        <w:rPr>
          <w:b/>
          <w:color w:val="auto"/>
          <w:sz w:val="24"/>
          <w:highlight w:val="none"/>
        </w:rPr>
        <w:t>规定</w:t>
      </w:r>
    </w:p>
    <w:p w14:paraId="1AC1D853">
      <w:pPr>
        <w:spacing w:line="360" w:lineRule="auto"/>
        <w:ind w:firstLine="435"/>
        <w:rPr>
          <w:color w:val="auto"/>
          <w:sz w:val="24"/>
          <w:highlight w:val="none"/>
        </w:rPr>
      </w:pPr>
      <w:r>
        <w:rPr>
          <w:rFonts w:hint="eastAsia"/>
          <w:color w:val="auto"/>
          <w:sz w:val="24"/>
          <w:highlight w:val="none"/>
          <w:lang w:val="en-US" w:eastAsia="zh-CN"/>
        </w:rPr>
        <w:t>28</w:t>
      </w:r>
      <w:r>
        <w:rPr>
          <w:color w:val="auto"/>
          <w:sz w:val="24"/>
          <w:highlight w:val="none"/>
        </w:rPr>
        <w:t>.1采购代理机构工作人员不得以不正当手段获取政府采购代理业务，不得与采购人、供应商恶意串通。</w:t>
      </w:r>
    </w:p>
    <w:p w14:paraId="4067BDAB">
      <w:pPr>
        <w:spacing w:line="360" w:lineRule="auto"/>
        <w:ind w:firstLine="435"/>
        <w:rPr>
          <w:color w:val="auto"/>
          <w:sz w:val="24"/>
          <w:highlight w:val="none"/>
        </w:rPr>
      </w:pPr>
      <w:r>
        <w:rPr>
          <w:rFonts w:hint="eastAsia"/>
          <w:color w:val="auto"/>
          <w:sz w:val="24"/>
          <w:highlight w:val="none"/>
          <w:lang w:val="en-US" w:eastAsia="zh-CN"/>
        </w:rPr>
        <w:t>28</w:t>
      </w:r>
      <w:r>
        <w:rPr>
          <w:color w:val="auto"/>
          <w:sz w:val="24"/>
          <w:highlight w:val="none"/>
        </w:rPr>
        <w:t>.2采购代理机构工作人员不得接受采购人或者供应商组织的宴请、旅游、娱乐，不得收受礼品、现金、有价证券等，不得向采购人或者供应商报销应当由个人承担的费用。</w:t>
      </w:r>
    </w:p>
    <w:p w14:paraId="27B4A8CC">
      <w:pPr>
        <w:spacing w:line="360" w:lineRule="auto"/>
        <w:ind w:firstLine="437"/>
        <w:outlineLvl w:val="2"/>
        <w:rPr>
          <w:b/>
          <w:color w:val="auto"/>
          <w:sz w:val="24"/>
          <w:highlight w:val="none"/>
        </w:rPr>
      </w:pPr>
      <w:r>
        <w:rPr>
          <w:rFonts w:hint="eastAsia"/>
          <w:b/>
          <w:color w:val="auto"/>
          <w:sz w:val="24"/>
          <w:highlight w:val="none"/>
          <w:lang w:val="en-US" w:eastAsia="zh-CN"/>
        </w:rPr>
        <w:t>29</w:t>
      </w:r>
      <w:r>
        <w:rPr>
          <w:b/>
          <w:color w:val="auto"/>
          <w:sz w:val="24"/>
          <w:highlight w:val="none"/>
        </w:rPr>
        <w:t>.质疑的提出与接收</w:t>
      </w:r>
    </w:p>
    <w:p w14:paraId="7BCD7402">
      <w:pPr>
        <w:spacing w:line="360" w:lineRule="auto"/>
        <w:ind w:firstLine="435"/>
        <w:rPr>
          <w:color w:val="auto"/>
          <w:sz w:val="24"/>
          <w:highlight w:val="none"/>
        </w:rPr>
      </w:pPr>
      <w:r>
        <w:rPr>
          <w:rFonts w:hint="eastAsia"/>
          <w:color w:val="auto"/>
          <w:sz w:val="24"/>
          <w:highlight w:val="none"/>
          <w:lang w:val="en-US" w:eastAsia="zh-CN"/>
        </w:rPr>
        <w:t>29</w:t>
      </w:r>
      <w:r>
        <w:rPr>
          <w:rFonts w:hint="eastAsia"/>
          <w:color w:val="auto"/>
          <w:sz w:val="24"/>
          <w:highlight w:val="none"/>
        </w:rPr>
        <w:t>.1供应商认为谈判文件、采购过程和成交结果使自己的权益受到损害的，可以在知道或者应知其权益受到损害之日起七个工作日内，以书面形式向采购人或其委托的采购代理机构提出质疑。</w:t>
      </w:r>
    </w:p>
    <w:p w14:paraId="4D4263AF">
      <w:pPr>
        <w:spacing w:line="360" w:lineRule="auto"/>
        <w:ind w:firstLine="435"/>
        <w:rPr>
          <w:color w:val="auto"/>
          <w:sz w:val="24"/>
          <w:highlight w:val="none"/>
        </w:rPr>
      </w:pPr>
      <w:r>
        <w:rPr>
          <w:rFonts w:hint="eastAsia"/>
          <w:color w:val="auto"/>
          <w:sz w:val="24"/>
          <w:highlight w:val="none"/>
          <w:lang w:val="en-US" w:eastAsia="zh-CN"/>
        </w:rPr>
        <w:t>29</w:t>
      </w:r>
      <w:r>
        <w:rPr>
          <w:rFonts w:hint="eastAsia"/>
          <w:color w:val="auto"/>
          <w:sz w:val="24"/>
          <w:highlight w:val="none"/>
        </w:rPr>
        <w:t>.</w:t>
      </w:r>
      <w:r>
        <w:rPr>
          <w:rFonts w:hint="eastAsia"/>
          <w:color w:val="auto"/>
          <w:sz w:val="24"/>
          <w:highlight w:val="none"/>
          <w:lang w:val="en-US" w:eastAsia="zh-CN"/>
        </w:rPr>
        <w:t>2</w:t>
      </w:r>
      <w:r>
        <w:rPr>
          <w:rFonts w:hint="eastAsia"/>
          <w:color w:val="auto"/>
          <w:sz w:val="24"/>
          <w:highlight w:val="none"/>
        </w:rPr>
        <w:t>质疑供应商应按照财政部制定的《政府采购质疑函范本》格式（详见谈判文件第八章）和《政府采购质疑和投诉办法》的要求，在法定质疑期内以书面形式提出质疑，超出法定质疑期提交的质疑将被拒绝。针对同一采购程序环节的质疑应一次性提出。</w:t>
      </w:r>
    </w:p>
    <w:p w14:paraId="1971FE19">
      <w:pPr>
        <w:spacing w:line="360" w:lineRule="auto"/>
        <w:ind w:firstLine="435"/>
        <w:rPr>
          <w:rFonts w:hint="eastAsia"/>
          <w:color w:val="auto"/>
          <w:sz w:val="24"/>
          <w:highlight w:val="none"/>
        </w:rPr>
      </w:pPr>
      <w:r>
        <w:rPr>
          <w:rFonts w:hint="eastAsia"/>
          <w:color w:val="auto"/>
          <w:sz w:val="24"/>
          <w:highlight w:val="none"/>
          <w:lang w:val="en-US" w:eastAsia="zh-CN"/>
        </w:rPr>
        <w:t>29</w:t>
      </w:r>
      <w:r>
        <w:rPr>
          <w:rFonts w:hint="eastAsia"/>
          <w:color w:val="auto"/>
          <w:sz w:val="24"/>
          <w:highlight w:val="none"/>
        </w:rPr>
        <w:t>.</w:t>
      </w:r>
      <w:r>
        <w:rPr>
          <w:rFonts w:hint="eastAsia"/>
          <w:color w:val="auto"/>
          <w:sz w:val="24"/>
          <w:highlight w:val="none"/>
          <w:lang w:val="en-US" w:eastAsia="zh-CN"/>
        </w:rPr>
        <w:t>3</w:t>
      </w:r>
      <w:r>
        <w:rPr>
          <w:rFonts w:hint="eastAsia"/>
          <w:color w:val="auto"/>
          <w:sz w:val="24"/>
          <w:highlight w:val="none"/>
        </w:rPr>
        <w:t>采购代理机构质疑函接收部门、联系电话和通讯地址，见</w:t>
      </w:r>
      <w:r>
        <w:rPr>
          <w:rFonts w:hint="eastAsia"/>
          <w:color w:val="auto"/>
          <w:sz w:val="24"/>
          <w:highlight w:val="none"/>
          <w:u w:val="single"/>
        </w:rPr>
        <w:t>供应商须知前附表</w:t>
      </w:r>
      <w:r>
        <w:rPr>
          <w:rFonts w:hint="eastAsia"/>
          <w:color w:val="auto"/>
          <w:sz w:val="24"/>
          <w:highlight w:val="none"/>
        </w:rPr>
        <w:t>。</w:t>
      </w:r>
    </w:p>
    <w:p w14:paraId="6838F00E">
      <w:pPr>
        <w:spacing w:line="360" w:lineRule="auto"/>
        <w:ind w:firstLine="435"/>
        <w:rPr>
          <w:color w:val="auto"/>
          <w:sz w:val="24"/>
          <w:highlight w:val="none"/>
        </w:rPr>
      </w:pPr>
      <w:r>
        <w:rPr>
          <w:rFonts w:hint="eastAsia" w:ascii="宋体" w:hAnsi="宋体" w:eastAsia="宋体"/>
          <w:color w:val="auto"/>
          <w:sz w:val="24"/>
          <w:highlight w:val="none"/>
          <w:lang w:val="en-US" w:eastAsia="zh-CN"/>
        </w:rPr>
        <w:t>注：上述条款中所要求的书面形式包含通过电子交易系统递交方式。</w:t>
      </w:r>
    </w:p>
    <w:p w14:paraId="1CEBC2C7">
      <w:pPr>
        <w:spacing w:line="360" w:lineRule="auto"/>
        <w:ind w:firstLine="437"/>
        <w:outlineLvl w:val="2"/>
        <w:rPr>
          <w:rFonts w:hint="eastAsia" w:ascii="宋体" w:hAnsi="宋体" w:eastAsia="宋体"/>
          <w:b/>
          <w:color w:val="auto"/>
          <w:sz w:val="24"/>
          <w:highlight w:val="none"/>
          <w:lang w:eastAsia="zh-CN"/>
        </w:rPr>
      </w:pPr>
      <w:r>
        <w:rPr>
          <w:rFonts w:hint="eastAsia" w:ascii="宋体" w:hAnsi="宋体" w:eastAsia="宋体"/>
          <w:b/>
          <w:color w:val="auto"/>
          <w:sz w:val="24"/>
          <w:highlight w:val="none"/>
        </w:rPr>
        <w:t>30</w:t>
      </w:r>
      <w:r>
        <w:rPr>
          <w:rFonts w:ascii="宋体" w:hAnsi="宋体" w:eastAsia="宋体"/>
          <w:b/>
          <w:color w:val="auto"/>
          <w:sz w:val="24"/>
          <w:highlight w:val="none"/>
        </w:rPr>
        <w:t>.</w:t>
      </w:r>
      <w:r>
        <w:rPr>
          <w:rFonts w:hint="eastAsia" w:ascii="宋体" w:hAnsi="宋体" w:eastAsia="宋体"/>
          <w:b/>
          <w:color w:val="auto"/>
          <w:sz w:val="24"/>
          <w:highlight w:val="none"/>
          <w:lang w:val="en-US" w:eastAsia="zh-CN"/>
        </w:rPr>
        <w:t>投诉</w:t>
      </w:r>
    </w:p>
    <w:p w14:paraId="3E5E660C">
      <w:pPr>
        <w:keepNext w:val="0"/>
        <w:keepLines w:val="0"/>
        <w:pageBreakBefore w:val="0"/>
        <w:widowControl w:val="0"/>
        <w:kinsoku/>
        <w:wordWrap w:val="0"/>
        <w:overflowPunct/>
        <w:topLinePunct w:val="0"/>
        <w:autoSpaceDE/>
        <w:autoSpaceDN/>
        <w:bidi w:val="0"/>
        <w:adjustRightInd/>
        <w:snapToGrid/>
        <w:spacing w:line="440" w:lineRule="exact"/>
        <w:ind w:firstLine="437"/>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30.1质疑供应商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2AFFA93E">
      <w:pPr>
        <w:keepNext w:val="0"/>
        <w:keepLines w:val="0"/>
        <w:pageBreakBefore w:val="0"/>
        <w:widowControl w:val="0"/>
        <w:kinsoku/>
        <w:wordWrap w:val="0"/>
        <w:overflowPunct/>
        <w:topLinePunct w:val="0"/>
        <w:autoSpaceDE/>
        <w:autoSpaceDN/>
        <w:bidi w:val="0"/>
        <w:adjustRightInd/>
        <w:snapToGrid/>
        <w:spacing w:line="440" w:lineRule="exact"/>
        <w:ind w:firstLine="437"/>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30.2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5BC700FC">
      <w:pPr>
        <w:keepNext w:val="0"/>
        <w:keepLines w:val="0"/>
        <w:pageBreakBefore w:val="0"/>
        <w:widowControl w:val="0"/>
        <w:kinsoku/>
        <w:wordWrap w:val="0"/>
        <w:overflowPunct/>
        <w:topLinePunct w:val="0"/>
        <w:autoSpaceDE/>
        <w:autoSpaceDN/>
        <w:bidi w:val="0"/>
        <w:adjustRightInd/>
        <w:snapToGrid/>
        <w:spacing w:line="440" w:lineRule="exact"/>
        <w:ind w:firstLine="437"/>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30.3政府采购监督管理部门在处理投诉事项期间，可以视具体情况书面通知采购人暂停采购活动，但暂停时间最长不得超过30日。</w:t>
      </w:r>
    </w:p>
    <w:p w14:paraId="43B5374A">
      <w:pPr>
        <w:spacing w:line="360" w:lineRule="auto"/>
        <w:ind w:firstLine="437"/>
        <w:outlineLvl w:val="2"/>
        <w:rPr>
          <w:b/>
          <w:color w:val="auto"/>
          <w:sz w:val="24"/>
          <w:highlight w:val="none"/>
        </w:rPr>
      </w:pPr>
      <w:r>
        <w:rPr>
          <w:b/>
          <w:color w:val="auto"/>
          <w:sz w:val="24"/>
          <w:highlight w:val="none"/>
        </w:rPr>
        <w:t>3</w:t>
      </w:r>
      <w:r>
        <w:rPr>
          <w:rFonts w:hint="eastAsia"/>
          <w:b/>
          <w:color w:val="auto"/>
          <w:sz w:val="24"/>
          <w:highlight w:val="none"/>
          <w:lang w:val="en-US" w:eastAsia="zh-CN"/>
        </w:rPr>
        <w:t>1</w:t>
      </w:r>
      <w:r>
        <w:rPr>
          <w:b/>
          <w:color w:val="auto"/>
          <w:sz w:val="24"/>
          <w:highlight w:val="none"/>
        </w:rPr>
        <w:t>.需要补充的其他内容</w:t>
      </w:r>
    </w:p>
    <w:p w14:paraId="0688BE0A">
      <w:pPr>
        <w:spacing w:line="360" w:lineRule="auto"/>
        <w:ind w:firstLine="435"/>
        <w:rPr>
          <w:color w:val="auto"/>
          <w:sz w:val="24"/>
          <w:highlight w:val="none"/>
        </w:rPr>
      </w:pPr>
      <w:r>
        <w:rPr>
          <w:rFonts w:hint="eastAsia"/>
          <w:color w:val="auto"/>
          <w:sz w:val="24"/>
          <w:highlight w:val="none"/>
        </w:rPr>
        <w:t>需要补充的其他内容，见</w:t>
      </w:r>
      <w:r>
        <w:rPr>
          <w:rFonts w:hint="eastAsia"/>
          <w:color w:val="auto"/>
          <w:sz w:val="24"/>
          <w:highlight w:val="none"/>
          <w:u w:val="single"/>
        </w:rPr>
        <w:t>供应商须知前附表</w:t>
      </w:r>
      <w:r>
        <w:rPr>
          <w:rFonts w:hint="eastAsia"/>
          <w:color w:val="auto"/>
          <w:sz w:val="24"/>
          <w:highlight w:val="none"/>
        </w:rPr>
        <w:t>。</w:t>
      </w:r>
    </w:p>
    <w:p w14:paraId="21FAD2B6">
      <w:pPr>
        <w:widowControl/>
        <w:jc w:val="left"/>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6CCA57A7">
      <w:pPr>
        <w:spacing w:line="360" w:lineRule="auto"/>
        <w:jc w:val="center"/>
        <w:outlineLvl w:val="0"/>
        <w:rPr>
          <w:rFonts w:asciiTheme="minorEastAsia" w:hAnsiTheme="minorEastAsia" w:eastAsiaTheme="minorEastAsia"/>
          <w:b/>
          <w:color w:val="auto"/>
          <w:sz w:val="28"/>
          <w:highlight w:val="none"/>
        </w:rPr>
      </w:pPr>
      <w:bookmarkStart w:id="57" w:name="_Toc4202"/>
      <w:r>
        <w:rPr>
          <w:rFonts w:hint="eastAsia" w:asciiTheme="minorEastAsia" w:hAnsiTheme="minorEastAsia" w:eastAsiaTheme="minorEastAsia"/>
          <w:b/>
          <w:color w:val="auto"/>
          <w:sz w:val="28"/>
          <w:highlight w:val="none"/>
        </w:rPr>
        <w:t>第三章  采购需求</w:t>
      </w:r>
      <w:bookmarkEnd w:id="57"/>
    </w:p>
    <w:tbl>
      <w:tblPr>
        <w:tblStyle w:val="10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572"/>
        <w:gridCol w:w="6290"/>
      </w:tblGrid>
      <w:tr w14:paraId="71666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Align w:val="center"/>
          </w:tcPr>
          <w:p w14:paraId="0024358F">
            <w:pPr>
              <w:spacing w:line="360" w:lineRule="auto"/>
              <w:jc w:val="center"/>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序号</w:t>
            </w:r>
          </w:p>
        </w:tc>
        <w:tc>
          <w:tcPr>
            <w:tcW w:w="922" w:type="pct"/>
            <w:vAlign w:val="center"/>
          </w:tcPr>
          <w:p w14:paraId="55E1E8F4">
            <w:pPr>
              <w:spacing w:line="360" w:lineRule="auto"/>
              <w:ind w:firstLine="435"/>
              <w:jc w:val="center"/>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内容</w:t>
            </w:r>
          </w:p>
        </w:tc>
        <w:tc>
          <w:tcPr>
            <w:tcW w:w="3689" w:type="pct"/>
            <w:vAlign w:val="center"/>
          </w:tcPr>
          <w:p w14:paraId="51E65B88">
            <w:pPr>
              <w:spacing w:line="360" w:lineRule="auto"/>
              <w:ind w:firstLine="435"/>
              <w:jc w:val="center"/>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说明和要求</w:t>
            </w:r>
          </w:p>
        </w:tc>
      </w:tr>
      <w:tr w14:paraId="5ABBA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Align w:val="center"/>
          </w:tcPr>
          <w:p w14:paraId="3E6C6BFF">
            <w:pPr>
              <w:spacing w:line="36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1</w:t>
            </w:r>
          </w:p>
        </w:tc>
        <w:tc>
          <w:tcPr>
            <w:tcW w:w="922" w:type="pct"/>
            <w:vAlign w:val="center"/>
          </w:tcPr>
          <w:p w14:paraId="1586944E">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人员到岗及履约要求</w:t>
            </w:r>
          </w:p>
        </w:tc>
        <w:tc>
          <w:tcPr>
            <w:tcW w:w="3689" w:type="pct"/>
            <w:vAlign w:val="center"/>
          </w:tcPr>
          <w:p w14:paraId="51B5753B">
            <w:pPr>
              <w:spacing w:line="360" w:lineRule="auto"/>
              <w:rPr>
                <w:rFonts w:hint="default"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人员必须按照施工需要及采购人要求按时到岗</w:t>
            </w:r>
          </w:p>
        </w:tc>
      </w:tr>
      <w:tr w14:paraId="1E0FE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Align w:val="center"/>
          </w:tcPr>
          <w:p w14:paraId="3506F336">
            <w:pPr>
              <w:spacing w:line="36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2</w:t>
            </w:r>
          </w:p>
        </w:tc>
        <w:tc>
          <w:tcPr>
            <w:tcW w:w="922" w:type="pct"/>
            <w:vAlign w:val="center"/>
          </w:tcPr>
          <w:p w14:paraId="79606B79">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材料要求</w:t>
            </w:r>
          </w:p>
        </w:tc>
        <w:tc>
          <w:tcPr>
            <w:tcW w:w="3689" w:type="pct"/>
            <w:vAlign w:val="center"/>
          </w:tcPr>
          <w:p w14:paraId="7D05EA54">
            <w:pPr>
              <w:spacing w:line="360" w:lineRule="auto"/>
              <w:rPr>
                <w:rFonts w:hint="eastAsia" w:cs="@仿宋_GB2312" w:asciiTheme="minorEastAsia" w:hAnsiTheme="minorEastAsia" w:eastAsiaTheme="minorEastAsia"/>
                <w:color w:val="auto"/>
                <w:kern w:val="2"/>
                <w:sz w:val="24"/>
                <w:szCs w:val="22"/>
                <w:highlight w:val="none"/>
                <w:lang w:eastAsia="zh-CN"/>
              </w:rPr>
            </w:pPr>
            <w:r>
              <w:rPr>
                <w:rFonts w:hint="eastAsia" w:cs="@仿宋_GB2312" w:asciiTheme="minorEastAsia" w:hAnsiTheme="minorEastAsia" w:eastAsiaTheme="minorEastAsia"/>
                <w:color w:val="auto"/>
                <w:kern w:val="2"/>
                <w:sz w:val="24"/>
                <w:szCs w:val="22"/>
                <w:highlight w:val="none"/>
                <w:lang w:val="en-US" w:eastAsia="zh-CN"/>
              </w:rPr>
              <w:t>成交供应商自行采购</w:t>
            </w:r>
          </w:p>
        </w:tc>
      </w:tr>
      <w:tr w14:paraId="6DD8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Align w:val="center"/>
          </w:tcPr>
          <w:p w14:paraId="3802E8B6">
            <w:pPr>
              <w:spacing w:line="36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3</w:t>
            </w:r>
          </w:p>
        </w:tc>
        <w:tc>
          <w:tcPr>
            <w:tcW w:w="922" w:type="pct"/>
            <w:vAlign w:val="center"/>
          </w:tcPr>
          <w:p w14:paraId="37D9FC42">
            <w:pPr>
              <w:keepNext w:val="0"/>
              <w:keepLines w:val="0"/>
              <w:pageBreakBefore w:val="0"/>
              <w:widowControl w:val="0"/>
              <w:kinsoku/>
              <w:wordWrap/>
              <w:overflowPunct/>
              <w:topLinePunct w:val="0"/>
              <w:autoSpaceDE/>
              <w:autoSpaceDN/>
              <w:bidi w:val="0"/>
              <w:adjustRightInd/>
              <w:snapToGrid/>
              <w:spacing w:line="400" w:lineRule="exact"/>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工程施工重点难点</w:t>
            </w:r>
          </w:p>
        </w:tc>
        <w:tc>
          <w:tcPr>
            <w:tcW w:w="3689" w:type="pct"/>
            <w:vAlign w:val="center"/>
          </w:tcPr>
          <w:p w14:paraId="1E65362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仿宋_GB2312" w:asciiTheme="minorEastAsia" w:hAnsiTheme="minorEastAsia" w:eastAsiaTheme="minorEastAsia"/>
                <w:color w:val="auto"/>
                <w:kern w:val="2"/>
                <w:sz w:val="24"/>
                <w:szCs w:val="22"/>
                <w:highlight w:val="none"/>
                <w:lang w:eastAsia="zh-CN"/>
              </w:rPr>
            </w:pPr>
            <w:r>
              <w:rPr>
                <w:rFonts w:hint="eastAsia" w:cs="@仿宋_GB2312" w:asciiTheme="minorEastAsia" w:hAnsiTheme="minorEastAsia" w:eastAsiaTheme="minorEastAsia"/>
                <w:color w:val="auto"/>
                <w:kern w:val="2"/>
                <w:sz w:val="24"/>
                <w:szCs w:val="22"/>
                <w:highlight w:val="none"/>
                <w:lang w:val="en-US" w:eastAsia="zh-CN"/>
              </w:rPr>
              <w:t>供应商</w:t>
            </w:r>
            <w:r>
              <w:rPr>
                <w:rFonts w:hint="default" w:cs="@仿宋_GB2312" w:asciiTheme="minorEastAsia" w:hAnsiTheme="minorEastAsia" w:eastAsiaTheme="minorEastAsia"/>
                <w:color w:val="auto"/>
                <w:kern w:val="2"/>
                <w:sz w:val="24"/>
                <w:szCs w:val="22"/>
                <w:highlight w:val="none"/>
                <w:lang w:val="en-US" w:eastAsia="zh-CN"/>
              </w:rPr>
              <w:t>结合图纸和现场情况自行考虑</w:t>
            </w:r>
          </w:p>
        </w:tc>
      </w:tr>
      <w:tr w14:paraId="6C42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Align w:val="center"/>
          </w:tcPr>
          <w:p w14:paraId="1CF560B1">
            <w:pPr>
              <w:spacing w:line="36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4</w:t>
            </w:r>
          </w:p>
        </w:tc>
        <w:tc>
          <w:tcPr>
            <w:tcW w:w="922" w:type="pct"/>
            <w:vAlign w:val="center"/>
          </w:tcPr>
          <w:p w14:paraId="0D2A3355">
            <w:pPr>
              <w:keepNext w:val="0"/>
              <w:keepLines w:val="0"/>
              <w:pageBreakBefore w:val="0"/>
              <w:widowControl w:val="0"/>
              <w:kinsoku/>
              <w:wordWrap/>
              <w:overflowPunct/>
              <w:topLinePunct w:val="0"/>
              <w:autoSpaceDE/>
              <w:autoSpaceDN/>
              <w:bidi w:val="0"/>
              <w:adjustRightInd/>
              <w:snapToGrid/>
              <w:spacing w:line="400" w:lineRule="exact"/>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报价须知</w:t>
            </w:r>
          </w:p>
        </w:tc>
        <w:tc>
          <w:tcPr>
            <w:tcW w:w="3689" w:type="pct"/>
            <w:vAlign w:val="center"/>
          </w:tcPr>
          <w:p w14:paraId="160DE6C8">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kern w:val="2"/>
                <w:sz w:val="21"/>
                <w:szCs w:val="22"/>
                <w:highlight w:val="none"/>
              </w:rPr>
            </w:pPr>
            <w:r>
              <w:rPr>
                <w:rFonts w:hint="eastAsia" w:cs="@仿宋_GB2312" w:asciiTheme="minorEastAsia" w:hAnsiTheme="minorEastAsia" w:eastAsiaTheme="minorEastAsia"/>
                <w:color w:val="auto"/>
                <w:kern w:val="2"/>
                <w:sz w:val="24"/>
                <w:szCs w:val="22"/>
                <w:highlight w:val="none"/>
              </w:rPr>
              <w:t>供应商最后报价均不得高于谈判文件（公告）列明的项目预算、最高投标限价，否则其响应文件将被认定为响应无效。</w:t>
            </w:r>
          </w:p>
        </w:tc>
      </w:tr>
      <w:tr w14:paraId="009D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Align w:val="center"/>
          </w:tcPr>
          <w:p w14:paraId="0DADDD11">
            <w:pPr>
              <w:spacing w:line="36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5</w:t>
            </w:r>
          </w:p>
        </w:tc>
        <w:tc>
          <w:tcPr>
            <w:tcW w:w="922" w:type="pct"/>
            <w:vAlign w:val="center"/>
          </w:tcPr>
          <w:p w14:paraId="4784CE18">
            <w:pPr>
              <w:keepNext w:val="0"/>
              <w:keepLines w:val="0"/>
              <w:pageBreakBefore w:val="0"/>
              <w:widowControl w:val="0"/>
              <w:kinsoku/>
              <w:wordWrap/>
              <w:overflowPunct/>
              <w:topLinePunct w:val="0"/>
              <w:autoSpaceDE/>
              <w:autoSpaceDN/>
              <w:bidi w:val="0"/>
              <w:adjustRightInd/>
              <w:snapToGrid/>
              <w:spacing w:line="400" w:lineRule="exact"/>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重要说明</w:t>
            </w:r>
          </w:p>
        </w:tc>
        <w:tc>
          <w:tcPr>
            <w:tcW w:w="3689" w:type="pct"/>
            <w:vAlign w:val="center"/>
          </w:tcPr>
          <w:p w14:paraId="6A866BE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olor w:val="auto"/>
                <w:kern w:val="2"/>
                <w:sz w:val="24"/>
                <w:szCs w:val="18"/>
                <w:highlight w:val="none"/>
              </w:rPr>
            </w:pPr>
            <w:r>
              <w:rPr>
                <w:rFonts w:hint="eastAsia" w:cs="宋体"/>
                <w:color w:val="auto"/>
                <w:kern w:val="2"/>
                <w:sz w:val="24"/>
                <w:szCs w:val="24"/>
                <w:highlight w:val="none"/>
                <w:lang w:val="en-US" w:eastAsia="zh-CN"/>
              </w:rPr>
              <w:t>1、</w:t>
            </w:r>
            <w:r>
              <w:rPr>
                <w:rFonts w:ascii="宋体" w:hAnsi="宋体" w:eastAsia="宋体" w:cs="宋体"/>
                <w:color w:val="auto"/>
                <w:kern w:val="2"/>
                <w:sz w:val="24"/>
                <w:szCs w:val="24"/>
                <w:highlight w:val="none"/>
              </w:rPr>
              <w:t>政府采购政策（包括但不限于下列具体政策要求</w:t>
            </w:r>
            <w:r>
              <w:rPr>
                <w:rFonts w:hint="eastAsia" w:ascii="宋体" w:hAnsi="宋体" w:eastAsia="宋体" w:cs="宋体"/>
                <w:color w:val="auto"/>
                <w:kern w:val="2"/>
                <w:sz w:val="24"/>
                <w:szCs w:val="24"/>
                <w:highlight w:val="none"/>
                <w:lang w:eastAsia="zh-CN"/>
              </w:rPr>
              <w:t>）</w:t>
            </w:r>
            <w:r>
              <w:rPr>
                <w:rFonts w:hint="eastAsia" w:ascii="宋体" w:hAnsi="宋体" w:eastAsia="宋体"/>
                <w:color w:val="auto"/>
                <w:kern w:val="2"/>
                <w:sz w:val="24"/>
                <w:szCs w:val="18"/>
                <w:highlight w:val="none"/>
              </w:rPr>
              <w:t>：</w:t>
            </w:r>
          </w:p>
          <w:p w14:paraId="40CFAD2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（1）如属于《节能产品政府采购品目清单》中政府强制采购的节能产品，则</w:t>
            </w:r>
            <w:r>
              <w:rPr>
                <w:rFonts w:hint="eastAsia"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所投产品须具有市场监管总局公布的《参与实施政府采购节能产品认证机构目录》中的认证机构出具的、处于有效期内的节能产品认证证书。</w:t>
            </w:r>
          </w:p>
          <w:p w14:paraId="40754B6F">
            <w:pPr>
              <w:keepNext w:val="0"/>
              <w:keepLines w:val="0"/>
              <w:pageBreakBefore w:val="0"/>
              <w:widowControl w:val="0"/>
              <w:kinsoku/>
              <w:wordWrap/>
              <w:overflowPunct/>
              <w:topLinePunct w:val="0"/>
              <w:autoSpaceDE/>
              <w:autoSpaceDN/>
              <w:bidi w:val="0"/>
              <w:adjustRightInd/>
              <w:snapToGrid/>
              <w:spacing w:line="400" w:lineRule="exact"/>
              <w:textAlignment w:val="auto"/>
              <w:rPr>
                <w:rFonts w:cs="@仿宋_GB2312" w:asciiTheme="minorEastAsia" w:hAnsiTheme="minorEastAsia" w:eastAsiaTheme="minorEastAsia"/>
                <w:color w:val="auto"/>
                <w:kern w:val="2"/>
                <w:sz w:val="24"/>
                <w:szCs w:val="22"/>
                <w:highlight w:val="none"/>
              </w:rPr>
            </w:pPr>
            <w:r>
              <w:rPr>
                <w:rFonts w:hint="eastAsia" w:ascii="宋体" w:hAnsi="宋体" w:eastAsia="宋体" w:cs="宋体"/>
                <w:color w:val="auto"/>
                <w:kern w:val="2"/>
                <w:sz w:val="24"/>
                <w:szCs w:val="24"/>
                <w:highlight w:val="none"/>
              </w:rPr>
              <w:t>（2）如涉及商品包装和快递包装，</w:t>
            </w:r>
            <w:r>
              <w:rPr>
                <w:rFonts w:hint="eastAsia"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tc>
      </w:tr>
      <w:tr w14:paraId="34DD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Align w:val="center"/>
          </w:tcPr>
          <w:p w14:paraId="7DE43498">
            <w:pPr>
              <w:spacing w:line="360" w:lineRule="auto"/>
              <w:jc w:val="center"/>
              <w:rPr>
                <w:rFonts w:cs="@仿宋_GB2312" w:asciiTheme="minorEastAsia" w:hAnsiTheme="minorEastAsia" w:eastAsiaTheme="minorEastAsia"/>
                <w:color w:val="auto"/>
                <w:kern w:val="2"/>
                <w:sz w:val="24"/>
                <w:szCs w:val="22"/>
                <w:highlight w:val="none"/>
              </w:rPr>
            </w:pPr>
            <w:r>
              <w:rPr>
                <w:rFonts w:cs="@仿宋_GB2312" w:asciiTheme="minorEastAsia" w:hAnsiTheme="minorEastAsia" w:eastAsiaTheme="minorEastAsia"/>
                <w:color w:val="auto"/>
                <w:kern w:val="2"/>
                <w:sz w:val="24"/>
                <w:szCs w:val="22"/>
                <w:highlight w:val="none"/>
              </w:rPr>
              <w:t>6</w:t>
            </w:r>
          </w:p>
        </w:tc>
        <w:tc>
          <w:tcPr>
            <w:tcW w:w="922" w:type="pct"/>
            <w:vAlign w:val="center"/>
          </w:tcPr>
          <w:p w14:paraId="2E3A7615">
            <w:pPr>
              <w:keepNext w:val="0"/>
              <w:keepLines w:val="0"/>
              <w:pageBreakBefore w:val="0"/>
              <w:widowControl w:val="0"/>
              <w:kinsoku/>
              <w:wordWrap/>
              <w:overflowPunct/>
              <w:topLinePunct w:val="0"/>
              <w:autoSpaceDE/>
              <w:autoSpaceDN/>
              <w:bidi w:val="0"/>
              <w:adjustRightInd/>
              <w:snapToGrid/>
              <w:spacing w:line="400" w:lineRule="exact"/>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项目经理</w:t>
            </w:r>
          </w:p>
        </w:tc>
        <w:tc>
          <w:tcPr>
            <w:tcW w:w="3689" w:type="pct"/>
            <w:vAlign w:val="center"/>
          </w:tcPr>
          <w:p w14:paraId="0D54190F">
            <w:pPr>
              <w:keepNext w:val="0"/>
              <w:keepLines w:val="0"/>
              <w:pageBreakBefore w:val="0"/>
              <w:widowControl w:val="0"/>
              <w:kinsoku/>
              <w:wordWrap/>
              <w:overflowPunct/>
              <w:topLinePunct w:val="0"/>
              <w:autoSpaceDE/>
              <w:autoSpaceDN/>
              <w:bidi w:val="0"/>
              <w:adjustRightInd/>
              <w:snapToGrid/>
              <w:spacing w:line="400" w:lineRule="exact"/>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供应商拟派的项目经理具有建筑工程专业二级（或以上）注册建造师注册证书</w:t>
            </w:r>
          </w:p>
        </w:tc>
      </w:tr>
      <w:tr w14:paraId="7079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Align w:val="center"/>
          </w:tcPr>
          <w:p w14:paraId="59664A78">
            <w:pPr>
              <w:spacing w:line="360" w:lineRule="auto"/>
              <w:jc w:val="center"/>
              <w:rPr>
                <w:rFonts w:hint="eastAsia"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7</w:t>
            </w:r>
          </w:p>
        </w:tc>
        <w:tc>
          <w:tcPr>
            <w:tcW w:w="922" w:type="pct"/>
            <w:vAlign w:val="center"/>
          </w:tcPr>
          <w:p w14:paraId="119F2A4D">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cs="@仿宋_GB2312" w:asciiTheme="minorEastAsia" w:hAnsiTheme="minorEastAsia" w:eastAsiaTheme="minorEastAsia"/>
                <w:color w:val="auto"/>
                <w:kern w:val="2"/>
                <w:sz w:val="24"/>
                <w:highlight w:val="none"/>
              </w:rPr>
            </w:pPr>
            <w:r>
              <w:rPr>
                <w:rFonts w:hint="eastAsia" w:asciiTheme="minorHAnsi" w:hAnsiTheme="minorHAnsi" w:eastAsiaTheme="minorEastAsia"/>
                <w:b w:val="0"/>
                <w:color w:val="auto"/>
                <w:kern w:val="2"/>
                <w:sz w:val="24"/>
                <w:highlight w:val="none"/>
              </w:rPr>
              <w:t>本项目采购标的名称及所属行业</w:t>
            </w:r>
          </w:p>
        </w:tc>
        <w:tc>
          <w:tcPr>
            <w:tcW w:w="3689" w:type="pct"/>
            <w:vAlign w:val="center"/>
          </w:tcPr>
          <w:p w14:paraId="76A2BE2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color w:val="auto"/>
                <w:kern w:val="2"/>
                <w:sz w:val="24"/>
                <w:szCs w:val="22"/>
                <w:highlight w:val="none"/>
              </w:rPr>
            </w:pPr>
            <w:r>
              <w:rPr>
                <w:rFonts w:hint="eastAsia" w:asciiTheme="minorEastAsia" w:hAnsiTheme="minorEastAsia" w:eastAsiaTheme="minorEastAsia"/>
                <w:color w:val="auto"/>
                <w:kern w:val="2"/>
                <w:sz w:val="24"/>
                <w:szCs w:val="22"/>
                <w:highlight w:val="none"/>
              </w:rPr>
              <w:t>标的名称：</w:t>
            </w:r>
            <w:r>
              <w:rPr>
                <w:rFonts w:hint="eastAsia" w:asciiTheme="minorEastAsia" w:hAnsiTheme="minorEastAsia" w:eastAsiaTheme="minorEastAsia"/>
                <w:color w:val="auto"/>
                <w:kern w:val="2"/>
                <w:sz w:val="24"/>
                <w:szCs w:val="22"/>
                <w:highlight w:val="none"/>
                <w:lang w:val="en-US" w:eastAsia="zh-CN"/>
              </w:rPr>
              <w:t>2025年公园游园亭廊栈道等设施维修项目</w:t>
            </w:r>
            <w:r>
              <w:rPr>
                <w:rFonts w:hint="eastAsia" w:asciiTheme="minorEastAsia" w:hAnsiTheme="minorEastAsia" w:eastAsiaTheme="minorEastAsia"/>
                <w:color w:val="auto"/>
                <w:kern w:val="2"/>
                <w:sz w:val="24"/>
                <w:szCs w:val="22"/>
                <w:highlight w:val="none"/>
              </w:rPr>
              <w:t xml:space="preserve"> </w:t>
            </w:r>
          </w:p>
          <w:p w14:paraId="664A5DE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HAnsi" w:hAnsiTheme="minorHAnsi" w:eastAsiaTheme="minorEastAsia"/>
                <w:color w:val="auto"/>
                <w:kern w:val="2"/>
                <w:sz w:val="24"/>
                <w:szCs w:val="22"/>
                <w:highlight w:val="none"/>
                <w:lang w:val="en-US" w:eastAsia="zh-CN"/>
              </w:rPr>
            </w:pPr>
            <w:r>
              <w:rPr>
                <w:rFonts w:hint="eastAsia" w:asciiTheme="minorEastAsia" w:hAnsiTheme="minorEastAsia" w:eastAsiaTheme="minorEastAsia"/>
                <w:color w:val="auto"/>
                <w:kern w:val="2"/>
                <w:sz w:val="24"/>
                <w:szCs w:val="22"/>
                <w:highlight w:val="none"/>
              </w:rPr>
              <w:t>所属行业：</w:t>
            </w:r>
            <w:r>
              <w:rPr>
                <w:rFonts w:hint="eastAsia" w:asciiTheme="minorEastAsia" w:hAnsiTheme="minorEastAsia" w:eastAsiaTheme="minorEastAsia"/>
                <w:color w:val="auto"/>
                <w:kern w:val="2"/>
                <w:sz w:val="24"/>
                <w:szCs w:val="22"/>
                <w:highlight w:val="none"/>
                <w:lang w:val="en-US" w:eastAsia="zh-CN"/>
              </w:rPr>
              <w:t>建筑业</w:t>
            </w:r>
          </w:p>
        </w:tc>
      </w:tr>
      <w:tr w14:paraId="7E13E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Align w:val="center"/>
          </w:tcPr>
          <w:p w14:paraId="33514F2A">
            <w:pPr>
              <w:spacing w:line="360" w:lineRule="auto"/>
              <w:jc w:val="center"/>
              <w:rPr>
                <w:rFonts w:hint="default"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8</w:t>
            </w:r>
          </w:p>
        </w:tc>
        <w:tc>
          <w:tcPr>
            <w:tcW w:w="922" w:type="pct"/>
            <w:vAlign w:val="center"/>
          </w:tcPr>
          <w:p w14:paraId="28536A9B">
            <w:pPr>
              <w:spacing w:line="400" w:lineRule="exact"/>
              <w:jc w:val="center"/>
              <w:rPr>
                <w:rFonts w:hint="eastAsia" w:asciiTheme="minorHAnsi" w:hAnsiTheme="minorHAnsi" w:eastAsiaTheme="minorEastAsia" w:cstheme="minorBidi"/>
                <w:b w:val="0"/>
                <w:bCs/>
                <w:color w:val="auto"/>
                <w:kern w:val="2"/>
                <w:sz w:val="24"/>
                <w:szCs w:val="28"/>
                <w:highlight w:val="none"/>
                <w:lang w:val="en-US" w:eastAsia="zh-CN" w:bidi="ar-SA"/>
              </w:rPr>
            </w:pPr>
            <w:r>
              <w:rPr>
                <w:rFonts w:hint="eastAsia" w:asciiTheme="minorHAnsi" w:hAnsiTheme="minorHAnsi" w:eastAsiaTheme="minorEastAsia" w:cstheme="minorBidi"/>
                <w:b w:val="0"/>
                <w:bCs/>
                <w:color w:val="auto"/>
                <w:kern w:val="2"/>
                <w:sz w:val="24"/>
                <w:szCs w:val="28"/>
                <w:highlight w:val="none"/>
                <w:lang w:val="en-US" w:eastAsia="zh-CN" w:bidi="ar-SA"/>
              </w:rPr>
              <w:t>重点项目约谈</w:t>
            </w:r>
          </w:p>
        </w:tc>
        <w:tc>
          <w:tcPr>
            <w:tcW w:w="3689" w:type="pct"/>
            <w:vAlign w:val="center"/>
          </w:tcPr>
          <w:p w14:paraId="77F73DF5">
            <w:pPr>
              <w:spacing w:line="400" w:lineRule="exact"/>
              <w:rPr>
                <w:rFonts w:hint="eastAsia" w:asciiTheme="minorHAnsi" w:hAnsiTheme="minorHAnsi" w:eastAsiaTheme="minorEastAsia" w:cstheme="minorBidi"/>
                <w:b w:val="0"/>
                <w:bCs/>
                <w:color w:val="auto"/>
                <w:kern w:val="2"/>
                <w:sz w:val="24"/>
                <w:szCs w:val="28"/>
                <w:highlight w:val="none"/>
                <w:lang w:val="en-US" w:eastAsia="zh-CN" w:bidi="ar-SA"/>
              </w:rPr>
            </w:pPr>
            <w:r>
              <w:rPr>
                <w:rFonts w:hint="eastAsia" w:asciiTheme="minorHAnsi" w:hAnsiTheme="minorHAnsi" w:eastAsiaTheme="minorEastAsia" w:cstheme="minorBidi"/>
                <w:b w:val="0"/>
                <w:bCs/>
                <w:color w:val="auto"/>
                <w:kern w:val="2"/>
                <w:sz w:val="24"/>
                <w:szCs w:val="28"/>
                <w:highlight w:val="none"/>
                <w:lang w:val="en-US" w:eastAsia="zh-CN" w:bidi="ar-SA"/>
              </w:rPr>
              <w:t xml:space="preserve">实行重点工程项目考察约谈机制。对预中标单位进行考察约谈、警醒提示，防止非法转包、违法分包、挂靠及出借资质的情况发生。 </w:t>
            </w:r>
          </w:p>
        </w:tc>
      </w:tr>
    </w:tbl>
    <w:p w14:paraId="5F612279">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5B3B74F6">
      <w:pPr>
        <w:spacing w:line="360" w:lineRule="auto"/>
        <w:jc w:val="center"/>
        <w:outlineLvl w:val="0"/>
        <w:rPr>
          <w:rFonts w:asciiTheme="minorEastAsia" w:hAnsiTheme="minorEastAsia" w:eastAsiaTheme="minorEastAsia"/>
          <w:b/>
          <w:color w:val="auto"/>
          <w:sz w:val="28"/>
          <w:highlight w:val="none"/>
        </w:rPr>
      </w:pPr>
      <w:bookmarkStart w:id="58" w:name="_Toc9732"/>
      <w:r>
        <w:rPr>
          <w:rFonts w:hint="eastAsia" w:asciiTheme="minorEastAsia" w:hAnsiTheme="minorEastAsia" w:eastAsiaTheme="minorEastAsia"/>
          <w:b/>
          <w:color w:val="auto"/>
          <w:sz w:val="28"/>
          <w:highlight w:val="none"/>
        </w:rPr>
        <w:t>第四章  评审方法和标准</w:t>
      </w:r>
      <w:bookmarkEnd w:id="58"/>
    </w:p>
    <w:p w14:paraId="51B2DDA3">
      <w:pPr>
        <w:spacing w:line="360" w:lineRule="auto"/>
        <w:ind w:firstLine="437"/>
        <w:outlineLvl w:val="1"/>
        <w:rPr>
          <w:rFonts w:asciiTheme="minorEastAsia" w:hAnsiTheme="minorEastAsia" w:eastAsiaTheme="minorEastAsia"/>
          <w:b/>
          <w:color w:val="auto"/>
          <w:sz w:val="24"/>
          <w:highlight w:val="none"/>
        </w:rPr>
      </w:pPr>
      <w:bookmarkStart w:id="59" w:name="_Toc7817"/>
      <w:bookmarkStart w:id="60" w:name="_Toc7278"/>
      <w:bookmarkStart w:id="61" w:name="_Toc3959"/>
      <w:r>
        <w:rPr>
          <w:rFonts w:hint="eastAsia" w:asciiTheme="minorEastAsia" w:hAnsiTheme="minorEastAsia" w:eastAsiaTheme="minorEastAsia"/>
          <w:b/>
          <w:color w:val="auto"/>
          <w:sz w:val="24"/>
          <w:highlight w:val="none"/>
        </w:rPr>
        <w:t>一、总则</w:t>
      </w:r>
      <w:bookmarkEnd w:id="59"/>
      <w:bookmarkEnd w:id="60"/>
      <w:bookmarkEnd w:id="61"/>
    </w:p>
    <w:p w14:paraId="592342E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本项目将按照谈判文件第二章供应商须知的相关要求</w:t>
      </w:r>
      <w:r>
        <w:rPr>
          <w:rFonts w:asciiTheme="minorEastAsia" w:hAnsiTheme="minorEastAsia" w:eastAsiaTheme="minorEastAsia"/>
          <w:color w:val="auto"/>
          <w:sz w:val="24"/>
          <w:highlight w:val="none"/>
        </w:rPr>
        <w:t>及本章的规定</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w:t>
      </w:r>
    </w:p>
    <w:p w14:paraId="6FC6BC70">
      <w:pPr>
        <w:spacing w:line="360" w:lineRule="auto"/>
        <w:ind w:firstLine="437"/>
        <w:outlineLvl w:val="1"/>
        <w:rPr>
          <w:rFonts w:asciiTheme="minorEastAsia" w:hAnsiTheme="minorEastAsia" w:eastAsiaTheme="minorEastAsia"/>
          <w:b/>
          <w:color w:val="auto"/>
          <w:sz w:val="24"/>
          <w:highlight w:val="none"/>
        </w:rPr>
      </w:pPr>
      <w:bookmarkStart w:id="62" w:name="_Toc31558"/>
      <w:bookmarkStart w:id="63" w:name="_Toc7563"/>
      <w:bookmarkStart w:id="64" w:name="_Toc31007"/>
      <w:r>
        <w:rPr>
          <w:rFonts w:hint="eastAsia" w:asciiTheme="minorEastAsia" w:hAnsiTheme="minorEastAsia" w:eastAsiaTheme="minorEastAsia"/>
          <w:b/>
          <w:color w:val="auto"/>
          <w:sz w:val="24"/>
          <w:highlight w:val="none"/>
        </w:rPr>
        <w:t>二、评审方法</w:t>
      </w:r>
      <w:bookmarkEnd w:id="62"/>
      <w:bookmarkEnd w:id="63"/>
      <w:bookmarkEnd w:id="64"/>
    </w:p>
    <w:tbl>
      <w:tblPr>
        <w:tblStyle w:val="55"/>
        <w:tblW w:w="50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553"/>
        <w:gridCol w:w="3776"/>
        <w:gridCol w:w="2442"/>
      </w:tblGrid>
      <w:tr w14:paraId="5BE2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000" w:type="pct"/>
            <w:gridSpan w:val="4"/>
            <w:tcBorders>
              <w:bottom w:val="single" w:color="auto" w:sz="4" w:space="0"/>
            </w:tcBorders>
            <w:vAlign w:val="center"/>
          </w:tcPr>
          <w:p w14:paraId="07DACDAB">
            <w:pPr>
              <w:adjustRightInd w:val="0"/>
              <w:snapToGrid w:val="0"/>
              <w:ind w:right="-10"/>
              <w:jc w:val="center"/>
              <w:rPr>
                <w:rFonts w:hint="eastAsia" w:ascii="Calibri" w:hAnsi="Calibri" w:cs="Times New Roman"/>
                <w:b/>
                <w:color w:val="auto"/>
                <w:kern w:val="2"/>
                <w:sz w:val="24"/>
                <w:szCs w:val="22"/>
                <w:highlight w:val="none"/>
              </w:rPr>
            </w:pPr>
            <w:r>
              <w:rPr>
                <w:rFonts w:hint="eastAsia" w:ascii="Calibri" w:hAnsi="Calibri" w:cs="Times New Roman"/>
                <w:b/>
                <w:color w:val="auto"/>
                <w:kern w:val="2"/>
                <w:sz w:val="24"/>
                <w:szCs w:val="22"/>
                <w:highlight w:val="none"/>
              </w:rPr>
              <w:t>初审表</w:t>
            </w:r>
          </w:p>
        </w:tc>
      </w:tr>
      <w:tr w14:paraId="15CD7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91" w:type="pct"/>
            <w:tcBorders>
              <w:bottom w:val="single" w:color="auto" w:sz="4" w:space="0"/>
            </w:tcBorders>
            <w:vAlign w:val="center"/>
          </w:tcPr>
          <w:p w14:paraId="3C24088E">
            <w:pPr>
              <w:adjustRightInd w:val="0"/>
              <w:snapToGrid w:val="0"/>
              <w:spacing w:line="360" w:lineRule="auto"/>
              <w:ind w:right="-10" w:rightChars="0"/>
              <w:jc w:val="center"/>
              <w:rPr>
                <w:rFonts w:ascii="Calibri" w:hAnsi="Calibri" w:cs="Times New Roman"/>
                <w:b/>
                <w:bCs/>
                <w:color w:val="auto"/>
                <w:kern w:val="2"/>
                <w:sz w:val="24"/>
                <w:szCs w:val="22"/>
                <w:highlight w:val="none"/>
              </w:rPr>
            </w:pPr>
            <w:r>
              <w:rPr>
                <w:rFonts w:hint="eastAsia" w:ascii="宋体" w:hAnsi="宋体" w:eastAsia="宋体"/>
                <w:b/>
                <w:bCs/>
                <w:color w:val="auto"/>
                <w:sz w:val="24"/>
                <w:highlight w:val="none"/>
              </w:rPr>
              <w:t>序号</w:t>
            </w:r>
          </w:p>
        </w:tc>
        <w:tc>
          <w:tcPr>
            <w:tcW w:w="901" w:type="pct"/>
            <w:tcBorders>
              <w:bottom w:val="single" w:color="auto" w:sz="4" w:space="0"/>
            </w:tcBorders>
            <w:vAlign w:val="center"/>
          </w:tcPr>
          <w:p w14:paraId="05E2F09E">
            <w:pPr>
              <w:pStyle w:val="76"/>
              <w:pBdr>
                <w:bottom w:val="none" w:color="auto" w:sz="0" w:space="0"/>
              </w:pBdr>
              <w:tabs>
                <w:tab w:val="clear" w:pos="4153"/>
                <w:tab w:val="clear" w:pos="8306"/>
              </w:tabs>
              <w:snapToGrid w:val="0"/>
              <w:spacing w:line="360" w:lineRule="auto"/>
              <w:ind w:right="-10" w:rightChars="0"/>
              <w:textAlignment w:val="auto"/>
              <w:rPr>
                <w:rFonts w:ascii="Calibri" w:hAnsi="Calibri" w:cs="Times New Roman"/>
                <w:b/>
                <w:bCs/>
                <w:color w:val="auto"/>
                <w:kern w:val="2"/>
                <w:sz w:val="24"/>
                <w:szCs w:val="24"/>
                <w:highlight w:val="none"/>
              </w:rPr>
            </w:pPr>
            <w:r>
              <w:rPr>
                <w:rFonts w:hint="eastAsia" w:ascii="宋体" w:hAnsi="宋体" w:eastAsia="宋体"/>
                <w:b/>
                <w:bCs/>
                <w:color w:val="auto"/>
                <w:kern w:val="2"/>
                <w:szCs w:val="24"/>
                <w:highlight w:val="none"/>
                <w:lang w:val="en-US" w:eastAsia="zh-CN"/>
              </w:rPr>
              <w:t>审查因素</w:t>
            </w:r>
          </w:p>
        </w:tc>
        <w:tc>
          <w:tcPr>
            <w:tcW w:w="2191" w:type="pct"/>
            <w:tcBorders>
              <w:bottom w:val="single" w:color="auto" w:sz="4" w:space="0"/>
            </w:tcBorders>
            <w:vAlign w:val="center"/>
          </w:tcPr>
          <w:p w14:paraId="0F2A3D4E">
            <w:pPr>
              <w:adjustRightInd w:val="0"/>
              <w:snapToGrid w:val="0"/>
              <w:spacing w:line="360" w:lineRule="auto"/>
              <w:ind w:right="-10" w:rightChars="0"/>
              <w:jc w:val="center"/>
              <w:rPr>
                <w:rFonts w:ascii="Calibri" w:hAnsi="Calibri" w:cs="Times New Roman"/>
                <w:b/>
                <w:bCs/>
                <w:color w:val="auto"/>
                <w:kern w:val="2"/>
                <w:sz w:val="24"/>
                <w:szCs w:val="22"/>
                <w:highlight w:val="none"/>
              </w:rPr>
            </w:pPr>
            <w:r>
              <w:rPr>
                <w:rFonts w:hint="eastAsia" w:ascii="宋体" w:hAnsi="宋体" w:eastAsia="宋体"/>
                <w:b/>
                <w:bCs/>
                <w:color w:val="auto"/>
                <w:sz w:val="24"/>
                <w:highlight w:val="none"/>
                <w:lang w:val="en-US" w:eastAsia="zh-CN"/>
              </w:rPr>
              <w:t>审查内容</w:t>
            </w:r>
          </w:p>
        </w:tc>
        <w:tc>
          <w:tcPr>
            <w:tcW w:w="1415" w:type="pct"/>
            <w:tcBorders>
              <w:bottom w:val="single" w:color="auto" w:sz="4" w:space="0"/>
            </w:tcBorders>
            <w:vAlign w:val="center"/>
          </w:tcPr>
          <w:p w14:paraId="3E809B79">
            <w:pPr>
              <w:adjustRightInd w:val="0"/>
              <w:snapToGrid w:val="0"/>
              <w:spacing w:line="360" w:lineRule="auto"/>
              <w:ind w:right="-10" w:rightChars="0"/>
              <w:jc w:val="center"/>
              <w:rPr>
                <w:rFonts w:hint="eastAsia" w:ascii="Calibri" w:hAnsi="Calibri" w:cs="Times New Roman"/>
                <w:b/>
                <w:bCs/>
                <w:color w:val="auto"/>
                <w:kern w:val="2"/>
                <w:sz w:val="24"/>
                <w:szCs w:val="22"/>
                <w:highlight w:val="none"/>
              </w:rPr>
            </w:pPr>
            <w:r>
              <w:rPr>
                <w:rFonts w:hint="eastAsia" w:ascii="宋体" w:hAnsi="宋体" w:eastAsia="宋体"/>
                <w:b/>
                <w:bCs/>
                <w:color w:val="auto"/>
                <w:sz w:val="24"/>
                <w:highlight w:val="none"/>
              </w:rPr>
              <w:t>格式要求</w:t>
            </w:r>
          </w:p>
        </w:tc>
      </w:tr>
      <w:tr w14:paraId="7C40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tcBorders>
              <w:bottom w:val="single" w:color="auto" w:sz="4" w:space="0"/>
            </w:tcBorders>
            <w:vAlign w:val="center"/>
          </w:tcPr>
          <w:p w14:paraId="61E9E274">
            <w:pPr>
              <w:adjustRightInd w:val="0"/>
              <w:snapToGrid w:val="0"/>
              <w:spacing w:line="360" w:lineRule="auto"/>
              <w:ind w:right="-10" w:rightChars="0"/>
              <w:jc w:val="center"/>
              <w:rPr>
                <w:rFonts w:cs="Times New Roman" w:asciiTheme="minorEastAsia" w:hAnsiTheme="minorEastAsia" w:eastAsiaTheme="minorEastAsia"/>
                <w:color w:val="auto"/>
                <w:kern w:val="2"/>
                <w:sz w:val="24"/>
                <w:szCs w:val="22"/>
                <w:highlight w:val="none"/>
              </w:rPr>
            </w:pPr>
            <w:r>
              <w:rPr>
                <w:rFonts w:hint="eastAsia" w:ascii="宋体" w:hAnsi="宋体" w:eastAsia="宋体"/>
                <w:color w:val="auto"/>
                <w:sz w:val="24"/>
                <w:highlight w:val="none"/>
              </w:rPr>
              <w:t>1</w:t>
            </w:r>
          </w:p>
        </w:tc>
        <w:tc>
          <w:tcPr>
            <w:tcW w:w="901" w:type="pct"/>
            <w:tcBorders>
              <w:bottom w:val="single" w:color="auto" w:sz="4" w:space="0"/>
            </w:tcBorders>
            <w:vAlign w:val="center"/>
          </w:tcPr>
          <w:p w14:paraId="13068616">
            <w:pPr>
              <w:spacing w:after="50" w:line="360" w:lineRule="auto"/>
              <w:ind w:right="-10" w:rightChars="0"/>
              <w:jc w:val="center"/>
              <w:rPr>
                <w:rFonts w:ascii="Calibri" w:hAnsi="Calibri" w:cs="Times New Roman"/>
                <w:color w:val="auto"/>
                <w:kern w:val="2"/>
                <w:sz w:val="24"/>
                <w:szCs w:val="24"/>
                <w:highlight w:val="none"/>
              </w:rPr>
            </w:pPr>
            <w:r>
              <w:rPr>
                <w:rFonts w:ascii="宋体" w:hAnsi="宋体" w:eastAsia="宋体" w:cs="宋体"/>
                <w:color w:val="auto"/>
                <w:spacing w:val="9"/>
                <w:sz w:val="24"/>
                <w:szCs w:val="24"/>
                <w:highlight w:val="none"/>
              </w:rPr>
              <w:t>营业执照等证明</w:t>
            </w:r>
            <w:r>
              <w:rPr>
                <w:rFonts w:ascii="宋体" w:hAnsi="宋体" w:eastAsia="宋体" w:cs="宋体"/>
                <w:color w:val="auto"/>
                <w:spacing w:val="-3"/>
                <w:sz w:val="24"/>
                <w:szCs w:val="24"/>
                <w:highlight w:val="none"/>
              </w:rPr>
              <w:t>文件</w:t>
            </w:r>
          </w:p>
        </w:tc>
        <w:tc>
          <w:tcPr>
            <w:tcW w:w="2191" w:type="pct"/>
            <w:tcBorders>
              <w:bottom w:val="single" w:color="auto" w:sz="4" w:space="0"/>
            </w:tcBorders>
            <w:vAlign w:val="center"/>
          </w:tcPr>
          <w:p w14:paraId="285D4CE2">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olor w:val="auto"/>
                <w:sz w:val="24"/>
                <w:szCs w:val="18"/>
                <w:highlight w:val="none"/>
                <w:lang w:val="en-US" w:eastAsia="zh-CN"/>
              </w:rPr>
              <w:t>供应商</w:t>
            </w:r>
            <w:r>
              <w:rPr>
                <w:rFonts w:ascii="宋体" w:hAnsi="宋体" w:eastAsia="宋体" w:cs="宋体"/>
                <w:color w:val="auto"/>
                <w:sz w:val="24"/>
                <w:szCs w:val="24"/>
                <w:highlight w:val="none"/>
              </w:rPr>
              <w:t>为企业（包括合伙企业）的，应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供有效的营业执照；</w:t>
            </w:r>
          </w:p>
          <w:p w14:paraId="6CFF045C">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olor w:val="auto"/>
                <w:sz w:val="24"/>
                <w:szCs w:val="18"/>
                <w:highlight w:val="none"/>
                <w:lang w:val="en-US" w:eastAsia="zh-CN"/>
              </w:rPr>
              <w:t>供应商</w:t>
            </w:r>
            <w:r>
              <w:rPr>
                <w:rFonts w:ascii="宋体" w:hAnsi="宋体" w:eastAsia="宋体" w:cs="宋体"/>
                <w:color w:val="auto"/>
                <w:sz w:val="24"/>
                <w:szCs w:val="24"/>
                <w:highlight w:val="none"/>
              </w:rPr>
              <w:t>为事业单位的，应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供有效的事业单位法人证书；</w:t>
            </w:r>
          </w:p>
          <w:p w14:paraId="333482B5">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olor w:val="auto"/>
                <w:sz w:val="24"/>
                <w:szCs w:val="18"/>
                <w:highlight w:val="none"/>
                <w:lang w:val="en-US" w:eastAsia="zh-CN"/>
              </w:rPr>
              <w:t>供应商</w:t>
            </w:r>
            <w:r>
              <w:rPr>
                <w:rFonts w:ascii="宋体" w:hAnsi="宋体" w:eastAsia="宋体" w:cs="宋体"/>
                <w:color w:val="auto"/>
                <w:sz w:val="24"/>
                <w:szCs w:val="24"/>
                <w:highlight w:val="none"/>
              </w:rPr>
              <w:t>是非企业机构的，应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lang w:val="en-US" w:eastAsia="zh-CN"/>
              </w:rPr>
              <w:t>或</w:t>
            </w:r>
            <w:r>
              <w:rPr>
                <w:rFonts w:ascii="宋体" w:hAnsi="宋体" w:eastAsia="宋体" w:cs="宋体"/>
                <w:color w:val="auto"/>
                <w:sz w:val="24"/>
                <w:szCs w:val="24"/>
                <w:highlight w:val="none"/>
              </w:rPr>
              <w:t>登记证书等证明文件；</w:t>
            </w:r>
          </w:p>
          <w:p w14:paraId="217AB3DB">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olor w:val="auto"/>
                <w:sz w:val="24"/>
                <w:szCs w:val="18"/>
                <w:highlight w:val="none"/>
                <w:lang w:val="en-US" w:eastAsia="zh-CN"/>
              </w:rPr>
              <w:t>供应商</w:t>
            </w:r>
            <w:r>
              <w:rPr>
                <w:rFonts w:ascii="宋体" w:hAnsi="宋体" w:eastAsia="宋体" w:cs="宋体"/>
                <w:color w:val="auto"/>
                <w:sz w:val="24"/>
                <w:szCs w:val="24"/>
                <w:highlight w:val="none"/>
              </w:rPr>
              <w:t>是个体工商户的，应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供有效的个体工商户营业执照；</w:t>
            </w:r>
          </w:p>
          <w:p w14:paraId="4575783E">
            <w:pPr>
              <w:spacing w:after="50" w:line="360" w:lineRule="auto"/>
              <w:ind w:right="-10" w:rightChars="0"/>
              <w:jc w:val="left"/>
              <w:rPr>
                <w:rFonts w:ascii="Calibri" w:hAnsi="Calibri" w:cs="Times New Roman"/>
                <w:color w:val="auto"/>
                <w:kern w:val="2"/>
                <w:sz w:val="24"/>
                <w:szCs w:val="22"/>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olor w:val="auto"/>
                <w:sz w:val="24"/>
                <w:szCs w:val="18"/>
                <w:highlight w:val="none"/>
                <w:lang w:val="en-US" w:eastAsia="zh-CN"/>
              </w:rPr>
              <w:t>供应商</w:t>
            </w:r>
            <w:r>
              <w:rPr>
                <w:rFonts w:ascii="宋体" w:hAnsi="宋体" w:eastAsia="宋体" w:cs="宋体"/>
                <w:color w:val="auto"/>
                <w:sz w:val="24"/>
                <w:szCs w:val="24"/>
                <w:highlight w:val="none"/>
              </w:rPr>
              <w:t>是自然人的，应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供有效的自然人身份证明。</w:t>
            </w:r>
          </w:p>
        </w:tc>
        <w:tc>
          <w:tcPr>
            <w:tcW w:w="1415" w:type="pct"/>
            <w:tcBorders>
              <w:bottom w:val="single" w:color="auto" w:sz="4" w:space="0"/>
            </w:tcBorders>
            <w:vAlign w:val="center"/>
          </w:tcPr>
          <w:p w14:paraId="11895C02">
            <w:pPr>
              <w:spacing w:line="360" w:lineRule="auto"/>
              <w:jc w:val="left"/>
              <w:rPr>
                <w:rFonts w:hint="eastAsia" w:cs="Times New Roman"/>
                <w:color w:val="auto"/>
                <w:kern w:val="2"/>
                <w:sz w:val="24"/>
                <w:szCs w:val="22"/>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2773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19FEFCD4">
            <w:pPr>
              <w:adjustRightInd w:val="0"/>
              <w:snapToGrid w:val="0"/>
              <w:spacing w:line="360" w:lineRule="auto"/>
              <w:ind w:right="-10" w:rightChars="0"/>
              <w:jc w:val="center"/>
              <w:rPr>
                <w:rFonts w:cs="Times New Roman" w:asciiTheme="minorEastAsia" w:hAnsiTheme="minorEastAsia" w:eastAsiaTheme="minorEastAsia"/>
                <w:color w:val="auto"/>
                <w:kern w:val="2"/>
                <w:sz w:val="24"/>
                <w:szCs w:val="22"/>
                <w:highlight w:val="none"/>
              </w:rPr>
            </w:pPr>
            <w:r>
              <w:rPr>
                <w:rFonts w:hint="eastAsia" w:ascii="宋体" w:hAnsi="宋体" w:eastAsia="宋体"/>
                <w:color w:val="auto"/>
                <w:sz w:val="24"/>
                <w:highlight w:val="none"/>
                <w:lang w:val="en-US" w:eastAsia="zh-CN"/>
              </w:rPr>
              <w:t>2</w:t>
            </w:r>
          </w:p>
        </w:tc>
        <w:tc>
          <w:tcPr>
            <w:tcW w:w="901" w:type="pct"/>
            <w:vAlign w:val="center"/>
          </w:tcPr>
          <w:p w14:paraId="2EA858A1">
            <w:pPr>
              <w:spacing w:after="50" w:line="36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18"/>
                <w:highlight w:val="none"/>
                <w:lang w:val="en-US" w:eastAsia="zh-CN"/>
              </w:rPr>
              <w:t>供应商资格声明书</w:t>
            </w:r>
          </w:p>
        </w:tc>
        <w:tc>
          <w:tcPr>
            <w:tcW w:w="2191" w:type="pct"/>
            <w:vAlign w:val="center"/>
          </w:tcPr>
          <w:p w14:paraId="7FC6FC87">
            <w:pPr>
              <w:spacing w:after="50" w:line="360" w:lineRule="auto"/>
              <w:ind w:right="-10" w:rightChars="0"/>
              <w:jc w:val="left"/>
              <w:rPr>
                <w:rFonts w:ascii="Calibri" w:hAnsi="Calibri" w:cs="Times New Roman"/>
                <w:color w:val="auto"/>
                <w:kern w:val="2"/>
                <w:sz w:val="24"/>
                <w:szCs w:val="22"/>
                <w:highlight w:val="none"/>
              </w:rPr>
            </w:pP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供符合</w:t>
            </w:r>
            <w:r>
              <w:rPr>
                <w:rFonts w:hint="eastAsia" w:cs="宋体"/>
                <w:color w:val="auto"/>
                <w:sz w:val="24"/>
                <w:szCs w:val="24"/>
                <w:highlight w:val="none"/>
                <w:lang w:val="en-US" w:eastAsia="zh-CN"/>
              </w:rPr>
              <w:t>谈判</w:t>
            </w:r>
            <w:r>
              <w:rPr>
                <w:rFonts w:ascii="宋体" w:hAnsi="宋体" w:eastAsia="宋体" w:cs="宋体"/>
                <w:color w:val="auto"/>
                <w:sz w:val="24"/>
                <w:szCs w:val="24"/>
                <w:highlight w:val="none"/>
              </w:rPr>
              <w:t>文件要求的《</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资格声明书》</w:t>
            </w:r>
            <w:r>
              <w:rPr>
                <w:rFonts w:hint="eastAsia" w:ascii="宋体" w:hAnsi="宋体" w:eastAsia="宋体" w:cs="宋体"/>
                <w:color w:val="auto"/>
                <w:sz w:val="24"/>
                <w:szCs w:val="24"/>
                <w:highlight w:val="none"/>
                <w:lang w:eastAsia="zh-CN"/>
              </w:rPr>
              <w:t>。</w:t>
            </w:r>
          </w:p>
        </w:tc>
        <w:tc>
          <w:tcPr>
            <w:tcW w:w="1415" w:type="pct"/>
            <w:vAlign w:val="center"/>
          </w:tcPr>
          <w:p w14:paraId="3AC3433E">
            <w:pPr>
              <w:spacing w:line="360" w:lineRule="auto"/>
              <w:jc w:val="left"/>
              <w:rPr>
                <w:rFonts w:hint="eastAsia" w:cs="Times New Roman"/>
                <w:color w:val="auto"/>
                <w:kern w:val="2"/>
                <w:sz w:val="24"/>
                <w:szCs w:val="22"/>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0523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30852961">
            <w:pPr>
              <w:adjustRightInd w:val="0"/>
              <w:snapToGrid w:val="0"/>
              <w:spacing w:line="360" w:lineRule="auto"/>
              <w:ind w:right="-10" w:rightChars="0"/>
              <w:jc w:val="center"/>
              <w:rPr>
                <w:rFonts w:cs="Times New Roman" w:asciiTheme="minorEastAsia" w:hAnsiTheme="minorEastAsia" w:eastAsiaTheme="minorEastAsia"/>
                <w:color w:val="auto"/>
                <w:kern w:val="2"/>
                <w:sz w:val="24"/>
                <w:szCs w:val="22"/>
                <w:highlight w:val="none"/>
              </w:rPr>
            </w:pPr>
            <w:r>
              <w:rPr>
                <w:rFonts w:hint="eastAsia" w:ascii="宋体" w:hAnsi="宋体" w:eastAsia="宋体"/>
                <w:color w:val="auto"/>
                <w:sz w:val="24"/>
                <w:highlight w:val="none"/>
              </w:rPr>
              <w:t>3</w:t>
            </w:r>
          </w:p>
        </w:tc>
        <w:tc>
          <w:tcPr>
            <w:tcW w:w="901" w:type="pct"/>
            <w:vAlign w:val="center"/>
          </w:tcPr>
          <w:p w14:paraId="02229B39">
            <w:pPr>
              <w:spacing w:after="50" w:line="360" w:lineRule="auto"/>
              <w:ind w:right="-10" w:rightChars="0"/>
              <w:jc w:val="center"/>
              <w:rPr>
                <w:rFonts w:ascii="Calibri" w:hAnsi="Calibri" w:cs="Times New Roman"/>
                <w:color w:val="auto"/>
                <w:kern w:val="2"/>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w:t>
            </w:r>
          </w:p>
        </w:tc>
        <w:tc>
          <w:tcPr>
            <w:tcW w:w="2191" w:type="pct"/>
            <w:vAlign w:val="center"/>
          </w:tcPr>
          <w:p w14:paraId="1E9A03E3">
            <w:pPr>
              <w:spacing w:after="50" w:line="360" w:lineRule="auto"/>
              <w:ind w:right="-10" w:rightChars="0"/>
              <w:jc w:val="left"/>
              <w:rPr>
                <w:rFonts w:ascii="Calibri" w:hAnsi="Calibri" w:cs="Times New Roman"/>
                <w:color w:val="auto"/>
                <w:kern w:val="2"/>
                <w:sz w:val="24"/>
                <w:szCs w:val="22"/>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不得存在</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须知正文第</w:t>
            </w:r>
            <w:r>
              <w:rPr>
                <w:rFonts w:hint="eastAsia" w:ascii="宋体" w:hAnsi="宋体" w:eastAsia="宋体" w:cs="宋体"/>
                <w:color w:val="auto"/>
                <w:sz w:val="24"/>
                <w:szCs w:val="24"/>
                <w:highlight w:val="none"/>
                <w:lang w:val="en-US" w:eastAsia="zh-CN"/>
              </w:rPr>
              <w:t>14.3.1条中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415" w:type="pct"/>
            <w:vAlign w:val="center"/>
          </w:tcPr>
          <w:p w14:paraId="5577F23C">
            <w:pPr>
              <w:spacing w:line="360" w:lineRule="auto"/>
              <w:jc w:val="left"/>
              <w:rPr>
                <w:rFonts w:hint="eastAsia" w:cs="Times New Roman"/>
                <w:color w:val="auto"/>
                <w:kern w:val="2"/>
                <w:sz w:val="24"/>
                <w:szCs w:val="22"/>
                <w:highlight w:val="none"/>
              </w:rPr>
            </w:pPr>
            <w:r>
              <w:rPr>
                <w:rFonts w:hint="eastAsia" w:ascii="宋体" w:hAnsi="宋体" w:eastAsia="宋体" w:cs="宋体"/>
                <w:color w:val="auto"/>
                <w:sz w:val="24"/>
                <w:szCs w:val="24"/>
                <w:highlight w:val="none"/>
              </w:rPr>
              <w:t>无须</w:t>
            </w:r>
            <w:r>
              <w:rPr>
                <w:rFonts w:hint="eastAsia" w:ascii="宋体" w:hAnsi="宋体" w:eastAsia="宋体" w:cs="宋体"/>
                <w:color w:val="auto"/>
                <w:sz w:val="24"/>
                <w:szCs w:val="24"/>
                <w:highlight w:val="none"/>
                <w:lang w:val="en-US" w:eastAsia="zh-CN"/>
              </w:rPr>
              <w:t>供应商提</w:t>
            </w:r>
            <w:r>
              <w:rPr>
                <w:rFonts w:hint="eastAsia" w:ascii="宋体" w:hAnsi="宋体" w:eastAsia="宋体" w:cs="宋体"/>
                <w:color w:val="auto"/>
                <w:sz w:val="24"/>
                <w:szCs w:val="24"/>
                <w:highlight w:val="none"/>
              </w:rPr>
              <w:t>供，由采购人或采购代理机构查询。</w:t>
            </w:r>
          </w:p>
        </w:tc>
      </w:tr>
      <w:tr w14:paraId="1831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359E3499">
            <w:pPr>
              <w:adjustRightInd w:val="0"/>
              <w:snapToGrid w:val="0"/>
              <w:spacing w:line="360" w:lineRule="auto"/>
              <w:ind w:right="-10" w:rightChars="0"/>
              <w:jc w:val="center"/>
              <w:rPr>
                <w:rFonts w:cs="Times New Roman" w:asciiTheme="minorEastAsia" w:hAnsiTheme="minorEastAsia" w:eastAsiaTheme="minorEastAsia"/>
                <w:color w:val="auto"/>
                <w:kern w:val="2"/>
                <w:sz w:val="24"/>
                <w:szCs w:val="22"/>
                <w:highlight w:val="none"/>
              </w:rPr>
            </w:pPr>
            <w:r>
              <w:rPr>
                <w:rFonts w:hint="eastAsia" w:ascii="宋体" w:hAnsi="宋体" w:eastAsia="宋体"/>
                <w:color w:val="auto"/>
                <w:sz w:val="24"/>
                <w:highlight w:val="none"/>
              </w:rPr>
              <w:t>4</w:t>
            </w:r>
          </w:p>
        </w:tc>
        <w:tc>
          <w:tcPr>
            <w:tcW w:w="901" w:type="pct"/>
            <w:vAlign w:val="center"/>
          </w:tcPr>
          <w:p w14:paraId="21D2883D">
            <w:pPr>
              <w:spacing w:after="50" w:line="360" w:lineRule="auto"/>
              <w:ind w:right="-10" w:rightChars="0"/>
              <w:jc w:val="center"/>
              <w:rPr>
                <w:rFonts w:ascii="Calibri" w:hAnsi="Calibri" w:cs="Times New Roman"/>
                <w:color w:val="auto"/>
                <w:kern w:val="2"/>
                <w:sz w:val="24"/>
                <w:szCs w:val="24"/>
                <w:highlight w:val="none"/>
              </w:rPr>
            </w:pPr>
            <w:r>
              <w:rPr>
                <w:rFonts w:hint="eastAsia" w:ascii="宋体" w:hAnsi="宋体" w:eastAsia="宋体" w:cs="宋体"/>
                <w:color w:val="auto"/>
                <w:sz w:val="24"/>
                <w:szCs w:val="24"/>
                <w:highlight w:val="none"/>
              </w:rPr>
              <w:t>中小企业证明文件</w:t>
            </w:r>
          </w:p>
        </w:tc>
        <w:tc>
          <w:tcPr>
            <w:tcW w:w="2191" w:type="pct"/>
            <w:vAlign w:val="top"/>
          </w:tcPr>
          <w:p w14:paraId="123F923F">
            <w:pPr>
              <w:spacing w:after="50" w:line="360" w:lineRule="auto"/>
              <w:ind w:right="-10"/>
              <w:jc w:val="left"/>
              <w:rPr>
                <w:rFonts w:hint="eastAsia" w:ascii="宋体" w:hAnsi="宋体" w:eastAsia="宋体" w:cs="宋体"/>
                <w:color w:val="auto"/>
                <w:sz w:val="24"/>
                <w:szCs w:val="24"/>
                <w:highlight w:val="none"/>
                <w:lang w:eastAsia="zh-CN"/>
              </w:rPr>
            </w:pPr>
            <w:r>
              <w:rPr>
                <w:rFonts w:hint="eastAsia" w:ascii="宋体" w:hAnsi="宋体" w:eastAsia="宋体"/>
                <w:color w:val="auto"/>
                <w:sz w:val="24"/>
                <w:szCs w:val="28"/>
                <w:highlight w:val="none"/>
              </w:rPr>
              <w:t>符合</w:t>
            </w:r>
            <w:r>
              <w:rPr>
                <w:rFonts w:hint="eastAsia" w:ascii="宋体" w:hAnsi="宋体" w:eastAsia="宋体"/>
                <w:color w:val="auto"/>
                <w:sz w:val="24"/>
                <w:szCs w:val="28"/>
                <w:highlight w:val="none"/>
                <w:lang w:val="en-US" w:eastAsia="zh-CN"/>
              </w:rPr>
              <w:t>申请人的</w:t>
            </w:r>
            <w:r>
              <w:rPr>
                <w:rFonts w:hint="eastAsia" w:ascii="宋体" w:hAnsi="宋体" w:eastAsia="宋体"/>
                <w:color w:val="auto"/>
                <w:sz w:val="24"/>
                <w:szCs w:val="28"/>
                <w:highlight w:val="none"/>
              </w:rPr>
              <w:t>资格</w:t>
            </w:r>
            <w:r>
              <w:rPr>
                <w:rFonts w:hint="eastAsia" w:ascii="宋体" w:hAnsi="宋体" w:eastAsia="宋体"/>
                <w:color w:val="auto"/>
                <w:sz w:val="24"/>
                <w:szCs w:val="28"/>
                <w:highlight w:val="none"/>
                <w:lang w:val="en-US" w:eastAsia="zh-CN"/>
              </w:rPr>
              <w:t>要求</w:t>
            </w:r>
            <w:r>
              <w:rPr>
                <w:rFonts w:hint="eastAsia" w:ascii="宋体" w:hAnsi="宋体" w:eastAsia="宋体"/>
                <w:color w:val="auto"/>
                <w:sz w:val="24"/>
                <w:szCs w:val="28"/>
                <w:highlight w:val="none"/>
              </w:rPr>
              <w:t>中落实政府采购政策需满足的资格要求</w:t>
            </w:r>
            <w:r>
              <w:rPr>
                <w:rFonts w:hint="eastAsia" w:ascii="宋体" w:hAnsi="宋体" w:eastAsia="宋体"/>
                <w:color w:val="auto"/>
                <w:sz w:val="24"/>
                <w:szCs w:val="28"/>
                <w:highlight w:val="none"/>
                <w:lang w:eastAsia="zh-CN"/>
              </w:rPr>
              <w:t>：</w:t>
            </w:r>
          </w:p>
          <w:p w14:paraId="31EF6D6A">
            <w:pPr>
              <w:spacing w:after="50" w:line="360" w:lineRule="auto"/>
              <w:ind w:right="-10"/>
              <w:jc w:val="left"/>
              <w:rPr>
                <w:rFonts w:ascii="Calibri" w:hAnsi="Calibri" w:cs="Times New Roman"/>
                <w:color w:val="auto"/>
                <w:kern w:val="2"/>
                <w:sz w:val="24"/>
                <w:szCs w:val="22"/>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专门面向中小企业采购</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供《中小企业声明函》或《残疾人福利性单位声明函》或由省级以上监狱管理局、戒毒管理局（含新疆生产建设兵团）出具的属于监狱企业的证明文件。</w:t>
            </w:r>
          </w:p>
        </w:tc>
        <w:tc>
          <w:tcPr>
            <w:tcW w:w="1415" w:type="pct"/>
            <w:vAlign w:val="center"/>
          </w:tcPr>
          <w:p w14:paraId="314CCFDA">
            <w:pPr>
              <w:spacing w:after="50" w:line="360" w:lineRule="auto"/>
              <w:ind w:right="-10" w:rightChars="0"/>
              <w:jc w:val="center"/>
              <w:rPr>
                <w:rFonts w:hint="eastAsia" w:cs="Times New Roman"/>
                <w:color w:val="auto"/>
                <w:kern w:val="2"/>
                <w:sz w:val="24"/>
                <w:szCs w:val="22"/>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6CED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102C01CF">
            <w:pPr>
              <w:adjustRightInd w:val="0"/>
              <w:snapToGrid w:val="0"/>
              <w:spacing w:line="360" w:lineRule="auto"/>
              <w:ind w:right="-10" w:rightChars="0"/>
              <w:jc w:val="center"/>
              <w:rPr>
                <w:rFonts w:hint="eastAsia" w:cs="Times New Roman" w:asciiTheme="minorEastAsia" w:hAnsiTheme="minorEastAsia" w:eastAsiaTheme="minorEastAsia"/>
                <w:color w:val="auto"/>
                <w:kern w:val="2"/>
                <w:sz w:val="24"/>
                <w:szCs w:val="22"/>
                <w:highlight w:val="none"/>
                <w:lang w:eastAsia="zh-CN"/>
              </w:rPr>
            </w:pPr>
            <w:r>
              <w:rPr>
                <w:rFonts w:hint="eastAsia" w:asciiTheme="majorEastAsia" w:hAnsiTheme="majorEastAsia" w:eastAsiaTheme="majorEastAsia"/>
                <w:color w:val="auto"/>
                <w:sz w:val="24"/>
                <w:highlight w:val="none"/>
                <w:lang w:val="en-US" w:eastAsia="zh-CN"/>
              </w:rPr>
              <w:t>5</w:t>
            </w:r>
          </w:p>
        </w:tc>
        <w:tc>
          <w:tcPr>
            <w:tcW w:w="901" w:type="pct"/>
            <w:vAlign w:val="center"/>
          </w:tcPr>
          <w:p w14:paraId="53DC3F17">
            <w:pPr>
              <w:spacing w:after="50" w:line="360" w:lineRule="auto"/>
              <w:ind w:right="-10" w:rightChars="0"/>
              <w:jc w:val="both"/>
              <w:rPr>
                <w:rFonts w:ascii="Calibri" w:hAnsi="Calibri" w:cs="Times New Roman"/>
                <w:color w:val="auto"/>
                <w:kern w:val="2"/>
                <w:sz w:val="24"/>
                <w:szCs w:val="24"/>
                <w:highlight w:val="none"/>
              </w:rPr>
            </w:pPr>
            <w:r>
              <w:rPr>
                <w:rFonts w:ascii="宋体" w:hAnsi="宋体" w:eastAsia="宋体" w:cs="宋体"/>
                <w:color w:val="auto"/>
                <w:spacing w:val="10"/>
                <w:sz w:val="24"/>
                <w:szCs w:val="24"/>
                <w:highlight w:val="none"/>
              </w:rPr>
              <w:t>其他特定资格要求</w:t>
            </w:r>
          </w:p>
        </w:tc>
        <w:tc>
          <w:tcPr>
            <w:tcW w:w="2191" w:type="pct"/>
            <w:vAlign w:val="center"/>
          </w:tcPr>
          <w:p w14:paraId="58DC358B">
            <w:pPr>
              <w:spacing w:after="50" w:line="360" w:lineRule="auto"/>
              <w:ind w:right="-10" w:rightChars="0"/>
              <w:jc w:val="both"/>
              <w:rPr>
                <w:rFonts w:ascii="Calibri" w:hAnsi="Calibri" w:cs="Times New Roman"/>
                <w:color w:val="auto"/>
                <w:kern w:val="2"/>
                <w:sz w:val="24"/>
                <w:szCs w:val="22"/>
                <w:highlight w:val="none"/>
              </w:rPr>
            </w:pPr>
            <w:r>
              <w:rPr>
                <w:rFonts w:ascii="宋体" w:hAnsi="宋体" w:eastAsia="宋体" w:cs="宋体"/>
                <w:color w:val="auto"/>
                <w:spacing w:val="10"/>
                <w:sz w:val="24"/>
                <w:szCs w:val="24"/>
                <w:highlight w:val="none"/>
              </w:rPr>
              <w:t>如有，见第一章《</w:t>
            </w:r>
            <w:r>
              <w:rPr>
                <w:rFonts w:hint="eastAsia" w:ascii="宋体" w:hAnsi="宋体" w:eastAsia="宋体" w:cs="宋体"/>
                <w:color w:val="auto"/>
                <w:spacing w:val="10"/>
                <w:sz w:val="24"/>
                <w:szCs w:val="24"/>
                <w:highlight w:val="none"/>
                <w:lang w:val="en-US" w:eastAsia="zh-CN"/>
              </w:rPr>
              <w:t>谈判</w:t>
            </w:r>
            <w:r>
              <w:rPr>
                <w:rFonts w:ascii="宋体" w:hAnsi="宋体" w:eastAsia="宋体" w:cs="宋体"/>
                <w:color w:val="auto"/>
                <w:spacing w:val="10"/>
                <w:sz w:val="24"/>
                <w:szCs w:val="24"/>
                <w:highlight w:val="none"/>
              </w:rPr>
              <w:t>邀请》</w:t>
            </w:r>
          </w:p>
        </w:tc>
        <w:tc>
          <w:tcPr>
            <w:tcW w:w="1415" w:type="pct"/>
            <w:vAlign w:val="center"/>
          </w:tcPr>
          <w:p w14:paraId="2E80EF88">
            <w:pPr>
              <w:spacing w:after="50" w:line="360" w:lineRule="auto"/>
              <w:ind w:right="-10" w:rightChars="0"/>
              <w:jc w:val="both"/>
              <w:rPr>
                <w:rFonts w:hint="eastAsia" w:cs="Times New Roman"/>
                <w:color w:val="auto"/>
                <w:kern w:val="2"/>
                <w:sz w:val="24"/>
                <w:szCs w:val="28"/>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65C9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33B1F1F5">
            <w:pPr>
              <w:adjustRightInd w:val="0"/>
              <w:snapToGrid w:val="0"/>
              <w:spacing w:line="360" w:lineRule="auto"/>
              <w:ind w:right="-10"/>
              <w:jc w:val="center"/>
              <w:rPr>
                <w:rFonts w:hint="eastAsia" w:cs="Times New Roman" w:asciiTheme="minorEastAsia" w:hAnsiTheme="minorEastAsia" w:eastAsiaTheme="minorEastAsia"/>
                <w:color w:val="auto"/>
                <w:kern w:val="2"/>
                <w:sz w:val="24"/>
                <w:szCs w:val="22"/>
                <w:highlight w:val="none"/>
                <w:lang w:eastAsia="zh-CN"/>
              </w:rPr>
            </w:pPr>
            <w:r>
              <w:rPr>
                <w:rFonts w:hint="eastAsia" w:cs="Times New Roman" w:asciiTheme="minorEastAsia" w:hAnsiTheme="minorEastAsia" w:eastAsiaTheme="minorEastAsia"/>
                <w:color w:val="auto"/>
                <w:kern w:val="2"/>
                <w:sz w:val="24"/>
                <w:szCs w:val="22"/>
                <w:highlight w:val="none"/>
                <w:lang w:val="en-US" w:eastAsia="zh-CN"/>
              </w:rPr>
              <w:t>6</w:t>
            </w:r>
          </w:p>
        </w:tc>
        <w:tc>
          <w:tcPr>
            <w:tcW w:w="901" w:type="pct"/>
            <w:vAlign w:val="center"/>
          </w:tcPr>
          <w:p w14:paraId="3D37606F">
            <w:pPr>
              <w:adjustRightInd w:val="0"/>
              <w:snapToGrid w:val="0"/>
              <w:spacing w:line="360" w:lineRule="auto"/>
              <w:ind w:right="-10"/>
              <w:jc w:val="center"/>
              <w:rPr>
                <w:rFonts w:ascii="Calibri" w:hAnsi="Calibri" w:cs="Times New Roman"/>
                <w:color w:val="auto"/>
                <w:kern w:val="2"/>
                <w:sz w:val="24"/>
                <w:szCs w:val="24"/>
                <w:highlight w:val="none"/>
              </w:rPr>
            </w:pPr>
            <w:r>
              <w:rPr>
                <w:rFonts w:hint="eastAsia" w:cs="Times New Roman"/>
                <w:color w:val="auto"/>
                <w:kern w:val="2"/>
                <w:sz w:val="24"/>
                <w:highlight w:val="none"/>
              </w:rPr>
              <w:t>授权书</w:t>
            </w:r>
          </w:p>
        </w:tc>
        <w:tc>
          <w:tcPr>
            <w:tcW w:w="2191" w:type="pct"/>
            <w:vAlign w:val="center"/>
          </w:tcPr>
          <w:p w14:paraId="3863D034">
            <w:pPr>
              <w:adjustRightInd w:val="0"/>
              <w:snapToGrid w:val="0"/>
              <w:spacing w:line="360" w:lineRule="auto"/>
              <w:ind w:right="-10"/>
              <w:jc w:val="left"/>
              <w:rPr>
                <w:rFonts w:ascii="Calibri" w:hAnsi="Calibri" w:cs="Times New Roman"/>
                <w:color w:val="auto"/>
                <w:kern w:val="2"/>
                <w:sz w:val="24"/>
                <w:szCs w:val="22"/>
                <w:highlight w:val="none"/>
              </w:rPr>
            </w:pPr>
            <w:r>
              <w:rPr>
                <w:rFonts w:hint="eastAsia" w:cs="Times New Roman"/>
                <w:color w:val="auto"/>
                <w:kern w:val="2"/>
                <w:sz w:val="24"/>
                <w:szCs w:val="22"/>
                <w:highlight w:val="none"/>
              </w:rPr>
              <w:t>符合谈判文件要求。</w:t>
            </w:r>
          </w:p>
        </w:tc>
        <w:tc>
          <w:tcPr>
            <w:tcW w:w="1415" w:type="pct"/>
            <w:vAlign w:val="center"/>
          </w:tcPr>
          <w:p w14:paraId="5EBAFE9A">
            <w:pPr>
              <w:spacing w:after="50" w:line="360" w:lineRule="auto"/>
              <w:ind w:right="-10" w:rightChars="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详见第六章响应文件 </w:t>
            </w:r>
          </w:p>
          <w:p w14:paraId="36D30848">
            <w:pPr>
              <w:spacing w:after="50" w:line="360" w:lineRule="auto"/>
              <w:ind w:right="-10" w:rightChars="0"/>
              <w:jc w:val="both"/>
              <w:rPr>
                <w:rFonts w:hint="eastAsia" w:cs="Times New Roman"/>
                <w:color w:val="auto"/>
                <w:kern w:val="2"/>
                <w:sz w:val="24"/>
                <w:szCs w:val="22"/>
                <w:highlight w:val="none"/>
              </w:rPr>
            </w:pPr>
            <w:r>
              <w:rPr>
                <w:rFonts w:hint="eastAsia" w:ascii="宋体" w:hAnsi="宋体" w:eastAsia="宋体" w:cs="宋体"/>
                <w:b w:val="0"/>
                <w:bCs w:val="0"/>
                <w:color w:val="auto"/>
                <w:sz w:val="24"/>
                <w:szCs w:val="24"/>
                <w:highlight w:val="none"/>
                <w:lang w:val="en-US" w:eastAsia="zh-CN"/>
              </w:rPr>
              <w:t>格式</w:t>
            </w:r>
          </w:p>
        </w:tc>
      </w:tr>
      <w:tr w14:paraId="0958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0D5893CE">
            <w:pPr>
              <w:adjustRightInd w:val="0"/>
              <w:snapToGrid w:val="0"/>
              <w:spacing w:line="360" w:lineRule="auto"/>
              <w:ind w:right="-10"/>
              <w:jc w:val="center"/>
              <w:rPr>
                <w:rFonts w:hint="eastAsia" w:cs="Times New Roman" w:asciiTheme="minorEastAsia" w:hAnsiTheme="minorEastAsia" w:eastAsiaTheme="minorEastAsia"/>
                <w:color w:val="auto"/>
                <w:kern w:val="2"/>
                <w:sz w:val="24"/>
                <w:szCs w:val="22"/>
                <w:highlight w:val="none"/>
                <w:lang w:eastAsia="zh-CN"/>
              </w:rPr>
            </w:pPr>
            <w:r>
              <w:rPr>
                <w:rFonts w:hint="eastAsia" w:cs="Times New Roman" w:asciiTheme="minorEastAsia" w:hAnsiTheme="minorEastAsia" w:eastAsiaTheme="minorEastAsia"/>
                <w:color w:val="auto"/>
                <w:kern w:val="2"/>
                <w:sz w:val="24"/>
                <w:szCs w:val="22"/>
                <w:highlight w:val="none"/>
                <w:lang w:val="en-US" w:eastAsia="zh-CN"/>
              </w:rPr>
              <w:t>7</w:t>
            </w:r>
          </w:p>
        </w:tc>
        <w:tc>
          <w:tcPr>
            <w:tcW w:w="901" w:type="pct"/>
            <w:vAlign w:val="center"/>
          </w:tcPr>
          <w:p w14:paraId="37DA9A66">
            <w:pPr>
              <w:adjustRightInd w:val="0"/>
              <w:snapToGrid w:val="0"/>
              <w:spacing w:line="360" w:lineRule="auto"/>
              <w:ind w:right="-10"/>
              <w:jc w:val="center"/>
              <w:rPr>
                <w:rFonts w:ascii="Calibri" w:hAnsi="Calibri" w:cs="Times New Roman"/>
                <w:color w:val="auto"/>
                <w:kern w:val="2"/>
                <w:sz w:val="24"/>
                <w:szCs w:val="24"/>
                <w:highlight w:val="none"/>
              </w:rPr>
            </w:pPr>
            <w:r>
              <w:rPr>
                <w:rFonts w:hint="eastAsia" w:cs="Times New Roman"/>
                <w:color w:val="auto"/>
                <w:kern w:val="2"/>
                <w:sz w:val="24"/>
                <w:highlight w:val="none"/>
              </w:rPr>
              <w:t>谈判响应函</w:t>
            </w:r>
          </w:p>
        </w:tc>
        <w:tc>
          <w:tcPr>
            <w:tcW w:w="2191" w:type="pct"/>
            <w:vAlign w:val="center"/>
          </w:tcPr>
          <w:p w14:paraId="3800443D">
            <w:pPr>
              <w:adjustRightInd w:val="0"/>
              <w:snapToGrid w:val="0"/>
              <w:spacing w:line="360" w:lineRule="auto"/>
              <w:ind w:right="-10"/>
              <w:jc w:val="left"/>
              <w:rPr>
                <w:rFonts w:ascii="Calibri" w:hAnsi="Calibri" w:cs="Times New Roman"/>
                <w:color w:val="auto"/>
                <w:kern w:val="2"/>
                <w:sz w:val="24"/>
                <w:szCs w:val="22"/>
                <w:highlight w:val="none"/>
              </w:rPr>
            </w:pPr>
            <w:r>
              <w:rPr>
                <w:rFonts w:hint="eastAsia" w:cs="Times New Roman"/>
                <w:color w:val="auto"/>
                <w:kern w:val="2"/>
                <w:sz w:val="24"/>
                <w:szCs w:val="22"/>
                <w:highlight w:val="none"/>
              </w:rPr>
              <w:t>符合谈判文件要求。</w:t>
            </w:r>
          </w:p>
        </w:tc>
        <w:tc>
          <w:tcPr>
            <w:tcW w:w="1415" w:type="pct"/>
            <w:vAlign w:val="center"/>
          </w:tcPr>
          <w:p w14:paraId="51525A3E">
            <w:pPr>
              <w:spacing w:after="50" w:line="360" w:lineRule="auto"/>
              <w:ind w:right="-10" w:rightChars="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详见第六章响应文件 </w:t>
            </w:r>
          </w:p>
          <w:p w14:paraId="2E474D29">
            <w:pPr>
              <w:adjustRightInd w:val="0"/>
              <w:snapToGrid w:val="0"/>
              <w:spacing w:line="360" w:lineRule="auto"/>
              <w:ind w:right="-10"/>
              <w:jc w:val="left"/>
              <w:rPr>
                <w:rFonts w:hint="eastAsia" w:cs="Times New Roman"/>
                <w:color w:val="auto"/>
                <w:kern w:val="2"/>
                <w:sz w:val="24"/>
                <w:szCs w:val="22"/>
                <w:highlight w:val="none"/>
              </w:rPr>
            </w:pPr>
            <w:r>
              <w:rPr>
                <w:rFonts w:hint="eastAsia" w:ascii="宋体" w:hAnsi="宋体" w:eastAsia="宋体" w:cs="宋体"/>
                <w:b w:val="0"/>
                <w:bCs w:val="0"/>
                <w:color w:val="auto"/>
                <w:sz w:val="24"/>
                <w:szCs w:val="24"/>
                <w:highlight w:val="none"/>
                <w:lang w:val="en-US" w:eastAsia="zh-CN"/>
              </w:rPr>
              <w:t>格式</w:t>
            </w:r>
          </w:p>
        </w:tc>
      </w:tr>
      <w:tr w14:paraId="41BD6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18A5A387">
            <w:pPr>
              <w:adjustRightInd w:val="0"/>
              <w:snapToGrid w:val="0"/>
              <w:spacing w:line="360" w:lineRule="auto"/>
              <w:ind w:right="-10" w:rightChars="0"/>
              <w:jc w:val="center"/>
              <w:rPr>
                <w:rFonts w:hint="eastAsia" w:cs="Times New Roman" w:asciiTheme="minorEastAsia" w:hAnsiTheme="minorEastAsia" w:eastAsiaTheme="minorEastAsia"/>
                <w:color w:val="auto"/>
                <w:kern w:val="2"/>
                <w:sz w:val="24"/>
                <w:szCs w:val="22"/>
                <w:highlight w:val="none"/>
                <w:lang w:eastAsia="zh-CN"/>
              </w:rPr>
            </w:pPr>
            <w:r>
              <w:rPr>
                <w:rFonts w:hint="eastAsia"/>
                <w:color w:val="auto"/>
                <w:sz w:val="24"/>
                <w:highlight w:val="none"/>
                <w:lang w:val="en-US" w:eastAsia="zh-CN"/>
              </w:rPr>
              <w:t>8</w:t>
            </w:r>
          </w:p>
        </w:tc>
        <w:tc>
          <w:tcPr>
            <w:tcW w:w="901" w:type="pct"/>
            <w:vAlign w:val="center"/>
          </w:tcPr>
          <w:p w14:paraId="2DC4410D">
            <w:pPr>
              <w:spacing w:after="50" w:line="360" w:lineRule="auto"/>
              <w:ind w:right="-10" w:rightChars="0"/>
              <w:jc w:val="center"/>
              <w:rPr>
                <w:rFonts w:ascii="Calibri" w:hAnsi="Calibri" w:cs="Times New Roman"/>
                <w:color w:val="auto"/>
                <w:kern w:val="2"/>
                <w:sz w:val="24"/>
                <w:szCs w:val="24"/>
                <w:highlight w:val="none"/>
              </w:rPr>
            </w:pPr>
            <w:r>
              <w:rPr>
                <w:rFonts w:hint="eastAsia" w:asciiTheme="minorEastAsia" w:hAnsiTheme="minorEastAsia" w:eastAsiaTheme="minorEastAsia"/>
                <w:color w:val="auto"/>
                <w:sz w:val="24"/>
                <w:szCs w:val="28"/>
                <w:highlight w:val="none"/>
                <w:lang w:val="en-US" w:eastAsia="zh-CN"/>
              </w:rPr>
              <w:t>谈判</w:t>
            </w:r>
            <w:r>
              <w:rPr>
                <w:rFonts w:hint="eastAsia" w:asciiTheme="minorEastAsia" w:hAnsiTheme="minorEastAsia" w:eastAsiaTheme="minorEastAsia"/>
                <w:color w:val="auto"/>
                <w:sz w:val="24"/>
                <w:szCs w:val="28"/>
                <w:highlight w:val="none"/>
              </w:rPr>
              <w:t>报价</w:t>
            </w:r>
          </w:p>
        </w:tc>
        <w:tc>
          <w:tcPr>
            <w:tcW w:w="2191" w:type="pct"/>
            <w:vAlign w:val="center"/>
          </w:tcPr>
          <w:p w14:paraId="53B6E6FF">
            <w:pPr>
              <w:spacing w:after="50" w:line="360" w:lineRule="auto"/>
              <w:ind w:right="-10" w:rightChars="0"/>
              <w:jc w:val="both"/>
              <w:rPr>
                <w:rFonts w:hint="eastAsia" w:ascii="Calibri" w:hAnsi="Calibri" w:cs="Times New Roman" w:eastAsiaTheme="minorEastAsia"/>
                <w:color w:val="auto"/>
                <w:kern w:val="2"/>
                <w:sz w:val="24"/>
                <w:szCs w:val="22"/>
                <w:highlight w:val="none"/>
                <w:lang w:val="en-US" w:eastAsia="zh-CN"/>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lang w:val="en-US" w:eastAsia="zh-CN"/>
              </w:rPr>
              <w:t>谈判</w:t>
            </w:r>
            <w:r>
              <w:rPr>
                <w:rFonts w:hint="eastAsia"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lang w:val="en-US" w:eastAsia="zh-CN"/>
              </w:rPr>
              <w:t>要求</w:t>
            </w:r>
          </w:p>
        </w:tc>
        <w:tc>
          <w:tcPr>
            <w:tcW w:w="1415" w:type="pct"/>
            <w:vAlign w:val="center"/>
          </w:tcPr>
          <w:p w14:paraId="1A53EB13">
            <w:pPr>
              <w:spacing w:after="50" w:line="360" w:lineRule="auto"/>
              <w:ind w:right="-10" w:rightChars="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详见第六章响应文件 </w:t>
            </w:r>
          </w:p>
          <w:p w14:paraId="4C504E46">
            <w:pPr>
              <w:adjustRightInd w:val="0"/>
              <w:snapToGrid w:val="0"/>
              <w:spacing w:line="360" w:lineRule="auto"/>
              <w:ind w:right="-10" w:rightChars="0"/>
              <w:jc w:val="center"/>
              <w:rPr>
                <w:rFonts w:hint="eastAsia" w:asciiTheme="majorEastAsia" w:hAnsiTheme="majorEastAsia" w:eastAsiaTheme="majorEastAsia"/>
                <w:color w:val="auto"/>
                <w:sz w:val="24"/>
                <w:highlight w:val="none"/>
              </w:rPr>
            </w:pPr>
            <w:r>
              <w:rPr>
                <w:rFonts w:hint="eastAsia" w:ascii="宋体" w:hAnsi="宋体" w:eastAsia="宋体" w:cs="宋体"/>
                <w:b w:val="0"/>
                <w:bCs w:val="0"/>
                <w:color w:val="auto"/>
                <w:sz w:val="24"/>
                <w:szCs w:val="24"/>
                <w:highlight w:val="none"/>
                <w:lang w:val="en-US" w:eastAsia="zh-CN"/>
              </w:rPr>
              <w:t>格式</w:t>
            </w:r>
          </w:p>
        </w:tc>
      </w:tr>
      <w:tr w14:paraId="6D98F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34541130">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color w:val="auto"/>
                <w:sz w:val="24"/>
                <w:highlight w:val="none"/>
                <w:lang w:val="en-US" w:eastAsia="zh-CN"/>
              </w:rPr>
              <w:t>9</w:t>
            </w:r>
          </w:p>
        </w:tc>
        <w:tc>
          <w:tcPr>
            <w:tcW w:w="901" w:type="pct"/>
            <w:vAlign w:val="center"/>
          </w:tcPr>
          <w:p w14:paraId="2FD090F1">
            <w:pPr>
              <w:spacing w:after="50" w:line="360" w:lineRule="auto"/>
              <w:ind w:right="-10" w:rightChars="0"/>
              <w:jc w:val="center"/>
              <w:rPr>
                <w:rFonts w:hint="eastAsia" w:asciiTheme="minorEastAsia" w:hAnsiTheme="minorEastAsia" w:eastAsiaTheme="minorEastAsia" w:cstheme="minorBidi"/>
                <w:color w:val="auto"/>
                <w:sz w:val="24"/>
                <w:szCs w:val="28"/>
                <w:highlight w:val="none"/>
                <w:lang w:val="en-US" w:eastAsia="zh-CN" w:bidi="ar-SA"/>
              </w:rPr>
            </w:pPr>
            <w:r>
              <w:rPr>
                <w:rFonts w:hint="eastAsia" w:asciiTheme="minorEastAsia" w:hAnsiTheme="minorEastAsia" w:eastAsiaTheme="minorEastAsia"/>
                <w:color w:val="auto"/>
                <w:sz w:val="24"/>
                <w:szCs w:val="28"/>
                <w:highlight w:val="none"/>
              </w:rPr>
              <w:t>诚信履约承诺函</w:t>
            </w:r>
          </w:p>
        </w:tc>
        <w:tc>
          <w:tcPr>
            <w:tcW w:w="2191" w:type="pct"/>
            <w:vAlign w:val="center"/>
          </w:tcPr>
          <w:p w14:paraId="2E4BD46D">
            <w:pPr>
              <w:spacing w:after="50" w:line="360" w:lineRule="auto"/>
              <w:ind w:right="-10" w:rightChars="0"/>
              <w:jc w:val="center"/>
              <w:rPr>
                <w:rFonts w:hint="eastAsia" w:asciiTheme="minorEastAsia" w:hAnsiTheme="minorEastAsia" w:eastAsiaTheme="minorEastAsia" w:cstheme="minorBidi"/>
                <w:color w:val="auto"/>
                <w:sz w:val="24"/>
                <w:szCs w:val="28"/>
                <w:highlight w:val="none"/>
                <w:lang w:val="en-US" w:eastAsia="zh-CN" w:bidi="ar-SA"/>
              </w:rPr>
            </w:pPr>
            <w:r>
              <w:rPr>
                <w:rFonts w:hint="eastAsia" w:asciiTheme="minorEastAsia" w:hAnsiTheme="minorEastAsia" w:eastAsiaTheme="minorEastAsia"/>
                <w:color w:val="auto"/>
                <w:sz w:val="24"/>
                <w:szCs w:val="28"/>
                <w:highlight w:val="none"/>
              </w:rPr>
              <w:t>格式、填写要求符合</w:t>
            </w:r>
            <w:r>
              <w:rPr>
                <w:rFonts w:hint="eastAsia" w:asciiTheme="minorEastAsia" w:hAnsiTheme="minorEastAsia" w:eastAsiaTheme="minorEastAsia"/>
                <w:color w:val="auto"/>
                <w:sz w:val="24"/>
                <w:szCs w:val="28"/>
                <w:highlight w:val="none"/>
                <w:lang w:val="en-US" w:eastAsia="zh-CN"/>
              </w:rPr>
              <w:t>谈判</w:t>
            </w:r>
            <w:r>
              <w:rPr>
                <w:rFonts w:hint="eastAsia" w:asciiTheme="minorEastAsia" w:hAnsiTheme="minorEastAsia" w:eastAsiaTheme="minorEastAsia"/>
                <w:color w:val="auto"/>
                <w:sz w:val="24"/>
                <w:szCs w:val="28"/>
                <w:highlight w:val="none"/>
              </w:rPr>
              <w:t>文件规定并加盖</w:t>
            </w:r>
            <w:r>
              <w:rPr>
                <w:rFonts w:hint="eastAsia" w:asciiTheme="minorEastAsia" w:hAnsiTheme="minorEastAsia" w:eastAsiaTheme="minorEastAsia"/>
                <w:color w:val="auto"/>
                <w:sz w:val="24"/>
                <w:szCs w:val="28"/>
                <w:highlight w:val="none"/>
                <w:lang w:val="en-US" w:eastAsia="zh-CN"/>
              </w:rPr>
              <w:t>供应商</w:t>
            </w:r>
            <w:r>
              <w:rPr>
                <w:rFonts w:hint="eastAsia" w:asciiTheme="minorEastAsia" w:hAnsiTheme="minorEastAsia" w:eastAsiaTheme="minorEastAsia"/>
                <w:color w:val="auto"/>
                <w:sz w:val="24"/>
                <w:szCs w:val="28"/>
                <w:highlight w:val="none"/>
              </w:rPr>
              <w:t>电子签章</w:t>
            </w:r>
          </w:p>
        </w:tc>
        <w:tc>
          <w:tcPr>
            <w:tcW w:w="1415" w:type="pct"/>
            <w:vAlign w:val="center"/>
          </w:tcPr>
          <w:p w14:paraId="523FA284">
            <w:pPr>
              <w:spacing w:after="50" w:line="360" w:lineRule="auto"/>
              <w:ind w:right="-10" w:rightChars="0"/>
              <w:jc w:val="center"/>
              <w:rPr>
                <w:rFonts w:hint="eastAsia" w:asciiTheme="minorEastAsia" w:hAnsiTheme="minorEastAsia" w:eastAsiaTheme="minorEastAsia" w:cstheme="minorBidi"/>
                <w:color w:val="auto"/>
                <w:sz w:val="24"/>
                <w:szCs w:val="28"/>
                <w:highlight w:val="none"/>
                <w:lang w:val="en-US" w:eastAsia="zh-CN" w:bidi="ar-SA"/>
              </w:rPr>
            </w:pPr>
            <w:r>
              <w:rPr>
                <w:rFonts w:hint="eastAsia" w:asciiTheme="minorEastAsia" w:hAnsiTheme="minorEastAsia" w:eastAsiaTheme="minorEastAsia"/>
                <w:color w:val="auto"/>
                <w:sz w:val="24"/>
                <w:szCs w:val="28"/>
                <w:highlight w:val="none"/>
              </w:rPr>
              <w:t>详见第六章</w:t>
            </w:r>
            <w:r>
              <w:rPr>
                <w:rFonts w:hint="eastAsia" w:asciiTheme="minorEastAsia" w:hAnsiTheme="minorEastAsia" w:eastAsiaTheme="minorEastAsia"/>
                <w:color w:val="auto"/>
                <w:sz w:val="24"/>
                <w:szCs w:val="28"/>
                <w:highlight w:val="none"/>
                <w:lang w:val="en-US" w:eastAsia="zh-CN"/>
              </w:rPr>
              <w:t>响应</w:t>
            </w:r>
            <w:r>
              <w:rPr>
                <w:rFonts w:hint="eastAsia" w:asciiTheme="minorEastAsia" w:hAnsiTheme="minorEastAsia" w:eastAsiaTheme="minorEastAsia"/>
                <w:color w:val="auto"/>
                <w:sz w:val="24"/>
                <w:szCs w:val="28"/>
                <w:highlight w:val="none"/>
              </w:rPr>
              <w:t>文件格式</w:t>
            </w:r>
            <w:r>
              <w:rPr>
                <w:rFonts w:hint="eastAsia" w:asciiTheme="minorEastAsia" w:hAnsiTheme="minorEastAsia" w:eastAsiaTheme="minorEastAsia"/>
                <w:color w:val="auto"/>
                <w:sz w:val="24"/>
                <w:szCs w:val="28"/>
                <w:highlight w:val="none"/>
                <w:lang w:eastAsia="zh-CN"/>
              </w:rPr>
              <w:t>。</w:t>
            </w:r>
          </w:p>
        </w:tc>
      </w:tr>
      <w:tr w14:paraId="5D9D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000" w:type="pct"/>
            <w:gridSpan w:val="4"/>
            <w:tcBorders>
              <w:bottom w:val="single" w:color="auto" w:sz="4" w:space="0"/>
            </w:tcBorders>
            <w:vAlign w:val="center"/>
          </w:tcPr>
          <w:p w14:paraId="400C06C7">
            <w:pPr>
              <w:adjustRightInd w:val="0"/>
              <w:snapToGrid w:val="0"/>
              <w:ind w:right="-10"/>
              <w:jc w:val="left"/>
              <w:rPr>
                <w:rFonts w:hint="eastAsia" w:ascii="Calibri" w:hAnsi="Calibri" w:cs="Times New Roman"/>
                <w:color w:val="auto"/>
                <w:kern w:val="2"/>
                <w:sz w:val="24"/>
                <w:szCs w:val="22"/>
                <w:highlight w:val="none"/>
              </w:rPr>
            </w:pPr>
            <w:r>
              <w:rPr>
                <w:rFonts w:hint="eastAsia" w:ascii="Calibri" w:hAnsi="Calibri" w:cs="Times New Roman"/>
                <w:color w:val="auto"/>
                <w:kern w:val="2"/>
                <w:sz w:val="24"/>
                <w:szCs w:val="22"/>
                <w:highlight w:val="none"/>
              </w:rPr>
              <w:t>评审指标通过标准：供应商必须通过上述全部指标。</w:t>
            </w:r>
          </w:p>
        </w:tc>
      </w:tr>
    </w:tbl>
    <w:p w14:paraId="1BD8698C">
      <w:pPr>
        <w:spacing w:line="360" w:lineRule="auto"/>
        <w:ind w:firstLine="437"/>
        <w:outlineLvl w:val="1"/>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 xml:space="preserve">  </w:t>
      </w:r>
      <w:bookmarkStart w:id="65" w:name="_Toc27382"/>
      <w:r>
        <w:rPr>
          <w:rFonts w:hint="eastAsia" w:asciiTheme="minorEastAsia" w:hAnsiTheme="minorEastAsia" w:eastAsiaTheme="minorEastAsia"/>
          <w:b/>
          <w:bCs/>
          <w:color w:val="auto"/>
          <w:sz w:val="24"/>
          <w:highlight w:val="none"/>
          <w:lang w:val="en-US" w:eastAsia="zh-CN"/>
        </w:rPr>
        <w:t xml:space="preserve"> 注：供应商拟委任项目经理为注册建造师（含一级、二级）的，须提供有效的纸质版电子证书。一级建造师打印电子证书后，应在个人签名处手写本人签名，未手写签名或与签名图像笔迹不一致的，该电子证书无效。</w:t>
      </w:r>
    </w:p>
    <w:p w14:paraId="1D2109A5">
      <w:pPr>
        <w:spacing w:line="360" w:lineRule="auto"/>
        <w:ind w:firstLine="437"/>
        <w:outlineLvl w:val="1"/>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供应商提供的安徽省新版二级建造师电子注册证书纸质版需在安徽省住房和城乡建设执业资格注册管理系统中打印，打印后应由二级建造师本人在证书的个人签名处手写本人签名，或在新版二级建造师电子注册证书纸质版后附其本人知情承诺（视为个人签名处的手写本人签名），格式自拟。未手写个人签名或未提供二级建造师本人知情承诺的，个人签名或知情承诺签字与签名图片笔迹不一致，此证书无效。其他省份按各省相关规定执行。</w:t>
      </w:r>
    </w:p>
    <w:p w14:paraId="5E843AE5">
      <w:pPr>
        <w:keepNext w:val="0"/>
        <w:keepLines w:val="0"/>
        <w:pageBreakBefore w:val="0"/>
        <w:kinsoku/>
        <w:wordWrap/>
        <w:overflowPunct/>
        <w:topLinePunct w:val="0"/>
        <w:autoSpaceDE/>
        <w:autoSpaceDN/>
        <w:bidi w:val="0"/>
        <w:spacing w:line="520" w:lineRule="exact"/>
        <w:ind w:firstLine="43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初审指标通过标准：</w:t>
      </w:r>
      <w:r>
        <w:rPr>
          <w:rFonts w:hint="eastAsia" w:ascii="宋体" w:hAnsi="宋体" w:eastAsia="宋体" w:cs="宋体"/>
          <w:color w:val="auto"/>
          <w:sz w:val="24"/>
          <w:szCs w:val="24"/>
          <w:highlight w:val="none"/>
        </w:rPr>
        <w:t>供应商必须通过初审表中的全部评审指标。</w:t>
      </w:r>
    </w:p>
    <w:p w14:paraId="193BCDF4">
      <w:pPr>
        <w:spacing w:line="360" w:lineRule="auto"/>
        <w:ind w:firstLine="437"/>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三、</w:t>
      </w:r>
      <w:r>
        <w:rPr>
          <w:rFonts w:hint="eastAsia" w:asciiTheme="minorEastAsia" w:hAnsiTheme="minorEastAsia" w:eastAsiaTheme="minorEastAsia"/>
          <w:b/>
          <w:color w:val="auto"/>
          <w:sz w:val="24"/>
          <w:highlight w:val="none"/>
        </w:rPr>
        <w:t>无效响应条款</w:t>
      </w:r>
    </w:p>
    <w:p w14:paraId="7B5D669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.1响应文件有下列情形之一的,其响应文件拒收:</w:t>
      </w:r>
    </w:p>
    <w:p w14:paraId="319616D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(1)未在响应文件递交截止时间前通过网上招标投标系统递交有效电子响应文件的，系统不予接收，其将被拒绝。</w:t>
      </w:r>
    </w:p>
    <w:p w14:paraId="60C76A0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接到远程解密指令后，须在规定时间内解密。因供应商自身原因导致响应文件在规定时间内未能解密、解密失败或解密超时，响应文件无效；解密时间：从本项目解密程序开始时计时，至完成响应文件解密时间，不得超过60分钟，否则响应文件将被拒绝。</w:t>
      </w:r>
    </w:p>
    <w:p w14:paraId="76FDEA1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.2供应商有下列情形之一的,资格审查后其作无效响应处理：</w:t>
      </w:r>
    </w:p>
    <w:p w14:paraId="7B30B4E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（1）供应商为本项目提供采购代理服务的；</w:t>
      </w:r>
    </w:p>
    <w:p w14:paraId="50AE4AB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（2）供应商与在本项目代理机构存在相互任职或工作的；</w:t>
      </w:r>
    </w:p>
    <w:p w14:paraId="119B675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（3）与采购人存在利害关系可能影响采购公正性的法人、其他组织或者个人；</w:t>
      </w:r>
    </w:p>
    <w:p w14:paraId="5E29934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lang w:eastAsia="zh-CN"/>
        </w:rPr>
        <w:t>竞争性谈判公告</w:t>
      </w:r>
      <w:r>
        <w:rPr>
          <w:rFonts w:hint="eastAsia" w:asciiTheme="minorEastAsia" w:hAnsiTheme="minorEastAsia" w:eastAsiaTheme="minorEastAsia"/>
          <w:color w:val="auto"/>
          <w:sz w:val="24"/>
          <w:highlight w:val="none"/>
        </w:rPr>
        <w:t>写明专门面向中小企业采购，供应商提供的货物非中小企业制造的；</w:t>
      </w:r>
    </w:p>
    <w:p w14:paraId="54AD915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（5）要求供应商以联合体形式参加采购活动，供应商非联合体或者联合协议中中小企业合同金额未达到应当达到的比例；</w:t>
      </w:r>
    </w:p>
    <w:p w14:paraId="44ED6EB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（6）要求获得采购合同的供应商向中小企业分包，供应商未提供分包意向协议或者分包意向协议中中小企业合同金额未达到应当达到的比例；</w:t>
      </w:r>
    </w:p>
    <w:p w14:paraId="66588C1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（7）无法查看并检验电子响应文件中相关资料的；</w:t>
      </w:r>
    </w:p>
    <w:p w14:paraId="6E7FE80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（8）联合体参与未提交联合体协议的；</w:t>
      </w:r>
    </w:p>
    <w:p w14:paraId="54166517">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）责令停产停业</w:t>
      </w:r>
      <w:r>
        <w:rPr>
          <w:rFonts w:hint="eastAsia" w:asciiTheme="minorEastAsia" w:hAnsiTheme="minorEastAsia" w:eastAsiaTheme="minorEastAsia"/>
          <w:color w:val="auto"/>
          <w:sz w:val="24"/>
          <w:highlight w:val="none"/>
          <w:lang w:val="en-US" w:eastAsia="zh-CN"/>
        </w:rPr>
        <w:t>的；</w:t>
      </w:r>
    </w:p>
    <w:p w14:paraId="69080EE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rPr>
        <w:t>暂停或者取消参与政府采购项目资格的；</w:t>
      </w:r>
    </w:p>
    <w:p w14:paraId="61DDD02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11</w:t>
      </w:r>
      <w:r>
        <w:rPr>
          <w:rFonts w:hint="eastAsia" w:asciiTheme="minorEastAsia" w:hAnsiTheme="minorEastAsia" w:eastAsiaTheme="minorEastAsia"/>
          <w:color w:val="auto"/>
          <w:sz w:val="24"/>
          <w:highlight w:val="none"/>
        </w:rPr>
        <w:t>）单位负责人为同一人或者存在</w:t>
      </w:r>
      <w:r>
        <w:rPr>
          <w:rFonts w:hint="eastAsia" w:asciiTheme="minorEastAsia" w:hAnsiTheme="minorEastAsia" w:eastAsiaTheme="minorEastAsia"/>
          <w:color w:val="auto"/>
          <w:sz w:val="24"/>
          <w:highlight w:val="none"/>
          <w:lang w:val="en-US" w:eastAsia="zh-CN"/>
        </w:rPr>
        <w:t>直接</w:t>
      </w:r>
      <w:r>
        <w:rPr>
          <w:rFonts w:hint="eastAsia" w:asciiTheme="minorEastAsia" w:hAnsiTheme="minorEastAsia" w:eastAsiaTheme="minorEastAsia"/>
          <w:color w:val="auto"/>
          <w:sz w:val="24"/>
          <w:highlight w:val="none"/>
        </w:rPr>
        <w:t>控股、管理关系的不同</w:t>
      </w:r>
      <w:r>
        <w:rPr>
          <w:rFonts w:hint="eastAsia" w:asciiTheme="minorEastAsia" w:hAnsiTheme="minorEastAsia" w:eastAsiaTheme="minorEastAsia"/>
          <w:color w:val="auto"/>
          <w:sz w:val="24"/>
          <w:highlight w:val="none"/>
          <w:lang w:val="en-US" w:eastAsia="zh-CN"/>
        </w:rPr>
        <w:t>单位</w:t>
      </w:r>
      <w:r>
        <w:rPr>
          <w:rFonts w:hint="eastAsia" w:asciiTheme="minorEastAsia" w:hAnsiTheme="minorEastAsia" w:eastAsiaTheme="minorEastAsia"/>
          <w:color w:val="auto"/>
          <w:sz w:val="24"/>
          <w:highlight w:val="none"/>
        </w:rPr>
        <w:t>的；</w:t>
      </w:r>
    </w:p>
    <w:p w14:paraId="3D28410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）供应商基本资格条件和特定资格条件中有一项及以上不符合要求的；</w:t>
      </w:r>
    </w:p>
    <w:p w14:paraId="1C81F0D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评审时查询响应文件制作机器码、文件创建标识码及造价软件加密锁号。若存在响应文件制作机器码或创建标识码或造价软件加密锁号信息与其他供应商雷同的，响应无效、进行信用信息披露，行政监管部门将依据线索依法查处；</w:t>
      </w:r>
    </w:p>
    <w:p w14:paraId="108F17C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）其它情形按无效响应处理，并经公共资源交易监督部门核准的；</w:t>
      </w:r>
    </w:p>
    <w:p w14:paraId="3DDC1C1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）供应商响应MAC地址或供应商联系人或联系电话相同的，由</w:t>
      </w:r>
      <w:r>
        <w:rPr>
          <w:rFonts w:hint="eastAsia" w:asciiTheme="minorEastAsia" w:hAnsiTheme="minorEastAsia" w:eastAsiaTheme="minorEastAsia"/>
          <w:color w:val="auto"/>
          <w:sz w:val="24"/>
          <w:highlight w:val="none"/>
          <w:lang w:eastAsia="zh-CN"/>
        </w:rPr>
        <w:t>谈判小组</w:t>
      </w:r>
      <w:r>
        <w:rPr>
          <w:rFonts w:hint="eastAsia" w:asciiTheme="minorEastAsia" w:hAnsiTheme="minorEastAsia" w:eastAsiaTheme="minorEastAsia"/>
          <w:color w:val="auto"/>
          <w:sz w:val="24"/>
          <w:highlight w:val="none"/>
        </w:rPr>
        <w:t>否决其响应，并报告监管部门作不良行为处理和进一步调查；</w:t>
      </w:r>
    </w:p>
    <w:p w14:paraId="01B0992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）供应商单方面出现其他供应商材料的</w:t>
      </w:r>
      <w:r>
        <w:rPr>
          <w:rFonts w:hint="eastAsia" w:cs="@仿宋_GB2312" w:asciiTheme="minorEastAsia" w:hAnsiTheme="minorEastAsia" w:eastAsiaTheme="minorEastAsia"/>
          <w:b w:val="0"/>
          <w:bCs/>
          <w:color w:val="auto"/>
          <w:kern w:val="2"/>
          <w:sz w:val="24"/>
          <w:szCs w:val="24"/>
          <w:highlight w:val="none"/>
          <w:u w:val="none"/>
          <w:lang w:val="en-US" w:eastAsia="zh-CN" w:bidi="ar-SA"/>
        </w:rPr>
        <w:t>（组成联合体响应的除外）</w:t>
      </w:r>
      <w:r>
        <w:rPr>
          <w:rFonts w:hint="eastAsia" w:asciiTheme="minorEastAsia" w:hAnsiTheme="minorEastAsia" w:eastAsiaTheme="minorEastAsia"/>
          <w:color w:val="auto"/>
          <w:sz w:val="24"/>
          <w:highlight w:val="none"/>
        </w:rPr>
        <w:t>；</w:t>
      </w:r>
    </w:p>
    <w:p w14:paraId="5398FD6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竞争性谈判公告</w:t>
      </w:r>
      <w:r>
        <w:rPr>
          <w:rFonts w:hint="eastAsia" w:asciiTheme="minorEastAsia" w:hAnsiTheme="minorEastAsia" w:eastAsiaTheme="minorEastAsia"/>
          <w:color w:val="auto"/>
          <w:sz w:val="24"/>
          <w:highlight w:val="none"/>
        </w:rPr>
        <w:t>未写明允许采购进口产品，供应商所投产品为进口产品的；</w:t>
      </w:r>
    </w:p>
    <w:p w14:paraId="7843026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谈判文件</w:t>
      </w:r>
      <w:r>
        <w:rPr>
          <w:rFonts w:hint="eastAsia" w:asciiTheme="minorEastAsia" w:hAnsiTheme="minorEastAsia" w:eastAsiaTheme="minorEastAsia"/>
          <w:color w:val="auto"/>
          <w:sz w:val="24"/>
          <w:highlight w:val="none"/>
        </w:rPr>
        <w:t>规定的其它无效情形。</w:t>
      </w:r>
    </w:p>
    <w:p w14:paraId="24B60CD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.3 供应商有下列情形之一的,符合性审查后其按无效响应处理：</w:t>
      </w:r>
    </w:p>
    <w:p w14:paraId="2D519D4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（1）响应文件签章不全，经</w:t>
      </w:r>
      <w:r>
        <w:rPr>
          <w:rFonts w:hint="eastAsia" w:asciiTheme="minorEastAsia" w:hAnsiTheme="minorEastAsia" w:eastAsiaTheme="minorEastAsia"/>
          <w:color w:val="auto"/>
          <w:sz w:val="24"/>
          <w:highlight w:val="none"/>
          <w:lang w:eastAsia="zh-CN"/>
        </w:rPr>
        <w:t>谈判小组</w:t>
      </w:r>
      <w:r>
        <w:rPr>
          <w:rFonts w:hint="eastAsia" w:asciiTheme="minorEastAsia" w:hAnsiTheme="minorEastAsia" w:eastAsiaTheme="minorEastAsia"/>
          <w:color w:val="auto"/>
          <w:sz w:val="24"/>
          <w:highlight w:val="none"/>
        </w:rPr>
        <w:t>一致认定对响应内容有实质性影响并经公共资源交易监督部门核准的；</w:t>
      </w:r>
    </w:p>
    <w:p w14:paraId="76E9CE4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（2）未按规定的格式填写导致实质性内容不全以及实质上不响应，或者关键字迹模糊、无法辨认；经公共资源交易监督部门核准的；</w:t>
      </w:r>
    </w:p>
    <w:p w14:paraId="120B749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（3）同一供应商提交两个或以上不同的响应文件或者报价，但</w:t>
      </w:r>
      <w:r>
        <w:rPr>
          <w:rFonts w:hint="eastAsia" w:asciiTheme="minorEastAsia" w:hAnsiTheme="minorEastAsia" w:eastAsiaTheme="minorEastAsia"/>
          <w:color w:val="auto"/>
          <w:sz w:val="24"/>
          <w:highlight w:val="none"/>
          <w:lang w:eastAsia="zh-CN"/>
        </w:rPr>
        <w:t>谈判文件</w:t>
      </w:r>
      <w:r>
        <w:rPr>
          <w:rFonts w:hint="eastAsia" w:asciiTheme="minorEastAsia" w:hAnsiTheme="minorEastAsia" w:eastAsiaTheme="minorEastAsia"/>
          <w:color w:val="auto"/>
          <w:sz w:val="24"/>
          <w:highlight w:val="none"/>
        </w:rPr>
        <w:t>规定提交备选方案的除外；</w:t>
      </w:r>
    </w:p>
    <w:p w14:paraId="077985E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（4）响应文件没有对</w:t>
      </w:r>
      <w:r>
        <w:rPr>
          <w:rFonts w:hint="eastAsia" w:asciiTheme="minorEastAsia" w:hAnsiTheme="minorEastAsia" w:eastAsiaTheme="minorEastAsia"/>
          <w:color w:val="auto"/>
          <w:sz w:val="24"/>
          <w:highlight w:val="none"/>
          <w:lang w:eastAsia="zh-CN"/>
        </w:rPr>
        <w:t>谈判文件</w:t>
      </w:r>
      <w:r>
        <w:rPr>
          <w:rFonts w:hint="eastAsia" w:asciiTheme="minorEastAsia" w:hAnsiTheme="minorEastAsia" w:eastAsiaTheme="minorEastAsia"/>
          <w:color w:val="auto"/>
          <w:sz w:val="24"/>
          <w:highlight w:val="none"/>
        </w:rPr>
        <w:t>的实质性要求和条件作出响应；</w:t>
      </w:r>
    </w:p>
    <w:p w14:paraId="4EED6AD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（5）报价超出规定的最高限价或公布的采购预算的或供应商的报价各项单价高于</w:t>
      </w:r>
      <w:r>
        <w:rPr>
          <w:rFonts w:hint="eastAsia" w:asciiTheme="minorEastAsia" w:hAnsiTheme="minorEastAsia" w:eastAsiaTheme="minorEastAsia"/>
          <w:color w:val="auto"/>
          <w:sz w:val="24"/>
          <w:highlight w:val="none"/>
          <w:lang w:eastAsia="zh-CN"/>
        </w:rPr>
        <w:t>谈判文件</w:t>
      </w:r>
      <w:r>
        <w:rPr>
          <w:rFonts w:hint="eastAsia" w:asciiTheme="minorEastAsia" w:hAnsiTheme="minorEastAsia" w:eastAsiaTheme="minorEastAsia"/>
          <w:color w:val="auto"/>
          <w:sz w:val="24"/>
          <w:highlight w:val="none"/>
        </w:rPr>
        <w:t>给定的单价最高限价；</w:t>
      </w:r>
    </w:p>
    <w:p w14:paraId="4B2FEF1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（6）不按</w:t>
      </w:r>
      <w:r>
        <w:rPr>
          <w:rFonts w:hint="eastAsia" w:asciiTheme="minorEastAsia" w:hAnsiTheme="minorEastAsia" w:eastAsiaTheme="minorEastAsia"/>
          <w:color w:val="auto"/>
          <w:sz w:val="24"/>
          <w:highlight w:val="none"/>
          <w:lang w:eastAsia="zh-CN"/>
        </w:rPr>
        <w:t>谈判小组</w:t>
      </w:r>
      <w:r>
        <w:rPr>
          <w:rFonts w:hint="eastAsia" w:asciiTheme="minorEastAsia" w:hAnsiTheme="minorEastAsia" w:eastAsiaTheme="minorEastAsia"/>
          <w:color w:val="auto"/>
          <w:sz w:val="24"/>
          <w:highlight w:val="none"/>
        </w:rPr>
        <w:t>要求澄清、说明或补正的，或者</w:t>
      </w:r>
      <w:r>
        <w:rPr>
          <w:rFonts w:hint="eastAsia" w:asciiTheme="minorEastAsia" w:hAnsiTheme="minorEastAsia" w:eastAsiaTheme="minorEastAsia"/>
          <w:color w:val="auto"/>
          <w:sz w:val="24"/>
          <w:highlight w:val="none"/>
          <w:lang w:eastAsia="zh-CN"/>
        </w:rPr>
        <w:t>谈判小组</w:t>
      </w:r>
      <w:r>
        <w:rPr>
          <w:rFonts w:hint="eastAsia" w:asciiTheme="minorEastAsia" w:hAnsiTheme="minorEastAsia" w:eastAsiaTheme="minorEastAsia"/>
          <w:color w:val="auto"/>
          <w:sz w:val="24"/>
          <w:highlight w:val="none"/>
        </w:rPr>
        <w:t>根据</w:t>
      </w:r>
      <w:r>
        <w:rPr>
          <w:rFonts w:hint="eastAsia" w:asciiTheme="minorEastAsia" w:hAnsiTheme="minorEastAsia" w:eastAsiaTheme="minorEastAsia"/>
          <w:color w:val="auto"/>
          <w:sz w:val="24"/>
          <w:highlight w:val="none"/>
          <w:lang w:eastAsia="zh-CN"/>
        </w:rPr>
        <w:t>谈判文件</w:t>
      </w:r>
      <w:r>
        <w:rPr>
          <w:rFonts w:hint="eastAsia" w:asciiTheme="minorEastAsia" w:hAnsiTheme="minorEastAsia" w:eastAsiaTheme="minorEastAsia"/>
          <w:color w:val="auto"/>
          <w:sz w:val="24"/>
          <w:highlight w:val="none"/>
        </w:rPr>
        <w:t>的规定对</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lang w:eastAsia="zh-CN"/>
        </w:rPr>
        <w:t>文件</w:t>
      </w:r>
      <w:r>
        <w:rPr>
          <w:rFonts w:hint="eastAsia" w:asciiTheme="minorEastAsia" w:hAnsiTheme="minorEastAsia" w:eastAsiaTheme="minorEastAsia"/>
          <w:color w:val="auto"/>
          <w:sz w:val="24"/>
          <w:highlight w:val="none"/>
        </w:rPr>
        <w:t>的计算错误进行修正后，供应商不接受修正的报价的。</w:t>
      </w:r>
    </w:p>
    <w:p w14:paraId="4366435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（7）其它情形，经</w:t>
      </w:r>
      <w:r>
        <w:rPr>
          <w:rFonts w:hint="eastAsia" w:asciiTheme="minorEastAsia" w:hAnsiTheme="minorEastAsia" w:eastAsiaTheme="minorEastAsia"/>
          <w:color w:val="auto"/>
          <w:sz w:val="24"/>
          <w:highlight w:val="none"/>
          <w:lang w:eastAsia="zh-CN"/>
        </w:rPr>
        <w:t>谈判小组</w:t>
      </w:r>
      <w:r>
        <w:rPr>
          <w:rFonts w:hint="eastAsia" w:asciiTheme="minorEastAsia" w:hAnsiTheme="minorEastAsia" w:eastAsiaTheme="minorEastAsia"/>
          <w:color w:val="auto"/>
          <w:sz w:val="24"/>
          <w:highlight w:val="none"/>
        </w:rPr>
        <w:t>提出按无效响应处理，并经公共资源交易监督部门核准的；</w:t>
      </w:r>
    </w:p>
    <w:p w14:paraId="5F22CC4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（8）响应文件含有采购人不能接受的附加条件的；</w:t>
      </w:r>
    </w:p>
    <w:p w14:paraId="5903A95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hint="eastAsia" w:asciiTheme="minorEastAsia" w:hAnsiTheme="minorEastAsia" w:eastAsiaTheme="minorEastAsia"/>
          <w:color w:val="auto"/>
          <w:sz w:val="24"/>
          <w:highlight w:val="none"/>
          <w:lang w:eastAsia="zh-CN"/>
        </w:rPr>
        <w:t>谈判文件</w:t>
      </w:r>
      <w:r>
        <w:rPr>
          <w:rFonts w:hint="eastAsia" w:asciiTheme="minorEastAsia" w:hAnsiTheme="minorEastAsia" w:eastAsiaTheme="minorEastAsia"/>
          <w:color w:val="auto"/>
          <w:sz w:val="24"/>
          <w:highlight w:val="none"/>
        </w:rPr>
        <w:t>规定的其它无效响应情形。</w:t>
      </w:r>
    </w:p>
    <w:p w14:paraId="64F1E4E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.4 供应商有下列情形之一的, 详细评审后其按无效响应处理：</w:t>
      </w:r>
    </w:p>
    <w:p w14:paraId="617AF12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（1）产品不符合必须强制执行的国家标准的；</w:t>
      </w:r>
    </w:p>
    <w:p w14:paraId="27F093A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（2）供应商有串通、弄虚作假、行贿等违法行为；</w:t>
      </w:r>
    </w:p>
    <w:p w14:paraId="2338AEF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（3）响应文件含有违反国家法律、法规的内容，或附有采购人不能接受的条件的；</w:t>
      </w:r>
    </w:p>
    <w:p w14:paraId="16FA91A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（4）报价明显低于其他供应商，且不能证明报价合理性的响应无效；</w:t>
      </w:r>
    </w:p>
    <w:p w14:paraId="2F6C34A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（5）拒不确认</w:t>
      </w:r>
      <w:r>
        <w:rPr>
          <w:rFonts w:hint="eastAsia" w:asciiTheme="minorEastAsia" w:hAnsiTheme="minorEastAsia" w:eastAsiaTheme="minorEastAsia"/>
          <w:color w:val="auto"/>
          <w:sz w:val="24"/>
          <w:highlight w:val="none"/>
          <w:lang w:eastAsia="zh-CN"/>
        </w:rPr>
        <w:t>谈判小组</w:t>
      </w:r>
      <w:r>
        <w:rPr>
          <w:rFonts w:hint="eastAsia" w:asciiTheme="minorEastAsia" w:hAnsiTheme="minorEastAsia" w:eastAsiaTheme="minorEastAsia"/>
          <w:color w:val="auto"/>
          <w:sz w:val="24"/>
          <w:highlight w:val="none"/>
        </w:rPr>
        <w:t>评审修正的响应无效；</w:t>
      </w:r>
    </w:p>
    <w:p w14:paraId="30D6B15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（6）其它情形，经</w:t>
      </w:r>
      <w:r>
        <w:rPr>
          <w:rFonts w:hint="eastAsia" w:asciiTheme="minorEastAsia" w:hAnsiTheme="minorEastAsia" w:eastAsiaTheme="minorEastAsia"/>
          <w:color w:val="auto"/>
          <w:sz w:val="24"/>
          <w:highlight w:val="none"/>
          <w:lang w:eastAsia="zh-CN"/>
        </w:rPr>
        <w:t>谈判小组</w:t>
      </w:r>
      <w:r>
        <w:rPr>
          <w:rFonts w:hint="eastAsia" w:asciiTheme="minorEastAsia" w:hAnsiTheme="minorEastAsia" w:eastAsiaTheme="minorEastAsia"/>
          <w:color w:val="auto"/>
          <w:sz w:val="24"/>
          <w:highlight w:val="none"/>
        </w:rPr>
        <w:t>提出按无效响应处理，并经公共资源交易监督部门核准的；</w:t>
      </w:r>
    </w:p>
    <w:p w14:paraId="2D9E72B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hint="eastAsia" w:asciiTheme="minorEastAsia" w:hAnsiTheme="minorEastAsia" w:eastAsiaTheme="minorEastAsia"/>
          <w:color w:val="auto"/>
          <w:sz w:val="24"/>
          <w:highlight w:val="none"/>
          <w:lang w:eastAsia="zh-CN"/>
        </w:rPr>
        <w:t>谈判文件</w:t>
      </w:r>
      <w:r>
        <w:rPr>
          <w:rFonts w:hint="eastAsia" w:asciiTheme="minorEastAsia" w:hAnsiTheme="minorEastAsia" w:eastAsiaTheme="minorEastAsia"/>
          <w:color w:val="auto"/>
          <w:sz w:val="24"/>
          <w:highlight w:val="none"/>
        </w:rPr>
        <w:t>规定的其它无效响应情形。</w:t>
      </w:r>
    </w:p>
    <w:p w14:paraId="7D7A1B19">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bookmarkEnd w:id="65"/>
    </w:p>
    <w:p w14:paraId="6A2C8BA7">
      <w:pPr>
        <w:spacing w:line="360" w:lineRule="auto"/>
        <w:jc w:val="center"/>
        <w:outlineLvl w:val="0"/>
        <w:rPr>
          <w:rFonts w:asciiTheme="minorEastAsia" w:hAnsiTheme="minorEastAsia" w:eastAsiaTheme="minorEastAsia"/>
          <w:b/>
          <w:color w:val="auto"/>
          <w:sz w:val="28"/>
          <w:highlight w:val="none"/>
        </w:rPr>
      </w:pPr>
      <w:bookmarkStart w:id="66" w:name="_Toc4514"/>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66"/>
    </w:p>
    <w:p w14:paraId="7188DB2F">
      <w:pPr>
        <w:keepNext/>
        <w:keepLines/>
        <w:snapToGrid w:val="0"/>
        <w:spacing w:before="312" w:beforeLines="100" w:after="312" w:afterLines="100" w:line="360" w:lineRule="auto"/>
        <w:jc w:val="center"/>
        <w:outlineLvl w:val="1"/>
        <w:rPr>
          <w:rFonts w:cs="宋体"/>
          <w:b/>
          <w:bCs/>
          <w:color w:val="auto"/>
          <w:sz w:val="21"/>
          <w:szCs w:val="21"/>
          <w:highlight w:val="none"/>
        </w:rPr>
      </w:pPr>
      <w:bookmarkStart w:id="67" w:name="_Toc19273"/>
      <w:bookmarkStart w:id="68" w:name="_Toc130919120"/>
      <w:bookmarkStart w:id="69" w:name="_Toc28799376"/>
      <w:bookmarkStart w:id="70" w:name="_Toc25807"/>
      <w:r>
        <w:rPr>
          <w:rFonts w:hint="eastAsia" w:cs="宋体"/>
          <w:b/>
          <w:bCs/>
          <w:color w:val="auto"/>
          <w:sz w:val="21"/>
          <w:szCs w:val="21"/>
          <w:highlight w:val="none"/>
        </w:rPr>
        <w:t>第一节  合同协议书</w:t>
      </w:r>
      <w:bookmarkEnd w:id="67"/>
      <w:bookmarkEnd w:id="68"/>
      <w:bookmarkEnd w:id="69"/>
      <w:bookmarkEnd w:id="70"/>
    </w:p>
    <w:p w14:paraId="2E62D42D">
      <w:pPr>
        <w:spacing w:line="360" w:lineRule="auto"/>
        <w:rPr>
          <w:rFonts w:cs="宋体"/>
          <w:b/>
          <w:color w:val="auto"/>
          <w:sz w:val="24"/>
          <w:szCs w:val="24"/>
          <w:highlight w:val="none"/>
          <w:u w:val="single"/>
        </w:rPr>
      </w:pPr>
      <w:r>
        <w:rPr>
          <w:rFonts w:hint="eastAsia" w:cs="宋体"/>
          <w:b/>
          <w:color w:val="auto"/>
          <w:sz w:val="24"/>
          <w:szCs w:val="24"/>
          <w:highlight w:val="none"/>
        </w:rPr>
        <w:t>发包人（全称）：</w:t>
      </w:r>
      <w:r>
        <w:rPr>
          <w:rFonts w:hint="eastAsia" w:cs="宋体"/>
          <w:b/>
          <w:color w:val="auto"/>
          <w:sz w:val="24"/>
          <w:szCs w:val="24"/>
          <w:highlight w:val="none"/>
          <w:u w:val="single"/>
        </w:rPr>
        <w:t></w:t>
      </w:r>
      <w:r>
        <w:rPr>
          <w:rFonts w:hint="eastAsia" w:cs="宋体"/>
          <w:b/>
          <w:color w:val="auto"/>
          <w:sz w:val="24"/>
          <w:szCs w:val="24"/>
          <w:highlight w:val="none"/>
          <w:u w:val="single"/>
          <w:lang w:eastAsia="zh-CN"/>
        </w:rPr>
        <w:t>滁州市园林景观管理中心</w:t>
      </w:r>
      <w:r>
        <w:rPr>
          <w:rFonts w:hint="eastAsia" w:cs="宋体"/>
          <w:b/>
          <w:color w:val="auto"/>
          <w:sz w:val="24"/>
          <w:szCs w:val="24"/>
          <w:highlight w:val="none"/>
          <w:u w:val="single"/>
        </w:rPr>
        <w:t xml:space="preserve">    </w:t>
      </w:r>
    </w:p>
    <w:p w14:paraId="12AA1AD1">
      <w:pPr>
        <w:spacing w:line="360" w:lineRule="auto"/>
        <w:rPr>
          <w:rFonts w:cs="宋体"/>
          <w:b/>
          <w:color w:val="auto"/>
          <w:sz w:val="24"/>
          <w:szCs w:val="24"/>
          <w:highlight w:val="none"/>
          <w:u w:val="single"/>
        </w:rPr>
      </w:pPr>
      <w:r>
        <w:rPr>
          <w:rFonts w:hint="eastAsia" w:cs="宋体"/>
          <w:b/>
          <w:color w:val="auto"/>
          <w:sz w:val="24"/>
          <w:szCs w:val="24"/>
          <w:highlight w:val="none"/>
        </w:rPr>
        <w:t>承包人（全称）：</w:t>
      </w:r>
      <w:r>
        <w:rPr>
          <w:rFonts w:hint="eastAsia" w:cs="宋体"/>
          <w:b/>
          <w:color w:val="auto"/>
          <w:sz w:val="24"/>
          <w:szCs w:val="24"/>
          <w:highlight w:val="none"/>
          <w:u w:val="single"/>
        </w:rPr>
        <w:t xml:space="preserve"> </w:t>
      </w:r>
      <w:r>
        <w:rPr>
          <w:rFonts w:hint="eastAsia" w:cs="宋体"/>
          <w:b/>
          <w:color w:val="auto"/>
          <w:sz w:val="24"/>
          <w:szCs w:val="24"/>
          <w:highlight w:val="none"/>
          <w:u w:val="single"/>
          <w:lang w:val="en-US" w:eastAsia="zh-CN"/>
        </w:rPr>
        <w:t xml:space="preserve">    </w:t>
      </w:r>
      <w:r>
        <w:rPr>
          <w:rFonts w:hint="eastAsia" w:cs="宋体"/>
          <w:b/>
          <w:color w:val="auto"/>
          <w:sz w:val="24"/>
          <w:szCs w:val="24"/>
          <w:highlight w:val="none"/>
          <w:u w:val="single"/>
        </w:rPr>
        <w:t xml:space="preserve">   </w:t>
      </w:r>
      <w:r>
        <w:rPr>
          <w:rFonts w:hint="eastAsia" w:cs="宋体"/>
          <w:b/>
          <w:color w:val="auto"/>
          <w:sz w:val="24"/>
          <w:szCs w:val="24"/>
          <w:highlight w:val="none"/>
          <w:u w:val="single"/>
          <w:lang w:val="en-US" w:eastAsia="zh-CN"/>
        </w:rPr>
        <w:t xml:space="preserve">        </w:t>
      </w:r>
      <w:r>
        <w:rPr>
          <w:rFonts w:hint="eastAsia" w:cs="宋体"/>
          <w:b/>
          <w:color w:val="auto"/>
          <w:sz w:val="24"/>
          <w:szCs w:val="24"/>
          <w:highlight w:val="none"/>
          <w:u w:val="single"/>
        </w:rPr>
        <w:t xml:space="preserve">    </w:t>
      </w:r>
    </w:p>
    <w:p w14:paraId="17A71DE6">
      <w:pPr>
        <w:spacing w:line="360" w:lineRule="auto"/>
        <w:rPr>
          <w:rFonts w:ascii="Times New Roman" w:hAnsi="Times New Roman" w:eastAsia="仿宋_GB2312" w:cs="Times New Roman"/>
          <w:b/>
          <w:color w:val="auto"/>
          <w:kern w:val="2"/>
          <w:sz w:val="30"/>
          <w:szCs w:val="30"/>
          <w:highlight w:val="none"/>
          <w:u w:val="single"/>
        </w:rPr>
      </w:pPr>
    </w:p>
    <w:p w14:paraId="0062534E">
      <w:pPr>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根据《中华人民共和国民法典》《中华人民共和国建筑法》及有关法律规定，遵循平等、自愿、公平和诚实信用的原则，双方就</w:t>
      </w:r>
      <w:r>
        <w:rPr>
          <w:rFonts w:hint="eastAsia" w:cs="宋体"/>
          <w:color w:val="auto"/>
          <w:sz w:val="21"/>
          <w:szCs w:val="21"/>
          <w:highlight w:val="none"/>
          <w:u w:val="single"/>
        </w:rPr>
        <w:t xml:space="preserve">  </w:t>
      </w:r>
      <w:r>
        <w:rPr>
          <w:rFonts w:hint="eastAsia" w:cs="宋体"/>
          <w:color w:val="auto"/>
          <w:sz w:val="21"/>
          <w:szCs w:val="21"/>
          <w:highlight w:val="none"/>
          <w:u w:val="single"/>
          <w:lang w:eastAsia="zh-CN"/>
        </w:rPr>
        <w:t>2025年公园游园亭廊栈道等设施维修项目</w:t>
      </w:r>
      <w:r>
        <w:rPr>
          <w:rFonts w:hint="eastAsia" w:cs="宋体"/>
          <w:color w:val="auto"/>
          <w:sz w:val="21"/>
          <w:szCs w:val="21"/>
          <w:highlight w:val="none"/>
          <w:u w:val="single"/>
        </w:rPr>
        <w:t xml:space="preserve"> </w:t>
      </w:r>
      <w:r>
        <w:rPr>
          <w:rFonts w:hint="eastAsia" w:cs="宋体"/>
          <w:color w:val="auto"/>
          <w:sz w:val="21"/>
          <w:szCs w:val="21"/>
          <w:highlight w:val="none"/>
        </w:rPr>
        <w:t>工程施工及有关事项协商一致，共同达成如下协议：</w:t>
      </w:r>
    </w:p>
    <w:p w14:paraId="690E1722">
      <w:pPr>
        <w:snapToGrid w:val="0"/>
        <w:spacing w:line="360" w:lineRule="auto"/>
        <w:ind w:firstLine="422" w:firstLineChars="200"/>
        <w:rPr>
          <w:rFonts w:cs="宋体"/>
          <w:color w:val="auto"/>
          <w:sz w:val="21"/>
          <w:szCs w:val="21"/>
          <w:highlight w:val="none"/>
        </w:rPr>
      </w:pPr>
      <w:r>
        <w:rPr>
          <w:rFonts w:hint="eastAsia" w:cs="宋体"/>
          <w:b/>
          <w:color w:val="auto"/>
          <w:sz w:val="21"/>
          <w:szCs w:val="21"/>
          <w:highlight w:val="none"/>
        </w:rPr>
        <w:t>一、工程概况</w:t>
      </w:r>
    </w:p>
    <w:p w14:paraId="64F9B68C">
      <w:pPr>
        <w:snapToGrid w:val="0"/>
        <w:spacing w:line="360" w:lineRule="auto"/>
        <w:ind w:firstLine="411" w:firstLineChars="196"/>
        <w:rPr>
          <w:rFonts w:cs="宋体"/>
          <w:color w:val="auto"/>
          <w:sz w:val="21"/>
          <w:szCs w:val="21"/>
          <w:highlight w:val="none"/>
          <w:u w:val="single"/>
        </w:rPr>
      </w:pPr>
      <w:r>
        <w:rPr>
          <w:rFonts w:hint="eastAsia" w:cs="宋体"/>
          <w:bCs/>
          <w:color w:val="auto"/>
          <w:sz w:val="21"/>
          <w:szCs w:val="21"/>
          <w:highlight w:val="none"/>
        </w:rPr>
        <w:t>1. 工程名称</w:t>
      </w:r>
      <w:r>
        <w:rPr>
          <w:rFonts w:hint="eastAsia" w:cs="宋体"/>
          <w:color w:val="auto"/>
          <w:sz w:val="21"/>
          <w:szCs w:val="21"/>
          <w:highlight w:val="none"/>
        </w:rPr>
        <w:t>：</w:t>
      </w:r>
      <w:r>
        <w:rPr>
          <w:rFonts w:hint="eastAsia" w:cs="宋体"/>
          <w:color w:val="auto"/>
          <w:sz w:val="21"/>
          <w:szCs w:val="21"/>
          <w:highlight w:val="none"/>
          <w:u w:val="single"/>
          <w:lang w:eastAsia="zh-CN"/>
        </w:rPr>
        <w:t>2025年公园游园亭廊栈道等设施维修项目</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89B0DAC">
      <w:pPr>
        <w:snapToGrid w:val="0"/>
        <w:spacing w:line="360" w:lineRule="auto"/>
        <w:ind w:firstLine="411" w:firstLineChars="196"/>
        <w:rPr>
          <w:rFonts w:cs="宋体"/>
          <w:bCs/>
          <w:color w:val="auto"/>
          <w:sz w:val="21"/>
          <w:szCs w:val="21"/>
          <w:highlight w:val="none"/>
        </w:rPr>
      </w:pPr>
      <w:r>
        <w:rPr>
          <w:rFonts w:hint="eastAsia" w:cs="宋体"/>
          <w:bCs/>
          <w:color w:val="auto"/>
          <w:sz w:val="21"/>
          <w:szCs w:val="21"/>
          <w:highlight w:val="none"/>
        </w:rPr>
        <w:t>2. 工程地点：</w:t>
      </w:r>
      <w:r>
        <w:rPr>
          <w:rFonts w:hint="eastAsia" w:cs="宋体"/>
          <w:color w:val="auto"/>
          <w:sz w:val="21"/>
          <w:szCs w:val="21"/>
          <w:highlight w:val="none"/>
          <w:u w:val="single"/>
        </w:rPr>
        <w:t></w:t>
      </w:r>
      <w:r>
        <w:rPr>
          <w:rFonts w:hint="eastAsia" w:cs="宋体"/>
          <w:color w:val="auto"/>
          <w:sz w:val="21"/>
          <w:szCs w:val="21"/>
          <w:highlight w:val="none"/>
          <w:u w:val="single"/>
          <w:lang w:val="en-US" w:eastAsia="zh-CN"/>
        </w:rPr>
        <w:t>滁州市内</w:t>
      </w:r>
      <w:r>
        <w:rPr>
          <w:rFonts w:hint="eastAsia" w:cs="宋体"/>
          <w:color w:val="auto"/>
          <w:sz w:val="21"/>
          <w:szCs w:val="21"/>
          <w:highlight w:val="none"/>
          <w:u w:val="single"/>
        </w:rPr>
        <w:t xml:space="preserve">       </w:t>
      </w:r>
      <w:r>
        <w:rPr>
          <w:rFonts w:hint="eastAsia" w:cs="宋体"/>
          <w:color w:val="auto"/>
          <w:sz w:val="21"/>
          <w:szCs w:val="21"/>
          <w:highlight w:val="none"/>
        </w:rPr>
        <w:t>。</w:t>
      </w:r>
    </w:p>
    <w:p w14:paraId="68E227A3">
      <w:pPr>
        <w:snapToGrid w:val="0"/>
        <w:spacing w:line="360" w:lineRule="auto"/>
        <w:ind w:firstLine="411" w:firstLineChars="196"/>
        <w:rPr>
          <w:rFonts w:cs="宋体"/>
          <w:bCs/>
          <w:color w:val="auto"/>
          <w:sz w:val="21"/>
          <w:szCs w:val="21"/>
          <w:highlight w:val="none"/>
        </w:rPr>
      </w:pPr>
      <w:r>
        <w:rPr>
          <w:rFonts w:hint="eastAsia" w:cs="宋体"/>
          <w:bCs/>
          <w:color w:val="auto"/>
          <w:sz w:val="21"/>
          <w:szCs w:val="21"/>
          <w:highlight w:val="none"/>
        </w:rPr>
        <w:t>3. 工程立项批准文号：</w:t>
      </w:r>
      <w:r>
        <w:rPr>
          <w:rFonts w:hint="eastAsia" w:cs="宋体"/>
          <w:color w:val="auto"/>
          <w:sz w:val="21"/>
          <w:szCs w:val="21"/>
          <w:highlight w:val="none"/>
          <w:u w:val="single"/>
        </w:rPr>
        <w:t xml:space="preserve">       </w:t>
      </w:r>
      <w:r>
        <w:rPr>
          <w:rFonts w:hint="eastAsia" w:cs="宋体"/>
          <w:bCs/>
          <w:color w:val="auto"/>
          <w:sz w:val="21"/>
          <w:szCs w:val="21"/>
          <w:highlight w:val="none"/>
        </w:rPr>
        <w:t>。</w:t>
      </w:r>
    </w:p>
    <w:p w14:paraId="7061DF46">
      <w:pPr>
        <w:snapToGrid w:val="0"/>
        <w:spacing w:line="360" w:lineRule="auto"/>
        <w:ind w:firstLine="411" w:firstLineChars="196"/>
        <w:rPr>
          <w:rFonts w:cs="宋体"/>
          <w:bCs/>
          <w:color w:val="auto"/>
          <w:sz w:val="21"/>
          <w:szCs w:val="21"/>
          <w:highlight w:val="none"/>
        </w:rPr>
      </w:pPr>
      <w:r>
        <w:rPr>
          <w:rFonts w:hint="eastAsia" w:cs="宋体"/>
          <w:bCs/>
          <w:color w:val="auto"/>
          <w:sz w:val="21"/>
          <w:szCs w:val="21"/>
          <w:highlight w:val="none"/>
        </w:rPr>
        <w:t>4. 资金来源：</w:t>
      </w:r>
      <w:r>
        <w:rPr>
          <w:rFonts w:hint="eastAsia" w:cs="宋体"/>
          <w:color w:val="auto"/>
          <w:sz w:val="21"/>
          <w:szCs w:val="21"/>
          <w:highlight w:val="none"/>
          <w:u w:val="single"/>
        </w:rPr>
        <w:t></w:t>
      </w:r>
      <w:r>
        <w:rPr>
          <w:rFonts w:hint="eastAsia" w:cs="宋体"/>
          <w:color w:val="auto"/>
          <w:sz w:val="21"/>
          <w:szCs w:val="21"/>
          <w:highlight w:val="none"/>
          <w:u w:val="single"/>
          <w:lang w:val="en-US" w:eastAsia="zh-CN"/>
        </w:rPr>
        <w:t>财政资金</w:t>
      </w:r>
      <w:r>
        <w:rPr>
          <w:rFonts w:hint="eastAsia" w:cs="宋体"/>
          <w:color w:val="auto"/>
          <w:sz w:val="21"/>
          <w:szCs w:val="21"/>
          <w:highlight w:val="none"/>
          <w:u w:val="single"/>
        </w:rPr>
        <w:t xml:space="preserve">       </w:t>
      </w:r>
      <w:r>
        <w:rPr>
          <w:rFonts w:hint="eastAsia" w:cs="宋体"/>
          <w:bCs/>
          <w:color w:val="auto"/>
          <w:sz w:val="21"/>
          <w:szCs w:val="21"/>
          <w:highlight w:val="none"/>
        </w:rPr>
        <w:t>。</w:t>
      </w:r>
    </w:p>
    <w:p w14:paraId="28B1FD28">
      <w:pPr>
        <w:snapToGrid w:val="0"/>
        <w:spacing w:line="360" w:lineRule="auto"/>
        <w:ind w:firstLine="411" w:firstLineChars="196"/>
        <w:rPr>
          <w:rFonts w:cs="宋体"/>
          <w:bCs/>
          <w:color w:val="auto"/>
          <w:sz w:val="21"/>
          <w:szCs w:val="21"/>
          <w:highlight w:val="none"/>
        </w:rPr>
      </w:pPr>
      <w:r>
        <w:rPr>
          <w:rFonts w:hint="eastAsia" w:cs="宋体"/>
          <w:bCs/>
          <w:color w:val="auto"/>
          <w:sz w:val="21"/>
          <w:szCs w:val="21"/>
          <w:highlight w:val="none"/>
        </w:rPr>
        <w:t>5. 工程内容：</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u w:val="single"/>
        </w:rPr>
        <w:t xml:space="preserve">    </w:t>
      </w:r>
      <w:r>
        <w:rPr>
          <w:rFonts w:hint="eastAsia" w:cs="宋体"/>
          <w:bCs/>
          <w:color w:val="auto"/>
          <w:sz w:val="21"/>
          <w:szCs w:val="21"/>
          <w:highlight w:val="none"/>
        </w:rPr>
        <w:t>。</w:t>
      </w:r>
    </w:p>
    <w:p w14:paraId="53DA7284">
      <w:pPr>
        <w:snapToGrid w:val="0"/>
        <w:spacing w:line="360" w:lineRule="auto"/>
        <w:ind w:firstLine="411" w:firstLineChars="196"/>
        <w:rPr>
          <w:rFonts w:cs="宋体"/>
          <w:bCs/>
          <w:color w:val="auto"/>
          <w:sz w:val="21"/>
          <w:szCs w:val="21"/>
          <w:highlight w:val="none"/>
        </w:rPr>
      </w:pPr>
      <w:r>
        <w:rPr>
          <w:rFonts w:hint="eastAsia" w:cs="宋体"/>
          <w:color w:val="auto"/>
          <w:sz w:val="21"/>
          <w:szCs w:val="21"/>
          <w:highlight w:val="none"/>
        </w:rPr>
        <w:t>群体工程应附《承包人承揽工程项目一览表》（附件1）。</w:t>
      </w:r>
    </w:p>
    <w:p w14:paraId="4D9342A6">
      <w:pPr>
        <w:snapToGrid w:val="0"/>
        <w:spacing w:line="360" w:lineRule="auto"/>
        <w:ind w:firstLine="411" w:firstLineChars="196"/>
        <w:rPr>
          <w:rFonts w:cs="宋体"/>
          <w:bCs/>
          <w:color w:val="auto"/>
          <w:sz w:val="21"/>
          <w:szCs w:val="21"/>
          <w:highlight w:val="none"/>
        </w:rPr>
      </w:pPr>
      <w:r>
        <w:rPr>
          <w:rFonts w:hint="eastAsia" w:cs="宋体"/>
          <w:bCs/>
          <w:color w:val="auto"/>
          <w:sz w:val="21"/>
          <w:szCs w:val="21"/>
          <w:highlight w:val="none"/>
        </w:rPr>
        <w:t>6. 工程承包范围：</w:t>
      </w:r>
    </w:p>
    <w:p w14:paraId="2C754815">
      <w:pPr>
        <w:snapToGrid w:val="0"/>
        <w:spacing w:line="360" w:lineRule="auto"/>
        <w:ind w:firstLine="402" w:firstLineChars="200"/>
        <w:rPr>
          <w:rFonts w:cs="宋体"/>
          <w:color w:val="auto"/>
          <w:sz w:val="21"/>
          <w:szCs w:val="21"/>
          <w:highlight w:val="none"/>
        </w:rPr>
      </w:pPr>
      <w:r>
        <w:rPr>
          <w:rFonts w:hint="eastAsia" w:ascii="宋体" w:hAnsi="宋体" w:cs="宋体"/>
          <w:b/>
          <w:bCs/>
          <w:color w:val="auto"/>
          <w:szCs w:val="21"/>
          <w:highlight w:val="none"/>
          <w:u w:val="single"/>
        </w:rPr>
        <w:t>施工图纸和工程量清单载明的施工内容及施工过程中的变更内容（如施工图纸和工程量清单不一致，由发包人负责解释）</w:t>
      </w:r>
      <w:r>
        <w:rPr>
          <w:rFonts w:hint="eastAsia" w:cs="宋体"/>
          <w:color w:val="auto"/>
          <w:sz w:val="21"/>
          <w:szCs w:val="21"/>
          <w:highlight w:val="none"/>
          <w:u w:val="single"/>
        </w:rPr>
        <w:t></w:t>
      </w:r>
      <w:r>
        <w:rPr>
          <w:rFonts w:hint="eastAsia" w:cs="宋体"/>
          <w:color w:val="auto"/>
          <w:sz w:val="21"/>
          <w:szCs w:val="21"/>
          <w:highlight w:val="none"/>
        </w:rPr>
        <w:t>。</w:t>
      </w:r>
    </w:p>
    <w:p w14:paraId="64F72586">
      <w:pPr>
        <w:snapToGrid w:val="0"/>
        <w:spacing w:line="360" w:lineRule="auto"/>
        <w:ind w:firstLine="422" w:firstLineChars="200"/>
        <w:rPr>
          <w:rFonts w:cs="宋体"/>
          <w:b/>
          <w:color w:val="auto"/>
          <w:sz w:val="21"/>
          <w:szCs w:val="21"/>
          <w:highlight w:val="none"/>
        </w:rPr>
      </w:pPr>
      <w:bookmarkStart w:id="71" w:name="_Toc351203482"/>
      <w:r>
        <w:rPr>
          <w:rFonts w:hint="eastAsia" w:cs="宋体"/>
          <w:b/>
          <w:color w:val="auto"/>
          <w:sz w:val="21"/>
          <w:szCs w:val="21"/>
          <w:highlight w:val="none"/>
        </w:rPr>
        <w:t>二、合同工期</w:t>
      </w:r>
      <w:bookmarkEnd w:id="71"/>
    </w:p>
    <w:p w14:paraId="1AF614FD">
      <w:pPr>
        <w:snapToGrid w:val="0"/>
        <w:spacing w:line="360" w:lineRule="auto"/>
        <w:ind w:firstLine="459"/>
        <w:rPr>
          <w:rFonts w:cs="宋体"/>
          <w:color w:val="auto"/>
          <w:sz w:val="21"/>
          <w:szCs w:val="21"/>
          <w:highlight w:val="none"/>
        </w:rPr>
      </w:pPr>
      <w:r>
        <w:rPr>
          <w:rFonts w:hint="eastAsia" w:cs="宋体"/>
          <w:color w:val="auto"/>
          <w:sz w:val="21"/>
          <w:szCs w:val="21"/>
          <w:highlight w:val="none"/>
        </w:rPr>
        <w:t>计划开工日期：</w:t>
      </w:r>
      <w:r>
        <w:rPr>
          <w:rFonts w:hint="eastAsia" w:cs="宋体"/>
          <w:color w:val="auto"/>
          <w:sz w:val="21"/>
          <w:szCs w:val="21"/>
          <w:highlight w:val="none"/>
          <w:u w:val="single"/>
        </w:rPr>
        <w:t></w:t>
      </w:r>
      <w:r>
        <w:rPr>
          <w:rFonts w:hint="eastAsia" w:cs="宋体"/>
          <w:color w:val="auto"/>
          <w:sz w:val="21"/>
          <w:szCs w:val="21"/>
          <w:highlight w:val="none"/>
        </w:rPr>
        <w:t>年</w:t>
      </w:r>
      <w:r>
        <w:rPr>
          <w:rFonts w:hint="eastAsia" w:cs="宋体"/>
          <w:color w:val="auto"/>
          <w:sz w:val="21"/>
          <w:szCs w:val="21"/>
          <w:highlight w:val="none"/>
          <w:u w:val="single"/>
        </w:rPr>
        <w:t></w:t>
      </w:r>
      <w:r>
        <w:rPr>
          <w:rFonts w:hint="eastAsia" w:cs="宋体"/>
          <w:color w:val="auto"/>
          <w:sz w:val="21"/>
          <w:szCs w:val="21"/>
          <w:highlight w:val="none"/>
        </w:rPr>
        <w:t>月</w:t>
      </w:r>
      <w:r>
        <w:rPr>
          <w:rFonts w:hint="eastAsia" w:cs="宋体"/>
          <w:color w:val="auto"/>
          <w:sz w:val="21"/>
          <w:szCs w:val="21"/>
          <w:highlight w:val="none"/>
          <w:u w:val="single"/>
        </w:rPr>
        <w:t></w:t>
      </w:r>
      <w:r>
        <w:rPr>
          <w:rFonts w:hint="eastAsia" w:cs="宋体"/>
          <w:color w:val="auto"/>
          <w:sz w:val="21"/>
          <w:szCs w:val="21"/>
          <w:highlight w:val="none"/>
        </w:rPr>
        <w:t>日。</w:t>
      </w:r>
    </w:p>
    <w:p w14:paraId="1730A1C2">
      <w:pPr>
        <w:snapToGrid w:val="0"/>
        <w:spacing w:line="360" w:lineRule="auto"/>
        <w:ind w:firstLine="459"/>
        <w:rPr>
          <w:rFonts w:cs="宋体"/>
          <w:color w:val="auto"/>
          <w:sz w:val="21"/>
          <w:szCs w:val="21"/>
          <w:highlight w:val="none"/>
        </w:rPr>
      </w:pPr>
      <w:r>
        <w:rPr>
          <w:rFonts w:hint="eastAsia" w:cs="宋体"/>
          <w:color w:val="auto"/>
          <w:sz w:val="21"/>
          <w:szCs w:val="21"/>
          <w:highlight w:val="none"/>
        </w:rPr>
        <w:t>计划竣工日期：</w:t>
      </w:r>
      <w:r>
        <w:rPr>
          <w:rFonts w:hint="eastAsia" w:cs="宋体"/>
          <w:color w:val="auto"/>
          <w:sz w:val="21"/>
          <w:szCs w:val="21"/>
          <w:highlight w:val="none"/>
          <w:u w:val="single"/>
        </w:rPr>
        <w:t></w:t>
      </w:r>
      <w:r>
        <w:rPr>
          <w:rFonts w:hint="eastAsia" w:cs="宋体"/>
          <w:color w:val="auto"/>
          <w:sz w:val="21"/>
          <w:szCs w:val="21"/>
          <w:highlight w:val="none"/>
        </w:rPr>
        <w:t>年</w:t>
      </w:r>
      <w:r>
        <w:rPr>
          <w:rFonts w:hint="eastAsia" w:cs="宋体"/>
          <w:color w:val="auto"/>
          <w:sz w:val="21"/>
          <w:szCs w:val="21"/>
          <w:highlight w:val="none"/>
          <w:u w:val="single"/>
        </w:rPr>
        <w:t></w:t>
      </w:r>
      <w:r>
        <w:rPr>
          <w:rFonts w:hint="eastAsia" w:cs="宋体"/>
          <w:color w:val="auto"/>
          <w:sz w:val="21"/>
          <w:szCs w:val="21"/>
          <w:highlight w:val="none"/>
        </w:rPr>
        <w:t>月</w:t>
      </w:r>
      <w:r>
        <w:rPr>
          <w:rFonts w:hint="eastAsia" w:cs="宋体"/>
          <w:color w:val="auto"/>
          <w:sz w:val="21"/>
          <w:szCs w:val="21"/>
          <w:highlight w:val="none"/>
          <w:u w:val="single"/>
        </w:rPr>
        <w:t></w:t>
      </w:r>
      <w:r>
        <w:rPr>
          <w:rFonts w:hint="eastAsia" w:cs="宋体"/>
          <w:color w:val="auto"/>
          <w:sz w:val="21"/>
          <w:szCs w:val="21"/>
          <w:highlight w:val="none"/>
        </w:rPr>
        <w:t>日。</w:t>
      </w:r>
    </w:p>
    <w:p w14:paraId="33CD143C">
      <w:pPr>
        <w:snapToGrid w:val="0"/>
        <w:spacing w:line="360" w:lineRule="auto"/>
        <w:ind w:firstLine="459"/>
        <w:rPr>
          <w:rFonts w:hint="eastAsia" w:eastAsia="宋体" w:cs="宋体"/>
          <w:color w:val="auto"/>
          <w:sz w:val="21"/>
          <w:szCs w:val="21"/>
          <w:highlight w:val="none"/>
          <w:lang w:eastAsia="zh-CN"/>
        </w:rPr>
      </w:pPr>
      <w:r>
        <w:rPr>
          <w:rFonts w:hint="eastAsia" w:cs="宋体"/>
          <w:color w:val="auto"/>
          <w:sz w:val="21"/>
          <w:szCs w:val="21"/>
          <w:highlight w:val="none"/>
        </w:rPr>
        <w:t>工期总日历天数：总工期</w:t>
      </w:r>
      <w:r>
        <w:rPr>
          <w:rFonts w:hint="eastAsia" w:cs="宋体"/>
          <w:color w:val="auto"/>
          <w:sz w:val="21"/>
          <w:szCs w:val="21"/>
          <w:highlight w:val="none"/>
          <w:lang w:eastAsia="zh-CN"/>
        </w:rPr>
        <w:t>不高于</w:t>
      </w:r>
      <w:r>
        <w:rPr>
          <w:rFonts w:hint="eastAsia" w:cs="宋体"/>
          <w:color w:val="auto"/>
          <w:sz w:val="21"/>
          <w:szCs w:val="21"/>
          <w:highlight w:val="none"/>
          <w:lang w:val="en-US" w:eastAsia="zh-CN"/>
        </w:rPr>
        <w:t xml:space="preserve">   </w:t>
      </w:r>
      <w:r>
        <w:rPr>
          <w:rFonts w:hint="eastAsia" w:cs="宋体"/>
          <w:color w:val="auto"/>
          <w:sz w:val="21"/>
          <w:szCs w:val="21"/>
          <w:highlight w:val="none"/>
          <w:lang w:eastAsia="zh-CN"/>
        </w:rPr>
        <w:t>个日历天。供应商自报的承诺工期为考核标准。因供应商原因造成的工期延误，每推迟一天，按合同价款（扣除暂估价和暂列金）万分之二处以违约金。</w:t>
      </w:r>
    </w:p>
    <w:p w14:paraId="139456A2">
      <w:pPr>
        <w:snapToGrid w:val="0"/>
        <w:spacing w:line="360" w:lineRule="auto"/>
        <w:ind w:firstLine="422" w:firstLineChars="200"/>
        <w:rPr>
          <w:rFonts w:cs="宋体"/>
          <w:b/>
          <w:color w:val="auto"/>
          <w:sz w:val="21"/>
          <w:szCs w:val="21"/>
          <w:highlight w:val="none"/>
        </w:rPr>
      </w:pPr>
      <w:bookmarkStart w:id="72" w:name="_Toc351203483"/>
      <w:r>
        <w:rPr>
          <w:rFonts w:hint="eastAsia" w:cs="宋体"/>
          <w:b/>
          <w:color w:val="auto"/>
          <w:sz w:val="21"/>
          <w:szCs w:val="21"/>
          <w:highlight w:val="none"/>
        </w:rPr>
        <w:t>三、质量标准</w:t>
      </w:r>
      <w:bookmarkEnd w:id="72"/>
    </w:p>
    <w:p w14:paraId="531F9E9E">
      <w:pPr>
        <w:snapToGrid w:val="0"/>
        <w:spacing w:line="360" w:lineRule="auto"/>
        <w:ind w:firstLine="459"/>
        <w:rPr>
          <w:rFonts w:cs="宋体"/>
          <w:color w:val="auto"/>
          <w:sz w:val="21"/>
          <w:szCs w:val="21"/>
          <w:highlight w:val="none"/>
        </w:rPr>
      </w:pPr>
      <w:r>
        <w:rPr>
          <w:rFonts w:hint="eastAsia" w:cs="宋体"/>
          <w:color w:val="auto"/>
          <w:sz w:val="21"/>
          <w:szCs w:val="21"/>
          <w:highlight w:val="none"/>
        </w:rPr>
        <w:t>工程质量符合</w:t>
      </w:r>
      <w:r>
        <w:rPr>
          <w:rFonts w:hint="eastAsia" w:cs="宋体"/>
          <w:color w:val="auto"/>
          <w:sz w:val="21"/>
          <w:szCs w:val="21"/>
          <w:highlight w:val="none"/>
          <w:u w:val="single"/>
        </w:rPr>
        <w:t xml:space="preserve"> 合格 </w:t>
      </w:r>
      <w:r>
        <w:rPr>
          <w:rFonts w:hint="eastAsia" w:cs="宋体"/>
          <w:color w:val="auto"/>
          <w:sz w:val="21"/>
          <w:szCs w:val="21"/>
          <w:highlight w:val="none"/>
        </w:rPr>
        <w:t>标准。</w:t>
      </w:r>
    </w:p>
    <w:p w14:paraId="09F3A624">
      <w:pPr>
        <w:snapToGrid w:val="0"/>
        <w:spacing w:line="360" w:lineRule="auto"/>
        <w:ind w:firstLine="422" w:firstLineChars="200"/>
        <w:rPr>
          <w:rFonts w:cs="宋体"/>
          <w:b/>
          <w:color w:val="auto"/>
          <w:sz w:val="21"/>
          <w:szCs w:val="21"/>
          <w:highlight w:val="none"/>
        </w:rPr>
      </w:pPr>
      <w:bookmarkStart w:id="73" w:name="_Toc351203484"/>
      <w:r>
        <w:rPr>
          <w:rFonts w:hint="eastAsia" w:cs="宋体"/>
          <w:b/>
          <w:color w:val="auto"/>
          <w:sz w:val="21"/>
          <w:szCs w:val="21"/>
          <w:highlight w:val="none"/>
        </w:rPr>
        <w:t>四、签约合同价与合同价格形式</w:t>
      </w:r>
      <w:bookmarkEnd w:id="73"/>
    </w:p>
    <w:p w14:paraId="32D5B3AA">
      <w:pPr>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 签约合同价为：</w:t>
      </w:r>
    </w:p>
    <w:p w14:paraId="1B28F93E">
      <w:pPr>
        <w:snapToGrid w:val="0"/>
        <w:spacing w:line="360" w:lineRule="auto"/>
        <w:ind w:firstLine="525" w:firstLineChars="250"/>
        <w:rPr>
          <w:rFonts w:cs="宋体"/>
          <w:color w:val="auto"/>
          <w:sz w:val="21"/>
          <w:szCs w:val="21"/>
          <w:highlight w:val="none"/>
        </w:rPr>
      </w:pPr>
      <w:r>
        <w:rPr>
          <w:rFonts w:hint="eastAsia" w:cs="宋体"/>
          <w:color w:val="auto"/>
          <w:sz w:val="21"/>
          <w:szCs w:val="21"/>
          <w:highlight w:val="none"/>
        </w:rPr>
        <w:t>人民币（大写）</w:t>
      </w:r>
      <w:r>
        <w:rPr>
          <w:rFonts w:hint="eastAsia" w:cs="宋体"/>
          <w:color w:val="auto"/>
          <w:sz w:val="21"/>
          <w:szCs w:val="21"/>
          <w:highlight w:val="none"/>
          <w:u w:val="single"/>
        </w:rPr>
        <w:t xml:space="preserve">                 （</w:t>
      </w:r>
      <w:r>
        <w:rPr>
          <w:rFonts w:hint="eastAsia" w:cs="宋体"/>
          <w:color w:val="auto"/>
          <w:sz w:val="21"/>
          <w:szCs w:val="21"/>
          <w:highlight w:val="none"/>
        </w:rPr>
        <w:t>¥</w:t>
      </w:r>
      <w:r>
        <w:rPr>
          <w:rFonts w:hint="eastAsia" w:cs="宋体"/>
          <w:color w:val="auto"/>
          <w:sz w:val="21"/>
          <w:szCs w:val="21"/>
          <w:highlight w:val="none"/>
          <w:u w:val="single"/>
        </w:rPr>
        <w:t xml:space="preserve">            </w:t>
      </w:r>
      <w:r>
        <w:rPr>
          <w:rFonts w:hint="eastAsia" w:cs="宋体"/>
          <w:color w:val="auto"/>
          <w:sz w:val="21"/>
          <w:szCs w:val="21"/>
          <w:highlight w:val="none"/>
        </w:rPr>
        <w:t>元）；</w:t>
      </w:r>
    </w:p>
    <w:p w14:paraId="25161E10">
      <w:pPr>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其中：</w:t>
      </w:r>
    </w:p>
    <w:p w14:paraId="43E15AEB">
      <w:pPr>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（1）安全文明施工费：</w:t>
      </w:r>
    </w:p>
    <w:p w14:paraId="01BB16AF">
      <w:pPr>
        <w:snapToGrid w:val="0"/>
        <w:spacing w:line="360" w:lineRule="auto"/>
        <w:ind w:firstLine="945" w:firstLineChars="450"/>
        <w:rPr>
          <w:rFonts w:cs="宋体"/>
          <w:color w:val="auto"/>
          <w:sz w:val="21"/>
          <w:szCs w:val="21"/>
          <w:highlight w:val="none"/>
        </w:rPr>
      </w:pPr>
      <w:r>
        <w:rPr>
          <w:rFonts w:hint="eastAsia" w:cs="宋体"/>
          <w:color w:val="auto"/>
          <w:sz w:val="21"/>
          <w:szCs w:val="21"/>
          <w:highlight w:val="none"/>
        </w:rPr>
        <w:t>人民币（大写）</w:t>
      </w:r>
      <w:r>
        <w:rPr>
          <w:rFonts w:hint="eastAsia" w:cs="宋体"/>
          <w:color w:val="auto"/>
          <w:sz w:val="21"/>
          <w:szCs w:val="21"/>
          <w:highlight w:val="none"/>
          <w:u w:val="single"/>
        </w:rPr>
        <w:t xml:space="preserve">              </w:t>
      </w:r>
      <w:r>
        <w:rPr>
          <w:rFonts w:hint="eastAsia" w:cs="宋体"/>
          <w:color w:val="auto"/>
          <w:sz w:val="21"/>
          <w:szCs w:val="21"/>
          <w:highlight w:val="none"/>
        </w:rPr>
        <w:t xml:space="preserve"> （¥</w:t>
      </w:r>
      <w:r>
        <w:rPr>
          <w:rFonts w:hint="eastAsia" w:cs="宋体"/>
          <w:color w:val="auto"/>
          <w:sz w:val="21"/>
          <w:szCs w:val="21"/>
          <w:highlight w:val="none"/>
          <w:u w:val="single"/>
        </w:rPr>
        <w:t xml:space="preserve">          </w:t>
      </w:r>
      <w:r>
        <w:rPr>
          <w:rFonts w:hint="eastAsia" w:cs="宋体"/>
          <w:color w:val="auto"/>
          <w:sz w:val="21"/>
          <w:szCs w:val="21"/>
          <w:highlight w:val="none"/>
        </w:rPr>
        <w:t>元）；</w:t>
      </w:r>
    </w:p>
    <w:p w14:paraId="62FF5CEE">
      <w:pPr>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（2）材料和工程设备暂估价金额：</w:t>
      </w:r>
    </w:p>
    <w:p w14:paraId="660373E0">
      <w:pPr>
        <w:snapToGrid w:val="0"/>
        <w:spacing w:line="360" w:lineRule="auto"/>
        <w:ind w:firstLine="945" w:firstLineChars="450"/>
        <w:rPr>
          <w:rFonts w:cs="宋体"/>
          <w:color w:val="auto"/>
          <w:sz w:val="21"/>
          <w:szCs w:val="21"/>
          <w:highlight w:val="none"/>
        </w:rPr>
      </w:pPr>
      <w:r>
        <w:rPr>
          <w:rFonts w:hint="eastAsia" w:cs="宋体"/>
          <w:color w:val="auto"/>
          <w:sz w:val="21"/>
          <w:szCs w:val="21"/>
          <w:highlight w:val="none"/>
        </w:rPr>
        <w:t>人民币（大写）</w:t>
      </w:r>
      <w:r>
        <w:rPr>
          <w:rFonts w:hint="eastAsia" w:cs="宋体"/>
          <w:color w:val="auto"/>
          <w:sz w:val="21"/>
          <w:szCs w:val="21"/>
          <w:highlight w:val="none"/>
          <w:u w:val="single"/>
        </w:rPr>
        <w:t xml:space="preserve">              </w:t>
      </w:r>
      <w:r>
        <w:rPr>
          <w:rFonts w:hint="eastAsia" w:cs="宋体"/>
          <w:color w:val="auto"/>
          <w:sz w:val="21"/>
          <w:szCs w:val="21"/>
          <w:highlight w:val="none"/>
        </w:rPr>
        <w:t xml:space="preserve"> （¥</w:t>
      </w:r>
      <w:r>
        <w:rPr>
          <w:rFonts w:hint="eastAsia" w:cs="宋体"/>
          <w:color w:val="auto"/>
          <w:sz w:val="21"/>
          <w:szCs w:val="21"/>
          <w:highlight w:val="none"/>
          <w:u w:val="single"/>
        </w:rPr>
        <w:t xml:space="preserve">          </w:t>
      </w:r>
      <w:r>
        <w:rPr>
          <w:rFonts w:hint="eastAsia" w:cs="宋体"/>
          <w:color w:val="auto"/>
          <w:sz w:val="21"/>
          <w:szCs w:val="21"/>
          <w:highlight w:val="none"/>
        </w:rPr>
        <w:t>元）；</w:t>
      </w:r>
    </w:p>
    <w:p w14:paraId="25B1260C">
      <w:pPr>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（3）专业工程暂估价金额：</w:t>
      </w:r>
    </w:p>
    <w:p w14:paraId="7D845889">
      <w:pPr>
        <w:snapToGrid w:val="0"/>
        <w:spacing w:line="360" w:lineRule="auto"/>
        <w:ind w:firstLine="945" w:firstLineChars="450"/>
        <w:rPr>
          <w:rFonts w:cs="宋体"/>
          <w:color w:val="auto"/>
          <w:sz w:val="21"/>
          <w:szCs w:val="21"/>
          <w:highlight w:val="none"/>
        </w:rPr>
      </w:pPr>
      <w:r>
        <w:rPr>
          <w:rFonts w:hint="eastAsia" w:cs="宋体"/>
          <w:color w:val="auto"/>
          <w:sz w:val="21"/>
          <w:szCs w:val="21"/>
          <w:highlight w:val="none"/>
        </w:rPr>
        <w:t>人民币（大写）</w:t>
      </w:r>
      <w:r>
        <w:rPr>
          <w:rFonts w:hint="eastAsia" w:cs="宋体"/>
          <w:color w:val="auto"/>
          <w:sz w:val="21"/>
          <w:szCs w:val="21"/>
          <w:highlight w:val="none"/>
          <w:u w:val="single"/>
        </w:rPr>
        <w:t xml:space="preserve">              </w:t>
      </w:r>
      <w:r>
        <w:rPr>
          <w:rFonts w:hint="eastAsia" w:cs="宋体"/>
          <w:color w:val="auto"/>
          <w:sz w:val="21"/>
          <w:szCs w:val="21"/>
          <w:highlight w:val="none"/>
        </w:rPr>
        <w:t xml:space="preserve"> （¥</w:t>
      </w:r>
      <w:r>
        <w:rPr>
          <w:rFonts w:hint="eastAsia" w:cs="宋体"/>
          <w:color w:val="auto"/>
          <w:sz w:val="21"/>
          <w:szCs w:val="21"/>
          <w:highlight w:val="none"/>
          <w:u w:val="single"/>
        </w:rPr>
        <w:t xml:space="preserve">          </w:t>
      </w:r>
      <w:r>
        <w:rPr>
          <w:rFonts w:hint="eastAsia" w:cs="宋体"/>
          <w:color w:val="auto"/>
          <w:sz w:val="21"/>
          <w:szCs w:val="21"/>
          <w:highlight w:val="none"/>
        </w:rPr>
        <w:t>元）；</w:t>
      </w:r>
    </w:p>
    <w:p w14:paraId="697830E9">
      <w:pPr>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（4）暂列金额：</w:t>
      </w:r>
    </w:p>
    <w:p w14:paraId="438BD5EE">
      <w:pPr>
        <w:snapToGrid w:val="0"/>
        <w:spacing w:line="360" w:lineRule="auto"/>
        <w:ind w:firstLine="945" w:firstLineChars="450"/>
        <w:rPr>
          <w:rFonts w:cs="宋体"/>
          <w:color w:val="auto"/>
          <w:sz w:val="21"/>
          <w:szCs w:val="21"/>
          <w:highlight w:val="none"/>
        </w:rPr>
      </w:pPr>
      <w:r>
        <w:rPr>
          <w:rFonts w:hint="eastAsia" w:cs="宋体"/>
          <w:color w:val="auto"/>
          <w:sz w:val="21"/>
          <w:szCs w:val="21"/>
          <w:highlight w:val="none"/>
        </w:rPr>
        <w:t>人民币（大写）</w:t>
      </w:r>
      <w:r>
        <w:rPr>
          <w:rFonts w:hint="eastAsia" w:cs="宋体"/>
          <w:color w:val="auto"/>
          <w:sz w:val="21"/>
          <w:szCs w:val="21"/>
          <w:highlight w:val="none"/>
          <w:u w:val="single"/>
        </w:rPr>
        <w:t xml:space="preserve">              </w:t>
      </w:r>
      <w:r>
        <w:rPr>
          <w:rFonts w:hint="eastAsia" w:cs="宋体"/>
          <w:color w:val="auto"/>
          <w:sz w:val="21"/>
          <w:szCs w:val="21"/>
          <w:highlight w:val="none"/>
        </w:rPr>
        <w:t xml:space="preserve"> （¥</w:t>
      </w:r>
      <w:r>
        <w:rPr>
          <w:rFonts w:hint="eastAsia" w:cs="宋体"/>
          <w:color w:val="auto"/>
          <w:sz w:val="21"/>
          <w:szCs w:val="21"/>
          <w:highlight w:val="none"/>
          <w:u w:val="single"/>
        </w:rPr>
        <w:t xml:space="preserve">          </w:t>
      </w:r>
      <w:r>
        <w:rPr>
          <w:rFonts w:hint="eastAsia" w:cs="宋体"/>
          <w:color w:val="auto"/>
          <w:sz w:val="21"/>
          <w:szCs w:val="21"/>
          <w:highlight w:val="none"/>
        </w:rPr>
        <w:t>元）。</w:t>
      </w:r>
    </w:p>
    <w:p w14:paraId="32FF687B">
      <w:pPr>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2. 合同价格形式：</w:t>
      </w:r>
      <w:r>
        <w:rPr>
          <w:rFonts w:hint="eastAsia" w:cs="宋体"/>
          <w:color w:val="auto"/>
          <w:sz w:val="21"/>
          <w:szCs w:val="21"/>
          <w:highlight w:val="none"/>
          <w:u w:val="single"/>
        </w:rPr>
        <w:t></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6250FD9">
      <w:pPr>
        <w:snapToGrid w:val="0"/>
        <w:spacing w:line="360" w:lineRule="auto"/>
        <w:ind w:firstLine="422" w:firstLineChars="200"/>
        <w:rPr>
          <w:rFonts w:cs="宋体"/>
          <w:b/>
          <w:color w:val="auto"/>
          <w:sz w:val="21"/>
          <w:szCs w:val="21"/>
          <w:highlight w:val="none"/>
        </w:rPr>
      </w:pPr>
      <w:bookmarkStart w:id="74" w:name="_Toc351203485"/>
      <w:r>
        <w:rPr>
          <w:rFonts w:hint="eastAsia" w:cs="宋体"/>
          <w:b/>
          <w:color w:val="auto"/>
          <w:sz w:val="21"/>
          <w:szCs w:val="21"/>
          <w:highlight w:val="none"/>
        </w:rPr>
        <w:t>五、</w:t>
      </w:r>
      <w:bookmarkEnd w:id="74"/>
      <w:r>
        <w:rPr>
          <w:rFonts w:hint="eastAsia" w:cs="宋体"/>
          <w:b/>
          <w:color w:val="auto"/>
          <w:sz w:val="21"/>
          <w:szCs w:val="21"/>
          <w:highlight w:val="none"/>
        </w:rPr>
        <w:t>项目经理</w:t>
      </w:r>
    </w:p>
    <w:p w14:paraId="40E2FA24">
      <w:pPr>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承包人项目经理：</w:t>
      </w:r>
      <w:r>
        <w:rPr>
          <w:rFonts w:hint="eastAsia" w:cs="宋体"/>
          <w:color w:val="auto"/>
          <w:sz w:val="21"/>
          <w:szCs w:val="21"/>
          <w:highlight w:val="none"/>
          <w:u w:val="single"/>
        </w:rPr>
        <w:t>                     </w:t>
      </w:r>
      <w:r>
        <w:rPr>
          <w:rFonts w:hint="eastAsia" w:cs="宋体"/>
          <w:color w:val="auto"/>
          <w:sz w:val="21"/>
          <w:szCs w:val="21"/>
          <w:highlight w:val="none"/>
        </w:rPr>
        <w:t>。</w:t>
      </w:r>
    </w:p>
    <w:p w14:paraId="0D43E7AC">
      <w:pPr>
        <w:snapToGrid w:val="0"/>
        <w:spacing w:line="360" w:lineRule="auto"/>
        <w:ind w:firstLine="422" w:firstLineChars="200"/>
        <w:rPr>
          <w:rFonts w:cs="宋体"/>
          <w:b/>
          <w:color w:val="auto"/>
          <w:sz w:val="21"/>
          <w:szCs w:val="21"/>
          <w:highlight w:val="none"/>
        </w:rPr>
      </w:pPr>
      <w:bookmarkStart w:id="75" w:name="_Toc351203486"/>
      <w:r>
        <w:rPr>
          <w:rFonts w:hint="eastAsia" w:cs="宋体"/>
          <w:b/>
          <w:color w:val="auto"/>
          <w:sz w:val="21"/>
          <w:szCs w:val="21"/>
          <w:highlight w:val="none"/>
        </w:rPr>
        <w:t>六、合同文件构成</w:t>
      </w:r>
      <w:bookmarkEnd w:id="75"/>
    </w:p>
    <w:p w14:paraId="5B32A19F">
      <w:pPr>
        <w:snapToGrid w:val="0"/>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本协议书与下列文件一起构成合同文件：</w:t>
      </w:r>
    </w:p>
    <w:p w14:paraId="6406B52B">
      <w:pPr>
        <w:autoSpaceDE w:val="0"/>
        <w:autoSpaceDN w:val="0"/>
        <w:adjustRightInd w:val="0"/>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（1）中标通知书（如果有）；</w:t>
      </w:r>
    </w:p>
    <w:p w14:paraId="70FAE2CB">
      <w:pPr>
        <w:autoSpaceDE w:val="0"/>
        <w:autoSpaceDN w:val="0"/>
        <w:adjustRightInd w:val="0"/>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 xml:space="preserve">（2）投标函及其附录（如果有）； </w:t>
      </w:r>
    </w:p>
    <w:p w14:paraId="05E6D11D">
      <w:pPr>
        <w:autoSpaceDE w:val="0"/>
        <w:autoSpaceDN w:val="0"/>
        <w:adjustRightInd w:val="0"/>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（3）专用合同条款及其附件；</w:t>
      </w:r>
    </w:p>
    <w:p w14:paraId="568344EC">
      <w:pPr>
        <w:autoSpaceDE w:val="0"/>
        <w:autoSpaceDN w:val="0"/>
        <w:adjustRightInd w:val="0"/>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（4）通用合同条款；</w:t>
      </w:r>
    </w:p>
    <w:p w14:paraId="35017E19">
      <w:pPr>
        <w:autoSpaceDE w:val="0"/>
        <w:autoSpaceDN w:val="0"/>
        <w:adjustRightInd w:val="0"/>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（5）技术标准和要求；</w:t>
      </w:r>
    </w:p>
    <w:p w14:paraId="523D05D4">
      <w:pPr>
        <w:autoSpaceDE w:val="0"/>
        <w:autoSpaceDN w:val="0"/>
        <w:adjustRightInd w:val="0"/>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（6）图纸；</w:t>
      </w:r>
    </w:p>
    <w:p w14:paraId="44DB262C">
      <w:pPr>
        <w:autoSpaceDE w:val="0"/>
        <w:autoSpaceDN w:val="0"/>
        <w:adjustRightInd w:val="0"/>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（7）已标价工程量清单或预算书；</w:t>
      </w:r>
    </w:p>
    <w:p w14:paraId="57E9F75C">
      <w:pPr>
        <w:autoSpaceDE w:val="0"/>
        <w:autoSpaceDN w:val="0"/>
        <w:adjustRightInd w:val="0"/>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（8）其他合同文件。</w:t>
      </w:r>
    </w:p>
    <w:p w14:paraId="3B54C865">
      <w:pPr>
        <w:autoSpaceDE w:val="0"/>
        <w:autoSpaceDN w:val="0"/>
        <w:adjustRightInd w:val="0"/>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在合同订立及履行过程中形成的与合同有关的文件均构成合同文件组成部分。</w:t>
      </w:r>
    </w:p>
    <w:p w14:paraId="1EEFB2F0">
      <w:pPr>
        <w:autoSpaceDE w:val="0"/>
        <w:autoSpaceDN w:val="0"/>
        <w:adjustRightInd w:val="0"/>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26646063">
      <w:pPr>
        <w:snapToGrid w:val="0"/>
        <w:spacing w:line="360" w:lineRule="auto"/>
        <w:ind w:firstLine="422" w:firstLineChars="200"/>
        <w:rPr>
          <w:rFonts w:cs="宋体"/>
          <w:b/>
          <w:color w:val="auto"/>
          <w:sz w:val="21"/>
          <w:szCs w:val="21"/>
          <w:highlight w:val="none"/>
        </w:rPr>
      </w:pPr>
      <w:bookmarkStart w:id="76" w:name="_Toc351203487"/>
      <w:r>
        <w:rPr>
          <w:rFonts w:hint="eastAsia" w:cs="宋体"/>
          <w:b/>
          <w:color w:val="auto"/>
          <w:sz w:val="21"/>
          <w:szCs w:val="21"/>
          <w:highlight w:val="none"/>
        </w:rPr>
        <w:t>七、承诺</w:t>
      </w:r>
      <w:bookmarkEnd w:id="76"/>
    </w:p>
    <w:p w14:paraId="5752C35A">
      <w:pPr>
        <w:snapToGrid w:val="0"/>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1. 发包人承诺按照法律规定履行项目审批手续、筹集工程建设资金并按照合同约定的期限和方式支付合同价款。</w:t>
      </w:r>
    </w:p>
    <w:p w14:paraId="763E86E1">
      <w:pPr>
        <w:snapToGrid w:val="0"/>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2. 承包人承诺按照法律规定及合同约定组织完成工程施工，确保工程质量和安全，不进行转包及违法分包，并在缺陷责任期及保修期内承担相应的工程维修责任。</w:t>
      </w:r>
    </w:p>
    <w:p w14:paraId="5E6783D8">
      <w:pPr>
        <w:snapToGrid w:val="0"/>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3. 发包人和承包人通过招投标形式签订合同的，双方理解并承诺不再就同一工程另行签订与合同实质性内容相背离的协议。</w:t>
      </w:r>
    </w:p>
    <w:p w14:paraId="7FA3F9CB">
      <w:pPr>
        <w:snapToGrid w:val="0"/>
        <w:spacing w:line="360" w:lineRule="auto"/>
        <w:ind w:firstLine="422" w:firstLineChars="200"/>
        <w:rPr>
          <w:rFonts w:cs="宋体"/>
          <w:b/>
          <w:color w:val="auto"/>
          <w:sz w:val="21"/>
          <w:szCs w:val="21"/>
          <w:highlight w:val="none"/>
        </w:rPr>
      </w:pPr>
      <w:bookmarkStart w:id="77" w:name="_Toc351203488"/>
      <w:r>
        <w:rPr>
          <w:rFonts w:hint="eastAsia" w:cs="宋体"/>
          <w:b/>
          <w:color w:val="auto"/>
          <w:sz w:val="21"/>
          <w:szCs w:val="21"/>
          <w:highlight w:val="none"/>
        </w:rPr>
        <w:t>八、词语含义</w:t>
      </w:r>
      <w:bookmarkEnd w:id="77"/>
    </w:p>
    <w:p w14:paraId="4EAD8F09">
      <w:pPr>
        <w:snapToGrid w:val="0"/>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本协议书中词语含义与第二部分通用合同条款中赋予的含义相同。</w:t>
      </w:r>
    </w:p>
    <w:p w14:paraId="3FBFB457">
      <w:pPr>
        <w:snapToGrid w:val="0"/>
        <w:spacing w:line="360" w:lineRule="auto"/>
        <w:ind w:firstLine="422" w:firstLineChars="200"/>
        <w:rPr>
          <w:rFonts w:cs="宋体"/>
          <w:b/>
          <w:color w:val="auto"/>
          <w:sz w:val="21"/>
          <w:szCs w:val="21"/>
          <w:highlight w:val="none"/>
        </w:rPr>
      </w:pPr>
      <w:bookmarkStart w:id="78" w:name="_Toc351203489"/>
      <w:r>
        <w:rPr>
          <w:rFonts w:hint="eastAsia" w:cs="宋体"/>
          <w:b/>
          <w:color w:val="auto"/>
          <w:sz w:val="21"/>
          <w:szCs w:val="21"/>
          <w:highlight w:val="none"/>
        </w:rPr>
        <w:t>九、签订时间</w:t>
      </w:r>
      <w:bookmarkEnd w:id="78"/>
    </w:p>
    <w:p w14:paraId="0409865D">
      <w:pPr>
        <w:snapToGrid w:val="0"/>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本合同于</w:t>
      </w:r>
      <w:r>
        <w:rPr>
          <w:rFonts w:hint="eastAsia" w:cs="宋体"/>
          <w:bCs/>
          <w:color w:val="auto"/>
          <w:sz w:val="21"/>
          <w:szCs w:val="21"/>
          <w:highlight w:val="none"/>
          <w:u w:val="single"/>
        </w:rPr>
        <w:t xml:space="preserve">     </w:t>
      </w:r>
      <w:r>
        <w:rPr>
          <w:rFonts w:hint="eastAsia" w:cs="宋体"/>
          <w:bCs/>
          <w:color w:val="auto"/>
          <w:sz w:val="21"/>
          <w:szCs w:val="21"/>
          <w:highlight w:val="none"/>
        </w:rPr>
        <w:t>年</w:t>
      </w:r>
      <w:r>
        <w:rPr>
          <w:rFonts w:hint="eastAsia" w:cs="宋体"/>
          <w:bCs/>
          <w:color w:val="auto"/>
          <w:sz w:val="21"/>
          <w:szCs w:val="21"/>
          <w:highlight w:val="none"/>
          <w:u w:val="single"/>
        </w:rPr>
        <w:t xml:space="preserve">    </w:t>
      </w:r>
      <w:r>
        <w:rPr>
          <w:rFonts w:hint="eastAsia" w:cs="宋体"/>
          <w:bCs/>
          <w:color w:val="auto"/>
          <w:sz w:val="21"/>
          <w:szCs w:val="21"/>
          <w:highlight w:val="none"/>
        </w:rPr>
        <w:t>月</w:t>
      </w:r>
      <w:r>
        <w:rPr>
          <w:rFonts w:hint="eastAsia" w:cs="宋体"/>
          <w:bCs/>
          <w:color w:val="auto"/>
          <w:sz w:val="21"/>
          <w:szCs w:val="21"/>
          <w:highlight w:val="none"/>
          <w:u w:val="single"/>
        </w:rPr>
        <w:t xml:space="preserve">    </w:t>
      </w:r>
      <w:r>
        <w:rPr>
          <w:rFonts w:hint="eastAsia" w:cs="宋体"/>
          <w:bCs/>
          <w:color w:val="auto"/>
          <w:sz w:val="21"/>
          <w:szCs w:val="21"/>
          <w:highlight w:val="none"/>
        </w:rPr>
        <w:t>日签订。</w:t>
      </w:r>
    </w:p>
    <w:p w14:paraId="31BC7069">
      <w:pPr>
        <w:snapToGrid w:val="0"/>
        <w:spacing w:line="360" w:lineRule="auto"/>
        <w:ind w:firstLine="422" w:firstLineChars="200"/>
        <w:rPr>
          <w:rFonts w:cs="宋体"/>
          <w:b/>
          <w:color w:val="auto"/>
          <w:sz w:val="21"/>
          <w:szCs w:val="21"/>
          <w:highlight w:val="none"/>
        </w:rPr>
      </w:pPr>
      <w:bookmarkStart w:id="79" w:name="_Toc351203490"/>
      <w:r>
        <w:rPr>
          <w:rFonts w:hint="eastAsia" w:cs="宋体"/>
          <w:b/>
          <w:color w:val="auto"/>
          <w:sz w:val="21"/>
          <w:szCs w:val="21"/>
          <w:highlight w:val="none"/>
        </w:rPr>
        <w:t>十、签订地点</w:t>
      </w:r>
      <w:bookmarkEnd w:id="79"/>
    </w:p>
    <w:p w14:paraId="68E2C131">
      <w:pPr>
        <w:snapToGrid w:val="0"/>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本合同在</w:t>
      </w:r>
      <w:r>
        <w:rPr>
          <w:rFonts w:hint="eastAsia" w:cs="宋体"/>
          <w:bCs/>
          <w:color w:val="auto"/>
          <w:sz w:val="21"/>
          <w:szCs w:val="21"/>
          <w:highlight w:val="none"/>
          <w:u w:val="single"/>
        </w:rPr>
        <w:t xml:space="preserve">                                    </w:t>
      </w:r>
      <w:r>
        <w:rPr>
          <w:rFonts w:hint="eastAsia" w:cs="宋体"/>
          <w:bCs/>
          <w:color w:val="auto"/>
          <w:sz w:val="21"/>
          <w:szCs w:val="21"/>
          <w:highlight w:val="none"/>
        </w:rPr>
        <w:t>签订。</w:t>
      </w:r>
    </w:p>
    <w:p w14:paraId="7EFECA65">
      <w:pPr>
        <w:snapToGrid w:val="0"/>
        <w:spacing w:line="360" w:lineRule="auto"/>
        <w:ind w:firstLine="422" w:firstLineChars="200"/>
        <w:rPr>
          <w:rFonts w:cs="宋体"/>
          <w:b/>
          <w:color w:val="auto"/>
          <w:sz w:val="21"/>
          <w:szCs w:val="21"/>
          <w:highlight w:val="none"/>
        </w:rPr>
      </w:pPr>
      <w:bookmarkStart w:id="80" w:name="_Toc351203491"/>
      <w:r>
        <w:rPr>
          <w:rFonts w:hint="eastAsia" w:cs="宋体"/>
          <w:b/>
          <w:color w:val="auto"/>
          <w:sz w:val="21"/>
          <w:szCs w:val="21"/>
          <w:highlight w:val="none"/>
        </w:rPr>
        <w:t>十一、补充协议</w:t>
      </w:r>
      <w:bookmarkEnd w:id="80"/>
    </w:p>
    <w:p w14:paraId="739297DD">
      <w:pPr>
        <w:snapToGrid w:val="0"/>
        <w:spacing w:line="360" w:lineRule="auto"/>
        <w:ind w:firstLine="420" w:firstLineChars="200"/>
        <w:rPr>
          <w:rFonts w:cs="宋体"/>
          <w:b/>
          <w:bCs/>
          <w:color w:val="auto"/>
          <w:sz w:val="21"/>
          <w:szCs w:val="21"/>
          <w:highlight w:val="none"/>
        </w:rPr>
      </w:pPr>
      <w:r>
        <w:rPr>
          <w:rFonts w:hint="eastAsia" w:cs="宋体"/>
          <w:bCs/>
          <w:color w:val="auto"/>
          <w:sz w:val="21"/>
          <w:szCs w:val="21"/>
          <w:highlight w:val="none"/>
        </w:rPr>
        <w:t>合同未尽事宜，合同当事人另行签订补充协议，补充协议是合同的组成部分。</w:t>
      </w:r>
    </w:p>
    <w:p w14:paraId="048017A0">
      <w:pPr>
        <w:snapToGrid w:val="0"/>
        <w:spacing w:line="360" w:lineRule="auto"/>
        <w:ind w:firstLine="422" w:firstLineChars="200"/>
        <w:rPr>
          <w:rFonts w:cs="宋体"/>
          <w:b/>
          <w:color w:val="auto"/>
          <w:sz w:val="21"/>
          <w:szCs w:val="21"/>
          <w:highlight w:val="none"/>
        </w:rPr>
      </w:pPr>
      <w:bookmarkStart w:id="81" w:name="_Toc351203492"/>
      <w:r>
        <w:rPr>
          <w:rFonts w:hint="eastAsia" w:cs="宋体"/>
          <w:b/>
          <w:color w:val="auto"/>
          <w:sz w:val="21"/>
          <w:szCs w:val="21"/>
          <w:highlight w:val="none"/>
        </w:rPr>
        <w:t>十二、合同生效</w:t>
      </w:r>
      <w:bookmarkEnd w:id="81"/>
    </w:p>
    <w:p w14:paraId="7D8D6525">
      <w:pPr>
        <w:snapToGrid w:val="0"/>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本合同自</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 xml:space="preserve">   </w:t>
      </w:r>
      <w:r>
        <w:rPr>
          <w:rFonts w:hint="eastAsia" w:cs="宋体"/>
          <w:bCs/>
          <w:color w:val="auto"/>
          <w:sz w:val="21"/>
          <w:szCs w:val="21"/>
          <w:highlight w:val="none"/>
          <w:u w:val="single"/>
        </w:rPr>
        <w:t xml:space="preserve">           </w:t>
      </w:r>
      <w:r>
        <w:rPr>
          <w:rFonts w:hint="eastAsia" w:cs="宋体"/>
          <w:bCs/>
          <w:color w:val="auto"/>
          <w:sz w:val="21"/>
          <w:szCs w:val="21"/>
          <w:highlight w:val="none"/>
        </w:rPr>
        <w:t>生效。</w:t>
      </w:r>
    </w:p>
    <w:p w14:paraId="1485BD55">
      <w:pPr>
        <w:snapToGrid w:val="0"/>
        <w:spacing w:line="360" w:lineRule="auto"/>
        <w:ind w:firstLine="422" w:firstLineChars="200"/>
        <w:rPr>
          <w:rFonts w:cs="宋体"/>
          <w:b/>
          <w:color w:val="auto"/>
          <w:sz w:val="21"/>
          <w:szCs w:val="21"/>
          <w:highlight w:val="none"/>
        </w:rPr>
      </w:pPr>
      <w:bookmarkStart w:id="82" w:name="_Toc351203493"/>
      <w:r>
        <w:rPr>
          <w:rFonts w:hint="eastAsia" w:cs="宋体"/>
          <w:b/>
          <w:color w:val="auto"/>
          <w:sz w:val="21"/>
          <w:szCs w:val="21"/>
          <w:highlight w:val="none"/>
        </w:rPr>
        <w:t>十三、合同份数</w:t>
      </w:r>
      <w:bookmarkEnd w:id="82"/>
    </w:p>
    <w:p w14:paraId="57397C16">
      <w:pPr>
        <w:snapToGrid w:val="0"/>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本合同一式</w:t>
      </w:r>
      <w:r>
        <w:rPr>
          <w:rFonts w:hint="eastAsia" w:cs="宋体"/>
          <w:bCs/>
          <w:color w:val="auto"/>
          <w:sz w:val="21"/>
          <w:szCs w:val="21"/>
          <w:highlight w:val="none"/>
          <w:u w:val="single"/>
        </w:rPr>
        <w:t xml:space="preserve">    </w:t>
      </w:r>
      <w:r>
        <w:rPr>
          <w:rFonts w:hint="eastAsia" w:cs="宋体"/>
          <w:bCs/>
          <w:color w:val="auto"/>
          <w:sz w:val="21"/>
          <w:szCs w:val="21"/>
          <w:highlight w:val="none"/>
        </w:rPr>
        <w:t>份，均具有同等法律效力，发包人执</w:t>
      </w:r>
      <w:r>
        <w:rPr>
          <w:rFonts w:hint="eastAsia" w:cs="宋体"/>
          <w:bCs/>
          <w:color w:val="auto"/>
          <w:sz w:val="21"/>
          <w:szCs w:val="21"/>
          <w:highlight w:val="none"/>
          <w:u w:val="single"/>
        </w:rPr>
        <w:t xml:space="preserve">    </w:t>
      </w:r>
      <w:r>
        <w:rPr>
          <w:rFonts w:hint="eastAsia" w:cs="宋体"/>
          <w:bCs/>
          <w:color w:val="auto"/>
          <w:sz w:val="21"/>
          <w:szCs w:val="21"/>
          <w:highlight w:val="none"/>
        </w:rPr>
        <w:t>份，承包人执</w:t>
      </w:r>
      <w:r>
        <w:rPr>
          <w:rFonts w:hint="eastAsia" w:cs="宋体"/>
          <w:bCs/>
          <w:color w:val="auto"/>
          <w:sz w:val="21"/>
          <w:szCs w:val="21"/>
          <w:highlight w:val="none"/>
          <w:u w:val="single"/>
        </w:rPr>
        <w:t xml:space="preserve">    </w:t>
      </w:r>
      <w:r>
        <w:rPr>
          <w:rFonts w:hint="eastAsia" w:cs="宋体"/>
          <w:bCs/>
          <w:color w:val="auto"/>
          <w:sz w:val="21"/>
          <w:szCs w:val="21"/>
          <w:highlight w:val="none"/>
        </w:rPr>
        <w:t>份。</w:t>
      </w:r>
    </w:p>
    <w:p w14:paraId="41EA5934">
      <w:pPr>
        <w:snapToGrid w:val="0"/>
        <w:spacing w:line="360" w:lineRule="auto"/>
        <w:rPr>
          <w:rFonts w:cs="宋体"/>
          <w:bCs/>
          <w:color w:val="auto"/>
          <w:sz w:val="21"/>
          <w:szCs w:val="21"/>
          <w:highlight w:val="none"/>
        </w:rPr>
      </w:pPr>
    </w:p>
    <w:p w14:paraId="5D66FCAA">
      <w:pPr>
        <w:snapToGrid w:val="0"/>
        <w:spacing w:line="360" w:lineRule="auto"/>
        <w:rPr>
          <w:rFonts w:cs="宋体"/>
          <w:color w:val="auto"/>
          <w:sz w:val="21"/>
          <w:szCs w:val="21"/>
          <w:highlight w:val="none"/>
        </w:rPr>
      </w:pPr>
      <w:r>
        <w:rPr>
          <w:rFonts w:hint="eastAsia" w:cs="宋体"/>
          <w:color w:val="auto"/>
          <w:sz w:val="21"/>
          <w:szCs w:val="21"/>
          <w:highlight w:val="none"/>
        </w:rPr>
        <w:t>发包人：</w:t>
      </w:r>
      <w:r>
        <w:rPr>
          <w:rFonts w:hint="eastAsia" w:cs="宋体"/>
          <w:color w:val="auto"/>
          <w:sz w:val="21"/>
          <w:szCs w:val="21"/>
          <w:highlight w:val="none"/>
          <w:u w:val="single"/>
        </w:rPr>
        <w:t>      （</w:t>
      </w:r>
      <w:r>
        <w:rPr>
          <w:rFonts w:hint="eastAsia" w:cs="宋体"/>
          <w:color w:val="auto"/>
          <w:sz w:val="21"/>
          <w:szCs w:val="21"/>
          <w:highlight w:val="none"/>
        </w:rPr>
        <w:t>公章）                 承包人：</w:t>
      </w:r>
      <w:r>
        <w:rPr>
          <w:rFonts w:hint="eastAsia" w:cs="宋体"/>
          <w:color w:val="auto"/>
          <w:sz w:val="21"/>
          <w:szCs w:val="21"/>
          <w:highlight w:val="none"/>
          <w:u w:val="single"/>
        </w:rPr>
        <w:t>        （</w:t>
      </w:r>
      <w:r>
        <w:rPr>
          <w:rFonts w:hint="eastAsia" w:cs="宋体"/>
          <w:color w:val="auto"/>
          <w:sz w:val="21"/>
          <w:szCs w:val="21"/>
          <w:highlight w:val="none"/>
        </w:rPr>
        <w:t>公章）</w:t>
      </w:r>
    </w:p>
    <w:p w14:paraId="1A02BEF8">
      <w:pPr>
        <w:snapToGrid w:val="0"/>
        <w:spacing w:line="360" w:lineRule="auto"/>
        <w:rPr>
          <w:rFonts w:cs="宋体"/>
          <w:color w:val="auto"/>
          <w:sz w:val="21"/>
          <w:szCs w:val="21"/>
          <w:highlight w:val="none"/>
        </w:rPr>
      </w:pPr>
      <w:r>
        <w:rPr>
          <w:rFonts w:hint="eastAsia" w:cs="宋体"/>
          <w:color w:val="auto"/>
          <w:sz w:val="21"/>
          <w:szCs w:val="21"/>
          <w:highlight w:val="none"/>
        </w:rPr>
        <w:t>法定代表人或其委托代理人：                 法定代表人或其委托代理人：</w:t>
      </w:r>
    </w:p>
    <w:p w14:paraId="60CED700">
      <w:pPr>
        <w:snapToGrid w:val="0"/>
        <w:spacing w:line="360" w:lineRule="auto"/>
        <w:rPr>
          <w:rFonts w:cs="宋体"/>
          <w:color w:val="auto"/>
          <w:sz w:val="21"/>
          <w:szCs w:val="21"/>
          <w:highlight w:val="none"/>
        </w:rPr>
      </w:pPr>
      <w:r>
        <w:rPr>
          <w:rFonts w:hint="eastAsia" w:cs="宋体"/>
          <w:color w:val="auto"/>
          <w:sz w:val="21"/>
          <w:szCs w:val="21"/>
          <w:highlight w:val="none"/>
        </w:rPr>
        <w:t>（签字）</w:t>
      </w:r>
      <w:r>
        <w:rPr>
          <w:rFonts w:hint="eastAsia" w:cs="宋体"/>
          <w:color w:val="auto"/>
          <w:sz w:val="21"/>
          <w:szCs w:val="21"/>
          <w:highlight w:val="none"/>
          <w:u w:val="single"/>
        </w:rPr>
        <w:t xml:space="preserve">                    </w:t>
      </w:r>
      <w:r>
        <w:rPr>
          <w:rFonts w:hint="eastAsia" w:cs="宋体"/>
          <w:color w:val="auto"/>
          <w:sz w:val="21"/>
          <w:szCs w:val="21"/>
          <w:highlight w:val="none"/>
        </w:rPr>
        <w:t xml:space="preserve">              （签字）</w:t>
      </w:r>
      <w:r>
        <w:rPr>
          <w:rFonts w:hint="eastAsia" w:cs="宋体"/>
          <w:color w:val="auto"/>
          <w:sz w:val="21"/>
          <w:szCs w:val="21"/>
          <w:highlight w:val="none"/>
          <w:u w:val="single"/>
        </w:rPr>
        <w:t xml:space="preserve">                   </w:t>
      </w:r>
    </w:p>
    <w:p w14:paraId="75C21B75">
      <w:pPr>
        <w:tabs>
          <w:tab w:val="left" w:pos="4410"/>
        </w:tabs>
        <w:snapToGrid w:val="0"/>
        <w:spacing w:line="360" w:lineRule="auto"/>
        <w:rPr>
          <w:rFonts w:cs="宋体"/>
          <w:color w:val="auto"/>
          <w:sz w:val="21"/>
          <w:szCs w:val="21"/>
          <w:highlight w:val="none"/>
        </w:rPr>
      </w:pPr>
      <w:r>
        <w:rPr>
          <w:rFonts w:hint="eastAsia" w:cs="宋体"/>
          <w:color w:val="auto"/>
          <w:sz w:val="21"/>
          <w:szCs w:val="21"/>
          <w:highlight w:val="none"/>
        </w:rPr>
        <w:t>组织机构代码：</w:t>
      </w:r>
      <w:r>
        <w:rPr>
          <w:rFonts w:hint="eastAsia" w:cs="宋体"/>
          <w:color w:val="auto"/>
          <w:sz w:val="21"/>
          <w:szCs w:val="21"/>
          <w:highlight w:val="none"/>
          <w:u w:val="single"/>
        </w:rPr>
        <w:t xml:space="preserve">       </w:t>
      </w:r>
      <w:r>
        <w:rPr>
          <w:rFonts w:hint="eastAsia" w:cs="宋体"/>
          <w:color w:val="auto"/>
          <w:sz w:val="21"/>
          <w:szCs w:val="21"/>
          <w:highlight w:val="none"/>
        </w:rPr>
        <w:t xml:space="preserve">                组织机构代码：</w:t>
      </w:r>
      <w:r>
        <w:rPr>
          <w:rFonts w:hint="eastAsia" w:cs="宋体"/>
          <w:color w:val="auto"/>
          <w:sz w:val="21"/>
          <w:szCs w:val="21"/>
          <w:highlight w:val="none"/>
          <w:u w:val="single"/>
        </w:rPr>
        <w:t xml:space="preserve">        </w:t>
      </w:r>
    </w:p>
    <w:p w14:paraId="11B46F08">
      <w:pPr>
        <w:snapToGrid w:val="0"/>
        <w:spacing w:line="360" w:lineRule="auto"/>
        <w:rPr>
          <w:rFonts w:cs="宋体"/>
          <w:color w:val="auto"/>
          <w:sz w:val="21"/>
          <w:szCs w:val="21"/>
          <w:highlight w:val="none"/>
        </w:rPr>
      </w:pPr>
      <w:r>
        <w:rPr>
          <w:rFonts w:hint="eastAsia" w:cs="宋体"/>
          <w:color w:val="auto"/>
          <w:sz w:val="21"/>
          <w:szCs w:val="21"/>
          <w:highlight w:val="none"/>
        </w:rPr>
        <w:t>地  址：</w:t>
      </w:r>
      <w:r>
        <w:rPr>
          <w:rFonts w:hint="eastAsia" w:cs="宋体"/>
          <w:color w:val="auto"/>
          <w:sz w:val="21"/>
          <w:szCs w:val="21"/>
          <w:highlight w:val="none"/>
          <w:u w:val="single"/>
        </w:rPr>
        <w:t xml:space="preserve">     </w:t>
      </w:r>
      <w:r>
        <w:rPr>
          <w:rFonts w:hint="eastAsia" w:cs="宋体"/>
          <w:color w:val="auto"/>
          <w:sz w:val="21"/>
          <w:szCs w:val="21"/>
          <w:highlight w:val="none"/>
        </w:rPr>
        <w:t xml:space="preserve">                地  址：</w:t>
      </w:r>
      <w:r>
        <w:rPr>
          <w:rFonts w:hint="eastAsia" w:cs="宋体"/>
          <w:color w:val="auto"/>
          <w:sz w:val="21"/>
          <w:szCs w:val="21"/>
          <w:highlight w:val="none"/>
          <w:u w:val="single"/>
        </w:rPr>
        <w:t xml:space="preserve">     </w:t>
      </w:r>
    </w:p>
    <w:p w14:paraId="2CE02781">
      <w:pPr>
        <w:snapToGrid w:val="0"/>
        <w:spacing w:line="360" w:lineRule="auto"/>
        <w:rPr>
          <w:rFonts w:cs="宋体"/>
          <w:color w:val="auto"/>
          <w:sz w:val="21"/>
          <w:szCs w:val="21"/>
          <w:highlight w:val="none"/>
        </w:rPr>
      </w:pPr>
      <w:r>
        <w:rPr>
          <w:rFonts w:hint="eastAsia" w:cs="宋体"/>
          <w:color w:val="auto"/>
          <w:sz w:val="21"/>
          <w:szCs w:val="21"/>
          <w:highlight w:val="none"/>
        </w:rPr>
        <w:t>邮政编码：</w:t>
      </w:r>
      <w:r>
        <w:rPr>
          <w:rFonts w:hint="eastAsia" w:cs="宋体"/>
          <w:color w:val="auto"/>
          <w:sz w:val="21"/>
          <w:szCs w:val="21"/>
          <w:highlight w:val="none"/>
          <w:u w:val="single"/>
        </w:rPr>
        <w:t xml:space="preserve">      </w:t>
      </w:r>
      <w:r>
        <w:rPr>
          <w:rFonts w:hint="eastAsia" w:cs="宋体"/>
          <w:color w:val="auto"/>
          <w:sz w:val="21"/>
          <w:szCs w:val="21"/>
          <w:highlight w:val="none"/>
        </w:rPr>
        <w:t xml:space="preserve">               邮政编码：</w:t>
      </w:r>
      <w:r>
        <w:rPr>
          <w:rFonts w:hint="eastAsia" w:cs="宋体"/>
          <w:color w:val="auto"/>
          <w:sz w:val="21"/>
          <w:szCs w:val="21"/>
          <w:highlight w:val="none"/>
          <w:u w:val="single"/>
        </w:rPr>
        <w:t xml:space="preserve"> </w:t>
      </w:r>
    </w:p>
    <w:p w14:paraId="75B7D717">
      <w:pPr>
        <w:snapToGrid w:val="0"/>
        <w:spacing w:line="360" w:lineRule="auto"/>
        <w:rPr>
          <w:rFonts w:cs="宋体"/>
          <w:color w:val="auto"/>
          <w:sz w:val="21"/>
          <w:szCs w:val="21"/>
          <w:highlight w:val="none"/>
        </w:rPr>
      </w:pPr>
      <w:r>
        <w:rPr>
          <w:rFonts w:hint="eastAsia" w:cs="宋体"/>
          <w:color w:val="auto"/>
          <w:sz w:val="21"/>
          <w:szCs w:val="21"/>
          <w:highlight w:val="none"/>
        </w:rPr>
        <w:t>法定代表人：</w:t>
      </w:r>
      <w:r>
        <w:rPr>
          <w:rFonts w:hint="eastAsia" w:cs="宋体"/>
          <w:color w:val="auto"/>
          <w:sz w:val="21"/>
          <w:szCs w:val="21"/>
          <w:highlight w:val="none"/>
          <w:u w:val="single"/>
        </w:rPr>
        <w:t xml:space="preserve">           </w:t>
      </w:r>
      <w:r>
        <w:rPr>
          <w:rFonts w:hint="eastAsia" w:cs="宋体"/>
          <w:color w:val="auto"/>
          <w:sz w:val="21"/>
          <w:szCs w:val="21"/>
          <w:highlight w:val="none"/>
        </w:rPr>
        <w:t xml:space="preserve">                法定代表人：</w:t>
      </w:r>
      <w:r>
        <w:rPr>
          <w:rFonts w:hint="eastAsia" w:cs="宋体"/>
          <w:color w:val="auto"/>
          <w:sz w:val="21"/>
          <w:szCs w:val="21"/>
          <w:highlight w:val="none"/>
          <w:u w:val="single"/>
        </w:rPr>
        <w:t xml:space="preserve">          </w:t>
      </w:r>
    </w:p>
    <w:p w14:paraId="769798F5">
      <w:pPr>
        <w:snapToGrid w:val="0"/>
        <w:spacing w:line="360" w:lineRule="auto"/>
        <w:rPr>
          <w:rFonts w:cs="宋体"/>
          <w:color w:val="auto"/>
          <w:sz w:val="21"/>
          <w:szCs w:val="21"/>
          <w:highlight w:val="none"/>
        </w:rPr>
      </w:pPr>
      <w:r>
        <w:rPr>
          <w:rFonts w:hint="eastAsia" w:cs="宋体"/>
          <w:color w:val="auto"/>
          <w:sz w:val="21"/>
          <w:szCs w:val="21"/>
          <w:highlight w:val="none"/>
        </w:rPr>
        <w:t>委托代理人：</w:t>
      </w:r>
      <w:r>
        <w:rPr>
          <w:rFonts w:hint="eastAsia" w:cs="宋体"/>
          <w:color w:val="auto"/>
          <w:sz w:val="21"/>
          <w:szCs w:val="21"/>
          <w:highlight w:val="none"/>
          <w:u w:val="single"/>
        </w:rPr>
        <w:t xml:space="preserve">           </w:t>
      </w:r>
      <w:r>
        <w:rPr>
          <w:rFonts w:hint="eastAsia" w:cs="宋体"/>
          <w:color w:val="auto"/>
          <w:sz w:val="21"/>
          <w:szCs w:val="21"/>
          <w:highlight w:val="none"/>
        </w:rPr>
        <w:t xml:space="preserve">                委托代理人：</w:t>
      </w:r>
      <w:r>
        <w:rPr>
          <w:rFonts w:hint="eastAsia" w:cs="宋体"/>
          <w:color w:val="auto"/>
          <w:sz w:val="21"/>
          <w:szCs w:val="21"/>
          <w:highlight w:val="none"/>
          <w:u w:val="single"/>
        </w:rPr>
        <w:t xml:space="preserve">          </w:t>
      </w:r>
    </w:p>
    <w:p w14:paraId="1710E481">
      <w:pPr>
        <w:snapToGrid w:val="0"/>
        <w:spacing w:line="360" w:lineRule="auto"/>
        <w:rPr>
          <w:rFonts w:cs="宋体"/>
          <w:color w:val="auto"/>
          <w:sz w:val="21"/>
          <w:szCs w:val="21"/>
          <w:highlight w:val="none"/>
        </w:rPr>
      </w:pPr>
      <w:r>
        <w:rPr>
          <w:rFonts w:hint="eastAsia" w:cs="宋体"/>
          <w:color w:val="auto"/>
          <w:sz w:val="21"/>
          <w:szCs w:val="21"/>
          <w:highlight w:val="none"/>
        </w:rPr>
        <w:t>电  话：</w:t>
      </w:r>
      <w:r>
        <w:rPr>
          <w:rFonts w:hint="eastAsia" w:cs="宋体"/>
          <w:color w:val="auto"/>
          <w:sz w:val="21"/>
          <w:szCs w:val="21"/>
          <w:highlight w:val="none"/>
          <w:u w:val="single"/>
        </w:rPr>
        <w:t xml:space="preserve">   </w:t>
      </w:r>
      <w:r>
        <w:rPr>
          <w:rFonts w:hint="eastAsia" w:cs="宋体"/>
          <w:color w:val="auto"/>
          <w:sz w:val="21"/>
          <w:szCs w:val="21"/>
          <w:highlight w:val="none"/>
        </w:rPr>
        <w:t xml:space="preserve">                电  话：</w:t>
      </w:r>
      <w:r>
        <w:rPr>
          <w:rFonts w:hint="eastAsia" w:cs="宋体"/>
          <w:color w:val="auto"/>
          <w:sz w:val="21"/>
          <w:szCs w:val="21"/>
          <w:highlight w:val="none"/>
          <w:u w:val="single"/>
        </w:rPr>
        <w:t xml:space="preserve">  </w:t>
      </w:r>
    </w:p>
    <w:p w14:paraId="52027C44">
      <w:pPr>
        <w:snapToGrid w:val="0"/>
        <w:spacing w:line="360" w:lineRule="auto"/>
        <w:rPr>
          <w:rFonts w:cs="宋体"/>
          <w:color w:val="auto"/>
          <w:sz w:val="21"/>
          <w:szCs w:val="21"/>
          <w:highlight w:val="none"/>
        </w:rPr>
      </w:pPr>
      <w:r>
        <w:rPr>
          <w:rFonts w:hint="eastAsia" w:cs="宋体"/>
          <w:color w:val="auto"/>
          <w:sz w:val="21"/>
          <w:szCs w:val="21"/>
          <w:highlight w:val="none"/>
        </w:rPr>
        <w:t>传  真：</w:t>
      </w:r>
      <w:r>
        <w:rPr>
          <w:rFonts w:hint="eastAsia" w:cs="宋体"/>
          <w:color w:val="auto"/>
          <w:sz w:val="21"/>
          <w:szCs w:val="21"/>
          <w:highlight w:val="none"/>
          <w:u w:val="single"/>
        </w:rPr>
        <w:t xml:space="preserve">   </w:t>
      </w:r>
      <w:r>
        <w:rPr>
          <w:rFonts w:hint="eastAsia" w:cs="宋体"/>
          <w:color w:val="auto"/>
          <w:sz w:val="21"/>
          <w:szCs w:val="21"/>
          <w:highlight w:val="none"/>
        </w:rPr>
        <w:t xml:space="preserve">                传  真：</w:t>
      </w:r>
      <w:r>
        <w:rPr>
          <w:rFonts w:hint="eastAsia" w:cs="宋体"/>
          <w:color w:val="auto"/>
          <w:sz w:val="21"/>
          <w:szCs w:val="21"/>
          <w:highlight w:val="none"/>
          <w:u w:val="single"/>
        </w:rPr>
        <w:t>  </w:t>
      </w:r>
    </w:p>
    <w:p w14:paraId="18051003">
      <w:pPr>
        <w:snapToGrid w:val="0"/>
        <w:spacing w:line="360" w:lineRule="auto"/>
        <w:rPr>
          <w:rFonts w:cs="宋体"/>
          <w:color w:val="auto"/>
          <w:sz w:val="21"/>
          <w:szCs w:val="21"/>
          <w:highlight w:val="none"/>
        </w:rPr>
      </w:pPr>
      <w:r>
        <w:rPr>
          <w:rFonts w:hint="eastAsia" w:cs="宋体"/>
          <w:color w:val="auto"/>
          <w:sz w:val="21"/>
          <w:szCs w:val="21"/>
          <w:highlight w:val="none"/>
        </w:rPr>
        <w:t>电子信箱：</w:t>
      </w:r>
      <w:r>
        <w:rPr>
          <w:rFonts w:hint="eastAsia" w:cs="宋体"/>
          <w:color w:val="auto"/>
          <w:sz w:val="21"/>
          <w:szCs w:val="21"/>
          <w:highlight w:val="none"/>
          <w:u w:val="single"/>
        </w:rPr>
        <w:t xml:space="preserve">                 </w:t>
      </w:r>
      <w:r>
        <w:rPr>
          <w:rFonts w:hint="eastAsia" w:cs="宋体"/>
          <w:color w:val="auto"/>
          <w:sz w:val="21"/>
          <w:szCs w:val="21"/>
          <w:highlight w:val="none"/>
        </w:rPr>
        <w:t xml:space="preserve">                电子信箱：</w:t>
      </w:r>
      <w:r>
        <w:rPr>
          <w:rFonts w:hint="eastAsia" w:cs="宋体"/>
          <w:color w:val="auto"/>
          <w:sz w:val="21"/>
          <w:szCs w:val="21"/>
          <w:highlight w:val="none"/>
          <w:u w:val="single"/>
        </w:rPr>
        <w:t></w:t>
      </w:r>
    </w:p>
    <w:p w14:paraId="3958DD4D">
      <w:pPr>
        <w:snapToGrid w:val="0"/>
        <w:spacing w:line="360" w:lineRule="auto"/>
        <w:rPr>
          <w:rFonts w:cs="宋体"/>
          <w:color w:val="auto"/>
          <w:sz w:val="21"/>
          <w:szCs w:val="21"/>
          <w:highlight w:val="none"/>
        </w:rPr>
      </w:pPr>
      <w:r>
        <w:rPr>
          <w:rFonts w:hint="eastAsia" w:cs="宋体"/>
          <w:color w:val="auto"/>
          <w:sz w:val="21"/>
          <w:szCs w:val="21"/>
          <w:highlight w:val="none"/>
        </w:rPr>
        <w:t>开户银行：</w:t>
      </w:r>
      <w:r>
        <w:rPr>
          <w:rFonts w:hint="eastAsia" w:cs="宋体"/>
          <w:color w:val="auto"/>
          <w:sz w:val="21"/>
          <w:szCs w:val="21"/>
          <w:highlight w:val="none"/>
          <w:u w:val="single"/>
        </w:rPr>
        <w:t xml:space="preserve">   </w:t>
      </w:r>
      <w:r>
        <w:rPr>
          <w:rFonts w:hint="eastAsia" w:cs="宋体"/>
          <w:color w:val="auto"/>
          <w:sz w:val="21"/>
          <w:szCs w:val="21"/>
          <w:highlight w:val="none"/>
        </w:rPr>
        <w:t xml:space="preserve">                开户银行：</w:t>
      </w:r>
      <w:r>
        <w:rPr>
          <w:rFonts w:hint="eastAsia" w:cs="宋体"/>
          <w:color w:val="auto"/>
          <w:sz w:val="21"/>
          <w:szCs w:val="21"/>
          <w:highlight w:val="none"/>
          <w:u w:val="single"/>
        </w:rPr>
        <w:t></w:t>
      </w:r>
    </w:p>
    <w:p w14:paraId="2C2D7461">
      <w:pPr>
        <w:snapToGrid w:val="0"/>
        <w:spacing w:line="360" w:lineRule="auto"/>
        <w:rPr>
          <w:rFonts w:cs="宋体"/>
          <w:color w:val="auto"/>
          <w:sz w:val="21"/>
          <w:szCs w:val="21"/>
          <w:highlight w:val="none"/>
        </w:rPr>
      </w:pPr>
      <w:r>
        <w:rPr>
          <w:rFonts w:hint="eastAsia" w:cs="宋体"/>
          <w:color w:val="auto"/>
          <w:sz w:val="21"/>
          <w:szCs w:val="21"/>
          <w:highlight w:val="none"/>
        </w:rPr>
        <w:t>账  号：</w:t>
      </w:r>
      <w:r>
        <w:rPr>
          <w:rFonts w:hint="eastAsia" w:cs="宋体"/>
          <w:color w:val="auto"/>
          <w:sz w:val="21"/>
          <w:szCs w:val="21"/>
          <w:highlight w:val="none"/>
          <w:u w:val="single"/>
        </w:rPr>
        <w:t xml:space="preserve">       </w:t>
      </w:r>
      <w:r>
        <w:rPr>
          <w:rFonts w:hint="eastAsia" w:cs="宋体"/>
          <w:color w:val="auto"/>
          <w:sz w:val="21"/>
          <w:szCs w:val="21"/>
          <w:highlight w:val="none"/>
        </w:rPr>
        <w:t xml:space="preserve">                账  号：</w:t>
      </w:r>
      <w:r>
        <w:rPr>
          <w:rFonts w:hint="eastAsia" w:cs="宋体"/>
          <w:color w:val="auto"/>
          <w:sz w:val="21"/>
          <w:szCs w:val="21"/>
          <w:highlight w:val="none"/>
          <w:u w:val="single"/>
        </w:rPr>
        <w:t xml:space="preserve">   </w:t>
      </w:r>
    </w:p>
    <w:p w14:paraId="763C53F5">
      <w:pPr>
        <w:keepNext/>
        <w:keepLines/>
        <w:snapToGrid w:val="0"/>
        <w:spacing w:before="312" w:beforeLines="100" w:after="312" w:afterLines="100" w:line="360" w:lineRule="auto"/>
        <w:jc w:val="center"/>
        <w:outlineLvl w:val="1"/>
        <w:rPr>
          <w:rFonts w:cs="宋体"/>
          <w:bCs/>
          <w:color w:val="auto"/>
          <w:sz w:val="21"/>
          <w:szCs w:val="21"/>
          <w:highlight w:val="none"/>
        </w:rPr>
      </w:pPr>
      <w:r>
        <w:rPr>
          <w:rFonts w:hint="eastAsia" w:cs="宋体"/>
          <w:b/>
          <w:bCs/>
          <w:color w:val="auto"/>
          <w:sz w:val="21"/>
          <w:szCs w:val="21"/>
          <w:highlight w:val="none"/>
        </w:rPr>
        <w:br w:type="page"/>
      </w:r>
      <w:bookmarkStart w:id="83" w:name="_Toc8613"/>
      <w:bookmarkStart w:id="84" w:name="_Toc28799377"/>
      <w:bookmarkStart w:id="85" w:name="_Toc130919121"/>
      <w:bookmarkStart w:id="86" w:name="_Toc23745"/>
      <w:r>
        <w:rPr>
          <w:rFonts w:hint="eastAsia" w:ascii="等线" w:hAnsi="等线" w:eastAsia="等线" w:cs="@仿宋_GB2312"/>
          <w:b/>
          <w:color w:val="auto"/>
          <w:kern w:val="2"/>
          <w:sz w:val="24"/>
          <w:highlight w:val="none"/>
        </w:rPr>
        <w:t>第二节  通用合同条款</w:t>
      </w:r>
      <w:bookmarkEnd w:id="83"/>
      <w:bookmarkEnd w:id="84"/>
      <w:bookmarkEnd w:id="85"/>
      <w:bookmarkEnd w:id="86"/>
    </w:p>
    <w:p w14:paraId="58802566">
      <w:pPr>
        <w:spacing w:line="360" w:lineRule="auto"/>
        <w:ind w:firstLine="560" w:firstLineChars="200"/>
        <w:rPr>
          <w:rFonts w:cs="Times New Roman"/>
          <w:snapToGrid w:val="0"/>
          <w:color w:val="auto"/>
          <w:sz w:val="28"/>
          <w:szCs w:val="24"/>
          <w:highlight w:val="none"/>
        </w:rPr>
      </w:pPr>
      <w:r>
        <w:rPr>
          <w:rFonts w:hint="eastAsia" w:cs="Times New Roman"/>
          <w:snapToGrid w:val="0"/>
          <w:color w:val="auto"/>
          <w:sz w:val="28"/>
          <w:szCs w:val="24"/>
          <w:highlight w:val="none"/>
        </w:rPr>
        <w:t>采用《建设工程施工合同（示范文本）》（GF-2017-0201）中通用合同条款。上述资料由承包人自行准备。</w:t>
      </w:r>
    </w:p>
    <w:p w14:paraId="45FA7310">
      <w:pPr>
        <w:keepNext/>
        <w:keepLines/>
        <w:snapToGrid w:val="0"/>
        <w:spacing w:before="312" w:beforeLines="100" w:after="312" w:afterLines="100" w:line="360" w:lineRule="auto"/>
        <w:jc w:val="center"/>
        <w:outlineLvl w:val="1"/>
        <w:rPr>
          <w:rFonts w:cs="宋体"/>
          <w:bCs/>
          <w:color w:val="auto"/>
          <w:sz w:val="21"/>
          <w:szCs w:val="21"/>
          <w:highlight w:val="none"/>
        </w:rPr>
      </w:pPr>
      <w:r>
        <w:rPr>
          <w:rFonts w:hint="eastAsia" w:cs="宋体"/>
          <w:b/>
          <w:bCs/>
          <w:color w:val="auto"/>
          <w:sz w:val="21"/>
          <w:szCs w:val="21"/>
          <w:highlight w:val="none"/>
        </w:rPr>
        <w:br w:type="page"/>
      </w:r>
      <w:bookmarkStart w:id="87" w:name="_Toc130919122"/>
      <w:bookmarkStart w:id="88" w:name="_Toc22205"/>
      <w:bookmarkStart w:id="89" w:name="_Toc25217"/>
      <w:bookmarkStart w:id="90" w:name="_Toc28799378"/>
      <w:r>
        <w:rPr>
          <w:rFonts w:hint="eastAsia" w:ascii="等线" w:hAnsi="等线" w:eastAsia="等线" w:cs="@仿宋_GB2312"/>
          <w:b/>
          <w:color w:val="auto"/>
          <w:kern w:val="2"/>
          <w:sz w:val="24"/>
          <w:highlight w:val="none"/>
        </w:rPr>
        <w:t>第三节  专用合同条款</w:t>
      </w:r>
      <w:bookmarkEnd w:id="87"/>
      <w:bookmarkEnd w:id="88"/>
      <w:bookmarkEnd w:id="89"/>
      <w:bookmarkEnd w:id="90"/>
    </w:p>
    <w:p w14:paraId="125799C4">
      <w:pPr>
        <w:snapToGrid w:val="0"/>
        <w:spacing w:before="312" w:beforeLines="100" w:after="312" w:afterLines="100" w:line="360" w:lineRule="auto"/>
        <w:jc w:val="center"/>
        <w:outlineLvl w:val="2"/>
        <w:rPr>
          <w:rFonts w:cs="宋体"/>
          <w:color w:val="auto"/>
          <w:sz w:val="21"/>
          <w:szCs w:val="21"/>
          <w:highlight w:val="none"/>
        </w:rPr>
      </w:pPr>
      <w:bookmarkStart w:id="91" w:name="_Toc351203633"/>
      <w:r>
        <w:rPr>
          <w:rFonts w:hint="eastAsia" w:cs="宋体"/>
          <w:color w:val="auto"/>
          <w:sz w:val="21"/>
          <w:szCs w:val="21"/>
          <w:highlight w:val="none"/>
        </w:rPr>
        <w:t>专用合同条款数据表</w:t>
      </w:r>
    </w:p>
    <w:p w14:paraId="78575824">
      <w:pPr>
        <w:pStyle w:val="20"/>
        <w:snapToGrid w:val="0"/>
        <w:spacing w:line="360" w:lineRule="auto"/>
        <w:ind w:left="400" w:firstLine="480"/>
        <w:rPr>
          <w:rFonts w:ascii="宋体" w:hAnsi="宋体" w:cs="宋体"/>
          <w:color w:val="auto"/>
          <w:szCs w:val="21"/>
          <w:highlight w:val="none"/>
        </w:rPr>
      </w:pPr>
      <w:r>
        <w:rPr>
          <w:rFonts w:hint="eastAsia" w:ascii="宋体" w:hAnsi="宋体" w:cs="宋体"/>
          <w:color w:val="auto"/>
          <w:szCs w:val="21"/>
          <w:highlight w:val="none"/>
        </w:rPr>
        <w:t>说明：本数据表是项目专用合同条款中适用于本招标项目的信息和数据的归纳与提示，是项目专用合同条款的组成部分。</w:t>
      </w:r>
    </w:p>
    <w:tbl>
      <w:tblPr>
        <w:tblStyle w:val="55"/>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111"/>
        <w:gridCol w:w="7304"/>
      </w:tblGrid>
      <w:tr w14:paraId="57E07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29" w:type="dxa"/>
            <w:vAlign w:val="center"/>
          </w:tcPr>
          <w:p w14:paraId="4674097D">
            <w:pPr>
              <w:snapToGrid w:val="0"/>
              <w:spacing w:before="100" w:beforeAutospacing="1" w:line="360" w:lineRule="auto"/>
              <w:ind w:left="-100" w:leftChars="-50" w:right="-100" w:rightChars="-50"/>
              <w:jc w:val="center"/>
              <w:rPr>
                <w:rFonts w:cs="宋体"/>
                <w:b/>
                <w:color w:val="auto"/>
                <w:sz w:val="21"/>
                <w:szCs w:val="21"/>
                <w:highlight w:val="none"/>
              </w:rPr>
            </w:pPr>
            <w:r>
              <w:rPr>
                <w:rFonts w:hint="eastAsia" w:cs="宋体"/>
                <w:b/>
                <w:color w:val="auto"/>
                <w:sz w:val="21"/>
                <w:szCs w:val="21"/>
                <w:highlight w:val="none"/>
              </w:rPr>
              <w:t>序号</w:t>
            </w:r>
          </w:p>
        </w:tc>
        <w:tc>
          <w:tcPr>
            <w:tcW w:w="1111" w:type="dxa"/>
            <w:vAlign w:val="center"/>
          </w:tcPr>
          <w:p w14:paraId="2F891269">
            <w:pPr>
              <w:snapToGrid w:val="0"/>
              <w:spacing w:line="360" w:lineRule="auto"/>
              <w:ind w:left="-100" w:leftChars="-50" w:right="-100" w:rightChars="-50"/>
              <w:jc w:val="center"/>
              <w:rPr>
                <w:rFonts w:cs="宋体"/>
                <w:b/>
                <w:color w:val="auto"/>
                <w:sz w:val="21"/>
                <w:szCs w:val="21"/>
                <w:highlight w:val="none"/>
              </w:rPr>
            </w:pPr>
            <w:r>
              <w:rPr>
                <w:rFonts w:hint="eastAsia" w:cs="宋体"/>
                <w:b/>
                <w:color w:val="auto"/>
                <w:sz w:val="21"/>
                <w:szCs w:val="21"/>
                <w:highlight w:val="none"/>
              </w:rPr>
              <w:t>条目号</w:t>
            </w:r>
          </w:p>
        </w:tc>
        <w:tc>
          <w:tcPr>
            <w:tcW w:w="7304" w:type="dxa"/>
            <w:vAlign w:val="center"/>
          </w:tcPr>
          <w:p w14:paraId="3EBC4AAF">
            <w:pPr>
              <w:snapToGrid w:val="0"/>
              <w:spacing w:line="360" w:lineRule="auto"/>
              <w:jc w:val="center"/>
              <w:rPr>
                <w:rFonts w:cs="宋体"/>
                <w:b/>
                <w:color w:val="auto"/>
                <w:sz w:val="21"/>
                <w:szCs w:val="21"/>
                <w:highlight w:val="none"/>
              </w:rPr>
            </w:pPr>
            <w:r>
              <w:rPr>
                <w:rFonts w:hint="eastAsia" w:cs="宋体"/>
                <w:b/>
                <w:color w:val="auto"/>
                <w:sz w:val="21"/>
                <w:szCs w:val="21"/>
                <w:highlight w:val="none"/>
              </w:rPr>
              <w:t>信息或数据</w:t>
            </w:r>
          </w:p>
        </w:tc>
      </w:tr>
      <w:tr w14:paraId="28A77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09D652F5">
            <w:pPr>
              <w:numPr>
                <w:ilvl w:val="0"/>
                <w:numId w:val="2"/>
              </w:numPr>
              <w:snapToGrid w:val="0"/>
              <w:spacing w:line="360" w:lineRule="auto"/>
              <w:jc w:val="center"/>
              <w:rPr>
                <w:rFonts w:cs="宋体"/>
                <w:bCs/>
                <w:color w:val="auto"/>
                <w:kern w:val="2"/>
                <w:sz w:val="21"/>
                <w:szCs w:val="21"/>
                <w:highlight w:val="none"/>
              </w:rPr>
            </w:pPr>
          </w:p>
        </w:tc>
        <w:tc>
          <w:tcPr>
            <w:tcW w:w="1111" w:type="dxa"/>
            <w:vAlign w:val="center"/>
          </w:tcPr>
          <w:p w14:paraId="61F896CD">
            <w:pPr>
              <w:snapToGrid w:val="0"/>
              <w:spacing w:line="360" w:lineRule="auto"/>
              <w:jc w:val="center"/>
              <w:rPr>
                <w:rFonts w:cs="宋体"/>
                <w:bCs/>
                <w:color w:val="auto"/>
                <w:sz w:val="21"/>
                <w:szCs w:val="21"/>
                <w:highlight w:val="none"/>
              </w:rPr>
            </w:pPr>
            <w:r>
              <w:rPr>
                <w:rFonts w:hint="eastAsia" w:cs="宋体"/>
                <w:bCs/>
                <w:color w:val="auto"/>
                <w:sz w:val="21"/>
                <w:szCs w:val="21"/>
                <w:highlight w:val="none"/>
              </w:rPr>
              <w:t>2.5</w:t>
            </w:r>
          </w:p>
        </w:tc>
        <w:tc>
          <w:tcPr>
            <w:tcW w:w="7304" w:type="dxa"/>
            <w:vAlign w:val="center"/>
          </w:tcPr>
          <w:p w14:paraId="0DE227B1">
            <w:pPr>
              <w:snapToGrid w:val="0"/>
              <w:spacing w:line="360" w:lineRule="auto"/>
              <w:rPr>
                <w:rFonts w:cs="宋体"/>
                <w:bCs/>
                <w:color w:val="auto"/>
                <w:sz w:val="21"/>
                <w:szCs w:val="21"/>
                <w:highlight w:val="none"/>
                <w:u w:val="single"/>
              </w:rPr>
            </w:pPr>
            <w:r>
              <w:rPr>
                <w:rFonts w:hint="eastAsia" w:cs="宋体"/>
                <w:bCs/>
                <w:color w:val="auto"/>
                <w:sz w:val="21"/>
                <w:szCs w:val="21"/>
                <w:highlight w:val="none"/>
              </w:rPr>
              <w:t xml:space="preserve">发包人提供资金来源证明的期限要求： </w:t>
            </w:r>
            <w:r>
              <w:rPr>
                <w:rFonts w:hint="eastAsia" w:cs="宋体"/>
                <w:bCs/>
                <w:color w:val="auto"/>
                <w:sz w:val="21"/>
                <w:szCs w:val="21"/>
                <w:highlight w:val="none"/>
                <w:u w:val="single"/>
              </w:rPr>
              <w:t xml:space="preserve">财政资金，不需提供   </w:t>
            </w:r>
          </w:p>
          <w:p w14:paraId="336ABC7D">
            <w:pPr>
              <w:snapToGrid w:val="0"/>
              <w:spacing w:line="360" w:lineRule="auto"/>
              <w:rPr>
                <w:rFonts w:cs="宋体"/>
                <w:bCs/>
                <w:color w:val="auto"/>
                <w:sz w:val="21"/>
                <w:szCs w:val="21"/>
                <w:highlight w:val="none"/>
              </w:rPr>
            </w:pPr>
            <w:r>
              <w:rPr>
                <w:rFonts w:hint="eastAsia" w:cs="宋体"/>
                <w:bCs/>
                <w:color w:val="auto"/>
                <w:sz w:val="21"/>
                <w:szCs w:val="21"/>
                <w:highlight w:val="none"/>
              </w:rPr>
              <w:t xml:space="preserve">发包人是否提供支付担保：  </w:t>
            </w:r>
            <w:r>
              <w:rPr>
                <w:rFonts w:hint="eastAsia" w:cs="宋体"/>
                <w:bCs/>
                <w:color w:val="auto"/>
                <w:sz w:val="21"/>
                <w:szCs w:val="21"/>
                <w:highlight w:val="none"/>
                <w:u w:val="single"/>
              </w:rPr>
              <w:t xml:space="preserve"> 财政资金，不需提供   </w:t>
            </w:r>
          </w:p>
          <w:p w14:paraId="481DD838">
            <w:pPr>
              <w:snapToGrid w:val="0"/>
              <w:spacing w:line="360" w:lineRule="auto"/>
              <w:rPr>
                <w:rFonts w:cs="宋体"/>
                <w:bCs/>
                <w:color w:val="auto"/>
                <w:sz w:val="21"/>
                <w:szCs w:val="21"/>
                <w:highlight w:val="none"/>
                <w:u w:val="single"/>
              </w:rPr>
            </w:pPr>
            <w:r>
              <w:rPr>
                <w:rFonts w:hint="eastAsia" w:cs="宋体"/>
                <w:bCs/>
                <w:color w:val="auto"/>
                <w:sz w:val="21"/>
                <w:szCs w:val="21"/>
                <w:highlight w:val="none"/>
              </w:rPr>
              <w:t>发包人提供支付担保的形式：</w:t>
            </w:r>
            <w:r>
              <w:rPr>
                <w:rFonts w:hint="eastAsia" w:cs="宋体"/>
                <w:bCs/>
                <w:color w:val="auto"/>
                <w:sz w:val="21"/>
                <w:szCs w:val="21"/>
                <w:highlight w:val="none"/>
                <w:u w:val="single"/>
              </w:rPr>
              <w:t xml:space="preserve"> 财政资金，不需提供  </w:t>
            </w:r>
          </w:p>
        </w:tc>
      </w:tr>
      <w:tr w14:paraId="46496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17B13746">
            <w:pPr>
              <w:numPr>
                <w:ilvl w:val="0"/>
                <w:numId w:val="2"/>
              </w:numPr>
              <w:snapToGrid w:val="0"/>
              <w:spacing w:line="360" w:lineRule="auto"/>
              <w:jc w:val="center"/>
              <w:rPr>
                <w:rFonts w:cs="宋体"/>
                <w:bCs/>
                <w:color w:val="auto"/>
                <w:kern w:val="2"/>
                <w:sz w:val="21"/>
                <w:szCs w:val="21"/>
                <w:highlight w:val="none"/>
              </w:rPr>
            </w:pPr>
          </w:p>
        </w:tc>
        <w:tc>
          <w:tcPr>
            <w:tcW w:w="1111" w:type="dxa"/>
            <w:vAlign w:val="center"/>
          </w:tcPr>
          <w:p w14:paraId="596AC9AE">
            <w:pPr>
              <w:snapToGrid w:val="0"/>
              <w:spacing w:line="360" w:lineRule="auto"/>
              <w:jc w:val="center"/>
              <w:rPr>
                <w:rFonts w:cs="宋体"/>
                <w:bCs/>
                <w:color w:val="auto"/>
                <w:kern w:val="2"/>
                <w:sz w:val="21"/>
                <w:szCs w:val="21"/>
                <w:highlight w:val="none"/>
              </w:rPr>
            </w:pPr>
            <w:r>
              <w:rPr>
                <w:rFonts w:hint="eastAsia" w:cs="宋体"/>
                <w:bCs/>
                <w:color w:val="auto"/>
                <w:sz w:val="21"/>
                <w:szCs w:val="21"/>
                <w:highlight w:val="none"/>
              </w:rPr>
              <w:t>3.2.1</w:t>
            </w:r>
          </w:p>
        </w:tc>
        <w:tc>
          <w:tcPr>
            <w:tcW w:w="7304" w:type="dxa"/>
            <w:vAlign w:val="center"/>
          </w:tcPr>
          <w:p w14:paraId="4042BC26">
            <w:pPr>
              <w:snapToGrid w:val="0"/>
              <w:spacing w:line="360" w:lineRule="auto"/>
              <w:rPr>
                <w:rFonts w:cs="宋体"/>
                <w:bCs/>
                <w:color w:val="auto"/>
                <w:sz w:val="21"/>
                <w:szCs w:val="21"/>
                <w:highlight w:val="none"/>
              </w:rPr>
            </w:pPr>
            <w:r>
              <w:rPr>
                <w:rFonts w:hint="eastAsia" w:cs="宋体"/>
                <w:bCs/>
                <w:color w:val="auto"/>
                <w:sz w:val="21"/>
                <w:szCs w:val="21"/>
                <w:highlight w:val="none"/>
              </w:rPr>
              <w:t>项目经理</w:t>
            </w:r>
          </w:p>
          <w:p w14:paraId="0085A880">
            <w:pPr>
              <w:snapToGrid w:val="0"/>
              <w:spacing w:line="360" w:lineRule="auto"/>
              <w:rPr>
                <w:rFonts w:cs="宋体"/>
                <w:bCs/>
                <w:color w:val="auto"/>
                <w:sz w:val="21"/>
                <w:szCs w:val="21"/>
                <w:highlight w:val="none"/>
              </w:rPr>
            </w:pPr>
            <w:r>
              <w:rPr>
                <w:rFonts w:hint="eastAsia" w:cs="宋体"/>
                <w:bCs/>
                <w:color w:val="auto"/>
                <w:sz w:val="21"/>
                <w:szCs w:val="21"/>
                <w:highlight w:val="none"/>
              </w:rPr>
              <w:t>姓    名：</w:t>
            </w:r>
            <w:r>
              <w:rPr>
                <w:rFonts w:hint="eastAsia" w:cs="宋体"/>
                <w:bCs/>
                <w:color w:val="auto"/>
                <w:sz w:val="21"/>
                <w:szCs w:val="21"/>
                <w:highlight w:val="none"/>
                <w:u w:val="single"/>
              </w:rPr>
              <w:t xml:space="preserve">          </w:t>
            </w:r>
          </w:p>
          <w:p w14:paraId="4A116ADB">
            <w:pPr>
              <w:snapToGrid w:val="0"/>
              <w:spacing w:line="360" w:lineRule="auto"/>
              <w:rPr>
                <w:rFonts w:cs="宋体"/>
                <w:bCs/>
                <w:color w:val="auto"/>
                <w:sz w:val="21"/>
                <w:szCs w:val="21"/>
                <w:highlight w:val="none"/>
              </w:rPr>
            </w:pPr>
            <w:r>
              <w:rPr>
                <w:rFonts w:hint="eastAsia" w:cs="宋体"/>
                <w:bCs/>
                <w:color w:val="auto"/>
                <w:sz w:val="21"/>
                <w:szCs w:val="21"/>
                <w:highlight w:val="none"/>
              </w:rPr>
              <w:t>身份证号：</w:t>
            </w:r>
            <w:r>
              <w:rPr>
                <w:rFonts w:hint="eastAsia" w:cs="宋体"/>
                <w:bCs/>
                <w:color w:val="auto"/>
                <w:sz w:val="21"/>
                <w:szCs w:val="21"/>
                <w:highlight w:val="none"/>
                <w:u w:val="single"/>
              </w:rPr>
              <w:t xml:space="preserve">          </w:t>
            </w:r>
          </w:p>
          <w:p w14:paraId="164EDEB1">
            <w:pPr>
              <w:snapToGrid w:val="0"/>
              <w:spacing w:line="360" w:lineRule="auto"/>
              <w:rPr>
                <w:rFonts w:cs="宋体"/>
                <w:bCs/>
                <w:color w:val="auto"/>
                <w:sz w:val="21"/>
                <w:szCs w:val="21"/>
                <w:highlight w:val="none"/>
              </w:rPr>
            </w:pPr>
            <w:r>
              <w:rPr>
                <w:rFonts w:hint="eastAsia" w:cs="宋体"/>
                <w:bCs/>
                <w:color w:val="auto"/>
                <w:sz w:val="21"/>
                <w:szCs w:val="21"/>
                <w:highlight w:val="none"/>
              </w:rPr>
              <w:t>建造师执业资格等级：</w:t>
            </w:r>
            <w:r>
              <w:rPr>
                <w:rFonts w:hint="eastAsia" w:cs="宋体"/>
                <w:bCs/>
                <w:color w:val="auto"/>
                <w:sz w:val="21"/>
                <w:szCs w:val="21"/>
                <w:highlight w:val="none"/>
                <w:u w:val="single"/>
              </w:rPr>
              <w:t xml:space="preserve">          </w:t>
            </w:r>
          </w:p>
          <w:p w14:paraId="75877517">
            <w:pPr>
              <w:snapToGrid w:val="0"/>
              <w:spacing w:line="360" w:lineRule="auto"/>
              <w:rPr>
                <w:rFonts w:cs="宋体"/>
                <w:bCs/>
                <w:color w:val="auto"/>
                <w:sz w:val="21"/>
                <w:szCs w:val="21"/>
                <w:highlight w:val="none"/>
              </w:rPr>
            </w:pPr>
            <w:r>
              <w:rPr>
                <w:rFonts w:hint="eastAsia" w:cs="宋体"/>
                <w:bCs/>
                <w:color w:val="auto"/>
                <w:sz w:val="21"/>
                <w:szCs w:val="21"/>
                <w:highlight w:val="none"/>
              </w:rPr>
              <w:t>建造师注册证书号：</w:t>
            </w:r>
            <w:r>
              <w:rPr>
                <w:rFonts w:hint="eastAsia" w:cs="宋体"/>
                <w:bCs/>
                <w:color w:val="auto"/>
                <w:sz w:val="21"/>
                <w:szCs w:val="21"/>
                <w:highlight w:val="none"/>
                <w:u w:val="single"/>
              </w:rPr>
              <w:t xml:space="preserve">            </w:t>
            </w:r>
          </w:p>
          <w:p w14:paraId="2070E0AD">
            <w:pPr>
              <w:snapToGrid w:val="0"/>
              <w:spacing w:line="360" w:lineRule="auto"/>
              <w:rPr>
                <w:rFonts w:cs="宋体"/>
                <w:bCs/>
                <w:color w:val="auto"/>
                <w:sz w:val="21"/>
                <w:szCs w:val="21"/>
                <w:highlight w:val="none"/>
                <w:u w:val="single"/>
              </w:rPr>
            </w:pPr>
            <w:r>
              <w:rPr>
                <w:rFonts w:hint="eastAsia" w:cs="宋体"/>
                <w:bCs/>
                <w:color w:val="auto"/>
                <w:sz w:val="21"/>
                <w:szCs w:val="21"/>
                <w:highlight w:val="none"/>
              </w:rPr>
              <w:t>承包人对项目经理的授权范围如下：</w:t>
            </w:r>
            <w:r>
              <w:rPr>
                <w:rFonts w:hint="eastAsia" w:cs="宋体"/>
                <w:bCs/>
                <w:color w:val="auto"/>
                <w:sz w:val="21"/>
                <w:szCs w:val="21"/>
                <w:highlight w:val="none"/>
                <w:u w:val="single"/>
              </w:rPr>
              <w:t xml:space="preserve">            </w:t>
            </w:r>
          </w:p>
          <w:p w14:paraId="612CE2DC">
            <w:pPr>
              <w:snapToGrid w:val="0"/>
              <w:spacing w:line="360" w:lineRule="auto"/>
              <w:rPr>
                <w:rFonts w:cs="宋体"/>
                <w:bCs/>
                <w:color w:val="auto"/>
                <w:kern w:val="2"/>
                <w:sz w:val="21"/>
                <w:szCs w:val="21"/>
                <w:highlight w:val="none"/>
              </w:rPr>
            </w:pPr>
            <w:r>
              <w:rPr>
                <w:rFonts w:hint="eastAsia" w:cs="宋体"/>
                <w:bCs/>
                <w:color w:val="auto"/>
                <w:sz w:val="21"/>
                <w:szCs w:val="21"/>
                <w:highlight w:val="none"/>
              </w:rPr>
              <w:t>承包人项目经理每月在施工现场的时间：驻场时间每月不少于</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22</w:t>
            </w:r>
            <w:r>
              <w:rPr>
                <w:rFonts w:hint="eastAsia" w:cs="宋体"/>
                <w:bCs/>
                <w:color w:val="auto"/>
                <w:sz w:val="21"/>
                <w:szCs w:val="21"/>
                <w:highlight w:val="none"/>
                <w:u w:val="single"/>
              </w:rPr>
              <w:t xml:space="preserve"> </w:t>
            </w:r>
            <w:r>
              <w:rPr>
                <w:rFonts w:hint="eastAsia" w:cs="宋体"/>
                <w:bCs/>
                <w:color w:val="auto"/>
                <w:sz w:val="21"/>
                <w:szCs w:val="21"/>
                <w:highlight w:val="none"/>
              </w:rPr>
              <w:t>天，每天在岗工作时间不得少于</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8</w:t>
            </w:r>
            <w:r>
              <w:rPr>
                <w:rFonts w:hint="eastAsia" w:cs="宋体"/>
                <w:bCs/>
                <w:color w:val="auto"/>
                <w:sz w:val="21"/>
                <w:szCs w:val="21"/>
                <w:highlight w:val="none"/>
                <w:u w:val="single"/>
              </w:rPr>
              <w:t xml:space="preserve"> </w:t>
            </w:r>
            <w:r>
              <w:rPr>
                <w:rFonts w:hint="eastAsia" w:cs="宋体"/>
                <w:bCs/>
                <w:color w:val="auto"/>
                <w:sz w:val="21"/>
                <w:szCs w:val="21"/>
                <w:highlight w:val="none"/>
              </w:rPr>
              <w:t>小时。</w:t>
            </w:r>
          </w:p>
        </w:tc>
      </w:tr>
      <w:tr w14:paraId="5C62A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2F3C92AF">
            <w:pPr>
              <w:numPr>
                <w:ilvl w:val="0"/>
                <w:numId w:val="2"/>
              </w:numPr>
              <w:snapToGrid w:val="0"/>
              <w:spacing w:line="360" w:lineRule="auto"/>
              <w:jc w:val="center"/>
              <w:rPr>
                <w:rFonts w:cs="宋体"/>
                <w:bCs/>
                <w:color w:val="auto"/>
                <w:kern w:val="2"/>
                <w:sz w:val="21"/>
                <w:szCs w:val="21"/>
                <w:highlight w:val="none"/>
              </w:rPr>
            </w:pPr>
          </w:p>
        </w:tc>
        <w:tc>
          <w:tcPr>
            <w:tcW w:w="1111" w:type="dxa"/>
            <w:vAlign w:val="center"/>
          </w:tcPr>
          <w:p w14:paraId="637DB8FF">
            <w:pPr>
              <w:snapToGrid w:val="0"/>
              <w:spacing w:line="360" w:lineRule="auto"/>
              <w:jc w:val="center"/>
              <w:rPr>
                <w:rFonts w:cs="宋体"/>
                <w:bCs/>
                <w:color w:val="auto"/>
                <w:kern w:val="2"/>
                <w:sz w:val="21"/>
                <w:szCs w:val="21"/>
                <w:highlight w:val="none"/>
              </w:rPr>
            </w:pPr>
            <w:r>
              <w:rPr>
                <w:rFonts w:hint="eastAsia" w:cs="宋体"/>
                <w:bCs/>
                <w:color w:val="auto"/>
                <w:sz w:val="21"/>
                <w:szCs w:val="21"/>
                <w:highlight w:val="none"/>
              </w:rPr>
              <w:t>3.7</w:t>
            </w:r>
          </w:p>
        </w:tc>
        <w:tc>
          <w:tcPr>
            <w:tcW w:w="7304" w:type="dxa"/>
            <w:vAlign w:val="center"/>
          </w:tcPr>
          <w:p w14:paraId="7472CAC2">
            <w:pPr>
              <w:snapToGrid w:val="0"/>
              <w:spacing w:line="360" w:lineRule="auto"/>
              <w:rPr>
                <w:rFonts w:cs="宋体"/>
                <w:bCs/>
                <w:color w:val="auto"/>
                <w:sz w:val="21"/>
                <w:szCs w:val="21"/>
                <w:highlight w:val="none"/>
              </w:rPr>
            </w:pPr>
            <w:r>
              <w:rPr>
                <w:rFonts w:hint="eastAsia" w:cs="宋体"/>
                <w:bCs/>
                <w:color w:val="auto"/>
                <w:sz w:val="21"/>
                <w:szCs w:val="21"/>
                <w:highlight w:val="none"/>
              </w:rPr>
              <w:t>承包人是否提供履约保证金：</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是</w:t>
            </w:r>
            <w:r>
              <w:rPr>
                <w:rFonts w:hint="eastAsia" w:cs="宋体"/>
                <w:bCs/>
                <w:color w:val="auto"/>
                <w:sz w:val="21"/>
                <w:szCs w:val="21"/>
                <w:highlight w:val="none"/>
                <w:u w:val="single"/>
              </w:rPr>
              <w:t xml:space="preserve">    </w:t>
            </w:r>
            <w:r>
              <w:rPr>
                <w:rFonts w:hint="eastAsia" w:cs="宋体"/>
                <w:bCs/>
                <w:color w:val="auto"/>
                <w:sz w:val="21"/>
                <w:szCs w:val="21"/>
                <w:highlight w:val="none"/>
              </w:rPr>
              <w:t>。</w:t>
            </w:r>
          </w:p>
          <w:p w14:paraId="6001E970">
            <w:pPr>
              <w:snapToGrid w:val="0"/>
              <w:spacing w:line="360" w:lineRule="auto"/>
              <w:rPr>
                <w:rFonts w:cs="宋体"/>
                <w:bCs/>
                <w:color w:val="auto"/>
                <w:sz w:val="21"/>
                <w:szCs w:val="21"/>
                <w:highlight w:val="none"/>
              </w:rPr>
            </w:pPr>
            <w:r>
              <w:rPr>
                <w:rFonts w:hint="eastAsia" w:cs="宋体"/>
                <w:bCs/>
                <w:color w:val="auto"/>
                <w:sz w:val="21"/>
                <w:szCs w:val="21"/>
                <w:highlight w:val="none"/>
              </w:rPr>
              <w:t>承包人提供履约保证金的形式：</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 xml:space="preserve">转账/电汇 </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支票</w:t>
            </w:r>
            <w:r>
              <w:rPr>
                <w:rFonts w:hint="eastAsia" w:cs="宋体"/>
                <w:bCs/>
                <w:color w:val="auto"/>
                <w:sz w:val="21"/>
                <w:szCs w:val="21"/>
                <w:highlight w:val="none"/>
                <w:u w:val="single"/>
                <w:lang w:val="en-US" w:eastAsia="zh-CN"/>
              </w:rPr>
              <w:t xml:space="preserve"> ☑</w:t>
            </w:r>
            <w:r>
              <w:rPr>
                <w:rFonts w:hint="eastAsia" w:cs="宋体"/>
                <w:bCs/>
                <w:color w:val="auto"/>
                <w:sz w:val="21"/>
                <w:szCs w:val="21"/>
                <w:highlight w:val="none"/>
                <w:u w:val="single"/>
              </w:rPr>
              <w:t xml:space="preserve">汇票 </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本票</w:t>
            </w:r>
            <w:r>
              <w:rPr>
                <w:rFonts w:hint="eastAsia" w:cs="宋体"/>
                <w:bCs/>
                <w:color w:val="auto"/>
                <w:sz w:val="21"/>
                <w:szCs w:val="21"/>
                <w:highlight w:val="none"/>
                <w:u w:val="single"/>
                <w:lang w:val="en-US" w:eastAsia="zh-CN"/>
              </w:rPr>
              <w:t xml:space="preserve"> ☑</w:t>
            </w:r>
            <w:r>
              <w:rPr>
                <w:rFonts w:hint="eastAsia" w:cs="宋体"/>
                <w:bCs/>
                <w:color w:val="auto"/>
                <w:sz w:val="21"/>
                <w:szCs w:val="21"/>
                <w:highlight w:val="none"/>
                <w:u w:val="single"/>
              </w:rPr>
              <w:t xml:space="preserve">保险 </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 xml:space="preserve">保函    </w:t>
            </w:r>
            <w:r>
              <w:rPr>
                <w:rFonts w:hint="eastAsia" w:cs="宋体"/>
                <w:bCs/>
                <w:color w:val="auto"/>
                <w:sz w:val="21"/>
                <w:szCs w:val="21"/>
                <w:highlight w:val="none"/>
              </w:rPr>
              <w:t>。</w:t>
            </w:r>
          </w:p>
          <w:p w14:paraId="09377518">
            <w:pPr>
              <w:snapToGrid w:val="0"/>
              <w:spacing w:line="360" w:lineRule="auto"/>
              <w:rPr>
                <w:rFonts w:cs="宋体"/>
                <w:bCs/>
                <w:color w:val="auto"/>
                <w:sz w:val="21"/>
                <w:szCs w:val="21"/>
                <w:highlight w:val="none"/>
              </w:rPr>
            </w:pPr>
            <w:r>
              <w:rPr>
                <w:rFonts w:hint="eastAsia" w:cs="宋体"/>
                <w:bCs/>
                <w:color w:val="auto"/>
                <w:sz w:val="21"/>
                <w:szCs w:val="21"/>
                <w:highlight w:val="none"/>
              </w:rPr>
              <w:t>履约保证金的金额：中标合同金额的</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2</w:t>
            </w:r>
            <w:r>
              <w:rPr>
                <w:rFonts w:hint="eastAsia" w:cs="宋体"/>
                <w:bCs/>
                <w:color w:val="auto"/>
                <w:sz w:val="21"/>
                <w:szCs w:val="21"/>
                <w:highlight w:val="none"/>
                <w:u w:val="single"/>
              </w:rPr>
              <w:t xml:space="preserve"> </w:t>
            </w:r>
            <w:r>
              <w:rPr>
                <w:rFonts w:hint="eastAsia" w:cs="宋体"/>
                <w:bCs/>
                <w:color w:val="auto"/>
                <w:sz w:val="21"/>
                <w:szCs w:val="21"/>
                <w:highlight w:val="none"/>
              </w:rPr>
              <w:t>%。</w:t>
            </w:r>
          </w:p>
          <w:p w14:paraId="2DB15963">
            <w:pPr>
              <w:snapToGrid w:val="0"/>
              <w:spacing w:line="360" w:lineRule="auto"/>
              <w:rPr>
                <w:rFonts w:cs="宋体"/>
                <w:bCs/>
                <w:color w:val="auto"/>
                <w:sz w:val="21"/>
                <w:szCs w:val="21"/>
                <w:highlight w:val="none"/>
              </w:rPr>
            </w:pPr>
            <w:r>
              <w:rPr>
                <w:rFonts w:hint="eastAsia" w:cs="宋体"/>
                <w:bCs/>
                <w:color w:val="auto"/>
                <w:sz w:val="21"/>
                <w:szCs w:val="21"/>
                <w:highlight w:val="none"/>
              </w:rPr>
              <w:t>履约保证金提交期限的要求：签订合同前。</w:t>
            </w:r>
          </w:p>
          <w:p w14:paraId="34D7880C">
            <w:pPr>
              <w:snapToGrid w:val="0"/>
              <w:spacing w:line="360" w:lineRule="auto"/>
              <w:rPr>
                <w:rFonts w:cs="宋体"/>
                <w:bCs/>
                <w:color w:val="auto"/>
                <w:kern w:val="2"/>
                <w:sz w:val="21"/>
                <w:szCs w:val="21"/>
                <w:highlight w:val="none"/>
              </w:rPr>
            </w:pPr>
            <w:r>
              <w:rPr>
                <w:rFonts w:hint="eastAsia" w:cs="宋体"/>
                <w:bCs/>
                <w:color w:val="auto"/>
                <w:sz w:val="21"/>
                <w:szCs w:val="21"/>
                <w:highlight w:val="none"/>
              </w:rPr>
              <w:t>履约保证金退还时限：</w:t>
            </w:r>
            <w:r>
              <w:rPr>
                <w:rFonts w:hint="eastAsia" w:cs="宋体"/>
                <w:bCs/>
                <w:color w:val="auto"/>
                <w:sz w:val="21"/>
                <w:szCs w:val="21"/>
                <w:highlight w:val="none"/>
                <w:u w:val="single"/>
              </w:rPr>
              <w:t xml:space="preserve">履约保证金有效期满7日内 </w:t>
            </w:r>
            <w:r>
              <w:rPr>
                <w:rFonts w:hint="eastAsia" w:cs="宋体"/>
                <w:bCs/>
                <w:color w:val="auto"/>
                <w:sz w:val="21"/>
                <w:szCs w:val="21"/>
                <w:highlight w:val="none"/>
              </w:rPr>
              <w:t>。</w:t>
            </w:r>
          </w:p>
        </w:tc>
      </w:tr>
      <w:tr w14:paraId="20BE6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5A91924B">
            <w:pPr>
              <w:numPr>
                <w:ilvl w:val="0"/>
                <w:numId w:val="2"/>
              </w:numPr>
              <w:snapToGrid w:val="0"/>
              <w:spacing w:line="360" w:lineRule="auto"/>
              <w:jc w:val="center"/>
              <w:rPr>
                <w:rFonts w:cs="宋体"/>
                <w:bCs/>
                <w:color w:val="auto"/>
                <w:sz w:val="21"/>
                <w:szCs w:val="21"/>
                <w:highlight w:val="none"/>
              </w:rPr>
            </w:pPr>
          </w:p>
        </w:tc>
        <w:tc>
          <w:tcPr>
            <w:tcW w:w="1111" w:type="dxa"/>
            <w:vAlign w:val="center"/>
          </w:tcPr>
          <w:p w14:paraId="0891FF4C">
            <w:pPr>
              <w:snapToGrid w:val="0"/>
              <w:spacing w:line="360" w:lineRule="auto"/>
              <w:jc w:val="center"/>
              <w:rPr>
                <w:rFonts w:cs="宋体"/>
                <w:bCs/>
                <w:color w:val="auto"/>
                <w:sz w:val="21"/>
                <w:szCs w:val="21"/>
                <w:highlight w:val="none"/>
              </w:rPr>
            </w:pPr>
            <w:r>
              <w:rPr>
                <w:rFonts w:hint="eastAsia" w:cs="宋体"/>
                <w:bCs/>
                <w:color w:val="auto"/>
                <w:sz w:val="21"/>
                <w:szCs w:val="21"/>
                <w:highlight w:val="none"/>
              </w:rPr>
              <w:t>5.1.1</w:t>
            </w:r>
          </w:p>
        </w:tc>
        <w:tc>
          <w:tcPr>
            <w:tcW w:w="7304" w:type="dxa"/>
            <w:vAlign w:val="center"/>
          </w:tcPr>
          <w:p w14:paraId="54DAA009">
            <w:pPr>
              <w:snapToGrid w:val="0"/>
              <w:spacing w:line="360" w:lineRule="auto"/>
              <w:rPr>
                <w:rFonts w:cs="宋体"/>
                <w:bCs/>
                <w:color w:val="auto"/>
                <w:sz w:val="21"/>
                <w:szCs w:val="21"/>
                <w:highlight w:val="none"/>
              </w:rPr>
            </w:pPr>
            <w:r>
              <w:rPr>
                <w:rFonts w:hint="eastAsia" w:cs="宋体"/>
                <w:bCs/>
                <w:color w:val="auto"/>
                <w:sz w:val="21"/>
                <w:szCs w:val="21"/>
                <w:highlight w:val="none"/>
              </w:rPr>
              <w:t>5.1.1 特殊质量标准和要求：</w:t>
            </w:r>
            <w:r>
              <w:rPr>
                <w:rFonts w:hint="eastAsia" w:cs="宋体"/>
                <w:bCs/>
                <w:color w:val="auto"/>
                <w:sz w:val="21"/>
                <w:szCs w:val="21"/>
                <w:highlight w:val="none"/>
                <w:u w:val="single"/>
              </w:rPr>
              <w:t xml:space="preserve"> 工程质量必须达到国家工程施工质量验收合格标准</w:t>
            </w:r>
            <w:r>
              <w:rPr>
                <w:rFonts w:hint="eastAsia" w:cs="宋体"/>
                <w:bCs/>
                <w:color w:val="auto"/>
                <w:sz w:val="21"/>
                <w:szCs w:val="21"/>
                <w:highlight w:val="none"/>
              </w:rPr>
              <w:t>。</w:t>
            </w:r>
          </w:p>
          <w:p w14:paraId="28CFE46E">
            <w:pPr>
              <w:snapToGrid w:val="0"/>
              <w:spacing w:line="360" w:lineRule="auto"/>
              <w:rPr>
                <w:rFonts w:cs="宋体"/>
                <w:bCs/>
                <w:color w:val="auto"/>
                <w:sz w:val="21"/>
                <w:szCs w:val="21"/>
                <w:highlight w:val="none"/>
              </w:rPr>
            </w:pPr>
            <w:r>
              <w:rPr>
                <w:rFonts w:hint="eastAsia" w:cs="宋体"/>
                <w:bCs/>
                <w:color w:val="auto"/>
                <w:sz w:val="21"/>
                <w:szCs w:val="21"/>
                <w:highlight w:val="none"/>
              </w:rPr>
              <w:t>关于工程奖项的约定：</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 xml:space="preserve">                   </w:t>
            </w:r>
            <w:r>
              <w:rPr>
                <w:rFonts w:hint="eastAsia" w:cs="宋体"/>
                <w:bCs/>
                <w:color w:val="auto"/>
                <w:sz w:val="21"/>
                <w:szCs w:val="21"/>
                <w:highlight w:val="none"/>
              </w:rPr>
              <w:t>。</w:t>
            </w:r>
          </w:p>
          <w:p w14:paraId="6E39E388">
            <w:pPr>
              <w:snapToGrid w:val="0"/>
              <w:spacing w:line="360" w:lineRule="auto"/>
              <w:rPr>
                <w:rFonts w:cs="宋体"/>
                <w:bCs/>
                <w:color w:val="auto"/>
                <w:sz w:val="21"/>
                <w:szCs w:val="21"/>
                <w:highlight w:val="none"/>
              </w:rPr>
            </w:pPr>
            <w:r>
              <w:rPr>
                <w:rFonts w:hint="eastAsia" w:cs="宋体"/>
                <w:bCs/>
                <w:color w:val="auto"/>
                <w:sz w:val="21"/>
                <w:szCs w:val="21"/>
                <w:highlight w:val="none"/>
              </w:rPr>
              <w:t>关于建造要求：</w:t>
            </w:r>
          </w:p>
          <w:p w14:paraId="6A6BA833">
            <w:pPr>
              <w:snapToGrid w:val="0"/>
              <w:spacing w:line="360" w:lineRule="auto"/>
              <w:rPr>
                <w:rFonts w:cs="宋体"/>
                <w:bCs/>
                <w:color w:val="auto"/>
                <w:sz w:val="21"/>
                <w:szCs w:val="21"/>
                <w:highlight w:val="none"/>
              </w:rPr>
            </w:pPr>
            <w:r>
              <w:rPr>
                <w:rFonts w:hint="eastAsia" w:cs="宋体"/>
                <w:bCs/>
                <w:color w:val="auto"/>
                <w:sz w:val="21"/>
                <w:szCs w:val="21"/>
                <w:highlight w:val="none"/>
              </w:rPr>
              <w:t>（1）绿色建筑等级要求：</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 xml:space="preserve">                     </w:t>
            </w:r>
            <w:r>
              <w:rPr>
                <w:rFonts w:hint="eastAsia" w:cs="宋体"/>
                <w:bCs/>
                <w:color w:val="auto"/>
                <w:sz w:val="21"/>
                <w:szCs w:val="21"/>
                <w:highlight w:val="none"/>
              </w:rPr>
              <w:t>；</w:t>
            </w:r>
          </w:p>
          <w:p w14:paraId="0FA868F8">
            <w:pPr>
              <w:snapToGrid w:val="0"/>
              <w:spacing w:line="360" w:lineRule="auto"/>
              <w:rPr>
                <w:rFonts w:cs="宋体"/>
                <w:bCs/>
                <w:color w:val="auto"/>
                <w:sz w:val="21"/>
                <w:szCs w:val="21"/>
                <w:highlight w:val="none"/>
              </w:rPr>
            </w:pPr>
            <w:r>
              <w:rPr>
                <w:rFonts w:hint="eastAsia" w:cs="宋体"/>
                <w:bCs/>
                <w:color w:val="auto"/>
                <w:sz w:val="21"/>
                <w:szCs w:val="21"/>
                <w:highlight w:val="none"/>
              </w:rPr>
              <w:t>（2）智慧工地管理要求：</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 xml:space="preserve">                    </w:t>
            </w:r>
            <w:r>
              <w:rPr>
                <w:rFonts w:hint="eastAsia" w:cs="宋体"/>
                <w:bCs/>
                <w:color w:val="auto"/>
                <w:sz w:val="21"/>
                <w:szCs w:val="21"/>
                <w:highlight w:val="none"/>
              </w:rPr>
              <w:t>；</w:t>
            </w:r>
          </w:p>
          <w:p w14:paraId="19568AD9">
            <w:pPr>
              <w:snapToGrid w:val="0"/>
              <w:spacing w:line="360" w:lineRule="auto"/>
              <w:rPr>
                <w:rFonts w:cs="宋体"/>
                <w:bCs/>
                <w:color w:val="auto"/>
                <w:sz w:val="21"/>
                <w:szCs w:val="21"/>
                <w:highlight w:val="none"/>
              </w:rPr>
            </w:pPr>
            <w:r>
              <w:rPr>
                <w:rFonts w:hint="eastAsia" w:cs="宋体"/>
                <w:bCs/>
                <w:color w:val="auto"/>
                <w:sz w:val="21"/>
                <w:szCs w:val="21"/>
                <w:highlight w:val="none"/>
              </w:rPr>
              <w:t>（3）建筑垃圾减量化目标：</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 xml:space="preserve">                 </w:t>
            </w:r>
            <w:r>
              <w:rPr>
                <w:rFonts w:hint="eastAsia" w:cs="宋体"/>
                <w:bCs/>
                <w:color w:val="auto"/>
                <w:sz w:val="21"/>
                <w:szCs w:val="21"/>
                <w:highlight w:val="none"/>
              </w:rPr>
              <w:t>；</w:t>
            </w:r>
          </w:p>
          <w:p w14:paraId="242AD54E">
            <w:pPr>
              <w:snapToGrid w:val="0"/>
              <w:spacing w:line="360" w:lineRule="auto"/>
              <w:rPr>
                <w:rFonts w:cs="宋体"/>
                <w:bCs/>
                <w:color w:val="auto"/>
                <w:sz w:val="21"/>
                <w:szCs w:val="21"/>
                <w:highlight w:val="none"/>
              </w:rPr>
            </w:pPr>
            <w:r>
              <w:rPr>
                <w:rFonts w:hint="eastAsia" w:cs="宋体"/>
                <w:bCs/>
                <w:color w:val="auto"/>
                <w:sz w:val="21"/>
                <w:szCs w:val="21"/>
                <w:highlight w:val="none"/>
              </w:rPr>
              <w:t>（4）装配式建筑装配率要求：</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 xml:space="preserve">               </w:t>
            </w:r>
            <w:r>
              <w:rPr>
                <w:rFonts w:hint="eastAsia" w:cs="宋体"/>
                <w:bCs/>
                <w:color w:val="auto"/>
                <w:sz w:val="21"/>
                <w:szCs w:val="21"/>
                <w:highlight w:val="none"/>
              </w:rPr>
              <w:t>；</w:t>
            </w:r>
          </w:p>
        </w:tc>
      </w:tr>
      <w:tr w14:paraId="5BEC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509FBEF2">
            <w:pPr>
              <w:numPr>
                <w:ilvl w:val="0"/>
                <w:numId w:val="2"/>
              </w:numPr>
              <w:snapToGrid w:val="0"/>
              <w:spacing w:line="360" w:lineRule="auto"/>
              <w:jc w:val="center"/>
              <w:rPr>
                <w:rFonts w:cs="宋体"/>
                <w:bCs/>
                <w:color w:val="auto"/>
                <w:kern w:val="2"/>
                <w:sz w:val="21"/>
                <w:szCs w:val="21"/>
                <w:highlight w:val="none"/>
              </w:rPr>
            </w:pPr>
          </w:p>
        </w:tc>
        <w:tc>
          <w:tcPr>
            <w:tcW w:w="1111" w:type="dxa"/>
            <w:vAlign w:val="center"/>
          </w:tcPr>
          <w:p w14:paraId="3D4EFCC7">
            <w:pPr>
              <w:snapToGrid w:val="0"/>
              <w:spacing w:line="360" w:lineRule="auto"/>
              <w:jc w:val="center"/>
              <w:rPr>
                <w:rFonts w:cs="宋体"/>
                <w:bCs/>
                <w:color w:val="auto"/>
                <w:kern w:val="2"/>
                <w:sz w:val="21"/>
                <w:szCs w:val="21"/>
                <w:highlight w:val="none"/>
              </w:rPr>
            </w:pPr>
            <w:r>
              <w:rPr>
                <w:rFonts w:hint="eastAsia" w:cs="宋体"/>
                <w:bCs/>
                <w:color w:val="auto"/>
                <w:sz w:val="21"/>
                <w:szCs w:val="21"/>
                <w:highlight w:val="none"/>
              </w:rPr>
              <w:t>7.5.2</w:t>
            </w:r>
          </w:p>
        </w:tc>
        <w:tc>
          <w:tcPr>
            <w:tcW w:w="7304" w:type="dxa"/>
            <w:tcBorders>
              <w:bottom w:val="single" w:color="auto" w:sz="4" w:space="0"/>
            </w:tcBorders>
            <w:vAlign w:val="center"/>
          </w:tcPr>
          <w:p w14:paraId="7A0BDDB2">
            <w:pPr>
              <w:snapToGrid w:val="0"/>
              <w:spacing w:line="360" w:lineRule="auto"/>
              <w:rPr>
                <w:rFonts w:cs="宋体"/>
                <w:bCs/>
                <w:color w:val="auto"/>
                <w:kern w:val="2"/>
                <w:sz w:val="21"/>
                <w:szCs w:val="21"/>
                <w:highlight w:val="none"/>
              </w:rPr>
            </w:pPr>
            <w:r>
              <w:rPr>
                <w:rFonts w:hint="eastAsia" w:cs="宋体"/>
                <w:bCs/>
                <w:color w:val="auto"/>
                <w:kern w:val="2"/>
                <w:sz w:val="21"/>
                <w:szCs w:val="21"/>
                <w:highlight w:val="none"/>
              </w:rPr>
              <w:t>因承包人原因造成工期延误，逾期竣工违约金的计算方法为：</w:t>
            </w:r>
            <w:r>
              <w:rPr>
                <w:rFonts w:hint="eastAsia" w:cs="宋体"/>
                <w:bCs/>
                <w:color w:val="auto"/>
                <w:kern w:val="2"/>
                <w:sz w:val="21"/>
                <w:szCs w:val="21"/>
                <w:highlight w:val="none"/>
                <w:u w:val="single"/>
              </w:rPr>
              <w:t xml:space="preserve">每推迟一天，按合同价款（扣除暂估价和暂列金）万分之二处以违约金。 </w:t>
            </w:r>
          </w:p>
          <w:p w14:paraId="40DB83F0">
            <w:pPr>
              <w:snapToGrid w:val="0"/>
              <w:spacing w:line="360" w:lineRule="auto"/>
              <w:rPr>
                <w:rFonts w:cs="宋体"/>
                <w:bCs/>
                <w:color w:val="auto"/>
                <w:kern w:val="2"/>
                <w:sz w:val="21"/>
                <w:szCs w:val="21"/>
                <w:highlight w:val="none"/>
              </w:rPr>
            </w:pPr>
            <w:r>
              <w:rPr>
                <w:rFonts w:hint="eastAsia" w:cs="宋体"/>
                <w:bCs/>
                <w:color w:val="auto"/>
                <w:kern w:val="2"/>
                <w:sz w:val="21"/>
                <w:szCs w:val="21"/>
                <w:highlight w:val="none"/>
              </w:rPr>
              <w:t>因承包人原因造成工期延误，逾期竣工违约金的上限：</w:t>
            </w:r>
            <w:r>
              <w:rPr>
                <w:rFonts w:hint="eastAsia" w:cs="宋体"/>
                <w:bCs/>
                <w:color w:val="auto"/>
                <w:kern w:val="2"/>
                <w:sz w:val="21"/>
                <w:szCs w:val="21"/>
                <w:highlight w:val="none"/>
                <w:u w:val="single"/>
              </w:rPr>
              <w:t xml:space="preserve"> 成交价的2% </w:t>
            </w:r>
            <w:r>
              <w:rPr>
                <w:rFonts w:hint="eastAsia" w:cs="宋体"/>
                <w:bCs/>
                <w:color w:val="auto"/>
                <w:kern w:val="2"/>
                <w:sz w:val="21"/>
                <w:szCs w:val="21"/>
                <w:highlight w:val="none"/>
              </w:rPr>
              <w:t>。</w:t>
            </w:r>
          </w:p>
        </w:tc>
      </w:tr>
      <w:tr w14:paraId="7C91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12B653F7">
            <w:pPr>
              <w:numPr>
                <w:ilvl w:val="0"/>
                <w:numId w:val="2"/>
              </w:numPr>
              <w:snapToGrid w:val="0"/>
              <w:spacing w:line="360" w:lineRule="auto"/>
              <w:jc w:val="center"/>
              <w:rPr>
                <w:rFonts w:cs="宋体"/>
                <w:bCs/>
                <w:color w:val="auto"/>
                <w:kern w:val="2"/>
                <w:sz w:val="21"/>
                <w:szCs w:val="21"/>
                <w:highlight w:val="none"/>
              </w:rPr>
            </w:pPr>
          </w:p>
        </w:tc>
        <w:tc>
          <w:tcPr>
            <w:tcW w:w="1111" w:type="dxa"/>
            <w:vAlign w:val="center"/>
          </w:tcPr>
          <w:p w14:paraId="78B5BC59">
            <w:pPr>
              <w:snapToGrid w:val="0"/>
              <w:spacing w:line="360" w:lineRule="auto"/>
              <w:jc w:val="center"/>
              <w:rPr>
                <w:rFonts w:cs="宋体"/>
                <w:bCs/>
                <w:color w:val="auto"/>
                <w:kern w:val="2"/>
                <w:sz w:val="21"/>
                <w:szCs w:val="21"/>
                <w:highlight w:val="none"/>
              </w:rPr>
            </w:pPr>
            <w:r>
              <w:rPr>
                <w:rFonts w:hint="eastAsia" w:cs="宋体"/>
                <w:bCs/>
                <w:color w:val="auto"/>
                <w:sz w:val="21"/>
                <w:szCs w:val="21"/>
                <w:highlight w:val="none"/>
              </w:rPr>
              <w:t>7.9.2</w:t>
            </w:r>
          </w:p>
        </w:tc>
        <w:tc>
          <w:tcPr>
            <w:tcW w:w="7304" w:type="dxa"/>
            <w:tcBorders>
              <w:bottom w:val="single" w:color="auto" w:sz="4" w:space="0"/>
            </w:tcBorders>
            <w:vAlign w:val="center"/>
          </w:tcPr>
          <w:p w14:paraId="59FCD046">
            <w:pPr>
              <w:snapToGrid w:val="0"/>
              <w:spacing w:line="360" w:lineRule="auto"/>
              <w:rPr>
                <w:rFonts w:cs="宋体"/>
                <w:bCs/>
                <w:color w:val="auto"/>
                <w:kern w:val="2"/>
                <w:sz w:val="21"/>
                <w:szCs w:val="21"/>
                <w:highlight w:val="none"/>
              </w:rPr>
            </w:pPr>
            <w:r>
              <w:rPr>
                <w:rFonts w:hint="eastAsia" w:cs="宋体"/>
                <w:color w:val="auto"/>
                <w:sz w:val="21"/>
                <w:szCs w:val="21"/>
                <w:highlight w:val="none"/>
              </w:rPr>
              <w:t>提前竣工的奖励：</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w:t>
            </w:r>
            <w:r>
              <w:rPr>
                <w:rFonts w:hint="eastAsia" w:cs="宋体"/>
                <w:color w:val="auto"/>
                <w:sz w:val="21"/>
                <w:szCs w:val="21"/>
                <w:highlight w:val="none"/>
                <w:u w:val="single"/>
              </w:rPr>
              <w:t xml:space="preserve">                       </w:t>
            </w:r>
            <w:r>
              <w:rPr>
                <w:rFonts w:hint="eastAsia" w:cs="宋体"/>
                <w:color w:val="auto"/>
                <w:sz w:val="21"/>
                <w:szCs w:val="21"/>
                <w:highlight w:val="none"/>
              </w:rPr>
              <w:t>。</w:t>
            </w:r>
          </w:p>
        </w:tc>
      </w:tr>
      <w:tr w14:paraId="3FB97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2874C0D4">
            <w:pPr>
              <w:numPr>
                <w:ilvl w:val="0"/>
                <w:numId w:val="2"/>
              </w:numPr>
              <w:snapToGrid w:val="0"/>
              <w:spacing w:line="360" w:lineRule="auto"/>
              <w:jc w:val="center"/>
              <w:rPr>
                <w:rFonts w:cs="宋体"/>
                <w:bCs/>
                <w:color w:val="auto"/>
                <w:kern w:val="2"/>
                <w:sz w:val="21"/>
                <w:szCs w:val="21"/>
                <w:highlight w:val="none"/>
              </w:rPr>
            </w:pPr>
          </w:p>
        </w:tc>
        <w:tc>
          <w:tcPr>
            <w:tcW w:w="1111" w:type="dxa"/>
            <w:vAlign w:val="center"/>
          </w:tcPr>
          <w:p w14:paraId="5773D12B">
            <w:pPr>
              <w:snapToGrid w:val="0"/>
              <w:spacing w:line="360" w:lineRule="auto"/>
              <w:jc w:val="center"/>
              <w:rPr>
                <w:rFonts w:cs="宋体"/>
                <w:bCs/>
                <w:color w:val="auto"/>
                <w:kern w:val="2"/>
                <w:sz w:val="21"/>
                <w:szCs w:val="21"/>
                <w:highlight w:val="none"/>
              </w:rPr>
            </w:pPr>
            <w:r>
              <w:rPr>
                <w:rFonts w:hint="eastAsia" w:cs="宋体"/>
                <w:bCs/>
                <w:color w:val="auto"/>
                <w:sz w:val="21"/>
                <w:szCs w:val="21"/>
                <w:highlight w:val="none"/>
              </w:rPr>
              <w:t>11.1</w:t>
            </w:r>
          </w:p>
        </w:tc>
        <w:tc>
          <w:tcPr>
            <w:tcW w:w="7304" w:type="dxa"/>
            <w:tcBorders>
              <w:bottom w:val="single" w:color="auto" w:sz="4" w:space="0"/>
            </w:tcBorders>
            <w:vAlign w:val="center"/>
          </w:tcPr>
          <w:p w14:paraId="14E6E0BB">
            <w:pPr>
              <w:pStyle w:val="34"/>
              <w:tabs>
                <w:tab w:val="clear" w:pos="4153"/>
                <w:tab w:val="clear" w:pos="8306"/>
              </w:tabs>
              <w:spacing w:line="360" w:lineRule="auto"/>
              <w:rPr>
                <w:rFonts w:cs="宋体"/>
                <w:bCs/>
                <w:color w:val="auto"/>
                <w:kern w:val="2"/>
                <w:sz w:val="21"/>
                <w:szCs w:val="21"/>
                <w:highlight w:val="none"/>
              </w:rPr>
            </w:pPr>
            <w:r>
              <w:rPr>
                <w:rFonts w:hint="eastAsia" w:cs="宋体"/>
                <w:bCs/>
                <w:color w:val="auto"/>
                <w:kern w:val="2"/>
                <w:sz w:val="21"/>
                <w:szCs w:val="21"/>
                <w:highlight w:val="none"/>
              </w:rPr>
              <w:t>市场价格波动是否调整合同价格的约定：</w:t>
            </w:r>
            <w:r>
              <w:rPr>
                <w:rFonts w:hint="eastAsia" w:cs="宋体"/>
                <w:bCs/>
                <w:color w:val="auto"/>
                <w:kern w:val="2"/>
                <w:sz w:val="21"/>
                <w:szCs w:val="21"/>
                <w:highlight w:val="none"/>
                <w:u w:val="single"/>
              </w:rPr>
              <w:t xml:space="preserve">   </w:t>
            </w:r>
            <w:r>
              <w:rPr>
                <w:rFonts w:hint="eastAsia" w:cs="宋体"/>
                <w:bCs/>
                <w:color w:val="auto"/>
                <w:kern w:val="2"/>
                <w:sz w:val="21"/>
                <w:szCs w:val="21"/>
                <w:highlight w:val="none"/>
                <w:u w:val="single"/>
                <w:lang w:val="en-US" w:eastAsia="zh-CN"/>
              </w:rPr>
              <w:t>不调整</w:t>
            </w:r>
            <w:r>
              <w:rPr>
                <w:rFonts w:hint="eastAsia" w:cs="宋体"/>
                <w:bCs/>
                <w:color w:val="auto"/>
                <w:kern w:val="2"/>
                <w:sz w:val="21"/>
                <w:szCs w:val="21"/>
                <w:highlight w:val="none"/>
                <w:u w:val="single"/>
              </w:rPr>
              <w:t xml:space="preserve">   </w:t>
            </w:r>
            <w:r>
              <w:rPr>
                <w:rFonts w:hint="eastAsia" w:cs="宋体"/>
                <w:bCs/>
                <w:color w:val="auto"/>
                <w:kern w:val="2"/>
                <w:sz w:val="21"/>
                <w:szCs w:val="21"/>
                <w:highlight w:val="none"/>
              </w:rPr>
              <w:t>。</w:t>
            </w:r>
          </w:p>
        </w:tc>
      </w:tr>
      <w:tr w14:paraId="2C74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2F66F65D">
            <w:pPr>
              <w:numPr>
                <w:ilvl w:val="0"/>
                <w:numId w:val="2"/>
              </w:numPr>
              <w:snapToGrid w:val="0"/>
              <w:spacing w:line="360" w:lineRule="auto"/>
              <w:jc w:val="center"/>
              <w:rPr>
                <w:rFonts w:cs="宋体"/>
                <w:bCs/>
                <w:color w:val="auto"/>
                <w:sz w:val="21"/>
                <w:szCs w:val="21"/>
                <w:highlight w:val="none"/>
              </w:rPr>
            </w:pPr>
          </w:p>
        </w:tc>
        <w:tc>
          <w:tcPr>
            <w:tcW w:w="1111" w:type="dxa"/>
            <w:vAlign w:val="center"/>
          </w:tcPr>
          <w:p w14:paraId="6F98AC8C">
            <w:pPr>
              <w:snapToGrid w:val="0"/>
              <w:spacing w:line="360" w:lineRule="auto"/>
              <w:jc w:val="center"/>
              <w:rPr>
                <w:rFonts w:cs="宋体"/>
                <w:bCs/>
                <w:color w:val="auto"/>
                <w:sz w:val="21"/>
                <w:szCs w:val="21"/>
                <w:highlight w:val="none"/>
              </w:rPr>
            </w:pPr>
            <w:r>
              <w:rPr>
                <w:rFonts w:hint="eastAsia" w:cs="宋体"/>
                <w:bCs/>
                <w:color w:val="auto"/>
                <w:sz w:val="21"/>
                <w:szCs w:val="21"/>
                <w:highlight w:val="none"/>
              </w:rPr>
              <w:t>12.1</w:t>
            </w:r>
          </w:p>
        </w:tc>
        <w:tc>
          <w:tcPr>
            <w:tcW w:w="7304" w:type="dxa"/>
            <w:tcBorders>
              <w:bottom w:val="single" w:color="auto" w:sz="4" w:space="0"/>
            </w:tcBorders>
            <w:vAlign w:val="center"/>
          </w:tcPr>
          <w:p w14:paraId="2DF43903">
            <w:pPr>
              <w:pStyle w:val="34"/>
              <w:tabs>
                <w:tab w:val="clear" w:pos="4153"/>
                <w:tab w:val="clear" w:pos="8306"/>
              </w:tabs>
              <w:spacing w:line="360" w:lineRule="auto"/>
              <w:rPr>
                <w:rFonts w:cs="宋体"/>
                <w:bCs/>
                <w:color w:val="auto"/>
                <w:sz w:val="21"/>
                <w:szCs w:val="21"/>
                <w:highlight w:val="none"/>
              </w:rPr>
            </w:pPr>
            <w:r>
              <w:rPr>
                <w:rFonts w:hint="eastAsia" w:cs="宋体"/>
                <w:bCs/>
                <w:color w:val="auto"/>
                <w:sz w:val="21"/>
                <w:szCs w:val="21"/>
                <w:highlight w:val="none"/>
              </w:rPr>
              <w:t>合同价格形式</w:t>
            </w:r>
          </w:p>
          <w:p w14:paraId="07EB9BE8">
            <w:pPr>
              <w:pStyle w:val="34"/>
              <w:tabs>
                <w:tab w:val="clear" w:pos="4153"/>
                <w:tab w:val="clear" w:pos="8306"/>
              </w:tabs>
              <w:spacing w:line="360" w:lineRule="auto"/>
              <w:rPr>
                <w:rFonts w:cs="宋体"/>
                <w:bCs/>
                <w:color w:val="auto"/>
                <w:sz w:val="21"/>
                <w:szCs w:val="21"/>
                <w:highlight w:val="none"/>
              </w:rPr>
            </w:pPr>
            <w:r>
              <w:rPr>
                <w:rFonts w:hint="eastAsia" w:cs="宋体"/>
                <w:bCs/>
                <w:color w:val="auto"/>
                <w:sz w:val="21"/>
                <w:szCs w:val="21"/>
                <w:highlight w:val="none"/>
              </w:rPr>
              <w:t>(1)单价合同。</w:t>
            </w:r>
          </w:p>
          <w:p w14:paraId="3498D697">
            <w:pPr>
              <w:pStyle w:val="34"/>
              <w:tabs>
                <w:tab w:val="clear" w:pos="4153"/>
                <w:tab w:val="clear" w:pos="8306"/>
              </w:tabs>
              <w:spacing w:line="360" w:lineRule="auto"/>
              <w:rPr>
                <w:rFonts w:cs="宋体"/>
                <w:bCs/>
                <w:color w:val="auto"/>
                <w:sz w:val="21"/>
                <w:szCs w:val="21"/>
                <w:highlight w:val="none"/>
              </w:rPr>
            </w:pPr>
            <w:r>
              <w:rPr>
                <w:rFonts w:hint="eastAsia" w:cs="宋体"/>
                <w:bCs/>
                <w:color w:val="auto"/>
                <w:sz w:val="21"/>
                <w:szCs w:val="21"/>
                <w:highlight w:val="none"/>
              </w:rPr>
              <w:t>综合单价包含的风险范围：</w:t>
            </w:r>
            <w:r>
              <w:rPr>
                <w:rFonts w:hint="eastAsia" w:cs="宋体"/>
                <w:bCs/>
                <w:color w:val="auto"/>
                <w:sz w:val="21"/>
                <w:szCs w:val="21"/>
                <w:highlight w:val="none"/>
                <w:u w:val="single"/>
              </w:rPr>
              <w:t xml:space="preserve">  </w:t>
            </w:r>
            <w:r>
              <w:rPr>
                <w:color w:val="auto"/>
                <w:spacing w:val="-8"/>
                <w:sz w:val="21"/>
                <w:szCs w:val="21"/>
                <w:highlight w:val="none"/>
                <w:u w:val="single" w:color="auto"/>
              </w:rPr>
              <w:t>隐含于已标价工程量清单综合单价中，用于化解发承包双方在</w:t>
            </w:r>
            <w:r>
              <w:rPr>
                <w:color w:val="auto"/>
                <w:spacing w:val="-9"/>
                <w:sz w:val="21"/>
                <w:szCs w:val="21"/>
                <w:highlight w:val="none"/>
                <w:u w:val="single" w:color="auto"/>
              </w:rPr>
              <w:t>工程</w:t>
            </w:r>
            <w:r>
              <w:rPr>
                <w:color w:val="auto"/>
                <w:spacing w:val="-2"/>
                <w:sz w:val="21"/>
                <w:szCs w:val="21"/>
                <w:highlight w:val="none"/>
                <w:u w:val="single" w:color="auto"/>
              </w:rPr>
              <w:t>合同中约定内容和范围内的市场价格波动风险的费用。综合单价包括为完成本项目所需要的一切费</w:t>
            </w:r>
            <w:r>
              <w:rPr>
                <w:color w:val="auto"/>
                <w:sz w:val="21"/>
                <w:szCs w:val="21"/>
                <w:highlight w:val="none"/>
                <w:u w:val="single" w:color="auto"/>
              </w:rPr>
              <w:t>用,包括但不限于人工费、施工机械费、管理费、利润、风险费用、相关交易费及完成本</w:t>
            </w:r>
            <w:r>
              <w:rPr>
                <w:color w:val="auto"/>
                <w:spacing w:val="-4"/>
                <w:sz w:val="21"/>
                <w:szCs w:val="21"/>
                <w:highlight w:val="none"/>
                <w:u w:val="single" w:color="auto"/>
              </w:rPr>
              <w:t>工程招标文件及合同条款内容等所有费用，综合单价今后将不作任何调整</w:t>
            </w:r>
            <w:r>
              <w:rPr>
                <w:rFonts w:hint="eastAsia" w:cs="宋体"/>
                <w:bCs/>
                <w:color w:val="auto"/>
                <w:sz w:val="21"/>
                <w:szCs w:val="21"/>
                <w:highlight w:val="none"/>
                <w:u w:val="single"/>
              </w:rPr>
              <w:t xml:space="preserve">                 </w:t>
            </w:r>
            <w:r>
              <w:rPr>
                <w:rFonts w:hint="eastAsia" w:cs="宋体"/>
                <w:bCs/>
                <w:color w:val="auto"/>
                <w:sz w:val="21"/>
                <w:szCs w:val="21"/>
                <w:highlight w:val="none"/>
              </w:rPr>
              <w:t>。</w:t>
            </w:r>
          </w:p>
          <w:p w14:paraId="20885206">
            <w:pPr>
              <w:pStyle w:val="34"/>
              <w:tabs>
                <w:tab w:val="clear" w:pos="4153"/>
                <w:tab w:val="clear" w:pos="8306"/>
              </w:tabs>
              <w:spacing w:line="360" w:lineRule="auto"/>
              <w:rPr>
                <w:rFonts w:cs="宋体"/>
                <w:bCs/>
                <w:color w:val="auto"/>
                <w:sz w:val="21"/>
                <w:szCs w:val="21"/>
                <w:highlight w:val="none"/>
              </w:rPr>
            </w:pPr>
            <w:r>
              <w:rPr>
                <w:rFonts w:hint="eastAsia" w:cs="宋体"/>
                <w:bCs/>
                <w:color w:val="auto"/>
                <w:sz w:val="21"/>
                <w:szCs w:val="21"/>
                <w:highlight w:val="none"/>
              </w:rPr>
              <w:t>风险费用的计算方法：</w:t>
            </w:r>
            <w:r>
              <w:rPr>
                <w:rFonts w:hint="eastAsia" w:cs="宋体"/>
                <w:bCs/>
                <w:color w:val="auto"/>
                <w:sz w:val="21"/>
                <w:szCs w:val="21"/>
                <w:highlight w:val="none"/>
                <w:u w:val="single"/>
              </w:rPr>
              <w:t xml:space="preserve">  </w:t>
            </w:r>
            <w:r>
              <w:rPr>
                <w:rFonts w:hint="eastAsia" w:ascii="宋体" w:hAnsi="宋体" w:eastAsia="宋体" w:cs="宋体"/>
                <w:bCs/>
                <w:color w:val="auto"/>
                <w:kern w:val="2"/>
                <w:sz w:val="21"/>
                <w:szCs w:val="21"/>
                <w:highlight w:val="none"/>
                <w:u w:val="single"/>
                <w:lang w:val="en-US" w:eastAsia="zh-CN" w:bidi="ar-SA"/>
              </w:rPr>
              <w:t xml:space="preserve">   承包人自行考虑，包含在报价中  </w:t>
            </w:r>
            <w:r>
              <w:rPr>
                <w:rFonts w:hint="eastAsia" w:cs="宋体"/>
                <w:bCs/>
                <w:color w:val="auto"/>
                <w:sz w:val="21"/>
                <w:szCs w:val="21"/>
                <w:highlight w:val="none"/>
                <w:u w:val="single"/>
              </w:rPr>
              <w:t xml:space="preserve">         </w:t>
            </w:r>
            <w:r>
              <w:rPr>
                <w:rFonts w:hint="eastAsia" w:cs="宋体"/>
                <w:bCs/>
                <w:color w:val="auto"/>
                <w:sz w:val="21"/>
                <w:szCs w:val="21"/>
                <w:highlight w:val="none"/>
              </w:rPr>
              <w:t>。</w:t>
            </w:r>
          </w:p>
          <w:p w14:paraId="54C080AF">
            <w:pPr>
              <w:pStyle w:val="34"/>
              <w:tabs>
                <w:tab w:val="clear" w:pos="4153"/>
                <w:tab w:val="clear" w:pos="8306"/>
              </w:tabs>
              <w:spacing w:line="360" w:lineRule="auto"/>
              <w:rPr>
                <w:rFonts w:cs="宋体"/>
                <w:bCs/>
                <w:color w:val="auto"/>
                <w:sz w:val="21"/>
                <w:szCs w:val="21"/>
                <w:highlight w:val="none"/>
              </w:rPr>
            </w:pPr>
            <w:r>
              <w:rPr>
                <w:rFonts w:hint="eastAsia" w:cs="宋体"/>
                <w:bCs/>
                <w:color w:val="auto"/>
                <w:sz w:val="21"/>
                <w:szCs w:val="21"/>
                <w:highlight w:val="none"/>
              </w:rPr>
              <w:t>风险范围以外合同价格的调整方法：</w:t>
            </w:r>
            <w:r>
              <w:rPr>
                <w:rFonts w:hint="eastAsia" w:cs="宋体"/>
                <w:bCs/>
                <w:color w:val="auto"/>
                <w:sz w:val="21"/>
                <w:szCs w:val="21"/>
                <w:highlight w:val="none"/>
                <w:u w:val="single"/>
              </w:rPr>
              <w:t xml:space="preserve"> 结算价=合同价±工程变更造价±分部分项工程量清单工程量误差造价±政策性调整造价±人工价格调整造价±措施项目调整造价－暂列金额×1.09± 合理工程索赔         </w:t>
            </w:r>
            <w:r>
              <w:rPr>
                <w:rFonts w:hint="eastAsia" w:cs="宋体"/>
                <w:bCs/>
                <w:color w:val="auto"/>
                <w:sz w:val="21"/>
                <w:szCs w:val="21"/>
                <w:highlight w:val="none"/>
              </w:rPr>
              <w:t>。</w:t>
            </w:r>
          </w:p>
          <w:p w14:paraId="7F6FCBC2">
            <w:pPr>
              <w:pStyle w:val="34"/>
              <w:tabs>
                <w:tab w:val="clear" w:pos="4153"/>
                <w:tab w:val="clear" w:pos="8306"/>
              </w:tabs>
              <w:spacing w:line="360" w:lineRule="auto"/>
              <w:rPr>
                <w:rFonts w:cs="宋体"/>
                <w:bCs/>
                <w:color w:val="auto"/>
                <w:sz w:val="21"/>
                <w:szCs w:val="21"/>
                <w:highlight w:val="none"/>
              </w:rPr>
            </w:pPr>
            <w:r>
              <w:rPr>
                <w:rFonts w:hint="eastAsia" w:cs="宋体"/>
                <w:bCs/>
                <w:color w:val="auto"/>
                <w:sz w:val="21"/>
                <w:szCs w:val="21"/>
                <w:highlight w:val="none"/>
              </w:rPr>
              <w:t>(2)总价合同。</w:t>
            </w:r>
          </w:p>
          <w:p w14:paraId="2BC549A5">
            <w:pPr>
              <w:pStyle w:val="34"/>
              <w:tabs>
                <w:tab w:val="clear" w:pos="4153"/>
                <w:tab w:val="clear" w:pos="8306"/>
              </w:tabs>
              <w:spacing w:line="360" w:lineRule="auto"/>
              <w:rPr>
                <w:rFonts w:cs="宋体"/>
                <w:bCs/>
                <w:color w:val="auto"/>
                <w:sz w:val="21"/>
                <w:szCs w:val="21"/>
                <w:highlight w:val="none"/>
              </w:rPr>
            </w:pPr>
            <w:r>
              <w:rPr>
                <w:rFonts w:hint="eastAsia" w:cs="宋体"/>
                <w:bCs/>
                <w:color w:val="auto"/>
                <w:sz w:val="21"/>
                <w:szCs w:val="21"/>
                <w:highlight w:val="none"/>
              </w:rPr>
              <w:t>总价包含的风险范围：</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 xml:space="preserve">                            </w:t>
            </w:r>
          </w:p>
          <w:p w14:paraId="66096531">
            <w:pPr>
              <w:pStyle w:val="34"/>
              <w:tabs>
                <w:tab w:val="clear" w:pos="4153"/>
                <w:tab w:val="clear" w:pos="8306"/>
              </w:tabs>
              <w:spacing w:line="360" w:lineRule="auto"/>
              <w:rPr>
                <w:rFonts w:cs="宋体"/>
                <w:bCs/>
                <w:color w:val="auto"/>
                <w:sz w:val="21"/>
                <w:szCs w:val="21"/>
                <w:highlight w:val="none"/>
              </w:rPr>
            </w:pPr>
            <w:r>
              <w:rPr>
                <w:rFonts w:hint="eastAsia" w:cs="宋体"/>
                <w:bCs/>
                <w:color w:val="auto"/>
                <w:sz w:val="21"/>
                <w:szCs w:val="21"/>
                <w:highlight w:val="none"/>
              </w:rPr>
              <w:t>风险费用的计算方法：</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 xml:space="preserve">               </w:t>
            </w:r>
            <w:r>
              <w:rPr>
                <w:rFonts w:hint="eastAsia" w:cs="宋体"/>
                <w:bCs/>
                <w:color w:val="auto"/>
                <w:sz w:val="21"/>
                <w:szCs w:val="21"/>
                <w:highlight w:val="none"/>
              </w:rPr>
              <w:t>。</w:t>
            </w:r>
          </w:p>
          <w:p w14:paraId="1DF46A1D">
            <w:pPr>
              <w:pStyle w:val="34"/>
              <w:tabs>
                <w:tab w:val="clear" w:pos="4153"/>
                <w:tab w:val="clear" w:pos="8306"/>
              </w:tabs>
              <w:spacing w:line="360" w:lineRule="auto"/>
              <w:rPr>
                <w:rFonts w:cs="宋体"/>
                <w:bCs/>
                <w:color w:val="auto"/>
                <w:sz w:val="21"/>
                <w:szCs w:val="21"/>
                <w:highlight w:val="none"/>
              </w:rPr>
            </w:pPr>
            <w:r>
              <w:rPr>
                <w:rFonts w:hint="eastAsia" w:cs="宋体"/>
                <w:bCs/>
                <w:color w:val="auto"/>
                <w:sz w:val="21"/>
                <w:szCs w:val="21"/>
                <w:highlight w:val="none"/>
              </w:rPr>
              <w:t>风险范围以外合同价格的调整方法：</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 xml:space="preserve">      </w:t>
            </w:r>
            <w:r>
              <w:rPr>
                <w:rFonts w:hint="eastAsia" w:cs="宋体"/>
                <w:bCs/>
                <w:color w:val="auto"/>
                <w:sz w:val="21"/>
                <w:szCs w:val="21"/>
                <w:highlight w:val="none"/>
              </w:rPr>
              <w:t>。</w:t>
            </w:r>
          </w:p>
          <w:p w14:paraId="0823FDA3">
            <w:pPr>
              <w:pStyle w:val="34"/>
              <w:tabs>
                <w:tab w:val="clear" w:pos="4153"/>
                <w:tab w:val="clear" w:pos="8306"/>
              </w:tabs>
              <w:spacing w:line="360" w:lineRule="auto"/>
              <w:rPr>
                <w:rFonts w:cs="宋体"/>
                <w:bCs/>
                <w:color w:val="auto"/>
                <w:sz w:val="21"/>
                <w:szCs w:val="21"/>
                <w:highlight w:val="none"/>
              </w:rPr>
            </w:pPr>
            <w:r>
              <w:rPr>
                <w:rFonts w:hint="eastAsia" w:cs="宋体"/>
                <w:bCs/>
                <w:color w:val="auto"/>
                <w:sz w:val="21"/>
                <w:szCs w:val="21"/>
                <w:highlight w:val="none"/>
              </w:rPr>
              <w:t>（3）其他价格方式：</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 xml:space="preserve">                           </w:t>
            </w:r>
            <w:r>
              <w:rPr>
                <w:rFonts w:hint="eastAsia" w:cs="宋体"/>
                <w:bCs/>
                <w:color w:val="auto"/>
                <w:sz w:val="21"/>
                <w:szCs w:val="21"/>
                <w:highlight w:val="none"/>
              </w:rPr>
              <w:t>。</w:t>
            </w:r>
          </w:p>
        </w:tc>
      </w:tr>
      <w:tr w14:paraId="2A3FD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5E29D891">
            <w:pPr>
              <w:numPr>
                <w:ilvl w:val="0"/>
                <w:numId w:val="2"/>
              </w:numPr>
              <w:snapToGrid w:val="0"/>
              <w:spacing w:line="360" w:lineRule="auto"/>
              <w:jc w:val="center"/>
              <w:rPr>
                <w:rFonts w:cs="宋体"/>
                <w:bCs/>
                <w:color w:val="auto"/>
                <w:kern w:val="2"/>
                <w:sz w:val="21"/>
                <w:szCs w:val="21"/>
                <w:highlight w:val="none"/>
              </w:rPr>
            </w:pPr>
          </w:p>
        </w:tc>
        <w:tc>
          <w:tcPr>
            <w:tcW w:w="1111" w:type="dxa"/>
            <w:vAlign w:val="center"/>
          </w:tcPr>
          <w:p w14:paraId="310B5952">
            <w:pPr>
              <w:snapToGrid w:val="0"/>
              <w:spacing w:line="360" w:lineRule="auto"/>
              <w:jc w:val="center"/>
              <w:rPr>
                <w:rFonts w:cs="宋体"/>
                <w:bCs/>
                <w:color w:val="auto"/>
                <w:kern w:val="2"/>
                <w:sz w:val="21"/>
                <w:szCs w:val="21"/>
                <w:highlight w:val="none"/>
              </w:rPr>
            </w:pPr>
            <w:r>
              <w:rPr>
                <w:rFonts w:hint="eastAsia" w:cs="宋体"/>
                <w:bCs/>
                <w:color w:val="auto"/>
                <w:sz w:val="21"/>
                <w:szCs w:val="21"/>
                <w:highlight w:val="none"/>
              </w:rPr>
              <w:t xml:space="preserve">12.2.1 </w:t>
            </w:r>
          </w:p>
        </w:tc>
        <w:tc>
          <w:tcPr>
            <w:tcW w:w="7304" w:type="dxa"/>
            <w:tcBorders>
              <w:bottom w:val="single" w:color="auto" w:sz="4" w:space="0"/>
            </w:tcBorders>
            <w:vAlign w:val="center"/>
          </w:tcPr>
          <w:p w14:paraId="66098BB8">
            <w:pPr>
              <w:adjustRightInd w:val="0"/>
              <w:snapToGrid w:val="0"/>
              <w:spacing w:line="360" w:lineRule="auto"/>
              <w:rPr>
                <w:rFonts w:cs="宋体"/>
                <w:bCs/>
                <w:color w:val="auto"/>
                <w:sz w:val="21"/>
                <w:szCs w:val="21"/>
                <w:highlight w:val="none"/>
              </w:rPr>
            </w:pPr>
            <w:r>
              <w:rPr>
                <w:rFonts w:hint="eastAsia" w:cs="宋体"/>
                <w:bCs/>
                <w:color w:val="auto"/>
                <w:sz w:val="21"/>
                <w:szCs w:val="21"/>
                <w:highlight w:val="none"/>
              </w:rPr>
              <w:t>预付款的支付</w:t>
            </w:r>
          </w:p>
          <w:p w14:paraId="00B7C299">
            <w:pPr>
              <w:adjustRightInd w:val="0"/>
              <w:snapToGrid w:val="0"/>
              <w:spacing w:line="360" w:lineRule="auto"/>
              <w:rPr>
                <w:rFonts w:cs="宋体"/>
                <w:bCs/>
                <w:color w:val="auto"/>
                <w:sz w:val="21"/>
                <w:szCs w:val="21"/>
                <w:highlight w:val="none"/>
              </w:rPr>
            </w:pPr>
            <w:r>
              <w:rPr>
                <w:rFonts w:hint="eastAsia" w:cs="宋体"/>
                <w:bCs/>
                <w:color w:val="auto"/>
                <w:sz w:val="21"/>
                <w:szCs w:val="21"/>
                <w:highlight w:val="none"/>
              </w:rPr>
              <w:t>预付款支付比例或金额：</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合同价的40%</w:t>
            </w:r>
            <w:r>
              <w:rPr>
                <w:rFonts w:hint="eastAsia" w:cs="宋体"/>
                <w:bCs/>
                <w:color w:val="auto"/>
                <w:sz w:val="21"/>
                <w:szCs w:val="21"/>
                <w:highlight w:val="none"/>
                <w:u w:val="single"/>
              </w:rPr>
              <w:t xml:space="preserve">   </w:t>
            </w:r>
          </w:p>
          <w:p w14:paraId="18C7C757">
            <w:pPr>
              <w:adjustRightInd w:val="0"/>
              <w:snapToGrid w:val="0"/>
              <w:spacing w:line="360" w:lineRule="auto"/>
              <w:rPr>
                <w:rFonts w:cs="宋体"/>
                <w:bCs/>
                <w:color w:val="auto"/>
                <w:sz w:val="21"/>
                <w:szCs w:val="21"/>
                <w:highlight w:val="none"/>
              </w:rPr>
            </w:pPr>
            <w:r>
              <w:rPr>
                <w:rFonts w:hint="eastAsia" w:cs="宋体"/>
                <w:bCs/>
                <w:color w:val="auto"/>
                <w:sz w:val="21"/>
                <w:szCs w:val="21"/>
                <w:highlight w:val="none"/>
              </w:rPr>
              <w:t>预付款支付期限：</w:t>
            </w:r>
            <w:r>
              <w:rPr>
                <w:rFonts w:hint="eastAsia" w:cs="宋体"/>
                <w:bCs/>
                <w:color w:val="auto"/>
                <w:sz w:val="21"/>
                <w:szCs w:val="21"/>
                <w:highlight w:val="none"/>
                <w:u w:val="single"/>
              </w:rPr>
              <w:t>合同签订具备实施条件后支付合同</w:t>
            </w:r>
            <w:r>
              <w:rPr>
                <w:rFonts w:hint="eastAsia" w:cs="宋体"/>
                <w:bCs/>
                <w:color w:val="auto"/>
                <w:sz w:val="21"/>
                <w:szCs w:val="21"/>
                <w:highlight w:val="none"/>
                <w:u w:val="single"/>
                <w:lang w:val="en-US" w:eastAsia="zh-CN"/>
              </w:rPr>
              <w:t>价</w:t>
            </w:r>
            <w:r>
              <w:rPr>
                <w:rFonts w:hint="eastAsia" w:cs="宋体"/>
                <w:bCs/>
                <w:color w:val="auto"/>
                <w:sz w:val="21"/>
                <w:szCs w:val="21"/>
                <w:highlight w:val="none"/>
                <w:u w:val="single"/>
              </w:rPr>
              <w:t xml:space="preserve">的40%预付款     </w:t>
            </w:r>
          </w:p>
          <w:p w14:paraId="0E970BBD">
            <w:pPr>
              <w:adjustRightInd w:val="0"/>
              <w:snapToGrid w:val="0"/>
              <w:spacing w:line="360" w:lineRule="auto"/>
              <w:rPr>
                <w:rFonts w:cs="宋体"/>
                <w:bCs/>
                <w:color w:val="auto"/>
                <w:kern w:val="2"/>
                <w:sz w:val="21"/>
                <w:szCs w:val="21"/>
                <w:highlight w:val="none"/>
              </w:rPr>
            </w:pPr>
            <w:r>
              <w:rPr>
                <w:rFonts w:hint="eastAsia" w:cs="宋体"/>
                <w:bCs/>
                <w:color w:val="auto"/>
                <w:sz w:val="21"/>
                <w:szCs w:val="21"/>
                <w:highlight w:val="none"/>
              </w:rPr>
              <w:t>预付款扣回的方式：</w:t>
            </w:r>
            <w:r>
              <w:rPr>
                <w:rFonts w:hint="eastAsia" w:cs="宋体"/>
                <w:bCs/>
                <w:color w:val="auto"/>
                <w:sz w:val="21"/>
                <w:szCs w:val="21"/>
                <w:highlight w:val="none"/>
                <w:u w:val="single"/>
              </w:rPr>
              <w:t xml:space="preserve">  支付</w:t>
            </w:r>
            <w:r>
              <w:rPr>
                <w:rFonts w:hint="eastAsia" w:cs="宋体"/>
                <w:bCs/>
                <w:color w:val="auto"/>
                <w:sz w:val="21"/>
                <w:szCs w:val="21"/>
                <w:highlight w:val="none"/>
                <w:u w:val="single"/>
                <w:lang w:val="en-US" w:eastAsia="zh-CN"/>
              </w:rPr>
              <w:t>进度款</w:t>
            </w:r>
            <w:r>
              <w:rPr>
                <w:rFonts w:hint="eastAsia" w:cs="宋体"/>
                <w:bCs/>
                <w:color w:val="auto"/>
                <w:sz w:val="21"/>
                <w:szCs w:val="21"/>
                <w:highlight w:val="none"/>
                <w:u w:val="single"/>
              </w:rPr>
              <w:t xml:space="preserve">前一次性扣回  </w:t>
            </w:r>
          </w:p>
        </w:tc>
      </w:tr>
      <w:tr w14:paraId="34BAD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29" w:type="dxa"/>
            <w:vAlign w:val="center"/>
          </w:tcPr>
          <w:p w14:paraId="66414F2B">
            <w:pPr>
              <w:numPr>
                <w:ilvl w:val="0"/>
                <w:numId w:val="2"/>
              </w:numPr>
              <w:snapToGrid w:val="0"/>
              <w:spacing w:line="360" w:lineRule="auto"/>
              <w:jc w:val="center"/>
              <w:rPr>
                <w:rFonts w:cs="宋体"/>
                <w:bCs/>
                <w:color w:val="auto"/>
                <w:kern w:val="2"/>
                <w:sz w:val="21"/>
                <w:szCs w:val="21"/>
                <w:highlight w:val="none"/>
              </w:rPr>
            </w:pPr>
          </w:p>
        </w:tc>
        <w:tc>
          <w:tcPr>
            <w:tcW w:w="1111" w:type="dxa"/>
            <w:vAlign w:val="center"/>
          </w:tcPr>
          <w:p w14:paraId="43A1A7AD">
            <w:pPr>
              <w:snapToGrid w:val="0"/>
              <w:spacing w:line="360" w:lineRule="auto"/>
              <w:jc w:val="center"/>
              <w:rPr>
                <w:rFonts w:cs="宋体"/>
                <w:bCs/>
                <w:color w:val="auto"/>
                <w:kern w:val="2"/>
                <w:sz w:val="21"/>
                <w:szCs w:val="21"/>
                <w:highlight w:val="none"/>
              </w:rPr>
            </w:pPr>
            <w:r>
              <w:rPr>
                <w:rFonts w:hint="eastAsia" w:cs="宋体"/>
                <w:bCs/>
                <w:color w:val="auto"/>
                <w:sz w:val="21"/>
                <w:szCs w:val="21"/>
                <w:highlight w:val="none"/>
              </w:rPr>
              <w:t>12.2.2</w:t>
            </w:r>
          </w:p>
        </w:tc>
        <w:tc>
          <w:tcPr>
            <w:tcW w:w="7304" w:type="dxa"/>
            <w:tcBorders>
              <w:bottom w:val="single" w:color="auto" w:sz="4" w:space="0"/>
            </w:tcBorders>
            <w:vAlign w:val="center"/>
          </w:tcPr>
          <w:p w14:paraId="0B0FC561">
            <w:pPr>
              <w:adjustRightInd w:val="0"/>
              <w:snapToGrid w:val="0"/>
              <w:spacing w:line="360" w:lineRule="auto"/>
              <w:rPr>
                <w:rFonts w:cs="宋体"/>
                <w:bCs/>
                <w:color w:val="auto"/>
                <w:sz w:val="21"/>
                <w:szCs w:val="21"/>
                <w:highlight w:val="none"/>
              </w:rPr>
            </w:pPr>
            <w:r>
              <w:rPr>
                <w:rFonts w:hint="eastAsia" w:cs="宋体"/>
                <w:bCs/>
                <w:color w:val="auto"/>
                <w:sz w:val="21"/>
                <w:szCs w:val="21"/>
                <w:highlight w:val="none"/>
              </w:rPr>
              <w:t>预付款担保</w:t>
            </w:r>
          </w:p>
          <w:p w14:paraId="06C238DB">
            <w:pPr>
              <w:adjustRightInd w:val="0"/>
              <w:snapToGrid w:val="0"/>
              <w:spacing w:line="360" w:lineRule="auto"/>
              <w:rPr>
                <w:rFonts w:cs="宋体"/>
                <w:bCs/>
                <w:color w:val="auto"/>
                <w:sz w:val="21"/>
                <w:szCs w:val="21"/>
                <w:highlight w:val="none"/>
              </w:rPr>
            </w:pPr>
            <w:r>
              <w:rPr>
                <w:rFonts w:hint="eastAsia" w:cs="宋体"/>
                <w:bCs/>
                <w:color w:val="auto"/>
                <w:sz w:val="21"/>
                <w:szCs w:val="21"/>
                <w:highlight w:val="none"/>
              </w:rPr>
              <w:t>承包人提交预付款担保的期限：</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预付款支付前</w:t>
            </w:r>
            <w:r>
              <w:rPr>
                <w:rFonts w:hint="eastAsia" w:cs="宋体"/>
                <w:bCs/>
                <w:color w:val="auto"/>
                <w:sz w:val="21"/>
                <w:szCs w:val="21"/>
                <w:highlight w:val="none"/>
                <w:u w:val="single"/>
              </w:rPr>
              <w:t xml:space="preserve">   </w:t>
            </w:r>
          </w:p>
          <w:p w14:paraId="67701589">
            <w:pPr>
              <w:adjustRightInd w:val="0"/>
              <w:snapToGrid w:val="0"/>
              <w:spacing w:line="360" w:lineRule="auto"/>
              <w:rPr>
                <w:rFonts w:cs="宋体"/>
                <w:bCs/>
                <w:color w:val="auto"/>
                <w:kern w:val="2"/>
                <w:sz w:val="21"/>
                <w:szCs w:val="21"/>
                <w:highlight w:val="none"/>
              </w:rPr>
            </w:pPr>
            <w:r>
              <w:rPr>
                <w:rFonts w:hint="eastAsia" w:cs="宋体"/>
                <w:bCs/>
                <w:color w:val="auto"/>
                <w:sz w:val="21"/>
                <w:szCs w:val="21"/>
                <w:highlight w:val="none"/>
              </w:rPr>
              <w:t>预付款担保的形式为：</w:t>
            </w:r>
            <w:r>
              <w:rPr>
                <w:rFonts w:hint="eastAsia" w:cs="宋体"/>
                <w:bCs/>
                <w:color w:val="auto"/>
                <w:sz w:val="21"/>
                <w:szCs w:val="21"/>
                <w:highlight w:val="none"/>
                <w:u w:val="single"/>
              </w:rPr>
              <w:t xml:space="preserve">  保函（见索即付）   </w:t>
            </w:r>
          </w:p>
        </w:tc>
      </w:tr>
      <w:tr w14:paraId="29F74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4EC89F46">
            <w:pPr>
              <w:numPr>
                <w:ilvl w:val="0"/>
                <w:numId w:val="2"/>
              </w:numPr>
              <w:snapToGrid w:val="0"/>
              <w:spacing w:line="360" w:lineRule="auto"/>
              <w:jc w:val="center"/>
              <w:rPr>
                <w:rFonts w:cs="宋体"/>
                <w:bCs/>
                <w:color w:val="auto"/>
                <w:kern w:val="2"/>
                <w:sz w:val="21"/>
                <w:szCs w:val="21"/>
                <w:highlight w:val="none"/>
              </w:rPr>
            </w:pPr>
          </w:p>
        </w:tc>
        <w:tc>
          <w:tcPr>
            <w:tcW w:w="1111" w:type="dxa"/>
            <w:vAlign w:val="center"/>
          </w:tcPr>
          <w:p w14:paraId="44B97407">
            <w:pPr>
              <w:snapToGrid w:val="0"/>
              <w:spacing w:line="360" w:lineRule="auto"/>
              <w:jc w:val="center"/>
              <w:rPr>
                <w:rFonts w:cs="宋体"/>
                <w:bCs/>
                <w:color w:val="auto"/>
                <w:sz w:val="21"/>
                <w:szCs w:val="21"/>
                <w:highlight w:val="none"/>
              </w:rPr>
            </w:pPr>
            <w:r>
              <w:rPr>
                <w:rFonts w:hint="eastAsia" w:cs="宋体"/>
                <w:bCs/>
                <w:color w:val="auto"/>
                <w:sz w:val="21"/>
                <w:szCs w:val="21"/>
                <w:highlight w:val="none"/>
              </w:rPr>
              <w:t>12.4.1</w:t>
            </w:r>
          </w:p>
        </w:tc>
        <w:tc>
          <w:tcPr>
            <w:tcW w:w="7304" w:type="dxa"/>
            <w:tcBorders>
              <w:bottom w:val="single" w:color="auto" w:sz="4" w:space="0"/>
            </w:tcBorders>
            <w:vAlign w:val="center"/>
          </w:tcPr>
          <w:p w14:paraId="2A70F89A">
            <w:pPr>
              <w:adjustRightInd w:val="0"/>
              <w:snapToGrid w:val="0"/>
              <w:spacing w:line="360" w:lineRule="auto"/>
              <w:rPr>
                <w:rFonts w:cs="宋体"/>
                <w:bCs/>
                <w:color w:val="auto"/>
                <w:sz w:val="21"/>
                <w:szCs w:val="21"/>
                <w:highlight w:val="none"/>
              </w:rPr>
            </w:pPr>
            <w:r>
              <w:rPr>
                <w:rFonts w:hint="eastAsia" w:cs="宋体"/>
                <w:bCs/>
                <w:color w:val="auto"/>
                <w:sz w:val="21"/>
                <w:szCs w:val="21"/>
                <w:highlight w:val="none"/>
              </w:rPr>
              <w:t>付款周期</w:t>
            </w:r>
          </w:p>
          <w:p w14:paraId="0E7C0B67">
            <w:pPr>
              <w:adjustRightInd w:val="0"/>
              <w:snapToGrid w:val="0"/>
              <w:spacing w:line="360" w:lineRule="auto"/>
              <w:rPr>
                <w:rFonts w:cs="宋体"/>
                <w:bCs/>
                <w:color w:val="auto"/>
                <w:sz w:val="21"/>
                <w:szCs w:val="21"/>
                <w:highlight w:val="none"/>
              </w:rPr>
            </w:pPr>
            <w:r>
              <w:rPr>
                <w:rFonts w:hint="eastAsia" w:cs="宋体"/>
                <w:bCs/>
                <w:color w:val="auto"/>
                <w:sz w:val="21"/>
                <w:szCs w:val="21"/>
                <w:highlight w:val="none"/>
              </w:rPr>
              <w:t>关于付款周期的约定：</w:t>
            </w:r>
            <w:r>
              <w:rPr>
                <w:rFonts w:hint="eastAsia" w:cs="宋体"/>
                <w:bCs/>
                <w:color w:val="auto"/>
                <w:sz w:val="21"/>
                <w:szCs w:val="21"/>
                <w:highlight w:val="none"/>
                <w:u w:val="single"/>
              </w:rPr>
              <w:t xml:space="preserve"> 合同签订具备实施条件后支付合同价的40%预付款（预付款支付前，承包人须提供同等金额预付款等额保函（见索即付）），按期完成进度计划的合格分部分项工程付至85%的进度款；工程完工后付至合格工程量价款的90%；竣工验收合格取得验收报告后，付至合格工程量价款的95%；完成竣工结算审计且工程移交后付至结算总造价的100%，同时承包人须提交结算总造价的2%（作为工程质量保证金）至采购人处。质量保证金支持保函（银行保函、担保机构担保、保证保险）使用，保函有效期须与工程缺陷责任期截止时间保持一致。   </w:t>
            </w:r>
          </w:p>
        </w:tc>
      </w:tr>
      <w:tr w14:paraId="456A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3A544849">
            <w:pPr>
              <w:numPr>
                <w:ilvl w:val="0"/>
                <w:numId w:val="2"/>
              </w:numPr>
              <w:snapToGrid w:val="0"/>
              <w:spacing w:line="360" w:lineRule="auto"/>
              <w:jc w:val="center"/>
              <w:rPr>
                <w:rFonts w:cs="宋体"/>
                <w:bCs/>
                <w:color w:val="auto"/>
                <w:kern w:val="2"/>
                <w:sz w:val="21"/>
                <w:szCs w:val="21"/>
                <w:highlight w:val="none"/>
              </w:rPr>
            </w:pPr>
          </w:p>
        </w:tc>
        <w:tc>
          <w:tcPr>
            <w:tcW w:w="1111" w:type="dxa"/>
            <w:vAlign w:val="center"/>
          </w:tcPr>
          <w:p w14:paraId="4160D5C8">
            <w:pPr>
              <w:snapToGrid w:val="0"/>
              <w:spacing w:line="360" w:lineRule="auto"/>
              <w:jc w:val="center"/>
              <w:rPr>
                <w:rFonts w:cs="宋体"/>
                <w:bCs/>
                <w:color w:val="auto"/>
                <w:kern w:val="2"/>
                <w:sz w:val="21"/>
                <w:szCs w:val="21"/>
                <w:highlight w:val="none"/>
              </w:rPr>
            </w:pPr>
            <w:r>
              <w:rPr>
                <w:rFonts w:hint="eastAsia" w:cs="宋体"/>
                <w:bCs/>
                <w:color w:val="auto"/>
                <w:sz w:val="21"/>
                <w:szCs w:val="21"/>
                <w:highlight w:val="none"/>
              </w:rPr>
              <w:t>15.2.1</w:t>
            </w:r>
          </w:p>
        </w:tc>
        <w:tc>
          <w:tcPr>
            <w:tcW w:w="7304" w:type="dxa"/>
            <w:vAlign w:val="center"/>
          </w:tcPr>
          <w:p w14:paraId="54EA40F4">
            <w:pPr>
              <w:snapToGrid w:val="0"/>
              <w:spacing w:line="360" w:lineRule="auto"/>
              <w:rPr>
                <w:rFonts w:cs="宋体"/>
                <w:bCs/>
                <w:color w:val="auto"/>
                <w:kern w:val="2"/>
                <w:sz w:val="21"/>
                <w:szCs w:val="21"/>
                <w:highlight w:val="none"/>
              </w:rPr>
            </w:pPr>
            <w:r>
              <w:rPr>
                <w:rFonts w:hint="eastAsia" w:cs="宋体"/>
                <w:color w:val="auto"/>
                <w:sz w:val="21"/>
                <w:szCs w:val="21"/>
                <w:highlight w:val="none"/>
              </w:rPr>
              <w:t>缺陷责任期的具体期限：</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24个月</w:t>
            </w:r>
            <w:r>
              <w:rPr>
                <w:rFonts w:hint="eastAsia" w:cs="宋体"/>
                <w:color w:val="auto"/>
                <w:sz w:val="21"/>
                <w:szCs w:val="21"/>
                <w:highlight w:val="none"/>
                <w:u w:val="single"/>
                <w:lang w:eastAsia="zh-CN"/>
              </w:rPr>
              <w:t>，部分质保期要求五年，详见质量保修书</w:t>
            </w:r>
            <w:r>
              <w:rPr>
                <w:rFonts w:hint="eastAsia" w:cs="宋体"/>
                <w:color w:val="auto"/>
                <w:sz w:val="21"/>
                <w:szCs w:val="21"/>
                <w:highlight w:val="none"/>
              </w:rPr>
              <w:t>。</w:t>
            </w:r>
          </w:p>
        </w:tc>
      </w:tr>
      <w:tr w14:paraId="5E9AB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586882A6">
            <w:pPr>
              <w:numPr>
                <w:ilvl w:val="0"/>
                <w:numId w:val="2"/>
              </w:numPr>
              <w:snapToGrid w:val="0"/>
              <w:spacing w:line="360" w:lineRule="auto"/>
              <w:jc w:val="center"/>
              <w:rPr>
                <w:rFonts w:cs="宋体"/>
                <w:bCs/>
                <w:color w:val="auto"/>
                <w:kern w:val="2"/>
                <w:sz w:val="21"/>
                <w:szCs w:val="21"/>
                <w:highlight w:val="none"/>
              </w:rPr>
            </w:pPr>
          </w:p>
        </w:tc>
        <w:tc>
          <w:tcPr>
            <w:tcW w:w="1111" w:type="dxa"/>
            <w:vAlign w:val="center"/>
          </w:tcPr>
          <w:p w14:paraId="56D307D8">
            <w:pPr>
              <w:snapToGrid w:val="0"/>
              <w:spacing w:line="360" w:lineRule="auto"/>
              <w:jc w:val="center"/>
              <w:rPr>
                <w:rFonts w:cs="宋体"/>
                <w:bCs/>
                <w:color w:val="auto"/>
                <w:kern w:val="2"/>
                <w:sz w:val="21"/>
                <w:szCs w:val="21"/>
                <w:highlight w:val="none"/>
              </w:rPr>
            </w:pPr>
            <w:r>
              <w:rPr>
                <w:rFonts w:hint="eastAsia" w:cs="宋体"/>
                <w:bCs/>
                <w:color w:val="auto"/>
                <w:sz w:val="21"/>
                <w:szCs w:val="21"/>
                <w:highlight w:val="none"/>
              </w:rPr>
              <w:t>15.3.1</w:t>
            </w:r>
          </w:p>
        </w:tc>
        <w:tc>
          <w:tcPr>
            <w:tcW w:w="7304" w:type="dxa"/>
            <w:vAlign w:val="center"/>
          </w:tcPr>
          <w:p w14:paraId="50B8865D">
            <w:pPr>
              <w:adjustRightInd w:val="0"/>
              <w:snapToGrid w:val="0"/>
              <w:spacing w:line="360" w:lineRule="auto"/>
              <w:rPr>
                <w:rFonts w:cs="宋体"/>
                <w:color w:val="auto"/>
                <w:sz w:val="21"/>
                <w:szCs w:val="21"/>
                <w:highlight w:val="none"/>
              </w:rPr>
            </w:pPr>
            <w:r>
              <w:rPr>
                <w:rFonts w:hint="eastAsia" w:cs="宋体"/>
                <w:color w:val="auto"/>
                <w:sz w:val="21"/>
                <w:szCs w:val="21"/>
                <w:highlight w:val="none"/>
              </w:rPr>
              <w:t>质量保证金可采用以下任意一种方式：</w:t>
            </w:r>
          </w:p>
          <w:p w14:paraId="3A44A470">
            <w:pPr>
              <w:adjustRightInd w:val="0"/>
              <w:snapToGrid w:val="0"/>
              <w:spacing w:line="360" w:lineRule="auto"/>
              <w:rPr>
                <w:rFonts w:cs="宋体"/>
                <w:color w:val="auto"/>
                <w:sz w:val="21"/>
                <w:szCs w:val="21"/>
                <w:highlight w:val="none"/>
              </w:rPr>
            </w:pPr>
            <w:r>
              <w:rPr>
                <w:rFonts w:hint="eastAsia" w:cs="宋体"/>
                <w:color w:val="auto"/>
                <w:sz w:val="21"/>
                <w:szCs w:val="21"/>
                <w:highlight w:val="none"/>
              </w:rPr>
              <w:t>（1）由银行业金融机构、工程担保公司、保险机构出具银行保函、工程质量保险等担保方式，担保/保证金额为：</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工程结算总造价的2%      </w:t>
            </w:r>
            <w:r>
              <w:rPr>
                <w:rFonts w:hint="eastAsia" w:cs="宋体"/>
                <w:color w:val="auto"/>
                <w:sz w:val="21"/>
                <w:szCs w:val="21"/>
                <w:highlight w:val="none"/>
                <w:u w:val="single"/>
              </w:rPr>
              <w:t>；</w:t>
            </w:r>
          </w:p>
          <w:p w14:paraId="08183FA5">
            <w:pPr>
              <w:adjustRightInd w:val="0"/>
              <w:snapToGrid w:val="0"/>
              <w:spacing w:line="360" w:lineRule="auto"/>
              <w:rPr>
                <w:rFonts w:cs="宋体"/>
                <w:color w:val="auto"/>
                <w:sz w:val="21"/>
                <w:szCs w:val="21"/>
                <w:highlight w:val="none"/>
              </w:rPr>
            </w:pPr>
            <w:r>
              <w:rPr>
                <w:rFonts w:hint="eastAsia" w:cs="宋体"/>
                <w:color w:val="auto"/>
                <w:sz w:val="21"/>
                <w:szCs w:val="21"/>
                <w:highlight w:val="none"/>
              </w:rPr>
              <w:t xml:space="preserve">（2） </w:t>
            </w:r>
            <w:r>
              <w:rPr>
                <w:rFonts w:hint="eastAsia" w:cs="宋体"/>
                <w:color w:val="auto"/>
                <w:sz w:val="21"/>
                <w:szCs w:val="21"/>
                <w:highlight w:val="none"/>
                <w:u w:val="single"/>
              </w:rPr>
              <w:t xml:space="preserve">  工程结算总造价的2% 的工程款   ；</w:t>
            </w:r>
          </w:p>
          <w:p w14:paraId="0E9DE880">
            <w:pPr>
              <w:adjustRightInd w:val="0"/>
              <w:snapToGrid w:val="0"/>
              <w:spacing w:line="360" w:lineRule="auto"/>
              <w:rPr>
                <w:rFonts w:cs="宋体"/>
                <w:color w:val="auto"/>
                <w:sz w:val="21"/>
                <w:szCs w:val="21"/>
                <w:highlight w:val="none"/>
              </w:rPr>
            </w:pPr>
            <w:r>
              <w:rPr>
                <w:rFonts w:hint="eastAsia" w:cs="宋体"/>
                <w:color w:val="auto"/>
                <w:sz w:val="21"/>
                <w:szCs w:val="21"/>
                <w:highlight w:val="none"/>
              </w:rPr>
              <w:t>（3）其他方式：</w:t>
            </w:r>
            <w:r>
              <w:rPr>
                <w:rFonts w:hint="eastAsia" w:cs="宋体"/>
                <w:color w:val="auto"/>
                <w:sz w:val="21"/>
                <w:szCs w:val="21"/>
                <w:highlight w:val="none"/>
                <w:u w:val="single"/>
              </w:rPr>
              <w:t xml:space="preserve">             。</w:t>
            </w:r>
          </w:p>
          <w:p w14:paraId="19D3618C">
            <w:pPr>
              <w:pStyle w:val="4"/>
              <w:snapToGrid w:val="0"/>
              <w:spacing w:line="360" w:lineRule="auto"/>
              <w:rPr>
                <w:rFonts w:cs="宋体"/>
                <w:bCs w:val="0"/>
                <w:color w:val="auto"/>
                <w:kern w:val="2"/>
                <w:sz w:val="21"/>
                <w:szCs w:val="21"/>
                <w:highlight w:val="none"/>
              </w:rPr>
            </w:pPr>
            <w:r>
              <w:rPr>
                <w:rFonts w:hint="eastAsia" w:cs="宋体"/>
                <w:bCs w:val="0"/>
                <w:color w:val="auto"/>
                <w:sz w:val="21"/>
                <w:szCs w:val="21"/>
                <w:highlight w:val="none"/>
              </w:rPr>
              <w:t>注：以现金形式提交质量保证金的（含从工程款中以扣留方式提交的），同时退还银行同期活期存款利息。</w:t>
            </w:r>
          </w:p>
        </w:tc>
      </w:tr>
    </w:tbl>
    <w:p w14:paraId="0FFC59E4">
      <w:pPr>
        <w:snapToGrid w:val="0"/>
        <w:spacing w:before="312" w:beforeLines="100" w:after="312" w:afterLines="100" w:line="360" w:lineRule="auto"/>
        <w:outlineLvl w:val="2"/>
        <w:rPr>
          <w:rFonts w:cs="宋体"/>
          <w:color w:val="auto"/>
          <w:sz w:val="21"/>
          <w:szCs w:val="21"/>
          <w:highlight w:val="none"/>
        </w:rPr>
      </w:pPr>
      <w:r>
        <w:rPr>
          <w:rFonts w:hint="eastAsia" w:cs="宋体"/>
          <w:color w:val="auto"/>
          <w:sz w:val="21"/>
          <w:szCs w:val="21"/>
          <w:highlight w:val="none"/>
        </w:rPr>
        <w:br w:type="page"/>
      </w:r>
      <w:r>
        <w:rPr>
          <w:rFonts w:hint="eastAsia" w:cs="宋体"/>
          <w:color w:val="auto"/>
          <w:sz w:val="21"/>
          <w:szCs w:val="21"/>
          <w:highlight w:val="none"/>
        </w:rPr>
        <w:t>1</w:t>
      </w:r>
      <w:bookmarkStart w:id="92" w:name="_Toc297120456"/>
      <w:bookmarkStart w:id="93" w:name="_Toc297048342"/>
      <w:bookmarkStart w:id="94" w:name="_Toc292559361"/>
      <w:bookmarkStart w:id="95" w:name="_Toc292559866"/>
      <w:bookmarkStart w:id="96" w:name="_Toc296347155"/>
      <w:bookmarkStart w:id="97" w:name="_Toc296891196"/>
      <w:bookmarkStart w:id="98" w:name="_Toc296944495"/>
      <w:bookmarkStart w:id="99" w:name="_Toc296890984"/>
      <w:bookmarkStart w:id="100" w:name="_Toc296346657"/>
      <w:bookmarkStart w:id="101" w:name="_Toc296503156"/>
      <w:r>
        <w:rPr>
          <w:rFonts w:hint="eastAsia" w:cs="宋体"/>
          <w:color w:val="auto"/>
          <w:sz w:val="21"/>
          <w:szCs w:val="21"/>
          <w:highlight w:val="none"/>
        </w:rPr>
        <w:t>. 一般约定</w:t>
      </w:r>
    </w:p>
    <w:bookmarkEnd w:id="92"/>
    <w:bookmarkEnd w:id="93"/>
    <w:bookmarkEnd w:id="94"/>
    <w:bookmarkEnd w:id="95"/>
    <w:bookmarkEnd w:id="96"/>
    <w:bookmarkEnd w:id="97"/>
    <w:bookmarkEnd w:id="98"/>
    <w:bookmarkEnd w:id="99"/>
    <w:bookmarkEnd w:id="100"/>
    <w:bookmarkEnd w:id="101"/>
    <w:p w14:paraId="0C2CBDA3">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1.1 词语定义与解释</w:t>
      </w:r>
    </w:p>
    <w:p w14:paraId="1C337A63">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1.1.1 合同</w:t>
      </w:r>
    </w:p>
    <w:p w14:paraId="690EC61B">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1.1.1.10 其他合同文件包括：</w:t>
      </w:r>
      <w:r>
        <w:rPr>
          <w:rFonts w:hint="eastAsia" w:cs="宋体"/>
          <w:color w:val="auto"/>
          <w:sz w:val="21"/>
          <w:szCs w:val="21"/>
          <w:highlight w:val="none"/>
          <w:u w:val="single"/>
        </w:rPr>
        <w:t xml:space="preserve">  本项目</w:t>
      </w:r>
      <w:r>
        <w:rPr>
          <w:rFonts w:hint="eastAsia" w:cs="宋体"/>
          <w:color w:val="auto"/>
          <w:sz w:val="21"/>
          <w:szCs w:val="21"/>
          <w:highlight w:val="none"/>
          <w:u w:val="single"/>
          <w:lang w:val="en-US" w:eastAsia="zh-CN"/>
        </w:rPr>
        <w:t>谈判</w:t>
      </w:r>
      <w:r>
        <w:rPr>
          <w:rFonts w:hint="eastAsia" w:cs="宋体"/>
          <w:color w:val="auto"/>
          <w:sz w:val="21"/>
          <w:szCs w:val="21"/>
          <w:highlight w:val="none"/>
          <w:u w:val="single"/>
        </w:rPr>
        <w:t>文件、在合同订立及履行过程中形成的与合同有关的文件均构成合同文件组成部分</w:t>
      </w:r>
    </w:p>
    <w:p w14:paraId="695E78D8">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1.1.2 合同当事人及其他相关方</w:t>
      </w:r>
    </w:p>
    <w:p w14:paraId="2CC64503">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1.1.2.4 监理人：</w:t>
      </w:r>
    </w:p>
    <w:p w14:paraId="4D75F8E4">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名    称：</w:t>
      </w:r>
      <w:r>
        <w:rPr>
          <w:rFonts w:hint="eastAsia" w:cs="宋体"/>
          <w:color w:val="auto"/>
          <w:sz w:val="21"/>
          <w:szCs w:val="21"/>
          <w:highlight w:val="none"/>
          <w:u w:val="single"/>
        </w:rPr>
        <w:t xml:space="preserve">  详见监理合同    </w:t>
      </w:r>
      <w:r>
        <w:rPr>
          <w:rFonts w:hint="eastAsia" w:cs="宋体"/>
          <w:color w:val="auto"/>
          <w:sz w:val="21"/>
          <w:szCs w:val="21"/>
          <w:highlight w:val="none"/>
        </w:rPr>
        <w:t>；</w:t>
      </w:r>
    </w:p>
    <w:p w14:paraId="3641C21A">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资质类别和等级：</w:t>
      </w:r>
      <w:r>
        <w:rPr>
          <w:rFonts w:hint="eastAsia" w:cs="宋体"/>
          <w:color w:val="auto"/>
          <w:sz w:val="21"/>
          <w:szCs w:val="21"/>
          <w:highlight w:val="none"/>
          <w:u w:val="single"/>
        </w:rPr>
        <w:t xml:space="preserve">   详见监理合同      </w:t>
      </w:r>
      <w:r>
        <w:rPr>
          <w:rFonts w:hint="eastAsia" w:cs="宋体"/>
          <w:color w:val="auto"/>
          <w:sz w:val="21"/>
          <w:szCs w:val="21"/>
          <w:highlight w:val="none"/>
        </w:rPr>
        <w:t>；</w:t>
      </w:r>
    </w:p>
    <w:p w14:paraId="538A31FC">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联系电话：</w:t>
      </w:r>
      <w:r>
        <w:rPr>
          <w:rFonts w:hint="eastAsia" w:cs="宋体"/>
          <w:color w:val="auto"/>
          <w:sz w:val="21"/>
          <w:szCs w:val="21"/>
          <w:highlight w:val="none"/>
          <w:u w:val="single"/>
        </w:rPr>
        <w:t xml:space="preserve">   详见监理合同     </w:t>
      </w:r>
      <w:r>
        <w:rPr>
          <w:rFonts w:hint="eastAsia" w:cs="宋体"/>
          <w:color w:val="auto"/>
          <w:sz w:val="21"/>
          <w:szCs w:val="21"/>
          <w:highlight w:val="none"/>
        </w:rPr>
        <w:t>；</w:t>
      </w:r>
    </w:p>
    <w:p w14:paraId="67EA8B05">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电子信箱：</w:t>
      </w:r>
      <w:r>
        <w:rPr>
          <w:rFonts w:hint="eastAsia" w:cs="宋体"/>
          <w:color w:val="auto"/>
          <w:sz w:val="21"/>
          <w:szCs w:val="21"/>
          <w:highlight w:val="none"/>
          <w:u w:val="single"/>
        </w:rPr>
        <w:t xml:space="preserve">   详见监理合同    </w:t>
      </w:r>
      <w:r>
        <w:rPr>
          <w:rFonts w:hint="eastAsia" w:cs="宋体"/>
          <w:color w:val="auto"/>
          <w:sz w:val="21"/>
          <w:szCs w:val="21"/>
          <w:highlight w:val="none"/>
        </w:rPr>
        <w:t>；</w:t>
      </w:r>
    </w:p>
    <w:p w14:paraId="6C771598">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通信地址：</w:t>
      </w:r>
      <w:r>
        <w:rPr>
          <w:rFonts w:hint="eastAsia" w:cs="宋体"/>
          <w:color w:val="auto"/>
          <w:sz w:val="21"/>
          <w:szCs w:val="21"/>
          <w:highlight w:val="none"/>
          <w:u w:val="single"/>
        </w:rPr>
        <w:t xml:space="preserve">     详见监理合同   </w:t>
      </w:r>
      <w:r>
        <w:rPr>
          <w:rFonts w:hint="eastAsia" w:cs="宋体"/>
          <w:color w:val="auto"/>
          <w:sz w:val="21"/>
          <w:szCs w:val="21"/>
          <w:highlight w:val="none"/>
        </w:rPr>
        <w:t>。</w:t>
      </w:r>
    </w:p>
    <w:p w14:paraId="4334487C">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1.1.2.5 设计人：</w:t>
      </w:r>
    </w:p>
    <w:p w14:paraId="55CAFE62">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名    称：</w:t>
      </w:r>
      <w:r>
        <w:rPr>
          <w:rFonts w:hint="eastAsia" w:cs="宋体"/>
          <w:color w:val="auto"/>
          <w:sz w:val="21"/>
          <w:szCs w:val="21"/>
          <w:highlight w:val="none"/>
          <w:u w:val="single"/>
        </w:rPr>
        <w:t xml:space="preserve">  详见</w:t>
      </w:r>
      <w:r>
        <w:rPr>
          <w:rFonts w:hint="eastAsia" w:cs="宋体"/>
          <w:color w:val="auto"/>
          <w:sz w:val="21"/>
          <w:szCs w:val="21"/>
          <w:highlight w:val="none"/>
          <w:u w:val="single"/>
          <w:lang w:val="en-US" w:eastAsia="zh-CN"/>
        </w:rPr>
        <w:t>设计</w:t>
      </w:r>
      <w:r>
        <w:rPr>
          <w:rFonts w:hint="eastAsia" w:cs="宋体"/>
          <w:color w:val="auto"/>
          <w:sz w:val="21"/>
          <w:szCs w:val="21"/>
          <w:highlight w:val="none"/>
          <w:u w:val="single"/>
        </w:rPr>
        <w:t>合同     </w:t>
      </w:r>
      <w:r>
        <w:rPr>
          <w:rFonts w:hint="eastAsia" w:cs="宋体"/>
          <w:color w:val="auto"/>
          <w:sz w:val="21"/>
          <w:szCs w:val="21"/>
          <w:highlight w:val="none"/>
        </w:rPr>
        <w:t>；</w:t>
      </w:r>
    </w:p>
    <w:p w14:paraId="52F002B1">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资质类别和等级：</w:t>
      </w:r>
      <w:r>
        <w:rPr>
          <w:rFonts w:hint="eastAsia" w:cs="宋体"/>
          <w:color w:val="auto"/>
          <w:sz w:val="21"/>
          <w:szCs w:val="21"/>
          <w:highlight w:val="none"/>
          <w:u w:val="single"/>
        </w:rPr>
        <w:t xml:space="preserve">  详见</w:t>
      </w:r>
      <w:r>
        <w:rPr>
          <w:rFonts w:hint="eastAsia" w:cs="宋体"/>
          <w:color w:val="auto"/>
          <w:sz w:val="21"/>
          <w:szCs w:val="21"/>
          <w:highlight w:val="none"/>
          <w:u w:val="single"/>
          <w:lang w:val="en-US" w:eastAsia="zh-CN"/>
        </w:rPr>
        <w:t>设计</w:t>
      </w:r>
      <w:r>
        <w:rPr>
          <w:rFonts w:hint="eastAsia" w:cs="宋体"/>
          <w:color w:val="auto"/>
          <w:sz w:val="21"/>
          <w:szCs w:val="21"/>
          <w:highlight w:val="none"/>
          <w:u w:val="single"/>
        </w:rPr>
        <w:t>合同    </w:t>
      </w:r>
      <w:r>
        <w:rPr>
          <w:rFonts w:hint="eastAsia" w:cs="宋体"/>
          <w:color w:val="auto"/>
          <w:sz w:val="21"/>
          <w:szCs w:val="21"/>
          <w:highlight w:val="none"/>
        </w:rPr>
        <w:t>；</w:t>
      </w:r>
    </w:p>
    <w:p w14:paraId="072F7BB2">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联系电话：</w:t>
      </w:r>
      <w:r>
        <w:rPr>
          <w:rFonts w:hint="eastAsia" w:cs="宋体"/>
          <w:color w:val="auto"/>
          <w:sz w:val="21"/>
          <w:szCs w:val="21"/>
          <w:highlight w:val="none"/>
          <w:u w:val="single"/>
        </w:rPr>
        <w:t xml:space="preserve"> 详见</w:t>
      </w:r>
      <w:r>
        <w:rPr>
          <w:rFonts w:hint="eastAsia" w:cs="宋体"/>
          <w:color w:val="auto"/>
          <w:sz w:val="21"/>
          <w:szCs w:val="21"/>
          <w:highlight w:val="none"/>
          <w:u w:val="single"/>
          <w:lang w:val="en-US" w:eastAsia="zh-CN"/>
        </w:rPr>
        <w:t>设计</w:t>
      </w:r>
      <w:r>
        <w:rPr>
          <w:rFonts w:hint="eastAsia" w:cs="宋体"/>
          <w:color w:val="auto"/>
          <w:sz w:val="21"/>
          <w:szCs w:val="21"/>
          <w:highlight w:val="none"/>
          <w:u w:val="single"/>
        </w:rPr>
        <w:t>合同    </w:t>
      </w:r>
      <w:r>
        <w:rPr>
          <w:rFonts w:hint="eastAsia" w:cs="宋体"/>
          <w:color w:val="auto"/>
          <w:sz w:val="21"/>
          <w:szCs w:val="21"/>
          <w:highlight w:val="none"/>
        </w:rPr>
        <w:t>；</w:t>
      </w:r>
    </w:p>
    <w:p w14:paraId="49F511BF">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电子信箱：</w:t>
      </w:r>
      <w:r>
        <w:rPr>
          <w:rFonts w:hint="eastAsia" w:cs="宋体"/>
          <w:color w:val="auto"/>
          <w:sz w:val="21"/>
          <w:szCs w:val="21"/>
          <w:highlight w:val="none"/>
          <w:u w:val="single"/>
        </w:rPr>
        <w:t xml:space="preserve"> 详见</w:t>
      </w:r>
      <w:r>
        <w:rPr>
          <w:rFonts w:hint="eastAsia" w:cs="宋体"/>
          <w:color w:val="auto"/>
          <w:sz w:val="21"/>
          <w:szCs w:val="21"/>
          <w:highlight w:val="none"/>
          <w:u w:val="single"/>
          <w:lang w:val="en-US" w:eastAsia="zh-CN"/>
        </w:rPr>
        <w:t>设计</w:t>
      </w:r>
      <w:r>
        <w:rPr>
          <w:rFonts w:hint="eastAsia" w:cs="宋体"/>
          <w:color w:val="auto"/>
          <w:sz w:val="21"/>
          <w:szCs w:val="21"/>
          <w:highlight w:val="none"/>
          <w:u w:val="single"/>
        </w:rPr>
        <w:t>合同  </w:t>
      </w:r>
      <w:r>
        <w:rPr>
          <w:rFonts w:hint="eastAsia" w:cs="宋体"/>
          <w:color w:val="auto"/>
          <w:sz w:val="21"/>
          <w:szCs w:val="21"/>
          <w:highlight w:val="none"/>
        </w:rPr>
        <w:t>；</w:t>
      </w:r>
    </w:p>
    <w:p w14:paraId="7D9BC874">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通信地址：</w:t>
      </w:r>
      <w:r>
        <w:rPr>
          <w:rFonts w:hint="eastAsia" w:cs="宋体"/>
          <w:color w:val="auto"/>
          <w:sz w:val="21"/>
          <w:szCs w:val="21"/>
          <w:highlight w:val="none"/>
          <w:u w:val="single"/>
        </w:rPr>
        <w:t xml:space="preserve"> 详见</w:t>
      </w:r>
      <w:r>
        <w:rPr>
          <w:rFonts w:hint="eastAsia" w:cs="宋体"/>
          <w:color w:val="auto"/>
          <w:sz w:val="21"/>
          <w:szCs w:val="21"/>
          <w:highlight w:val="none"/>
          <w:u w:val="single"/>
          <w:lang w:val="en-US" w:eastAsia="zh-CN"/>
        </w:rPr>
        <w:t>设计</w:t>
      </w:r>
      <w:r>
        <w:rPr>
          <w:rFonts w:hint="eastAsia" w:cs="宋体"/>
          <w:color w:val="auto"/>
          <w:sz w:val="21"/>
          <w:szCs w:val="21"/>
          <w:highlight w:val="none"/>
          <w:u w:val="single"/>
        </w:rPr>
        <w:t>合同  </w:t>
      </w:r>
      <w:r>
        <w:rPr>
          <w:rFonts w:hint="eastAsia" w:cs="宋体"/>
          <w:color w:val="auto"/>
          <w:sz w:val="21"/>
          <w:szCs w:val="21"/>
          <w:highlight w:val="none"/>
        </w:rPr>
        <w:t>。</w:t>
      </w:r>
    </w:p>
    <w:p w14:paraId="5767936A">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1.1.3 工程和设备</w:t>
      </w:r>
    </w:p>
    <w:p w14:paraId="69A0D543">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1.1.3.7 作为施工现场组成部分的其他场所包括：</w:t>
      </w:r>
      <w:r>
        <w:rPr>
          <w:rFonts w:hint="eastAsia" w:cs="宋体"/>
          <w:color w:val="auto"/>
          <w:sz w:val="21"/>
          <w:szCs w:val="21"/>
          <w:highlight w:val="none"/>
          <w:u w:val="single"/>
        </w:rPr>
        <w:t xml:space="preserve"> 见施工图纸并现场确定</w:t>
      </w:r>
      <w:r>
        <w:rPr>
          <w:rFonts w:hint="eastAsia" w:cs="宋体"/>
          <w:color w:val="auto"/>
          <w:sz w:val="21"/>
          <w:szCs w:val="21"/>
          <w:highlight w:val="none"/>
        </w:rPr>
        <w:t>。</w:t>
      </w:r>
    </w:p>
    <w:p w14:paraId="0D4C072F">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1.1.3.9 永久占地包括：</w:t>
      </w:r>
      <w:r>
        <w:rPr>
          <w:rFonts w:hint="eastAsia" w:cs="宋体"/>
          <w:color w:val="auto"/>
          <w:sz w:val="21"/>
          <w:szCs w:val="21"/>
          <w:highlight w:val="none"/>
          <w:u w:val="single"/>
        </w:rPr>
        <w:t xml:space="preserve">   见施工图纸</w:t>
      </w:r>
      <w:r>
        <w:rPr>
          <w:rFonts w:hint="eastAsia" w:cs="宋体"/>
          <w:color w:val="auto"/>
          <w:sz w:val="21"/>
          <w:szCs w:val="21"/>
          <w:highlight w:val="none"/>
        </w:rPr>
        <w:t>。</w:t>
      </w:r>
    </w:p>
    <w:p w14:paraId="16B5E7A3">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1.1.3.10 临时占地包括：</w:t>
      </w:r>
      <w:r>
        <w:rPr>
          <w:rFonts w:hint="eastAsia" w:cs="宋体"/>
          <w:color w:val="auto"/>
          <w:sz w:val="21"/>
          <w:szCs w:val="21"/>
          <w:highlight w:val="none"/>
          <w:u w:val="single"/>
        </w:rPr>
        <w:t xml:space="preserve"> 现场确定 </w:t>
      </w:r>
      <w:r>
        <w:rPr>
          <w:rFonts w:hint="eastAsia" w:cs="宋体"/>
          <w:color w:val="auto"/>
          <w:sz w:val="21"/>
          <w:szCs w:val="21"/>
          <w:highlight w:val="none"/>
        </w:rPr>
        <w:t>。</w:t>
      </w:r>
    </w:p>
    <w:p w14:paraId="4C6B1DC9">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 xml:space="preserve">1.3 法律 </w:t>
      </w:r>
    </w:p>
    <w:p w14:paraId="7AECAD5B">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适用于合同的其他规范性文件：</w:t>
      </w:r>
      <w:r>
        <w:rPr>
          <w:rFonts w:hint="eastAsia" w:cs="宋体"/>
          <w:color w:val="auto"/>
          <w:sz w:val="21"/>
          <w:szCs w:val="21"/>
          <w:highlight w:val="none"/>
          <w:u w:val="single"/>
        </w:rPr>
        <w:t>《中华人民共和国民法典》、《中华人民共和国建筑法》、《中华人民共和国政府采购法》、《中华人民共和国招标投标法》、《建设工程质量管理条例》、《建设工程安全生产管理条例》等国家及工程所在地现行有效的法律法规和规章</w:t>
      </w:r>
      <w:r>
        <w:rPr>
          <w:rFonts w:hint="eastAsia" w:cs="宋体"/>
          <w:color w:val="auto"/>
          <w:sz w:val="21"/>
          <w:szCs w:val="21"/>
          <w:highlight w:val="none"/>
        </w:rPr>
        <w:t>。</w:t>
      </w:r>
    </w:p>
    <w:p w14:paraId="0E541B84">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1.4 标准和规范</w:t>
      </w:r>
    </w:p>
    <w:p w14:paraId="35C62C95">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1.4.1 适用于工程的标准规范包括：</w:t>
      </w:r>
      <w:r>
        <w:rPr>
          <w:rFonts w:hint="eastAsia" w:cs="宋体"/>
          <w:color w:val="auto"/>
          <w:sz w:val="21"/>
          <w:szCs w:val="21"/>
          <w:highlight w:val="none"/>
          <w:u w:val="single"/>
        </w:rPr>
        <w:t xml:space="preserve">  指国家及省部、滁州市颁布的有关规范、标准和规程、构成合同文件组成部分的技术标准和要求的文件，包括合同双方当事人约定对其所作的修改或补充    </w:t>
      </w:r>
      <w:r>
        <w:rPr>
          <w:rFonts w:hint="eastAsia" w:cs="宋体"/>
          <w:color w:val="auto"/>
          <w:sz w:val="21"/>
          <w:szCs w:val="21"/>
          <w:highlight w:val="none"/>
        </w:rPr>
        <w:t>。</w:t>
      </w:r>
    </w:p>
    <w:p w14:paraId="213ABACB">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1.4.2 发包人提供国外标准、规范的名称：</w:t>
      </w:r>
      <w:r>
        <w:rPr>
          <w:rFonts w:hint="eastAsia" w:cs="宋体"/>
          <w:color w:val="auto"/>
          <w:sz w:val="21"/>
          <w:szCs w:val="21"/>
          <w:highlight w:val="none"/>
          <w:u w:val="single"/>
        </w:rPr>
        <w:t xml:space="preserve">  承包人自备国内现行适用的标准、规范   </w:t>
      </w:r>
      <w:r>
        <w:rPr>
          <w:rFonts w:hint="eastAsia" w:cs="宋体"/>
          <w:color w:val="auto"/>
          <w:sz w:val="21"/>
          <w:szCs w:val="21"/>
          <w:highlight w:val="none"/>
        </w:rPr>
        <w:t>；</w:t>
      </w:r>
    </w:p>
    <w:p w14:paraId="6BC82253">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发包人提供国外标准、规范的份数：</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B4894B9">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发包人提供国外标准、规范的时间：</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0A67050B">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1.4.3 发包人对工程的技术标准和功能要求的特殊要求：</w:t>
      </w:r>
      <w:r>
        <w:rPr>
          <w:rFonts w:hint="eastAsia" w:cs="宋体"/>
          <w:color w:val="auto"/>
          <w:sz w:val="21"/>
          <w:szCs w:val="21"/>
          <w:highlight w:val="none"/>
          <w:u w:val="single"/>
        </w:rPr>
        <w:t xml:space="preserve">  按现行规范执行   </w:t>
      </w:r>
      <w:r>
        <w:rPr>
          <w:rFonts w:hint="eastAsia" w:cs="宋体"/>
          <w:color w:val="auto"/>
          <w:sz w:val="21"/>
          <w:szCs w:val="21"/>
          <w:highlight w:val="none"/>
        </w:rPr>
        <w:t>。</w:t>
      </w:r>
    </w:p>
    <w:p w14:paraId="06E9214A">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1.5 合同文件的优先顺序</w:t>
      </w:r>
    </w:p>
    <w:p w14:paraId="2B8C88DB">
      <w:pPr>
        <w:adjustRightInd w:val="0"/>
        <w:snapToGrid w:val="0"/>
        <w:spacing w:line="360" w:lineRule="auto"/>
        <w:ind w:firstLine="420" w:firstLineChars="200"/>
        <w:rPr>
          <w:rFonts w:cs="宋体"/>
          <w:b/>
          <w:color w:val="auto"/>
          <w:sz w:val="21"/>
          <w:szCs w:val="21"/>
          <w:highlight w:val="none"/>
          <w:u w:val="single"/>
        </w:rPr>
      </w:pPr>
      <w:r>
        <w:rPr>
          <w:rFonts w:hint="eastAsia" w:cs="宋体"/>
          <w:color w:val="auto"/>
          <w:sz w:val="21"/>
          <w:szCs w:val="21"/>
          <w:highlight w:val="none"/>
        </w:rPr>
        <w:t>合同文件组成及优先顺序为：</w:t>
      </w:r>
      <w:r>
        <w:rPr>
          <w:rFonts w:hint="eastAsia" w:cs="宋体"/>
          <w:color w:val="auto"/>
          <w:sz w:val="21"/>
          <w:szCs w:val="21"/>
          <w:highlight w:val="none"/>
          <w:u w:val="single"/>
        </w:rPr>
        <w:t xml:space="preserve"> （1）合同协议书；</w:t>
      </w:r>
      <w:r>
        <w:rPr>
          <w:rFonts w:hint="eastAsia"/>
          <w:color w:val="auto"/>
          <w:szCs w:val="21"/>
          <w:highlight w:val="none"/>
          <w:u w:val="single"/>
        </w:rPr>
        <w:t>（</w:t>
      </w:r>
      <w:r>
        <w:rPr>
          <w:color w:val="auto"/>
          <w:szCs w:val="21"/>
          <w:highlight w:val="none"/>
          <w:u w:val="single"/>
        </w:rPr>
        <w:t>2）合同履行中签订的补充文件、补充协议</w:t>
      </w:r>
      <w:r>
        <w:rPr>
          <w:rFonts w:hint="eastAsia"/>
          <w:color w:val="auto"/>
          <w:szCs w:val="21"/>
          <w:highlight w:val="none"/>
          <w:u w:val="single"/>
          <w:lang w:eastAsia="zh-CN"/>
        </w:rPr>
        <w:t>；</w:t>
      </w:r>
      <w:r>
        <w:rPr>
          <w:rFonts w:hint="eastAsia" w:cs="宋体"/>
          <w:color w:val="auto"/>
          <w:sz w:val="21"/>
          <w:szCs w:val="21"/>
          <w:highlight w:val="none"/>
          <w:u w:val="single"/>
        </w:rPr>
        <w:t>（</w:t>
      </w:r>
      <w:r>
        <w:rPr>
          <w:rFonts w:hint="eastAsia" w:cs="宋体"/>
          <w:color w:val="auto"/>
          <w:sz w:val="21"/>
          <w:szCs w:val="21"/>
          <w:highlight w:val="none"/>
          <w:u w:val="single"/>
          <w:lang w:val="en-US" w:eastAsia="zh-CN"/>
        </w:rPr>
        <w:t>3</w:t>
      </w:r>
      <w:r>
        <w:rPr>
          <w:rFonts w:hint="eastAsia" w:cs="宋体"/>
          <w:color w:val="auto"/>
          <w:sz w:val="21"/>
          <w:szCs w:val="21"/>
          <w:highlight w:val="none"/>
          <w:u w:val="single"/>
        </w:rPr>
        <w:t>）专用合同条款</w:t>
      </w:r>
      <w:r>
        <w:rPr>
          <w:rFonts w:hint="eastAsia" w:cs="宋体"/>
          <w:color w:val="auto"/>
          <w:sz w:val="21"/>
          <w:szCs w:val="21"/>
          <w:highlight w:val="none"/>
          <w:u w:val="single"/>
          <w:lang w:eastAsia="zh-CN"/>
        </w:rPr>
        <w:t>；</w:t>
      </w:r>
      <w:r>
        <w:rPr>
          <w:rFonts w:hint="eastAsia" w:cs="宋体"/>
          <w:color w:val="auto"/>
          <w:sz w:val="21"/>
          <w:szCs w:val="21"/>
          <w:highlight w:val="none"/>
          <w:u w:val="single"/>
        </w:rPr>
        <w:t>（</w:t>
      </w:r>
      <w:r>
        <w:rPr>
          <w:rFonts w:hint="eastAsia" w:cs="宋体"/>
          <w:color w:val="auto"/>
          <w:sz w:val="21"/>
          <w:szCs w:val="21"/>
          <w:highlight w:val="none"/>
          <w:u w:val="single"/>
          <w:lang w:val="en-US" w:eastAsia="zh-CN"/>
        </w:rPr>
        <w:t>4</w:t>
      </w:r>
      <w:r>
        <w:rPr>
          <w:rFonts w:hint="eastAsia" w:cs="宋体"/>
          <w:color w:val="auto"/>
          <w:sz w:val="21"/>
          <w:szCs w:val="21"/>
          <w:highlight w:val="none"/>
          <w:u w:val="single"/>
        </w:rPr>
        <w:t>）成交通知书；（</w:t>
      </w:r>
      <w:r>
        <w:rPr>
          <w:rFonts w:hint="eastAsia" w:cs="宋体"/>
          <w:color w:val="auto"/>
          <w:sz w:val="21"/>
          <w:szCs w:val="21"/>
          <w:highlight w:val="none"/>
          <w:u w:val="single"/>
          <w:lang w:val="en-US" w:eastAsia="zh-CN"/>
        </w:rPr>
        <w:t>5</w:t>
      </w:r>
      <w:r>
        <w:rPr>
          <w:rFonts w:hint="eastAsia" w:cs="宋体"/>
          <w:color w:val="auto"/>
          <w:sz w:val="21"/>
          <w:szCs w:val="21"/>
          <w:highlight w:val="none"/>
          <w:u w:val="single"/>
        </w:rPr>
        <w:t>）</w:t>
      </w:r>
      <w:r>
        <w:rPr>
          <w:rFonts w:hint="eastAsia" w:cs="宋体"/>
          <w:color w:val="auto"/>
          <w:sz w:val="21"/>
          <w:szCs w:val="21"/>
          <w:highlight w:val="none"/>
          <w:u w:val="single"/>
          <w:lang w:val="en-US" w:eastAsia="zh-CN"/>
        </w:rPr>
        <w:t>谈判</w:t>
      </w:r>
      <w:r>
        <w:rPr>
          <w:rFonts w:hint="eastAsia" w:cs="宋体"/>
          <w:color w:val="auto"/>
          <w:sz w:val="21"/>
          <w:szCs w:val="21"/>
          <w:highlight w:val="none"/>
          <w:u w:val="single"/>
        </w:rPr>
        <w:t>文件；（</w:t>
      </w:r>
      <w:r>
        <w:rPr>
          <w:rFonts w:hint="eastAsia" w:cs="宋体"/>
          <w:color w:val="auto"/>
          <w:sz w:val="21"/>
          <w:szCs w:val="21"/>
          <w:highlight w:val="none"/>
          <w:u w:val="single"/>
          <w:lang w:val="en-US" w:eastAsia="zh-CN"/>
        </w:rPr>
        <w:t>6</w:t>
      </w:r>
      <w:r>
        <w:rPr>
          <w:rFonts w:hint="eastAsia" w:cs="宋体"/>
          <w:color w:val="auto"/>
          <w:sz w:val="21"/>
          <w:szCs w:val="21"/>
          <w:highlight w:val="none"/>
          <w:u w:val="single"/>
        </w:rPr>
        <w:t>）</w:t>
      </w:r>
      <w:r>
        <w:rPr>
          <w:rFonts w:hint="eastAsia" w:cs="宋体"/>
          <w:color w:val="auto"/>
          <w:sz w:val="21"/>
          <w:szCs w:val="21"/>
          <w:highlight w:val="none"/>
          <w:u w:val="single"/>
          <w:lang w:val="en-US" w:eastAsia="zh-CN"/>
        </w:rPr>
        <w:t>响应文件</w:t>
      </w:r>
      <w:r>
        <w:rPr>
          <w:rFonts w:hint="eastAsia" w:cs="宋体"/>
          <w:color w:val="auto"/>
          <w:sz w:val="21"/>
          <w:szCs w:val="21"/>
          <w:highlight w:val="none"/>
          <w:u w:val="single"/>
        </w:rPr>
        <w:t>；（</w:t>
      </w:r>
      <w:r>
        <w:rPr>
          <w:rFonts w:hint="eastAsia" w:cs="宋体"/>
          <w:color w:val="auto"/>
          <w:sz w:val="21"/>
          <w:szCs w:val="21"/>
          <w:highlight w:val="none"/>
          <w:u w:val="single"/>
          <w:lang w:val="en-US" w:eastAsia="zh-CN"/>
        </w:rPr>
        <w:t>7</w:t>
      </w:r>
      <w:r>
        <w:rPr>
          <w:rFonts w:hint="eastAsia" w:cs="宋体"/>
          <w:color w:val="auto"/>
          <w:sz w:val="21"/>
          <w:szCs w:val="21"/>
          <w:highlight w:val="none"/>
          <w:u w:val="single"/>
        </w:rPr>
        <w:t>）通用合同条款；（</w:t>
      </w:r>
      <w:r>
        <w:rPr>
          <w:rFonts w:hint="eastAsia" w:cs="宋体"/>
          <w:color w:val="auto"/>
          <w:sz w:val="21"/>
          <w:szCs w:val="21"/>
          <w:highlight w:val="none"/>
          <w:u w:val="single"/>
          <w:lang w:val="en-US" w:eastAsia="zh-CN"/>
        </w:rPr>
        <w:t>8</w:t>
      </w:r>
      <w:r>
        <w:rPr>
          <w:rFonts w:hint="eastAsia" w:cs="宋体"/>
          <w:color w:val="auto"/>
          <w:sz w:val="21"/>
          <w:szCs w:val="21"/>
          <w:highlight w:val="none"/>
          <w:u w:val="single"/>
        </w:rPr>
        <w:t>）</w:t>
      </w:r>
      <w:r>
        <w:rPr>
          <w:rFonts w:hint="eastAsia" w:cs="宋体"/>
          <w:color w:val="auto"/>
          <w:sz w:val="21"/>
          <w:szCs w:val="21"/>
          <w:highlight w:val="none"/>
          <w:u w:val="single"/>
          <w:lang w:val="en-US" w:eastAsia="zh-CN"/>
        </w:rPr>
        <w:t>合同附件</w:t>
      </w:r>
      <w:r>
        <w:rPr>
          <w:rFonts w:hint="eastAsia" w:cs="宋体"/>
          <w:color w:val="auto"/>
          <w:sz w:val="21"/>
          <w:szCs w:val="21"/>
          <w:highlight w:val="none"/>
          <w:u w:val="single"/>
        </w:rPr>
        <w:t>；（</w:t>
      </w:r>
      <w:r>
        <w:rPr>
          <w:rFonts w:hint="eastAsia" w:cs="宋体"/>
          <w:color w:val="auto"/>
          <w:sz w:val="21"/>
          <w:szCs w:val="21"/>
          <w:highlight w:val="none"/>
          <w:u w:val="single"/>
          <w:lang w:val="en-US" w:eastAsia="zh-CN"/>
        </w:rPr>
        <w:t>9</w:t>
      </w:r>
      <w:r>
        <w:rPr>
          <w:rFonts w:hint="eastAsia" w:cs="宋体"/>
          <w:color w:val="auto"/>
          <w:sz w:val="21"/>
          <w:szCs w:val="21"/>
          <w:highlight w:val="none"/>
          <w:u w:val="single"/>
        </w:rPr>
        <w:t>）</w:t>
      </w:r>
      <w:r>
        <w:rPr>
          <w:color w:val="auto"/>
          <w:szCs w:val="21"/>
          <w:highlight w:val="none"/>
          <w:u w:val="single"/>
        </w:rPr>
        <w:t>标准、规范及有关技术文件</w:t>
      </w:r>
      <w:r>
        <w:rPr>
          <w:rFonts w:hint="eastAsia"/>
          <w:color w:val="auto"/>
          <w:szCs w:val="21"/>
          <w:highlight w:val="none"/>
          <w:u w:val="single"/>
          <w:lang w:eastAsia="zh-CN"/>
        </w:rPr>
        <w:t>；（</w:t>
      </w:r>
      <w:r>
        <w:rPr>
          <w:rFonts w:hint="eastAsia"/>
          <w:color w:val="auto"/>
          <w:szCs w:val="21"/>
          <w:highlight w:val="none"/>
          <w:u w:val="single"/>
          <w:lang w:val="en-US" w:eastAsia="zh-CN"/>
        </w:rPr>
        <w:t>10</w:t>
      </w:r>
      <w:r>
        <w:rPr>
          <w:rFonts w:hint="eastAsia"/>
          <w:color w:val="auto"/>
          <w:szCs w:val="21"/>
          <w:highlight w:val="none"/>
          <w:u w:val="single"/>
          <w:lang w:eastAsia="zh-CN"/>
        </w:rPr>
        <w:t>）</w:t>
      </w:r>
      <w:r>
        <w:rPr>
          <w:color w:val="auto"/>
          <w:szCs w:val="21"/>
          <w:highlight w:val="none"/>
          <w:u w:val="single"/>
        </w:rPr>
        <w:t>设计文件、资料和图纸</w:t>
      </w:r>
      <w:r>
        <w:rPr>
          <w:rFonts w:hint="eastAsia" w:cs="宋体"/>
          <w:color w:val="auto"/>
          <w:sz w:val="21"/>
          <w:szCs w:val="21"/>
          <w:highlight w:val="none"/>
          <w:u w:val="single"/>
        </w:rPr>
        <w:t>；（1</w:t>
      </w:r>
      <w:r>
        <w:rPr>
          <w:rFonts w:hint="eastAsia" w:cs="宋体"/>
          <w:color w:val="auto"/>
          <w:sz w:val="21"/>
          <w:szCs w:val="21"/>
          <w:highlight w:val="none"/>
          <w:u w:val="single"/>
          <w:lang w:val="en-US" w:eastAsia="zh-CN"/>
        </w:rPr>
        <w:t>1</w:t>
      </w:r>
      <w:r>
        <w:rPr>
          <w:rFonts w:hint="eastAsia" w:cs="宋体"/>
          <w:color w:val="auto"/>
          <w:sz w:val="21"/>
          <w:szCs w:val="21"/>
          <w:highlight w:val="none"/>
          <w:u w:val="single"/>
        </w:rPr>
        <w:t>）</w:t>
      </w:r>
      <w:r>
        <w:rPr>
          <w:color w:val="auto"/>
          <w:szCs w:val="21"/>
          <w:highlight w:val="none"/>
          <w:u w:val="single"/>
        </w:rPr>
        <w:t>双方约定构成合同组成部分的其它文件</w:t>
      </w:r>
      <w:r>
        <w:rPr>
          <w:rFonts w:hint="eastAsia" w:cs="宋体"/>
          <w:color w:val="auto"/>
          <w:sz w:val="21"/>
          <w:szCs w:val="21"/>
          <w:highlight w:val="none"/>
          <w:u w:val="single"/>
        </w:rPr>
        <w:t xml:space="preserve">   </w:t>
      </w:r>
    </w:p>
    <w:p w14:paraId="432046AE">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1.6 图纸和承包人文件</w:t>
      </w:r>
      <w:r>
        <w:rPr>
          <w:rFonts w:hint="eastAsia" w:cs="宋体"/>
          <w:bCs/>
          <w:color w:val="auto"/>
          <w:sz w:val="21"/>
          <w:szCs w:val="21"/>
          <w:highlight w:val="none"/>
        </w:rPr>
        <w:tab/>
      </w:r>
    </w:p>
    <w:p w14:paraId="6D8CA5AA">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1.6.1 图纸的提供和交底</w:t>
      </w:r>
    </w:p>
    <w:p w14:paraId="06CC2805">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发包人向承包人提供图纸的期限：</w:t>
      </w:r>
      <w:r>
        <w:rPr>
          <w:rFonts w:hint="eastAsia" w:cs="宋体"/>
          <w:color w:val="auto"/>
          <w:sz w:val="21"/>
          <w:szCs w:val="21"/>
          <w:highlight w:val="none"/>
          <w:u w:val="single"/>
        </w:rPr>
        <w:t xml:space="preserve">  开工前 14 天    </w:t>
      </w:r>
      <w:r>
        <w:rPr>
          <w:rFonts w:hint="eastAsia" w:cs="宋体"/>
          <w:color w:val="auto"/>
          <w:sz w:val="21"/>
          <w:szCs w:val="21"/>
          <w:highlight w:val="none"/>
        </w:rPr>
        <w:t>；</w:t>
      </w:r>
    </w:p>
    <w:p w14:paraId="00BEC06D">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发包人向承包人提供图纸的数量：</w:t>
      </w:r>
      <w:r>
        <w:rPr>
          <w:rFonts w:hint="eastAsia" w:cs="宋体"/>
          <w:color w:val="auto"/>
          <w:sz w:val="21"/>
          <w:szCs w:val="21"/>
          <w:highlight w:val="none"/>
          <w:u w:val="single"/>
        </w:rPr>
        <w:t>提供</w:t>
      </w:r>
      <w:r>
        <w:rPr>
          <w:rFonts w:hint="eastAsia" w:cs="宋体"/>
          <w:color w:val="auto"/>
          <w:sz w:val="21"/>
          <w:szCs w:val="21"/>
          <w:highlight w:val="none"/>
          <w:u w:val="single"/>
          <w:lang w:val="en-US" w:eastAsia="zh-CN"/>
        </w:rPr>
        <w:t>2</w:t>
      </w:r>
      <w:r>
        <w:rPr>
          <w:rFonts w:hint="eastAsia" w:cs="宋体"/>
          <w:color w:val="auto"/>
          <w:sz w:val="21"/>
          <w:szCs w:val="21"/>
          <w:highlight w:val="none"/>
          <w:u w:val="single"/>
        </w:rPr>
        <w:t>套，不足的由承包人自行复制，费用自理</w:t>
      </w:r>
      <w:r>
        <w:rPr>
          <w:rFonts w:hint="eastAsia" w:cs="宋体"/>
          <w:color w:val="auto"/>
          <w:sz w:val="21"/>
          <w:szCs w:val="21"/>
          <w:highlight w:val="none"/>
          <w:u w:val="single"/>
          <w:lang w:eastAsia="zh-CN"/>
        </w:rPr>
        <w:t>，所有设计图纸和设计变更文件须经设计单位和发包人盖章确认方有效</w:t>
      </w:r>
      <w:r>
        <w:rPr>
          <w:rFonts w:hint="eastAsia" w:cs="宋体"/>
          <w:color w:val="auto"/>
          <w:sz w:val="21"/>
          <w:szCs w:val="21"/>
          <w:highlight w:val="none"/>
          <w:u w:val="single"/>
        </w:rPr>
        <w:t>；</w:t>
      </w:r>
    </w:p>
    <w:p w14:paraId="234395B1">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发包人向承包人提供图纸的内容：</w:t>
      </w:r>
      <w:r>
        <w:rPr>
          <w:rFonts w:hint="eastAsia" w:cs="宋体"/>
          <w:color w:val="auto"/>
          <w:sz w:val="21"/>
          <w:szCs w:val="21"/>
          <w:highlight w:val="none"/>
          <w:u w:val="single"/>
        </w:rPr>
        <w:t xml:space="preserve"> 全套施工图 。</w:t>
      </w:r>
    </w:p>
    <w:p w14:paraId="27A51D4E">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1.6.4 承包人文件</w:t>
      </w:r>
    </w:p>
    <w:p w14:paraId="65746966">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需要由承包人提供的文件，包括：</w:t>
      </w:r>
      <w:r>
        <w:rPr>
          <w:rFonts w:hint="eastAsia" w:cs="宋体"/>
          <w:color w:val="auto"/>
          <w:sz w:val="21"/>
          <w:szCs w:val="21"/>
          <w:highlight w:val="none"/>
          <w:u w:val="single"/>
        </w:rPr>
        <w:t xml:space="preserve"> 按监理要求执行，包括但不限于施工组织设计、总进度计划、阶段性进度计划、 月度进度计划、工程计量报告、竣工资料、归档资料电子档、影像资料及工程结算送审资料及发包人、监理人要求提供的等其他文件   </w:t>
      </w:r>
      <w:r>
        <w:rPr>
          <w:rFonts w:hint="eastAsia" w:cs="宋体"/>
          <w:color w:val="auto"/>
          <w:sz w:val="21"/>
          <w:szCs w:val="21"/>
          <w:highlight w:val="none"/>
        </w:rPr>
        <w:t>；</w:t>
      </w:r>
    </w:p>
    <w:p w14:paraId="3EEF4222">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承包人提供的文件的期限为：</w:t>
      </w:r>
      <w:r>
        <w:rPr>
          <w:rFonts w:hint="eastAsia" w:cs="宋体"/>
          <w:color w:val="auto"/>
          <w:sz w:val="21"/>
          <w:szCs w:val="21"/>
          <w:highlight w:val="none"/>
          <w:u w:val="single"/>
        </w:rPr>
        <w:t xml:space="preserve">  </w:t>
      </w:r>
      <w:r>
        <w:rPr>
          <w:color w:val="auto"/>
          <w:spacing w:val="-4"/>
          <w:sz w:val="21"/>
          <w:szCs w:val="21"/>
          <w:highlight w:val="none"/>
          <w:u w:val="single" w:color="auto"/>
        </w:rPr>
        <w:t>按照合同相关约定或发包</w:t>
      </w:r>
      <w:r>
        <w:rPr>
          <w:color w:val="auto"/>
          <w:spacing w:val="-5"/>
          <w:sz w:val="21"/>
          <w:szCs w:val="21"/>
          <w:highlight w:val="none"/>
          <w:u w:val="single" w:color="auto"/>
        </w:rPr>
        <w:t>人、监理人书面要求执行</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EF2F43D">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承包人提供的文件的数量为：</w:t>
      </w:r>
      <w:r>
        <w:rPr>
          <w:rFonts w:hint="eastAsia" w:cs="宋体"/>
          <w:color w:val="auto"/>
          <w:sz w:val="21"/>
          <w:szCs w:val="21"/>
          <w:highlight w:val="none"/>
          <w:u w:val="single"/>
        </w:rPr>
        <w:t xml:space="preserve">  </w:t>
      </w:r>
      <w:r>
        <w:rPr>
          <w:color w:val="auto"/>
          <w:spacing w:val="-4"/>
          <w:sz w:val="21"/>
          <w:szCs w:val="21"/>
          <w:highlight w:val="none"/>
          <w:u w:val="single" w:color="auto"/>
        </w:rPr>
        <w:t>按照合同相关约定或发包</w:t>
      </w:r>
      <w:r>
        <w:rPr>
          <w:color w:val="auto"/>
          <w:spacing w:val="-5"/>
          <w:sz w:val="21"/>
          <w:szCs w:val="21"/>
          <w:highlight w:val="none"/>
          <w:u w:val="single" w:color="auto"/>
        </w:rPr>
        <w:t>人、监理人书面要求执行</w:t>
      </w:r>
      <w:r>
        <w:rPr>
          <w:rFonts w:hint="eastAsia" w:cs="宋体"/>
          <w:color w:val="auto"/>
          <w:sz w:val="21"/>
          <w:szCs w:val="21"/>
          <w:highlight w:val="none"/>
          <w:u w:val="single"/>
        </w:rPr>
        <w:t xml:space="preserve">   </w:t>
      </w:r>
      <w:r>
        <w:rPr>
          <w:rFonts w:hint="eastAsia" w:cs="宋体"/>
          <w:color w:val="auto"/>
          <w:sz w:val="21"/>
          <w:szCs w:val="21"/>
          <w:highlight w:val="none"/>
        </w:rPr>
        <w:t>；</w:t>
      </w:r>
    </w:p>
    <w:p w14:paraId="051850CC">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承包人提供的文件的形式为：</w:t>
      </w:r>
      <w:r>
        <w:rPr>
          <w:rFonts w:hint="eastAsia" w:cs="宋体"/>
          <w:color w:val="auto"/>
          <w:sz w:val="21"/>
          <w:szCs w:val="21"/>
          <w:highlight w:val="none"/>
          <w:u w:val="single"/>
        </w:rPr>
        <w:t xml:space="preserve"> </w:t>
      </w:r>
      <w:r>
        <w:rPr>
          <w:color w:val="auto"/>
          <w:spacing w:val="-4"/>
          <w:sz w:val="21"/>
          <w:szCs w:val="21"/>
          <w:highlight w:val="none"/>
          <w:u w:val="single" w:color="auto"/>
        </w:rPr>
        <w:t>按照合同相关约定或发包</w:t>
      </w:r>
      <w:r>
        <w:rPr>
          <w:color w:val="auto"/>
          <w:spacing w:val="-5"/>
          <w:sz w:val="21"/>
          <w:szCs w:val="21"/>
          <w:highlight w:val="none"/>
          <w:u w:val="single" w:color="auto"/>
        </w:rPr>
        <w:t>人、监理人书面要求执行</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25A9F66">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发包人审批承包人文件的期限：</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7天</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6019DE8">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1.6.5 图纸和承包人文件的保管</w:t>
      </w:r>
    </w:p>
    <w:p w14:paraId="127AA1FA">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关于图纸和承包人文件保管的约定：</w:t>
      </w:r>
      <w:r>
        <w:rPr>
          <w:rFonts w:hint="eastAsia" w:cs="宋体"/>
          <w:color w:val="auto"/>
          <w:sz w:val="21"/>
          <w:szCs w:val="21"/>
          <w:highlight w:val="none"/>
          <w:u w:val="single"/>
        </w:rPr>
        <w:t>除专用合同条款另有约定外，承包人应在施工现场另外保存一套完整的图纸和承包人文件，供发包人、监理人及有关人员进行工程检查时使用。</w:t>
      </w:r>
    </w:p>
    <w:p w14:paraId="5B77BD50">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1.7 联络</w:t>
      </w:r>
    </w:p>
    <w:p w14:paraId="0D7E0B4D">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1.7.1 发包人和承包人应当在</w:t>
      </w:r>
      <w:r>
        <w:rPr>
          <w:rFonts w:hint="eastAsia" w:cs="宋体"/>
          <w:color w:val="auto"/>
          <w:sz w:val="21"/>
          <w:szCs w:val="21"/>
          <w:highlight w:val="none"/>
          <w:u w:val="single"/>
        </w:rPr>
        <w:t>7</w:t>
      </w:r>
      <w:r>
        <w:rPr>
          <w:rFonts w:hint="eastAsia" w:cs="宋体"/>
          <w:color w:val="auto"/>
          <w:sz w:val="21"/>
          <w:szCs w:val="21"/>
          <w:highlight w:val="none"/>
        </w:rPr>
        <w:t>天内将与合同有关的通知、批准、证明、证书、指示、指令、要求、请求、同意、意见、确定和决定等书面函件送达对方当事人。</w:t>
      </w:r>
    </w:p>
    <w:p w14:paraId="236309C9">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1.7.2 发包人接收文件的地点：</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滁州市园林景观管理中心或项目部</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7162C32">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发包人指定的接收人为：</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发包人代表</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A481CFB">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承包人接收文件的地点：</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滁州市园林景观管理中心或项目部</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600A21E">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承包人指定的接收人为：</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项目经理</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6C15031">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监理人接收文件的地点：</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滁州市园林景观管理中心或项目部</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F05246E">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监理人指定的接收人为：</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总监理工程师或总监代表</w:t>
      </w:r>
      <w:r>
        <w:rPr>
          <w:rFonts w:hint="eastAsia" w:cs="宋体"/>
          <w:color w:val="auto"/>
          <w:sz w:val="21"/>
          <w:szCs w:val="21"/>
          <w:highlight w:val="none"/>
          <w:u w:val="single"/>
        </w:rPr>
        <w:t xml:space="preserve">      </w:t>
      </w:r>
      <w:r>
        <w:rPr>
          <w:rFonts w:hint="eastAsia" w:cs="宋体"/>
          <w:color w:val="auto"/>
          <w:sz w:val="21"/>
          <w:szCs w:val="21"/>
          <w:highlight w:val="none"/>
        </w:rPr>
        <w:t>。</w:t>
      </w:r>
    </w:p>
    <w:p w14:paraId="0535AC73">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1.10 交通运输</w:t>
      </w:r>
    </w:p>
    <w:p w14:paraId="3A293358">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w:t>
      </w:r>
      <w:bookmarkStart w:id="102" w:name="_Toc300934943"/>
      <w:bookmarkStart w:id="103" w:name="_Toc318581155"/>
      <w:bookmarkStart w:id="104" w:name="_Toc312677986"/>
      <w:bookmarkStart w:id="105" w:name="_Toc304295521"/>
      <w:bookmarkStart w:id="106" w:name="_Toc303539100"/>
      <w:r>
        <w:rPr>
          <w:rFonts w:hint="eastAsia" w:cs="宋体"/>
          <w:color w:val="auto"/>
          <w:sz w:val="21"/>
          <w:szCs w:val="21"/>
          <w:highlight w:val="none"/>
        </w:rPr>
        <w:t>.10.1 出入现场的权利</w:t>
      </w:r>
    </w:p>
    <w:p w14:paraId="7DD04AF8">
      <w:pPr>
        <w:snapToGrid w:val="0"/>
        <w:spacing w:line="440" w:lineRule="exact"/>
        <w:ind w:firstLine="420" w:firstLineChars="200"/>
        <w:rPr>
          <w:rFonts w:hint="eastAsia" w:ascii="宋体" w:cs="宋体"/>
          <w:color w:val="auto"/>
          <w:sz w:val="21"/>
          <w:szCs w:val="21"/>
          <w:highlight w:val="none"/>
          <w:u w:val="single"/>
          <w:shd w:val="clear" w:color="auto" w:fill="auto"/>
        </w:rPr>
      </w:pPr>
      <w:r>
        <w:rPr>
          <w:rFonts w:hint="eastAsia" w:cs="宋体"/>
          <w:color w:val="auto"/>
          <w:sz w:val="21"/>
          <w:szCs w:val="21"/>
          <w:highlight w:val="none"/>
        </w:rPr>
        <w:t>关于出入现场的权利的约定：</w:t>
      </w:r>
      <w:r>
        <w:rPr>
          <w:rFonts w:hint="eastAsia" w:ascii="宋体" w:cs="宋体"/>
          <w:color w:val="auto"/>
          <w:szCs w:val="21"/>
          <w:highlight w:val="none"/>
          <w:u w:val="single"/>
        </w:rPr>
        <w:t>按有关规定办理有关施工场地交通、环卫和施工噪音管理等手续，费用由承包人负责。施工中建筑垃圾需运出施工现场外时，承包人需到城管部门办理相关手续并按城管部门指定地点放置。承包人违反城管、环卫等有关管理的规定，被处以罚款的，由承包人承担</w:t>
      </w:r>
      <w:r>
        <w:rPr>
          <w:rFonts w:hint="eastAsia" w:ascii="宋体" w:cs="宋体"/>
          <w:color w:val="auto"/>
          <w:sz w:val="21"/>
          <w:szCs w:val="21"/>
          <w:highlight w:val="none"/>
          <w:u w:val="single"/>
          <w:shd w:val="clear" w:color="auto" w:fill="auto"/>
        </w:rPr>
        <w:t>。</w:t>
      </w:r>
    </w:p>
    <w:p w14:paraId="1AD47A48">
      <w:pPr>
        <w:snapToGrid w:val="0"/>
        <w:spacing w:line="440" w:lineRule="exact"/>
        <w:ind w:firstLine="400" w:firstLineChars="200"/>
        <w:rPr>
          <w:rFonts w:ascii="宋体" w:cs="宋体"/>
          <w:color w:val="auto"/>
          <w:szCs w:val="21"/>
          <w:highlight w:val="none"/>
          <w:u w:val="single"/>
        </w:rPr>
      </w:pPr>
      <w:r>
        <w:rPr>
          <w:rFonts w:hint="eastAsia" w:ascii="宋体" w:cs="宋体"/>
          <w:color w:val="auto"/>
          <w:szCs w:val="21"/>
          <w:highlight w:val="none"/>
          <w:u w:val="single"/>
        </w:rPr>
        <w:t>施工前承包人应报临时设施专项施工方案，经监理审核后报发包人同意。临时设施专项施工方案实施过程中应采取有效硬化措施。不得损坏道路路面路侧石、人行道板、雨水井、雨水篦、绿化带、通信光缆、燃气管道、供电等公共设施，如因工程需要，确需损坏少量公共设施的，承包人应按规定办理相关手续，在完工后必须恢复原状，若施工方有损毁不及时修复，发包人有权委托其他施工方进行维修，发生的费用从承包人工程款中直接翻倍扣除。施工过程中，应办理渣土运输等相关证件，保持道路清洁，如有抛撒滴漏，应及时清扫，符合建设工程施工现场扬尘管理相关规定。否则发包人对承包人进行处罚10000元/次。</w:t>
      </w:r>
    </w:p>
    <w:p w14:paraId="4A4BE11D">
      <w:pPr>
        <w:snapToGrid w:val="0"/>
        <w:spacing w:line="440" w:lineRule="exact"/>
        <w:ind w:firstLine="400" w:firstLineChars="200"/>
        <w:rPr>
          <w:rFonts w:ascii="宋体" w:cs="宋体"/>
          <w:color w:val="auto"/>
          <w:szCs w:val="21"/>
          <w:highlight w:val="none"/>
          <w:u w:val="single"/>
        </w:rPr>
      </w:pPr>
      <w:r>
        <w:rPr>
          <w:rFonts w:hint="eastAsia" w:ascii="宋体" w:cs="宋体"/>
          <w:color w:val="auto"/>
          <w:szCs w:val="21"/>
          <w:highlight w:val="none"/>
          <w:u w:val="single"/>
        </w:rPr>
        <w:t>在本工程施工期间，施工单位使用的运输车辆须满足公安、市容城管、交通管理部门等的规定并按要求依法遵照有关规定办理运输许可证，严禁使用无牌无证车辆进行施工，若因以上原因造成的各种行政罚款等费用，由施工单位自行承担，发包人不具有协调等责任义务。如由此对发包人造成影响的，发包人将向承包人收取违约金10000元/次。</w:t>
      </w:r>
    </w:p>
    <w:p w14:paraId="6CD2D367">
      <w:pPr>
        <w:snapToGrid w:val="0"/>
        <w:spacing w:line="440" w:lineRule="exact"/>
        <w:ind w:firstLine="400" w:firstLineChars="200"/>
        <w:rPr>
          <w:rFonts w:hint="eastAsia" w:ascii="宋体" w:cs="宋体"/>
          <w:color w:val="auto"/>
          <w:sz w:val="21"/>
          <w:szCs w:val="21"/>
          <w:highlight w:val="none"/>
          <w:u w:val="single"/>
          <w:shd w:val="clear" w:color="auto" w:fill="auto"/>
        </w:rPr>
      </w:pPr>
      <w:r>
        <w:rPr>
          <w:rFonts w:hint="eastAsia" w:ascii="宋体" w:cs="宋体"/>
          <w:color w:val="auto"/>
          <w:szCs w:val="21"/>
          <w:highlight w:val="none"/>
          <w:u w:val="single"/>
        </w:rPr>
        <w:t>承包人应在订立合同前查勘施工现场，并根据工程规模及技术参数合理预见工程施工所需的进出施工现场的方式、手段、路径等。因承包人未合理预见所增加的费用和（或）延误的工期由承包人承担。</w:t>
      </w:r>
    </w:p>
    <w:bookmarkEnd w:id="102"/>
    <w:bookmarkEnd w:id="103"/>
    <w:bookmarkEnd w:id="104"/>
    <w:bookmarkEnd w:id="105"/>
    <w:bookmarkEnd w:id="106"/>
    <w:p w14:paraId="3CB694B3">
      <w:pPr>
        <w:adjustRightInd w:val="0"/>
        <w:snapToGrid w:val="0"/>
        <w:spacing w:line="360" w:lineRule="auto"/>
        <w:ind w:firstLine="420" w:firstLineChars="200"/>
        <w:rPr>
          <w:rFonts w:hint="eastAsia" w:cs="宋体"/>
          <w:color w:val="auto"/>
          <w:sz w:val="21"/>
          <w:szCs w:val="21"/>
          <w:highlight w:val="none"/>
        </w:rPr>
      </w:pPr>
    </w:p>
    <w:p w14:paraId="555AB63E">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w:t>
      </w:r>
      <w:bookmarkStart w:id="107" w:name="_Toc304295522"/>
      <w:bookmarkStart w:id="108" w:name="_Toc303539101"/>
      <w:bookmarkStart w:id="109" w:name="_Toc312677987"/>
      <w:bookmarkStart w:id="110" w:name="_Toc318581156"/>
      <w:bookmarkStart w:id="111" w:name="_Toc300934944"/>
      <w:r>
        <w:rPr>
          <w:rFonts w:hint="eastAsia" w:cs="宋体"/>
          <w:color w:val="auto"/>
          <w:sz w:val="21"/>
          <w:szCs w:val="21"/>
          <w:highlight w:val="none"/>
        </w:rPr>
        <w:t>.10.3 场内交通</w:t>
      </w:r>
    </w:p>
    <w:p w14:paraId="15C2E20C">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关于场外交通和场内交通的边界的约定：</w:t>
      </w:r>
      <w:r>
        <w:rPr>
          <w:rFonts w:hint="eastAsia" w:cs="宋体"/>
          <w:color w:val="auto"/>
          <w:sz w:val="21"/>
          <w:szCs w:val="21"/>
          <w:highlight w:val="none"/>
          <w:u w:val="single"/>
        </w:rPr>
        <w:t xml:space="preserve"> 场内交通设施和道路由承包人负责建设，发包人不另支付费用，场内交通边界现场确定  </w:t>
      </w:r>
      <w:r>
        <w:rPr>
          <w:rFonts w:hint="eastAsia" w:cs="宋体"/>
          <w:color w:val="auto"/>
          <w:sz w:val="21"/>
          <w:szCs w:val="21"/>
          <w:highlight w:val="none"/>
        </w:rPr>
        <w:t>。</w:t>
      </w:r>
    </w:p>
    <w:p w14:paraId="5F5C89E5">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关于发包人向承包人免费提供满足工程施工需要的场内道路和交通设施的约定：</w:t>
      </w:r>
      <w:r>
        <w:rPr>
          <w:rFonts w:hint="eastAsia" w:cs="宋体"/>
          <w:color w:val="auto"/>
          <w:sz w:val="21"/>
          <w:szCs w:val="21"/>
          <w:highlight w:val="none"/>
          <w:u w:val="single"/>
        </w:rPr>
        <w:t xml:space="preserve"> 自行踏勘，自行解决  </w:t>
      </w:r>
      <w:r>
        <w:rPr>
          <w:rFonts w:hint="eastAsia" w:cs="宋体"/>
          <w:color w:val="auto"/>
          <w:sz w:val="21"/>
          <w:szCs w:val="21"/>
          <w:highlight w:val="none"/>
        </w:rPr>
        <w:t>。</w:t>
      </w:r>
      <w:bookmarkEnd w:id="107"/>
      <w:bookmarkEnd w:id="108"/>
      <w:bookmarkEnd w:id="109"/>
      <w:bookmarkEnd w:id="110"/>
      <w:bookmarkEnd w:id="111"/>
      <w:bookmarkStart w:id="112" w:name="_Toc318581157"/>
    </w:p>
    <w:p w14:paraId="2705C9FC">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1.10.4 超大件和超重件的运输</w:t>
      </w:r>
    </w:p>
    <w:p w14:paraId="3E0680B0">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运输超大件或超重件所需的道路和桥梁临时加固改造费用和其他有关费用由</w:t>
      </w:r>
      <w:r>
        <w:rPr>
          <w:rFonts w:hint="eastAsia" w:cs="宋体"/>
          <w:color w:val="auto"/>
          <w:sz w:val="21"/>
          <w:szCs w:val="21"/>
          <w:highlight w:val="none"/>
          <w:u w:val="single"/>
          <w:lang w:val="en-US" w:eastAsia="zh-CN"/>
        </w:rPr>
        <w:t>承包方</w:t>
      </w:r>
      <w:r>
        <w:rPr>
          <w:rFonts w:hint="eastAsia" w:cs="宋体"/>
          <w:color w:val="auto"/>
          <w:sz w:val="21"/>
          <w:szCs w:val="21"/>
          <w:highlight w:val="none"/>
        </w:rPr>
        <w:t>承担。</w:t>
      </w:r>
    </w:p>
    <w:bookmarkEnd w:id="112"/>
    <w:p w14:paraId="1230949E">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1.11 知识产权</w:t>
      </w:r>
    </w:p>
    <w:p w14:paraId="0145B9FC">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发包人</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D30AE81">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关于发包人提供的上述文件的使用限制的要求：</w:t>
      </w:r>
      <w:r>
        <w:rPr>
          <w:rFonts w:hint="eastAsia" w:cs="宋体"/>
          <w:color w:val="auto"/>
          <w:sz w:val="21"/>
          <w:szCs w:val="21"/>
          <w:highlight w:val="none"/>
          <w:u w:val="single"/>
        </w:rPr>
        <w:t xml:space="preserve">  </w:t>
      </w:r>
      <w:r>
        <w:rPr>
          <w:rFonts w:hint="eastAsia" w:ascii="宋体" w:cs="宋体"/>
          <w:color w:val="auto"/>
          <w:sz w:val="21"/>
          <w:szCs w:val="21"/>
          <w:highlight w:val="none"/>
          <w:u w:val="single"/>
          <w:shd w:val="clear" w:color="auto" w:fill="auto"/>
        </w:rPr>
        <w:t>未经发包人同意不得复制， 不得向承包人以外的人员泄漏有关图纸内容，工程竣工后，原图全部收回</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924C0EF">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1.11.2 关于承包人为实施工程所编制文件的著作权的归属：</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发包人</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DC76BA6">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关于承包人提供的上述文件的使用限制的要求：</w:t>
      </w:r>
      <w:r>
        <w:rPr>
          <w:color w:val="auto"/>
          <w:spacing w:val="-5"/>
          <w:sz w:val="21"/>
          <w:szCs w:val="21"/>
          <w:highlight w:val="none"/>
          <w:u w:val="single" w:color="auto"/>
        </w:rPr>
        <w:t>执行通用条款</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6ED0F96">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1.11.4 承包人在施工过程中所采用的专利、专有技术、技术秘密的使用费的承担方式：</w:t>
      </w:r>
      <w:r>
        <w:rPr>
          <w:rFonts w:hint="eastAsia" w:cs="宋体"/>
          <w:color w:val="auto"/>
          <w:sz w:val="21"/>
          <w:szCs w:val="21"/>
          <w:highlight w:val="none"/>
          <w:u w:val="single"/>
        </w:rPr>
        <w:t xml:space="preserve"> </w:t>
      </w:r>
      <w:r>
        <w:rPr>
          <w:color w:val="auto"/>
          <w:spacing w:val="-5"/>
          <w:sz w:val="21"/>
          <w:szCs w:val="21"/>
          <w:highlight w:val="none"/>
          <w:u w:val="single" w:color="auto"/>
        </w:rPr>
        <w:t>执行通用条款</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5174585">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1.13 工程量清单错误的修正</w:t>
      </w:r>
    </w:p>
    <w:p w14:paraId="7E516757">
      <w:pPr>
        <w:adjustRightInd w:val="0"/>
        <w:snapToGrid w:val="0"/>
        <w:spacing w:line="360" w:lineRule="auto"/>
        <w:ind w:firstLine="420" w:firstLineChars="200"/>
        <w:rPr>
          <w:rFonts w:hint="eastAsia" w:cs="宋体"/>
          <w:b/>
          <w:bCs/>
          <w:i/>
          <w:iCs/>
          <w:color w:val="auto"/>
          <w:kern w:val="2"/>
          <w:sz w:val="21"/>
          <w:szCs w:val="21"/>
          <w:highlight w:val="none"/>
        </w:rPr>
      </w:pPr>
      <w:r>
        <w:rPr>
          <w:rFonts w:hint="eastAsia" w:cs="宋体"/>
          <w:color w:val="auto"/>
          <w:sz w:val="21"/>
          <w:szCs w:val="21"/>
          <w:highlight w:val="none"/>
        </w:rPr>
        <w:t>出现工程量清单错误时，是否调整合同价格：</w:t>
      </w:r>
      <w:r>
        <w:rPr>
          <w:rFonts w:hint="eastAsia" w:ascii="宋体" w:cs="宋体"/>
          <w:color w:val="auto"/>
          <w:szCs w:val="21"/>
          <w:highlight w:val="none"/>
          <w:u w:val="single"/>
        </w:rPr>
        <w:t>按国家、省、市相关文件规定</w:t>
      </w:r>
      <w:r>
        <w:rPr>
          <w:rFonts w:hint="eastAsia" w:cs="宋体"/>
          <w:b/>
          <w:bCs/>
          <w:i/>
          <w:iCs/>
          <w:color w:val="auto"/>
          <w:kern w:val="2"/>
          <w:sz w:val="21"/>
          <w:szCs w:val="21"/>
          <w:highlight w:val="none"/>
        </w:rPr>
        <w:t xml:space="preserve">  </w:t>
      </w:r>
    </w:p>
    <w:p w14:paraId="0A2F8DD0">
      <w:pPr>
        <w:adjustRightInd w:val="0"/>
        <w:snapToGrid w:val="0"/>
        <w:spacing w:line="440" w:lineRule="exact"/>
        <w:ind w:firstLine="420" w:firstLineChars="200"/>
        <w:rPr>
          <w:rFonts w:hint="eastAsia" w:ascii="宋体" w:hAnsi="宋体" w:eastAsia="宋体" w:cs="宋体"/>
          <w:color w:val="auto"/>
          <w:highlight w:val="none"/>
          <w:u w:val="single"/>
        </w:rPr>
      </w:pPr>
      <w:r>
        <w:rPr>
          <w:rFonts w:hint="eastAsia" w:cs="宋体"/>
          <w:color w:val="auto"/>
          <w:sz w:val="21"/>
          <w:szCs w:val="21"/>
          <w:highlight w:val="none"/>
        </w:rPr>
        <w:t>允许调整合同价格的工程量偏差范围：</w:t>
      </w:r>
      <w:r>
        <w:rPr>
          <w:rFonts w:hint="eastAsia" w:ascii="宋体" w:hAnsi="宋体" w:eastAsia="宋体" w:cs="宋体"/>
          <w:color w:val="auto"/>
          <w:highlight w:val="none"/>
          <w:u w:val="single"/>
        </w:rPr>
        <w:t>工程量按实计量，</w:t>
      </w:r>
      <w:r>
        <w:rPr>
          <w:rFonts w:hint="eastAsia" w:ascii="宋体" w:hAnsi="宋体" w:cs="宋体"/>
          <w:color w:val="auto"/>
          <w:szCs w:val="21"/>
          <w:highlight w:val="none"/>
          <w:u w:val="single"/>
        </w:rPr>
        <w:t>结算工程量减少0-100%或增加15%以内部分，执行中标单价；超出15％以外部分的，若中标综合单价高于（最高投标限价中综合单价×投标让利幅度）时，按（最高投标限价中综合单价×投标让利幅度）计算；若中标综合单价低于（最高投标限价中综合单价×投标让利幅度）时，执行中标单价</w:t>
      </w:r>
      <w:r>
        <w:rPr>
          <w:rFonts w:hint="eastAsia" w:ascii="宋体" w:hAnsi="宋体" w:eastAsia="宋体" w:cs="宋体"/>
          <w:color w:val="auto"/>
          <w:highlight w:val="none"/>
          <w:u w:val="single"/>
        </w:rPr>
        <w:t>(组价明显错误的予以纠正) 。新增项目单价按照最高投标限价的编制原则重新组价乘以中标价/最高投标限价，重新组价价格最终以审计部门审核结算价为准。</w:t>
      </w:r>
    </w:p>
    <w:p w14:paraId="00A4276E">
      <w:pPr>
        <w:adjustRightInd w:val="0"/>
        <w:snapToGrid w:val="0"/>
        <w:spacing w:line="440" w:lineRule="exact"/>
        <w:ind w:firstLine="40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u w:val="single"/>
        </w:rPr>
        <w:t>注：投标让利幅度为中标价/最高投标限价，其中中标价和最高投标限价均扣除暂定金额、暂估价</w:t>
      </w:r>
      <w:r>
        <w:rPr>
          <w:rFonts w:hint="eastAsia" w:ascii="宋体" w:hAnsi="宋体" w:eastAsia="宋体" w:cs="宋体"/>
          <w:color w:val="auto"/>
          <w:highlight w:val="none"/>
          <w:u w:val="single"/>
          <w:lang w:eastAsia="zh-CN"/>
        </w:rPr>
        <w:t>。</w:t>
      </w:r>
    </w:p>
    <w:p w14:paraId="78D82AEC">
      <w:pPr>
        <w:adjustRightInd w:val="0"/>
        <w:snapToGrid w:val="0"/>
        <w:spacing w:line="44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技术措施费调整：</w:t>
      </w:r>
      <w:r>
        <w:rPr>
          <w:rFonts w:hint="eastAsia" w:ascii="宋体" w:hAnsi="宋体" w:eastAsia="宋体" w:cs="宋体"/>
          <w:color w:val="auto"/>
          <w:highlight w:val="none"/>
          <w:u w:val="single"/>
        </w:rPr>
        <w:t>由于承包人改变施工技术措施，造成的价格变动，措施费不予调整。因发包人要求或工程量的增减必须改变原来施工技术措施，造成价格变动的，应扣减相应的原施工技术措施费后，按新增项目组价方式，进行措施费调整。由于分部分项清单工程量增减导致措施费用变化的，按实调整。</w:t>
      </w:r>
    </w:p>
    <w:p w14:paraId="654BFA08">
      <w:pPr>
        <w:snapToGrid w:val="0"/>
        <w:spacing w:line="440" w:lineRule="exact"/>
        <w:ind w:firstLine="400" w:firstLineChars="200"/>
        <w:rPr>
          <w:rFonts w:ascii="宋体" w:hAnsi="宋体" w:cs="宋体"/>
          <w:b w:val="0"/>
          <w:bCs w:val="0"/>
          <w:color w:val="auto"/>
          <w:szCs w:val="21"/>
          <w:highlight w:val="none"/>
          <w:u w:val="single"/>
        </w:rPr>
      </w:pPr>
      <w:r>
        <w:rPr>
          <w:rFonts w:hint="eastAsia" w:ascii="宋体" w:hAnsi="宋体" w:eastAsia="宋体" w:cs="宋体"/>
          <w:color w:val="auto"/>
          <w:highlight w:val="none"/>
        </w:rPr>
        <w:t>组织措施费调整：</w:t>
      </w:r>
      <w:r>
        <w:rPr>
          <w:rFonts w:hint="eastAsia" w:ascii="宋体" w:hAnsi="宋体" w:eastAsia="宋体" w:cs="宋体"/>
          <w:color w:val="auto"/>
          <w:highlight w:val="none"/>
          <w:u w:val="single"/>
        </w:rPr>
        <w:t>由于分部分项清单工程量增减导致措施费用变化的，按实调整</w:t>
      </w:r>
      <w:r>
        <w:rPr>
          <w:rFonts w:hint="eastAsia" w:ascii="宋体" w:hAnsi="宋体" w:cs="宋体"/>
          <w:b w:val="0"/>
          <w:bCs w:val="0"/>
          <w:color w:val="auto"/>
          <w:szCs w:val="21"/>
          <w:highlight w:val="none"/>
          <w:u w:val="single"/>
        </w:rPr>
        <w:t>。</w:t>
      </w:r>
    </w:p>
    <w:p w14:paraId="78251453">
      <w:pPr>
        <w:adjustRightInd w:val="0"/>
        <w:snapToGrid w:val="0"/>
        <w:spacing w:line="360" w:lineRule="auto"/>
        <w:ind w:firstLine="422" w:firstLineChars="200"/>
        <w:rPr>
          <w:rFonts w:cs="宋体"/>
          <w:b/>
          <w:bCs/>
          <w:i/>
          <w:iCs/>
          <w:color w:val="auto"/>
          <w:kern w:val="2"/>
          <w:sz w:val="21"/>
          <w:szCs w:val="21"/>
          <w:highlight w:val="none"/>
          <w:shd w:val="clear" w:color="FFFFFF" w:fill="D9D9D9"/>
        </w:rPr>
      </w:pPr>
    </w:p>
    <w:p w14:paraId="366D7C08">
      <w:pPr>
        <w:snapToGrid w:val="0"/>
        <w:spacing w:before="312" w:beforeLines="100" w:after="312" w:afterLines="100" w:line="360" w:lineRule="auto"/>
        <w:outlineLvl w:val="2"/>
        <w:rPr>
          <w:rFonts w:cs="宋体"/>
          <w:color w:val="auto"/>
          <w:sz w:val="21"/>
          <w:szCs w:val="21"/>
          <w:highlight w:val="none"/>
        </w:rPr>
      </w:pPr>
      <w:bookmarkStart w:id="113" w:name="_Toc351203634"/>
      <w:r>
        <w:rPr>
          <w:rFonts w:hint="eastAsia" w:cs="宋体"/>
          <w:color w:val="auto"/>
          <w:sz w:val="21"/>
          <w:szCs w:val="21"/>
          <w:highlight w:val="none"/>
        </w:rPr>
        <w:t>2</w:t>
      </w:r>
      <w:bookmarkStart w:id="114" w:name="_Toc292559867"/>
      <w:bookmarkStart w:id="115" w:name="_Toc297120457"/>
      <w:bookmarkStart w:id="116" w:name="_Toc296503157"/>
      <w:bookmarkStart w:id="117" w:name="_Toc292559362"/>
      <w:bookmarkStart w:id="118" w:name="_Toc296890985"/>
      <w:bookmarkStart w:id="119" w:name="_Toc296944496"/>
      <w:bookmarkStart w:id="120" w:name="_Toc297048343"/>
      <w:bookmarkStart w:id="121" w:name="_Toc296891197"/>
      <w:bookmarkStart w:id="122" w:name="_Toc296347156"/>
      <w:bookmarkStart w:id="123" w:name="_Toc296346658"/>
      <w:r>
        <w:rPr>
          <w:rFonts w:hint="eastAsia" w:cs="宋体"/>
          <w:color w:val="auto"/>
          <w:sz w:val="21"/>
          <w:szCs w:val="21"/>
          <w:highlight w:val="none"/>
        </w:rPr>
        <w:t>. 发包人</w:t>
      </w:r>
      <w:bookmarkEnd w:id="113"/>
    </w:p>
    <w:bookmarkEnd w:id="114"/>
    <w:bookmarkEnd w:id="115"/>
    <w:bookmarkEnd w:id="116"/>
    <w:bookmarkEnd w:id="117"/>
    <w:bookmarkEnd w:id="118"/>
    <w:bookmarkEnd w:id="119"/>
    <w:bookmarkEnd w:id="120"/>
    <w:bookmarkEnd w:id="121"/>
    <w:bookmarkEnd w:id="122"/>
    <w:bookmarkEnd w:id="123"/>
    <w:p w14:paraId="76E3CEAC">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2.2 发包人代表</w:t>
      </w:r>
    </w:p>
    <w:p w14:paraId="19C3BDE4">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发包人代表：</w:t>
      </w:r>
    </w:p>
    <w:p w14:paraId="50CE5455">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姓    名：</w:t>
      </w:r>
      <w:r>
        <w:rPr>
          <w:rFonts w:hint="eastAsia" w:cs="宋体"/>
          <w:color w:val="auto"/>
          <w:sz w:val="21"/>
          <w:szCs w:val="21"/>
          <w:highlight w:val="none"/>
          <w:u w:val="single"/>
        </w:rPr>
        <w:t xml:space="preserve">                          </w:t>
      </w:r>
      <w:r>
        <w:rPr>
          <w:rFonts w:hint="eastAsia" w:cs="宋体"/>
          <w:color w:val="auto"/>
          <w:sz w:val="21"/>
          <w:szCs w:val="21"/>
          <w:highlight w:val="none"/>
        </w:rPr>
        <w:t>；</w:t>
      </w:r>
    </w:p>
    <w:p w14:paraId="070CDE0E">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身份证号：</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1634754">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职    务：</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0A754EF">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联系电话：</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AD23B6C">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电子信箱：</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E768E03">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通信地址：</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27447B2">
      <w:pPr>
        <w:snapToGrid w:val="0"/>
        <w:spacing w:line="440" w:lineRule="exact"/>
        <w:ind w:firstLine="420" w:firstLineChars="200"/>
        <w:rPr>
          <w:rFonts w:cs="宋体"/>
          <w:b/>
          <w:strike/>
          <w:color w:val="auto"/>
          <w:sz w:val="21"/>
          <w:szCs w:val="21"/>
          <w:highlight w:val="none"/>
        </w:rPr>
      </w:pPr>
      <w:r>
        <w:rPr>
          <w:rFonts w:hint="eastAsia" w:cs="宋体"/>
          <w:color w:val="auto"/>
          <w:sz w:val="21"/>
          <w:szCs w:val="21"/>
          <w:highlight w:val="none"/>
        </w:rPr>
        <w:t>发包人对发包人代表的授权范围如下：</w:t>
      </w:r>
      <w:r>
        <w:rPr>
          <w:rFonts w:hint="eastAsia" w:cs="宋体"/>
          <w:color w:val="auto"/>
          <w:sz w:val="21"/>
          <w:szCs w:val="21"/>
          <w:highlight w:val="none"/>
          <w:u w:val="single"/>
        </w:rPr>
        <w:t xml:space="preserve">  </w:t>
      </w:r>
      <w:r>
        <w:rPr>
          <w:rFonts w:hint="eastAsia" w:ascii="宋体" w:cs="宋体"/>
          <w:color w:val="auto"/>
          <w:szCs w:val="21"/>
          <w:highlight w:val="none"/>
          <w:u w:val="single"/>
        </w:rPr>
        <w:t>施工组织设计和总进度计划的审批权和调整权；人员在岗、工程进度、质量、安全、环保的监督检查权和建议处罚权；工程款的初步审查权；第三方检测的委托权；主要材料的质量否决权；工程量的确认权；工程变更签证的审核权；可调价格材料的价格确认权；工程结算的审核权；合同的解释；等等</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AFA682C">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2.4 施工现场、施工条件和基础资料的提供</w:t>
      </w:r>
    </w:p>
    <w:p w14:paraId="63EE55C5">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2.4.1 提供施工现场</w:t>
      </w:r>
    </w:p>
    <w:p w14:paraId="7D903236">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关于发包人移交施工现场的期限要求：</w:t>
      </w:r>
      <w:r>
        <w:rPr>
          <w:rFonts w:hint="eastAsia" w:cs="宋体"/>
          <w:color w:val="auto"/>
          <w:sz w:val="21"/>
          <w:szCs w:val="21"/>
          <w:highlight w:val="none"/>
          <w:u w:val="single"/>
        </w:rPr>
        <w:t xml:space="preserve"> 发包人应最迟于开工日期 7 天前向承包人移交施工现场   </w:t>
      </w:r>
      <w:r>
        <w:rPr>
          <w:rFonts w:hint="eastAsia" w:cs="宋体"/>
          <w:color w:val="auto"/>
          <w:sz w:val="21"/>
          <w:szCs w:val="21"/>
          <w:highlight w:val="none"/>
        </w:rPr>
        <w:t>。</w:t>
      </w:r>
    </w:p>
    <w:p w14:paraId="45E3BA46">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2.4.2 提供施工条件</w:t>
      </w:r>
    </w:p>
    <w:p w14:paraId="5D7E8350">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关于发包人应负责提供施工所需要的条件，包括：</w:t>
      </w:r>
      <w:r>
        <w:rPr>
          <w:rFonts w:hint="eastAsia" w:cs="宋体"/>
          <w:color w:val="auto"/>
          <w:sz w:val="21"/>
          <w:szCs w:val="21"/>
          <w:highlight w:val="none"/>
          <w:u w:val="single"/>
        </w:rPr>
        <w:t xml:space="preserve">  （1）将施工用水、电力、通讯线路等施工所必需的条件接至施工现场内；（2）保证向承包人提供正常施安徽省政府采购项目竞争性</w:t>
      </w:r>
      <w:r>
        <w:rPr>
          <w:rFonts w:hint="eastAsia" w:cs="宋体"/>
          <w:color w:val="auto"/>
          <w:sz w:val="21"/>
          <w:szCs w:val="21"/>
          <w:highlight w:val="none"/>
          <w:u w:val="single"/>
          <w:lang w:val="en-US" w:eastAsia="zh-CN"/>
        </w:rPr>
        <w:t>谈判</w:t>
      </w:r>
      <w:r>
        <w:rPr>
          <w:rFonts w:hint="eastAsia" w:cs="宋体"/>
          <w:color w:val="auto"/>
          <w:sz w:val="21"/>
          <w:szCs w:val="21"/>
          <w:highlight w:val="none"/>
          <w:u w:val="single"/>
        </w:rPr>
        <w:t xml:space="preserve">文件示范文本（工程类）工所需要的进入施工现场的交通条件；（3）协调处理施工现场周围地下管线和邻近建筑物、构筑物、古树名木的保护工作，并承担相关费用。若上述费用已包含在本项目发包范围，则由承包人自行解决并承担费用   </w:t>
      </w:r>
      <w:r>
        <w:rPr>
          <w:rFonts w:hint="eastAsia" w:cs="宋体"/>
          <w:color w:val="auto"/>
          <w:sz w:val="21"/>
          <w:szCs w:val="21"/>
          <w:highlight w:val="none"/>
        </w:rPr>
        <w:t>。</w:t>
      </w:r>
    </w:p>
    <w:p w14:paraId="03D8D87D">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2.5 资金来源证明及支付担保</w:t>
      </w:r>
    </w:p>
    <w:p w14:paraId="023F46F1">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发包人提供资金来源证明的期限要求：</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701EC29A">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发包人是否提供支付担保：</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157B7534">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发包人提供支付担保的形式：</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1DE5399E">
      <w:pPr>
        <w:snapToGrid w:val="0"/>
        <w:spacing w:before="312" w:beforeLines="100" w:after="312" w:afterLines="100" w:line="360" w:lineRule="auto"/>
        <w:outlineLvl w:val="2"/>
        <w:rPr>
          <w:rFonts w:cs="宋体"/>
          <w:color w:val="auto"/>
          <w:sz w:val="21"/>
          <w:szCs w:val="21"/>
          <w:highlight w:val="none"/>
        </w:rPr>
      </w:pPr>
      <w:bookmarkStart w:id="124" w:name="_Toc351203635"/>
      <w:r>
        <w:rPr>
          <w:rFonts w:hint="eastAsia" w:cs="宋体"/>
          <w:color w:val="auto"/>
          <w:sz w:val="21"/>
          <w:szCs w:val="21"/>
          <w:highlight w:val="none"/>
        </w:rPr>
        <w:t>3</w:t>
      </w:r>
      <w:bookmarkStart w:id="125" w:name="_Toc296346659"/>
      <w:bookmarkStart w:id="126" w:name="_Toc292559363"/>
      <w:bookmarkStart w:id="127" w:name="_Toc297048344"/>
      <w:bookmarkStart w:id="128" w:name="_Toc297120458"/>
      <w:bookmarkStart w:id="129" w:name="_Toc292559868"/>
      <w:bookmarkStart w:id="130" w:name="_Toc296891198"/>
      <w:bookmarkStart w:id="131" w:name="_Toc296503158"/>
      <w:bookmarkStart w:id="132" w:name="_Toc296890986"/>
      <w:bookmarkStart w:id="133" w:name="_Toc296944497"/>
      <w:bookmarkStart w:id="134" w:name="_Toc296347157"/>
      <w:r>
        <w:rPr>
          <w:rFonts w:hint="eastAsia" w:cs="宋体"/>
          <w:color w:val="auto"/>
          <w:sz w:val="21"/>
          <w:szCs w:val="21"/>
          <w:highlight w:val="none"/>
        </w:rPr>
        <w:t>. 承包人</w:t>
      </w:r>
      <w:bookmarkEnd w:id="124"/>
    </w:p>
    <w:bookmarkEnd w:id="125"/>
    <w:bookmarkEnd w:id="126"/>
    <w:bookmarkEnd w:id="127"/>
    <w:bookmarkEnd w:id="128"/>
    <w:bookmarkEnd w:id="129"/>
    <w:bookmarkEnd w:id="130"/>
    <w:bookmarkEnd w:id="131"/>
    <w:bookmarkEnd w:id="132"/>
    <w:bookmarkEnd w:id="133"/>
    <w:bookmarkEnd w:id="134"/>
    <w:p w14:paraId="42B079E7">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3.1 承包人的一般义务</w:t>
      </w:r>
    </w:p>
    <w:p w14:paraId="1CD30399">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（9）承包人提交的竣工资料的内容：</w:t>
      </w:r>
      <w:r>
        <w:rPr>
          <w:rFonts w:hint="eastAsia" w:cs="宋体"/>
          <w:color w:val="auto"/>
          <w:sz w:val="21"/>
          <w:szCs w:val="21"/>
          <w:highlight w:val="none"/>
          <w:u w:val="single"/>
          <w:lang w:eastAsia="zh-CN"/>
        </w:rPr>
        <w:t>按相关要求执行，包括但不限于</w:t>
      </w:r>
      <w:r>
        <w:rPr>
          <w:rFonts w:hint="eastAsia" w:cs="宋体"/>
          <w:color w:val="auto"/>
          <w:sz w:val="21"/>
          <w:szCs w:val="21"/>
          <w:highlight w:val="none"/>
          <w:u w:val="single"/>
        </w:rPr>
        <w:t>全套</w:t>
      </w:r>
      <w:r>
        <w:rPr>
          <w:rFonts w:hint="eastAsia" w:cs="宋体"/>
          <w:color w:val="auto"/>
          <w:sz w:val="21"/>
          <w:szCs w:val="21"/>
          <w:highlight w:val="none"/>
          <w:u w:val="single"/>
          <w:lang w:eastAsia="zh-CN"/>
        </w:rPr>
        <w:t>竣工图（所有竣工图应为新图纸）、竣工报告、项目质检资料、结算资料等。</w:t>
      </w:r>
    </w:p>
    <w:p w14:paraId="642179C8">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承包人需要提交的竣工资料套数：</w:t>
      </w:r>
      <w:r>
        <w:rPr>
          <w:rFonts w:hint="eastAsia" w:cs="宋体"/>
          <w:color w:val="auto"/>
          <w:sz w:val="21"/>
          <w:szCs w:val="21"/>
          <w:highlight w:val="none"/>
          <w:u w:val="single"/>
        </w:rPr>
        <w:t xml:space="preserve"> 按相关要求执行，且不少于 3 套    </w:t>
      </w:r>
      <w:r>
        <w:rPr>
          <w:rFonts w:hint="eastAsia" w:cs="宋体"/>
          <w:color w:val="auto"/>
          <w:sz w:val="21"/>
          <w:szCs w:val="21"/>
          <w:highlight w:val="none"/>
        </w:rPr>
        <w:t>。</w:t>
      </w:r>
    </w:p>
    <w:p w14:paraId="3AB5F644">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承包人提交的竣工资料的费用承担：</w:t>
      </w:r>
      <w:r>
        <w:rPr>
          <w:rFonts w:hint="eastAsia" w:cs="宋体"/>
          <w:color w:val="auto"/>
          <w:sz w:val="21"/>
          <w:szCs w:val="21"/>
          <w:highlight w:val="none"/>
          <w:u w:val="single"/>
        </w:rPr>
        <w:t>承包人承担</w:t>
      </w:r>
      <w:r>
        <w:rPr>
          <w:rFonts w:hint="eastAsia" w:cs="宋体"/>
          <w:color w:val="auto"/>
          <w:sz w:val="21"/>
          <w:szCs w:val="21"/>
          <w:highlight w:val="none"/>
        </w:rPr>
        <w:t>。</w:t>
      </w:r>
    </w:p>
    <w:p w14:paraId="3FA11371">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承包人提交的竣工资料移交时间：</w:t>
      </w:r>
      <w:r>
        <w:rPr>
          <w:rFonts w:hint="eastAsia" w:cs="宋体"/>
          <w:color w:val="auto"/>
          <w:sz w:val="21"/>
          <w:szCs w:val="21"/>
          <w:highlight w:val="none"/>
          <w:u w:val="single"/>
        </w:rPr>
        <w:t xml:space="preserve">竣工验收合格后 15 日内 </w:t>
      </w:r>
      <w:r>
        <w:rPr>
          <w:rFonts w:hint="eastAsia" w:cs="宋体"/>
          <w:color w:val="auto"/>
          <w:sz w:val="21"/>
          <w:szCs w:val="21"/>
          <w:highlight w:val="none"/>
        </w:rPr>
        <w:t>。</w:t>
      </w:r>
    </w:p>
    <w:p w14:paraId="2B16B873">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承包人提交的竣工资料形式要求：</w:t>
      </w:r>
      <w:r>
        <w:rPr>
          <w:rFonts w:hint="eastAsia" w:cs="宋体"/>
          <w:color w:val="auto"/>
          <w:sz w:val="21"/>
          <w:szCs w:val="21"/>
          <w:highlight w:val="none"/>
          <w:u w:val="single"/>
        </w:rPr>
        <w:t xml:space="preserve"> 纸质及电子形式  </w:t>
      </w:r>
      <w:r>
        <w:rPr>
          <w:rFonts w:hint="eastAsia" w:cs="宋体"/>
          <w:color w:val="auto"/>
          <w:sz w:val="21"/>
          <w:szCs w:val="21"/>
          <w:highlight w:val="none"/>
        </w:rPr>
        <w:t>。</w:t>
      </w:r>
    </w:p>
    <w:p w14:paraId="4682784F">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（10）承包人应履行的其他义务：</w:t>
      </w:r>
      <w:r>
        <w:rPr>
          <w:rFonts w:hint="eastAsia" w:cs="宋体"/>
          <w:color w:val="auto"/>
          <w:sz w:val="21"/>
          <w:szCs w:val="21"/>
          <w:highlight w:val="none"/>
          <w:u w:val="single"/>
        </w:rPr>
        <w:t xml:space="preserve">  </w:t>
      </w:r>
      <w:r>
        <w:rPr>
          <w:rFonts w:hint="eastAsia" w:ascii="宋体" w:cs="宋体"/>
          <w:color w:val="auto"/>
          <w:szCs w:val="21"/>
          <w:highlight w:val="none"/>
          <w:u w:val="single"/>
        </w:rPr>
        <w:t>①工程竣工半年(含)内完成竣工结算的；②无合同纠纷等原因拖欠农民工工资、材料款，出现群访及时处理；③质量无缺陷，及时整改到位，处理及时；④施工现场服从调度或工程进度不超过合同工期或按合同期限按时移交的；⑤遵守滁重[2020]53号《关于限制不良建筑市场主体投标的规定》的；⑥月工程量进度及时完成；⑦按规定提供工程资料并及时归档的；⑧须执行我市市住建、公管、人社等相关单位关于项目管理、扬尘治理、大气、农民工工资支付、工程款支付等方面的通知、规定和相关要求</w:t>
      </w:r>
      <w:r>
        <w:rPr>
          <w:rFonts w:hint="eastAsia" w:cs="宋体"/>
          <w:color w:val="auto"/>
          <w:sz w:val="21"/>
          <w:szCs w:val="21"/>
          <w:highlight w:val="none"/>
          <w:u w:val="single"/>
        </w:rPr>
        <w:t xml:space="preserve"> </w:t>
      </w:r>
      <w:r>
        <w:rPr>
          <w:rFonts w:hint="eastAsia" w:cs="宋体"/>
          <w:color w:val="auto"/>
          <w:sz w:val="21"/>
          <w:szCs w:val="21"/>
          <w:highlight w:val="none"/>
        </w:rPr>
        <w:t>。</w:t>
      </w:r>
    </w:p>
    <w:p w14:paraId="07AF1E8E">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3.2 项目经理</w:t>
      </w:r>
    </w:p>
    <w:p w14:paraId="6B71581E">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3.2.1 项目经理：</w:t>
      </w:r>
    </w:p>
    <w:p w14:paraId="6C7D450C">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姓    名：</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u w:val="single"/>
        </w:rPr>
        <w:t>见《专用合同条款数据表》</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rPr>
        <w:t>；</w:t>
      </w:r>
    </w:p>
    <w:p w14:paraId="55C40950">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身份证号：</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52F2A1BC">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建造师执业资格等级：</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310B57DA">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建造师注册证书号：</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00443A6F">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建造师执业印章号：</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BF90A96">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安全生产考核合格证书号：</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1AC8043">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联系电话：</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9E69349">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电子信箱：</w:t>
      </w:r>
      <w:r>
        <w:rPr>
          <w:rFonts w:hint="eastAsia" w:cs="宋体"/>
          <w:color w:val="auto"/>
          <w:sz w:val="21"/>
          <w:szCs w:val="21"/>
          <w:highlight w:val="none"/>
          <w:u w:val="single"/>
        </w:rPr>
        <w:t xml:space="preserve">                          </w:t>
      </w:r>
      <w:r>
        <w:rPr>
          <w:rFonts w:hint="eastAsia" w:cs="宋体"/>
          <w:color w:val="auto"/>
          <w:sz w:val="21"/>
          <w:szCs w:val="21"/>
          <w:highlight w:val="none"/>
        </w:rPr>
        <w:t>；</w:t>
      </w:r>
    </w:p>
    <w:p w14:paraId="0AD4CDF2">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通信地址：</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23FD1F3">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承包人对项目经理的授权范围如下：</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7C9E5088">
      <w:pPr>
        <w:adjustRightInd w:val="0"/>
        <w:snapToGrid w:val="0"/>
        <w:spacing w:line="360" w:lineRule="auto"/>
        <w:ind w:firstLine="420" w:firstLineChars="200"/>
        <w:rPr>
          <w:rFonts w:hint="eastAsia" w:eastAsia="宋体" w:cs="宋体"/>
          <w:color w:val="auto"/>
          <w:sz w:val="21"/>
          <w:szCs w:val="21"/>
          <w:highlight w:val="none"/>
          <w:lang w:eastAsia="zh-CN"/>
        </w:rPr>
      </w:pPr>
      <w:r>
        <w:rPr>
          <w:rFonts w:hint="eastAsia" w:cs="宋体"/>
          <w:color w:val="auto"/>
          <w:sz w:val="21"/>
          <w:szCs w:val="21"/>
          <w:highlight w:val="none"/>
        </w:rPr>
        <w:t>关于项目经理每月在施工现场的时间要求：</w:t>
      </w:r>
      <w:r>
        <w:rPr>
          <w:rFonts w:hint="eastAsia" w:ascii="宋体" w:hAnsi="宋体" w:cs="宋体"/>
          <w:color w:val="auto"/>
          <w:kern w:val="0"/>
          <w:highlight w:val="none"/>
          <w:u w:val="single"/>
        </w:rPr>
        <w:t>项目经理（建造师）、技术负责人每月在岗时间不得少于22个工作日，每天不少于</w:t>
      </w:r>
      <w:r>
        <w:rPr>
          <w:rFonts w:hint="eastAsia" w:ascii="宋体" w:hAnsi="宋体" w:cs="宋体"/>
          <w:color w:val="auto"/>
          <w:kern w:val="0"/>
          <w:highlight w:val="none"/>
          <w:u w:val="single"/>
          <w:lang w:val="en-US" w:eastAsia="zh-CN"/>
        </w:rPr>
        <w:t>8</w:t>
      </w:r>
      <w:r>
        <w:rPr>
          <w:rFonts w:hint="eastAsia" w:ascii="宋体" w:hAnsi="宋体" w:cs="宋体"/>
          <w:color w:val="auto"/>
          <w:kern w:val="0"/>
          <w:highlight w:val="none"/>
          <w:u w:val="single"/>
        </w:rPr>
        <w:t>小时，特殊情况下需离开时必须事先征得甲方和监理同意后方可离开。未按规定在岗履责的，对项目经理和技术负责人处罚2000元/人·天的违约金</w:t>
      </w:r>
      <w:r>
        <w:rPr>
          <w:rFonts w:hint="eastAsia"/>
          <w:color w:val="auto"/>
          <w:spacing w:val="-6"/>
          <w:sz w:val="21"/>
          <w:szCs w:val="21"/>
          <w:highlight w:val="none"/>
          <w:u w:val="single" w:color="auto"/>
          <w:lang w:eastAsia="zh-CN"/>
        </w:rPr>
        <w:t>。</w:t>
      </w:r>
    </w:p>
    <w:p w14:paraId="0F7CA19B">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承包人未提交劳动合同，以及没有为项目经理缴纳社会保险证明的违约责任：</w:t>
      </w:r>
      <w:r>
        <w:rPr>
          <w:rFonts w:hint="eastAsia" w:cs="宋体"/>
          <w:color w:val="auto"/>
          <w:sz w:val="21"/>
          <w:szCs w:val="21"/>
          <w:highlight w:val="none"/>
          <w:u w:val="single"/>
        </w:rPr>
        <w:t xml:space="preserve">签订本合同前提供，资格审查时已提供的，不再重复提供  </w:t>
      </w:r>
      <w:r>
        <w:rPr>
          <w:rFonts w:hint="eastAsia" w:cs="宋体"/>
          <w:color w:val="auto"/>
          <w:sz w:val="21"/>
          <w:szCs w:val="21"/>
          <w:highlight w:val="none"/>
        </w:rPr>
        <w:t>。</w:t>
      </w:r>
    </w:p>
    <w:p w14:paraId="36E4F286">
      <w:pPr>
        <w:adjustRightInd w:val="0"/>
        <w:snapToGrid w:val="0"/>
        <w:spacing w:line="360" w:lineRule="auto"/>
        <w:ind w:firstLine="420" w:firstLineChars="200"/>
        <w:rPr>
          <w:rFonts w:hint="eastAsia" w:cs="宋体"/>
          <w:color w:val="auto"/>
          <w:sz w:val="21"/>
          <w:szCs w:val="21"/>
          <w:highlight w:val="none"/>
          <w:u w:val="single"/>
        </w:rPr>
      </w:pPr>
      <w:r>
        <w:rPr>
          <w:rFonts w:hint="eastAsia" w:cs="宋体"/>
          <w:color w:val="auto"/>
          <w:sz w:val="21"/>
          <w:szCs w:val="21"/>
          <w:highlight w:val="none"/>
        </w:rPr>
        <w:t>项目经理未经批准，擅自离开施工现场的违约责任：</w:t>
      </w:r>
      <w:r>
        <w:rPr>
          <w:rFonts w:hint="eastAsia" w:cs="宋体"/>
          <w:color w:val="auto"/>
          <w:sz w:val="21"/>
          <w:szCs w:val="21"/>
          <w:highlight w:val="none"/>
          <w:u w:val="single"/>
        </w:rPr>
        <w:t>未按规定在岗履责的，对项目经理和技术负责人处罚2000元/人·天的违约金。项目部关键岗位人员离岗必须向发包人履行请假手续，若被发包人和相关部门日常检查和随机抽查中发现不在岗的，又未履行请假手续的，处罚5000元/人·次的违约金。</w:t>
      </w:r>
    </w:p>
    <w:p w14:paraId="3704702C">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u w:val="single"/>
        </w:rPr>
        <w:t>承包人未能按照承诺到岗尽职的，发包人将视情况严重程度对其作出相应处理，给予警告并发出整改通知。如仍未及时整改，发包人有权责令其停工整改、直至解除合同。发包人还将停止支付工程款项，扣留任何未付的工程进度款项补偿发包人的有关损失或工期延误的损失，并就此向承包人索赔。</w:t>
      </w:r>
    </w:p>
    <w:p w14:paraId="3089E0C4">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3.2.3 承包人擅自更换项目经理的违约责任：</w:t>
      </w:r>
    </w:p>
    <w:p w14:paraId="172AD28C">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u w:val="single"/>
        </w:rPr>
        <w:t>承包人不得擅自更换投标时所报项目经理，否则发包人有权解除合同，由此造成的损失由承包人自行承担，承包人还应赔偿由此造成发包人的全部损失。确需更换的须在签订合同后，报经发包人同意后按相关规定办理，更换后的人员不得低于承包人投标时所报人员资质和技术水平。</w:t>
      </w:r>
    </w:p>
    <w:p w14:paraId="1EC9FCAC">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3.2.4 承包人无正当理由拒绝更换项目经理的违约责任：</w:t>
      </w:r>
      <w:r>
        <w:rPr>
          <w:rFonts w:hint="eastAsia" w:cs="宋体"/>
          <w:color w:val="auto"/>
          <w:sz w:val="21"/>
          <w:szCs w:val="21"/>
          <w:highlight w:val="none"/>
          <w:u w:val="single"/>
        </w:rPr>
        <w:t xml:space="preserve"> </w:t>
      </w:r>
      <w:r>
        <w:rPr>
          <w:rFonts w:hint="eastAsia"/>
          <w:color w:val="auto"/>
          <w:spacing w:val="-3"/>
          <w:sz w:val="21"/>
          <w:szCs w:val="21"/>
          <w:highlight w:val="none"/>
          <w:u w:val="single"/>
        </w:rPr>
        <w:t>在合同履行期间，发包人将组织对承包人上述人员进行业务能力考核，对考核不合格的发包人有权承包人要求更换人员，承包人7日内必须整改调整到位。承包人无正当理由拒绝更换项目经理（建造师）、项目技术负责人的，发包人将对承包人处以 10 万元违约金，并再次要求更换项目经理，如承包人仍拒不更换项目经理</w:t>
      </w:r>
      <w:r>
        <w:rPr>
          <w:rFonts w:hint="eastAsia"/>
          <w:color w:val="auto"/>
          <w:spacing w:val="-3"/>
          <w:sz w:val="21"/>
          <w:szCs w:val="21"/>
          <w:highlight w:val="none"/>
          <w:u w:val="single"/>
          <w:lang w:eastAsia="zh-CN"/>
        </w:rPr>
        <w:t>，</w:t>
      </w:r>
      <w:r>
        <w:rPr>
          <w:rFonts w:hint="eastAsia"/>
          <w:color w:val="auto"/>
          <w:spacing w:val="-3"/>
          <w:sz w:val="21"/>
          <w:szCs w:val="21"/>
          <w:highlight w:val="none"/>
          <w:u w:val="single"/>
        </w:rPr>
        <w:t>发包人有权要求承包人退场并解除合同。更换后的项目</w:t>
      </w:r>
      <w:r>
        <w:rPr>
          <w:rFonts w:hint="eastAsia"/>
          <w:color w:val="auto"/>
          <w:spacing w:val="-3"/>
          <w:sz w:val="21"/>
          <w:szCs w:val="21"/>
          <w:highlight w:val="none"/>
          <w:u w:val="single"/>
          <w:lang w:val="en-US" w:eastAsia="zh-CN"/>
        </w:rPr>
        <w:t>经理</w:t>
      </w:r>
      <w:r>
        <w:rPr>
          <w:rFonts w:hint="eastAsia"/>
          <w:color w:val="auto"/>
          <w:spacing w:val="-3"/>
          <w:sz w:val="21"/>
          <w:szCs w:val="21"/>
          <w:highlight w:val="none"/>
          <w:u w:val="single"/>
        </w:rPr>
        <w:t>资质、业绩经验不得低于变更前项目</w:t>
      </w:r>
      <w:r>
        <w:rPr>
          <w:rFonts w:hint="eastAsia"/>
          <w:color w:val="auto"/>
          <w:spacing w:val="-3"/>
          <w:sz w:val="21"/>
          <w:szCs w:val="21"/>
          <w:highlight w:val="none"/>
          <w:u w:val="single"/>
          <w:lang w:val="en-US" w:eastAsia="zh-CN"/>
        </w:rPr>
        <w:t>经理</w:t>
      </w:r>
      <w:r>
        <w:rPr>
          <w:rFonts w:hint="eastAsia"/>
          <w:color w:val="auto"/>
          <w:spacing w:val="-3"/>
          <w:sz w:val="21"/>
          <w:szCs w:val="21"/>
          <w:highlight w:val="none"/>
          <w:u w:val="single"/>
        </w:rPr>
        <w:t>资质、业绩经验</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6A65963">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3.3 承包人人员</w:t>
      </w:r>
    </w:p>
    <w:p w14:paraId="1B36E75F">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3.3.1 承包人提交项目管理机构及施工现场管理人员安排报告的期限：</w:t>
      </w:r>
      <w:r>
        <w:rPr>
          <w:rFonts w:hint="eastAsia" w:cs="宋体"/>
          <w:color w:val="auto"/>
          <w:sz w:val="21"/>
          <w:szCs w:val="21"/>
          <w:highlight w:val="none"/>
          <w:u w:val="single"/>
        </w:rPr>
        <w:t xml:space="preserve">  </w:t>
      </w:r>
      <w:r>
        <w:rPr>
          <w:rFonts w:hint="eastAsia" w:ascii="宋体" w:cs="宋体"/>
          <w:color w:val="auto"/>
          <w:sz w:val="21"/>
          <w:szCs w:val="21"/>
          <w:highlight w:val="none"/>
          <w:u w:val="single"/>
          <w:shd w:val="clear" w:color="auto" w:fill="auto"/>
        </w:rPr>
        <w:t>承包人应在</w:t>
      </w:r>
      <w:r>
        <w:rPr>
          <w:rFonts w:hint="eastAsia"/>
          <w:color w:val="auto"/>
          <w:sz w:val="21"/>
          <w:szCs w:val="21"/>
          <w:highlight w:val="none"/>
          <w:u w:val="single"/>
          <w:shd w:val="clear" w:color="auto" w:fill="auto"/>
        </w:rPr>
        <w:t>合同签订</w:t>
      </w:r>
      <w:r>
        <w:rPr>
          <w:rFonts w:hint="eastAsia" w:ascii="宋体" w:cs="宋体"/>
          <w:color w:val="auto"/>
          <w:sz w:val="21"/>
          <w:szCs w:val="21"/>
          <w:highlight w:val="none"/>
          <w:u w:val="single"/>
          <w:shd w:val="clear" w:color="auto" w:fill="auto"/>
          <w:lang w:val="en-US" w:eastAsia="zh-CN"/>
        </w:rPr>
        <w:t>时</w:t>
      </w:r>
      <w:r>
        <w:rPr>
          <w:rFonts w:hint="eastAsia" w:ascii="宋体" w:cs="宋体"/>
          <w:color w:val="auto"/>
          <w:sz w:val="21"/>
          <w:szCs w:val="21"/>
          <w:highlight w:val="none"/>
          <w:u w:val="single"/>
          <w:shd w:val="clear" w:color="auto" w:fill="auto"/>
        </w:rPr>
        <w:t>，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572CDE4">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3.3.3 承包人无正当理由拒绝撤换主要施工管理人员的违约责任：</w:t>
      </w:r>
      <w:r>
        <w:rPr>
          <w:rFonts w:hint="eastAsia" w:cs="宋体"/>
          <w:color w:val="auto"/>
          <w:sz w:val="21"/>
          <w:szCs w:val="21"/>
          <w:highlight w:val="none"/>
          <w:u w:val="single"/>
        </w:rPr>
        <w:t xml:space="preserve">  </w:t>
      </w:r>
      <w:r>
        <w:rPr>
          <w:color w:val="auto"/>
          <w:spacing w:val="-4"/>
          <w:sz w:val="21"/>
          <w:szCs w:val="21"/>
          <w:highlight w:val="none"/>
          <w:u w:val="single" w:color="auto"/>
        </w:rPr>
        <w:t>乙方在开</w:t>
      </w:r>
      <w:r>
        <w:rPr>
          <w:color w:val="auto"/>
          <w:spacing w:val="-5"/>
          <w:sz w:val="21"/>
          <w:szCs w:val="21"/>
          <w:highlight w:val="none"/>
          <w:u w:val="single" w:color="auto"/>
        </w:rPr>
        <w:t>工时或施工过程中擅自变更主</w:t>
      </w:r>
      <w:r>
        <w:rPr>
          <w:color w:val="auto"/>
          <w:spacing w:val="-6"/>
          <w:sz w:val="21"/>
          <w:szCs w:val="21"/>
          <w:highlight w:val="none"/>
          <w:u w:val="single" w:color="auto"/>
        </w:rPr>
        <w:t>要施工管理人员的，甲方有权对乙方处以每人次</w:t>
      </w:r>
      <w:r>
        <w:rPr>
          <w:color w:val="auto"/>
          <w:spacing w:val="-35"/>
          <w:sz w:val="21"/>
          <w:szCs w:val="21"/>
          <w:highlight w:val="none"/>
          <w:u w:val="single" w:color="auto"/>
        </w:rPr>
        <w:t xml:space="preserve"> </w:t>
      </w:r>
      <w:r>
        <w:rPr>
          <w:color w:val="auto"/>
          <w:spacing w:val="-6"/>
          <w:sz w:val="21"/>
          <w:szCs w:val="21"/>
          <w:highlight w:val="none"/>
          <w:u w:val="single" w:color="auto"/>
        </w:rPr>
        <w:t>20</w:t>
      </w:r>
      <w:r>
        <w:rPr>
          <w:color w:val="auto"/>
          <w:spacing w:val="-32"/>
          <w:sz w:val="21"/>
          <w:szCs w:val="21"/>
          <w:highlight w:val="none"/>
          <w:u w:val="single" w:color="auto"/>
        </w:rPr>
        <w:t xml:space="preserve"> </w:t>
      </w:r>
      <w:r>
        <w:rPr>
          <w:color w:val="auto"/>
          <w:spacing w:val="-6"/>
          <w:sz w:val="21"/>
          <w:szCs w:val="21"/>
          <w:highlight w:val="none"/>
          <w:u w:val="single" w:color="auto"/>
        </w:rPr>
        <w:t>万元人</w:t>
      </w:r>
      <w:r>
        <w:rPr>
          <w:color w:val="auto"/>
          <w:spacing w:val="-7"/>
          <w:sz w:val="21"/>
          <w:szCs w:val="21"/>
          <w:highlight w:val="none"/>
          <w:u w:val="single" w:color="auto"/>
        </w:rPr>
        <w:t>民币的违约金，发生</w:t>
      </w:r>
      <w:r>
        <w:rPr>
          <w:color w:val="auto"/>
          <w:spacing w:val="-34"/>
          <w:sz w:val="21"/>
          <w:szCs w:val="21"/>
          <w:highlight w:val="none"/>
          <w:u w:val="single" w:color="auto"/>
        </w:rPr>
        <w:t xml:space="preserve"> </w:t>
      </w:r>
      <w:r>
        <w:rPr>
          <w:color w:val="auto"/>
          <w:spacing w:val="-7"/>
          <w:sz w:val="21"/>
          <w:szCs w:val="21"/>
          <w:highlight w:val="none"/>
          <w:u w:val="single" w:color="auto"/>
        </w:rPr>
        <w:t>2</w:t>
      </w:r>
      <w:r>
        <w:rPr>
          <w:color w:val="auto"/>
          <w:spacing w:val="-30"/>
          <w:sz w:val="21"/>
          <w:szCs w:val="21"/>
          <w:highlight w:val="none"/>
          <w:u w:val="single" w:color="auto"/>
        </w:rPr>
        <w:t xml:space="preserve"> </w:t>
      </w:r>
      <w:r>
        <w:rPr>
          <w:color w:val="auto"/>
          <w:spacing w:val="-7"/>
          <w:sz w:val="21"/>
          <w:szCs w:val="21"/>
          <w:highlight w:val="none"/>
          <w:u w:val="single" w:color="auto"/>
        </w:rPr>
        <w:t>次以上（含本数）</w:t>
      </w:r>
      <w:r>
        <w:rPr>
          <w:color w:val="auto"/>
          <w:spacing w:val="1"/>
          <w:sz w:val="21"/>
          <w:szCs w:val="21"/>
          <w:highlight w:val="none"/>
          <w:u w:val="single" w:color="auto"/>
        </w:rPr>
        <w:t>前述情形，发包人可以解除合同，并追究由此带来的甲</w:t>
      </w:r>
      <w:r>
        <w:rPr>
          <w:color w:val="auto"/>
          <w:sz w:val="21"/>
          <w:szCs w:val="21"/>
          <w:highlight w:val="none"/>
          <w:u w:val="single" w:color="auto"/>
        </w:rPr>
        <w:t>方的一切损失</w:t>
      </w:r>
      <w:r>
        <w:rPr>
          <w:rFonts w:hint="eastAsia" w:cs="宋体"/>
          <w:color w:val="auto"/>
          <w:sz w:val="21"/>
          <w:szCs w:val="21"/>
          <w:highlight w:val="none"/>
          <w:u w:val="single"/>
        </w:rPr>
        <w:t xml:space="preserve">    </w:t>
      </w:r>
      <w:r>
        <w:rPr>
          <w:rFonts w:hint="eastAsia" w:cs="宋体"/>
          <w:color w:val="auto"/>
          <w:sz w:val="21"/>
          <w:szCs w:val="21"/>
          <w:highlight w:val="none"/>
        </w:rPr>
        <w:t>。</w:t>
      </w:r>
    </w:p>
    <w:p w14:paraId="030AB0C6">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3.3.4 承包人主要施工管理人员离开施工现场的批准要求：</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13926BC">
      <w:pPr>
        <w:adjustRightInd w:val="0"/>
        <w:snapToGrid w:val="0"/>
        <w:spacing w:line="360" w:lineRule="auto"/>
        <w:ind w:firstLine="424" w:firstLineChars="202"/>
        <w:rPr>
          <w:rFonts w:cs="宋体"/>
          <w:color w:val="auto"/>
          <w:sz w:val="21"/>
          <w:szCs w:val="21"/>
          <w:highlight w:val="none"/>
        </w:rPr>
      </w:pPr>
      <w:r>
        <w:rPr>
          <w:rFonts w:hint="eastAsia" w:cs="宋体"/>
          <w:color w:val="auto"/>
          <w:sz w:val="21"/>
          <w:szCs w:val="21"/>
          <w:highlight w:val="none"/>
        </w:rPr>
        <w:t>3.3.5 承包人擅自更换主要施工管理人员的违约责任：</w:t>
      </w:r>
      <w:r>
        <w:rPr>
          <w:rFonts w:hint="eastAsia" w:cs="宋体"/>
          <w:color w:val="auto"/>
          <w:sz w:val="21"/>
          <w:szCs w:val="21"/>
          <w:highlight w:val="none"/>
          <w:u w:val="single"/>
        </w:rPr>
        <w:t>承包人不得擅自更换主要管理人员，否则发包人有权解除合同，由此造成的损失由承包人自行承担，承包人还应赔偿由此造成发包人的全部损失。确需更换的须在签订合同后，报经发包人同意后按相关规定办理，更换后的人员不得低于承包人投标时所报人员资质和技术水平。发包人如认为有必要，可要求对上述人员中的部分人员作出更好的调整。</w:t>
      </w:r>
    </w:p>
    <w:p w14:paraId="5D04A58C">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承包人主要施工管理人员擅自离开施工现场的违约责任：</w:t>
      </w:r>
      <w:r>
        <w:rPr>
          <w:rFonts w:hint="eastAsia" w:cs="宋体"/>
          <w:color w:val="auto"/>
          <w:sz w:val="21"/>
          <w:szCs w:val="21"/>
          <w:highlight w:val="none"/>
          <w:u w:val="single"/>
        </w:rPr>
        <w:t xml:space="preserve">  </w:t>
      </w:r>
      <w:r>
        <w:rPr>
          <w:color w:val="auto"/>
          <w:spacing w:val="-4"/>
          <w:sz w:val="21"/>
          <w:szCs w:val="21"/>
          <w:highlight w:val="none"/>
          <w:u w:val="single" w:color="auto"/>
        </w:rPr>
        <w:t>主要施工管理人员每月在岗时间不</w:t>
      </w:r>
      <w:r>
        <w:rPr>
          <w:color w:val="auto"/>
          <w:sz w:val="21"/>
          <w:szCs w:val="21"/>
          <w:highlight w:val="none"/>
        </w:rPr>
        <w:t xml:space="preserve"> </w:t>
      </w:r>
      <w:r>
        <w:rPr>
          <w:color w:val="auto"/>
          <w:spacing w:val="1"/>
          <w:sz w:val="21"/>
          <w:szCs w:val="21"/>
          <w:highlight w:val="none"/>
          <w:u w:val="single" w:color="auto"/>
        </w:rPr>
        <w:t>得少于 26 天，每天不少于 8 小时。承包人主要施工管理人员擅自离开施</w:t>
      </w:r>
      <w:r>
        <w:rPr>
          <w:color w:val="auto"/>
          <w:sz w:val="21"/>
          <w:szCs w:val="21"/>
          <w:highlight w:val="none"/>
          <w:u w:val="single" w:color="auto"/>
        </w:rPr>
        <w:t>工现场的，承包人向发</w:t>
      </w:r>
      <w:r>
        <w:rPr>
          <w:color w:val="auto"/>
          <w:spacing w:val="-1"/>
          <w:sz w:val="21"/>
          <w:szCs w:val="21"/>
          <w:highlight w:val="none"/>
          <w:u w:val="single" w:color="auto"/>
        </w:rPr>
        <w:t xml:space="preserve">包人支付违约金 2000 元/人·天 </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E297794">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3</w:t>
      </w:r>
      <w:bookmarkStart w:id="135" w:name="_Toc312677988"/>
      <w:bookmarkStart w:id="136" w:name="_Toc300934945"/>
      <w:bookmarkStart w:id="137" w:name="_Toc297216151"/>
      <w:bookmarkStart w:id="138" w:name="_Toc297123492"/>
      <w:bookmarkStart w:id="139" w:name="_Toc296347158"/>
      <w:bookmarkStart w:id="140" w:name="_Toc292559869"/>
      <w:bookmarkStart w:id="141" w:name="_Toc296944498"/>
      <w:bookmarkStart w:id="142" w:name="_Toc304295523"/>
      <w:bookmarkStart w:id="143" w:name="_Toc296890987"/>
      <w:bookmarkStart w:id="144" w:name="_Toc297048345"/>
      <w:bookmarkStart w:id="145" w:name="_Toc292559364"/>
      <w:bookmarkStart w:id="146" w:name="_Toc296346660"/>
      <w:bookmarkStart w:id="147" w:name="_Toc303539102"/>
      <w:bookmarkStart w:id="148" w:name="_Toc296891199"/>
      <w:bookmarkStart w:id="149" w:name="_Toc296503159"/>
      <w:bookmarkStart w:id="150" w:name="_Toc297120459"/>
      <w:r>
        <w:rPr>
          <w:rFonts w:hint="eastAsia" w:cs="宋体"/>
          <w:bCs/>
          <w:color w:val="auto"/>
          <w:sz w:val="21"/>
          <w:szCs w:val="21"/>
          <w:highlight w:val="none"/>
        </w:rPr>
        <w:t>.5 分包</w:t>
      </w:r>
    </w:p>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14:paraId="3A9D7C08">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3</w:t>
      </w:r>
      <w:bookmarkStart w:id="151" w:name="_Toc296890988"/>
      <w:bookmarkStart w:id="152" w:name="_Toc297048346"/>
      <w:bookmarkStart w:id="153" w:name="_Toc300934946"/>
      <w:bookmarkStart w:id="154" w:name="_Toc296347159"/>
      <w:bookmarkStart w:id="155" w:name="_Toc296346661"/>
      <w:bookmarkStart w:id="156" w:name="_Toc296503160"/>
      <w:bookmarkStart w:id="157" w:name="_Toc296891200"/>
      <w:bookmarkStart w:id="158" w:name="_Toc304295524"/>
      <w:bookmarkStart w:id="159" w:name="_Toc292559870"/>
      <w:bookmarkStart w:id="160" w:name="_Toc297123493"/>
      <w:bookmarkStart w:id="161" w:name="_Toc297216152"/>
      <w:bookmarkStart w:id="162" w:name="_Toc297120460"/>
      <w:bookmarkStart w:id="163" w:name="_Toc292559365"/>
      <w:bookmarkStart w:id="164" w:name="_Toc303539103"/>
      <w:bookmarkStart w:id="165" w:name="_Toc296944499"/>
      <w:bookmarkStart w:id="166" w:name="_Toc318581158"/>
      <w:bookmarkStart w:id="167" w:name="_Toc312677989"/>
      <w:r>
        <w:rPr>
          <w:rFonts w:hint="eastAsia" w:cs="宋体"/>
          <w:color w:val="auto"/>
          <w:sz w:val="21"/>
          <w:szCs w:val="21"/>
          <w:highlight w:val="none"/>
        </w:rPr>
        <w:t>.5.1 分包的一般约定</w:t>
      </w:r>
    </w:p>
    <w:p w14:paraId="142D65B5">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禁止分包的工程包括：</w:t>
      </w:r>
      <w:r>
        <w:rPr>
          <w:rFonts w:hint="eastAsia" w:cs="宋体"/>
          <w:color w:val="auto"/>
          <w:sz w:val="21"/>
          <w:szCs w:val="21"/>
          <w:highlight w:val="none"/>
          <w:u w:val="single"/>
        </w:rPr>
        <w:t xml:space="preserve">  </w:t>
      </w:r>
      <w:r>
        <w:rPr>
          <w:color w:val="auto"/>
          <w:spacing w:val="-7"/>
          <w:sz w:val="21"/>
          <w:szCs w:val="21"/>
          <w:highlight w:val="none"/>
          <w:u w:val="single" w:color="auto"/>
        </w:rPr>
        <w:t>按照发包人及相关国家规范要求</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9F67529">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主体结构、关键性工作的范围：</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Start w:id="168" w:name="_Toc296503161"/>
      <w:bookmarkStart w:id="169" w:name="_Toc304295525"/>
      <w:bookmarkStart w:id="170" w:name="_Toc296944500"/>
      <w:bookmarkStart w:id="171" w:name="_Toc296347160"/>
      <w:bookmarkStart w:id="172" w:name="_Toc300934947"/>
      <w:bookmarkStart w:id="173" w:name="_Toc296891201"/>
      <w:bookmarkStart w:id="174" w:name="_Toc297048347"/>
      <w:bookmarkStart w:id="175" w:name="_Toc296346662"/>
      <w:bookmarkStart w:id="176" w:name="_Toc297123494"/>
      <w:bookmarkStart w:id="177" w:name="_Toc297120461"/>
      <w:bookmarkStart w:id="178" w:name="_Toc296890989"/>
      <w:bookmarkStart w:id="179" w:name="_Toc297216153"/>
      <w:bookmarkStart w:id="180" w:name="_Toc303539104"/>
      <w:r>
        <w:rPr>
          <w:rFonts w:hint="eastAsia" w:cs="宋体"/>
          <w:color w:val="auto"/>
          <w:sz w:val="21"/>
          <w:szCs w:val="21"/>
          <w:highlight w:val="none"/>
          <w:u w:val="single"/>
        </w:rPr>
        <w:t xml:space="preserve">  </w:t>
      </w:r>
      <w:r>
        <w:rPr>
          <w:color w:val="auto"/>
          <w:spacing w:val="-7"/>
          <w:sz w:val="21"/>
          <w:szCs w:val="21"/>
          <w:highlight w:val="none"/>
          <w:u w:val="single" w:color="auto"/>
        </w:rPr>
        <w:t>按照发包人及相关国家规范要求</w:t>
      </w:r>
      <w:r>
        <w:rPr>
          <w:rFonts w:hint="eastAsia" w:cs="宋体"/>
          <w:color w:val="auto"/>
          <w:sz w:val="21"/>
          <w:szCs w:val="21"/>
          <w:highlight w:val="none"/>
          <w:u w:val="single"/>
        </w:rPr>
        <w:t xml:space="preserve">   </w:t>
      </w:r>
      <w:r>
        <w:rPr>
          <w:rFonts w:hint="eastAsia" w:cs="宋体"/>
          <w:color w:val="auto"/>
          <w:sz w:val="21"/>
          <w:szCs w:val="21"/>
          <w:highlight w:val="none"/>
        </w:rPr>
        <w:t>。</w:t>
      </w:r>
    </w:p>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14:paraId="1408E57F">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3</w:t>
      </w:r>
      <w:bookmarkStart w:id="181" w:name="_Toc312677990"/>
      <w:bookmarkStart w:id="182" w:name="_Toc318581159"/>
      <w:r>
        <w:rPr>
          <w:rFonts w:hint="eastAsia" w:cs="宋体"/>
          <w:color w:val="auto"/>
          <w:sz w:val="21"/>
          <w:szCs w:val="21"/>
          <w:highlight w:val="none"/>
        </w:rPr>
        <w:t>.5.2 分包的确定</w:t>
      </w:r>
    </w:p>
    <w:p w14:paraId="30C7312C">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允许分包的专业工程包括：</w:t>
      </w:r>
      <w:r>
        <w:rPr>
          <w:rFonts w:hint="eastAsia" w:ascii="宋体" w:cs="宋体"/>
          <w:color w:val="auto"/>
          <w:sz w:val="21"/>
          <w:szCs w:val="21"/>
          <w:highlight w:val="none"/>
          <w:u w:val="single"/>
          <w:shd w:val="clear" w:color="auto" w:fill="auto"/>
        </w:rPr>
        <w:t>主专业工程暂估价中涉及的专业工程、住房和城乡建设部发布的建市[2014]159 号文件《建筑业企业资质标准》中的专业承包序列中涉及的专业工程</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B7AD530">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其他关于分包的约定：</w:t>
      </w:r>
      <w:r>
        <w:rPr>
          <w:rFonts w:hint="eastAsia" w:cs="宋体"/>
          <w:color w:val="auto"/>
          <w:sz w:val="21"/>
          <w:szCs w:val="21"/>
          <w:highlight w:val="none"/>
          <w:u w:val="single"/>
        </w:rPr>
        <w:t xml:space="preserve">  </w:t>
      </w:r>
      <w:r>
        <w:rPr>
          <w:rFonts w:hint="eastAsia" w:ascii="宋体" w:cs="宋体"/>
          <w:color w:val="auto"/>
          <w:sz w:val="21"/>
          <w:szCs w:val="21"/>
          <w:highlight w:val="none"/>
          <w:u w:val="single"/>
          <w:shd w:val="clear" w:color="auto" w:fill="auto"/>
        </w:rPr>
        <w:t xml:space="preserve">劳务分包人或专业分包人完成的工作经发包人或监理人检查屡次（3次及以上）发生同类缺陷或错误， 发包人有权指令承包人更换此专业承包人，承包人必须在接到指令后立即执行，不能以发包人同意该分包行为为由推阻， 相关一切工期延误和费用损失等均由承包人承担 </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C35DB22">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3.5.4 分包合同价款</w:t>
      </w:r>
    </w:p>
    <w:p w14:paraId="2B6C7DC6">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关于分包合同价款支付的约定：</w:t>
      </w:r>
      <w:r>
        <w:rPr>
          <w:rFonts w:hint="eastAsia" w:cs="宋体"/>
          <w:color w:val="auto"/>
          <w:sz w:val="21"/>
          <w:szCs w:val="21"/>
          <w:highlight w:val="none"/>
          <w:u w:val="single"/>
        </w:rPr>
        <w:t xml:space="preserve">          </w:t>
      </w:r>
      <w:r>
        <w:rPr>
          <w:rFonts w:hint="eastAsia" w:cs="宋体"/>
          <w:color w:val="auto"/>
          <w:sz w:val="21"/>
          <w:szCs w:val="21"/>
          <w:highlight w:val="none"/>
        </w:rPr>
        <w:t>。</w:t>
      </w:r>
    </w:p>
    <w:bookmarkEnd w:id="181"/>
    <w:bookmarkEnd w:id="182"/>
    <w:p w14:paraId="456DD5E9">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3.6 工程照管与成品、半成品保护</w:t>
      </w:r>
    </w:p>
    <w:p w14:paraId="78EF8B14">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承包人负责照管工程及工程相关的材料、工程设备的起始时间：</w:t>
      </w:r>
      <w:r>
        <w:rPr>
          <w:rFonts w:hint="eastAsia" w:cs="宋体"/>
          <w:color w:val="auto"/>
          <w:sz w:val="21"/>
          <w:szCs w:val="21"/>
          <w:highlight w:val="none"/>
          <w:u w:val="single"/>
        </w:rPr>
        <w:t>自发包人向承包人移交施工现场之日起，承包人应负责照管工程及工程相关的材料、工程设备，直到颁发工程接收证书之日止。</w:t>
      </w:r>
    </w:p>
    <w:p w14:paraId="301031E6">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3.7 履约保证金</w:t>
      </w:r>
    </w:p>
    <w:p w14:paraId="545D42AE">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承包人是否提供履约保证金：</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543677B0">
      <w:pPr>
        <w:adjustRightInd w:val="0"/>
        <w:snapToGrid w:val="0"/>
        <w:spacing w:line="360" w:lineRule="auto"/>
        <w:ind w:left="-70" w:leftChars="-35" w:firstLine="497" w:firstLineChars="237"/>
        <w:rPr>
          <w:rFonts w:cs="宋体"/>
          <w:b/>
          <w:color w:val="auto"/>
          <w:sz w:val="21"/>
          <w:szCs w:val="21"/>
          <w:highlight w:val="none"/>
        </w:rPr>
      </w:pPr>
      <w:r>
        <w:rPr>
          <w:rFonts w:hint="eastAsia" w:cs="宋体"/>
          <w:color w:val="auto"/>
          <w:sz w:val="21"/>
          <w:szCs w:val="21"/>
          <w:highlight w:val="none"/>
        </w:rPr>
        <w:t>承包人提供履约保证金的形式：</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2F001DC3">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履约保证金的金额：</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01CC8A5F">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履约保证金提交期限的要求：</w:t>
      </w:r>
      <w:r>
        <w:rPr>
          <w:rFonts w:hint="eastAsia" w:cs="宋体"/>
          <w:color w:val="auto"/>
          <w:sz w:val="21"/>
          <w:szCs w:val="21"/>
          <w:highlight w:val="none"/>
          <w:u w:val="single"/>
        </w:rPr>
        <w:t>见《专用合同条款数据表》。</w:t>
      </w:r>
    </w:p>
    <w:p w14:paraId="01098738">
      <w:pPr>
        <w:adjustRightInd w:val="0"/>
        <w:snapToGrid w:val="0"/>
        <w:spacing w:line="360" w:lineRule="auto"/>
        <w:ind w:firstLine="420" w:firstLineChars="200"/>
        <w:rPr>
          <w:rFonts w:cs="宋体"/>
          <w:strike/>
          <w:color w:val="auto"/>
          <w:sz w:val="21"/>
          <w:szCs w:val="21"/>
          <w:highlight w:val="none"/>
        </w:rPr>
      </w:pPr>
      <w:r>
        <w:rPr>
          <w:rFonts w:hint="eastAsia" w:cs="宋体"/>
          <w:bCs/>
          <w:snapToGrid w:val="0"/>
          <w:color w:val="auto"/>
          <w:sz w:val="21"/>
          <w:szCs w:val="21"/>
          <w:highlight w:val="none"/>
        </w:rPr>
        <w:t>履约保证金退还时限：</w:t>
      </w:r>
      <w:r>
        <w:rPr>
          <w:rFonts w:hint="eastAsia" w:cs="宋体"/>
          <w:color w:val="auto"/>
          <w:sz w:val="21"/>
          <w:szCs w:val="21"/>
          <w:highlight w:val="none"/>
          <w:u w:val="single"/>
        </w:rPr>
        <w:t>见《专用合同条款数据表》。</w:t>
      </w:r>
    </w:p>
    <w:p w14:paraId="130F90B9">
      <w:pPr>
        <w:snapToGrid w:val="0"/>
        <w:spacing w:before="312" w:beforeLines="100" w:after="312" w:afterLines="100" w:line="360" w:lineRule="auto"/>
        <w:outlineLvl w:val="2"/>
        <w:rPr>
          <w:rFonts w:cs="宋体"/>
          <w:color w:val="auto"/>
          <w:sz w:val="21"/>
          <w:szCs w:val="21"/>
          <w:highlight w:val="none"/>
        </w:rPr>
      </w:pPr>
      <w:bookmarkStart w:id="183" w:name="_Toc351203636"/>
      <w:r>
        <w:rPr>
          <w:rFonts w:hint="eastAsia" w:cs="宋体"/>
          <w:color w:val="auto"/>
          <w:sz w:val="21"/>
          <w:szCs w:val="21"/>
          <w:highlight w:val="none"/>
        </w:rPr>
        <w:t>4</w:t>
      </w:r>
      <w:bookmarkStart w:id="184" w:name="_Toc297048348"/>
      <w:bookmarkStart w:id="185" w:name="_Toc267251413"/>
      <w:bookmarkStart w:id="186" w:name="_Toc296944501"/>
      <w:bookmarkStart w:id="187" w:name="_Toc292559366"/>
      <w:bookmarkStart w:id="188" w:name="_Toc296503162"/>
      <w:bookmarkStart w:id="189" w:name="_Toc296891202"/>
      <w:bookmarkStart w:id="190" w:name="_Toc296890990"/>
      <w:bookmarkStart w:id="191" w:name="_Toc296346663"/>
      <w:bookmarkStart w:id="192" w:name="_Toc296347161"/>
      <w:bookmarkStart w:id="193" w:name="_Toc297120462"/>
      <w:bookmarkStart w:id="194" w:name="_Toc292559871"/>
      <w:r>
        <w:rPr>
          <w:rFonts w:hint="eastAsia" w:cs="宋体"/>
          <w:color w:val="auto"/>
          <w:sz w:val="21"/>
          <w:szCs w:val="21"/>
          <w:highlight w:val="none"/>
        </w:rPr>
        <w:t>. 监</w:t>
      </w:r>
      <w:bookmarkEnd w:id="184"/>
      <w:bookmarkEnd w:id="185"/>
      <w:bookmarkEnd w:id="186"/>
      <w:bookmarkEnd w:id="187"/>
      <w:bookmarkEnd w:id="188"/>
      <w:bookmarkEnd w:id="189"/>
      <w:bookmarkEnd w:id="190"/>
      <w:bookmarkEnd w:id="191"/>
      <w:bookmarkEnd w:id="192"/>
      <w:bookmarkEnd w:id="193"/>
      <w:bookmarkEnd w:id="194"/>
      <w:r>
        <w:rPr>
          <w:rFonts w:hint="eastAsia" w:cs="宋体"/>
          <w:color w:val="auto"/>
          <w:sz w:val="21"/>
          <w:szCs w:val="21"/>
          <w:highlight w:val="none"/>
        </w:rPr>
        <w:t>理人</w:t>
      </w:r>
      <w:bookmarkEnd w:id="183"/>
    </w:p>
    <w:p w14:paraId="3DE11BAF">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4.1 监理人的一般规定</w:t>
      </w:r>
    </w:p>
    <w:p w14:paraId="6D8A4178">
      <w:pPr>
        <w:adjustRightInd w:val="0"/>
        <w:snapToGrid w:val="0"/>
        <w:spacing w:line="360" w:lineRule="auto"/>
        <w:ind w:firstLine="420" w:firstLineChars="200"/>
        <w:rPr>
          <w:rFonts w:cs="宋体"/>
          <w:b/>
          <w:color w:val="auto"/>
          <w:sz w:val="21"/>
          <w:szCs w:val="21"/>
          <w:highlight w:val="none"/>
          <w:u w:val="single"/>
        </w:rPr>
      </w:pPr>
      <w:r>
        <w:rPr>
          <w:rFonts w:hint="eastAsia" w:cs="宋体"/>
          <w:color w:val="auto"/>
          <w:sz w:val="21"/>
          <w:szCs w:val="21"/>
          <w:highlight w:val="none"/>
        </w:rPr>
        <w:t>关于监理人的监理内容：</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详见监理合同</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689581E">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关于监理人的监理权限：</w:t>
      </w:r>
      <w:r>
        <w:rPr>
          <w:rFonts w:hint="eastAsia" w:cs="宋体"/>
          <w:color w:val="auto"/>
          <w:sz w:val="21"/>
          <w:szCs w:val="21"/>
          <w:highlight w:val="none"/>
          <w:u w:val="single"/>
        </w:rPr>
        <w:t xml:space="preserve">  发布开工令、停工令、复工令权；工程质量的监督权；工程上使用的材料和施工质量检验权、确认权；工程施工进度、安全的检查、监督权、发包人授权的处罚权；工程款支付的审核权；向承包人提出施工组织设计和技术方案的建议权；发包人和承包人间的组织协调的主持权；撤换不合格的工程建设分包单位和项目负责人及有关人员的建议权；分包单位资质及能力的审查权；等等      </w:t>
      </w:r>
      <w:r>
        <w:rPr>
          <w:rFonts w:hint="eastAsia" w:cs="宋体"/>
          <w:color w:val="auto"/>
          <w:sz w:val="21"/>
          <w:szCs w:val="21"/>
          <w:highlight w:val="none"/>
        </w:rPr>
        <w:t>。</w:t>
      </w:r>
    </w:p>
    <w:p w14:paraId="083331E8">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关于监理人在施工现场的办公场所、生活场所的提供和费用承担的约定：</w:t>
      </w:r>
      <w:r>
        <w:rPr>
          <w:rFonts w:hint="eastAsia" w:cs="宋体"/>
          <w:color w:val="auto"/>
          <w:sz w:val="21"/>
          <w:szCs w:val="21"/>
          <w:highlight w:val="none"/>
          <w:u w:val="single"/>
        </w:rPr>
        <w:t xml:space="preserve">办公场所由承包人提供和承担，生活场所由监理人自行解决和承担。  </w:t>
      </w:r>
    </w:p>
    <w:p w14:paraId="52A8A4EE">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4.2 监理人员</w:t>
      </w:r>
    </w:p>
    <w:p w14:paraId="6BC9AB61">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总监理工程师：</w:t>
      </w:r>
    </w:p>
    <w:p w14:paraId="7F8A6923">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姓    名：</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color w:val="auto"/>
          <w:spacing w:val="2"/>
          <w:sz w:val="21"/>
          <w:szCs w:val="21"/>
          <w:highlight w:val="none"/>
          <w:u w:val="single" w:color="auto"/>
        </w:rPr>
        <w:t xml:space="preserve"> </w:t>
      </w:r>
      <w:r>
        <w:rPr>
          <w:color w:val="auto"/>
          <w:spacing w:val="-10"/>
          <w:sz w:val="21"/>
          <w:szCs w:val="21"/>
          <w:highlight w:val="none"/>
          <w:u w:val="single" w:color="auto"/>
        </w:rPr>
        <w:t>详见监理合同</w:t>
      </w:r>
      <w:r>
        <w:rPr>
          <w:color w:val="auto"/>
          <w:sz w:val="21"/>
          <w:szCs w:val="21"/>
          <w:highlight w:val="none"/>
          <w:u w:val="single" w:color="auto"/>
        </w:rPr>
        <w:t xml:space="preserve">  </w:t>
      </w:r>
      <w:r>
        <w:rPr>
          <w:rFonts w:hint="eastAsia" w:ascii="宋体" w:cs="宋体"/>
          <w:color w:val="auto"/>
          <w:sz w:val="21"/>
          <w:szCs w:val="21"/>
          <w:highlight w:val="none"/>
          <w:u w:val="single"/>
          <w:shd w:val="clear" w:color="auto" w:fill="auto"/>
        </w:rPr>
        <w:t xml:space="preserve"> </w:t>
      </w:r>
      <w:r>
        <w:rPr>
          <w:rFonts w:hint="eastAsia" w:cs="宋体"/>
          <w:color w:val="auto"/>
          <w:sz w:val="21"/>
          <w:szCs w:val="21"/>
          <w:highlight w:val="none"/>
          <w:u w:val="single"/>
        </w:rPr>
        <w:t xml:space="preserve">     </w:t>
      </w:r>
      <w:r>
        <w:rPr>
          <w:rFonts w:hint="eastAsia" w:cs="宋体"/>
          <w:color w:val="auto"/>
          <w:sz w:val="21"/>
          <w:szCs w:val="21"/>
          <w:highlight w:val="none"/>
        </w:rPr>
        <w:t>；</w:t>
      </w:r>
    </w:p>
    <w:p w14:paraId="06FAC6AB">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职    务：</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8E59018">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监理工程师执业资格证书号：</w:t>
      </w:r>
      <w:r>
        <w:rPr>
          <w:rFonts w:hint="eastAsia" w:cs="宋体"/>
          <w:color w:val="auto"/>
          <w:sz w:val="21"/>
          <w:szCs w:val="21"/>
          <w:highlight w:val="none"/>
          <w:u w:val="single"/>
        </w:rPr>
        <w:t xml:space="preserve">                            </w:t>
      </w:r>
      <w:r>
        <w:rPr>
          <w:rFonts w:hint="eastAsia" w:cs="宋体"/>
          <w:color w:val="auto"/>
          <w:sz w:val="21"/>
          <w:szCs w:val="21"/>
          <w:highlight w:val="none"/>
        </w:rPr>
        <w:t>；</w:t>
      </w:r>
    </w:p>
    <w:p w14:paraId="0DE2194F">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联系电话：</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609442C">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电子信箱：</w:t>
      </w:r>
      <w:r>
        <w:rPr>
          <w:rFonts w:hint="eastAsia" w:cs="宋体"/>
          <w:color w:val="auto"/>
          <w:sz w:val="21"/>
          <w:szCs w:val="21"/>
          <w:highlight w:val="none"/>
          <w:u w:val="single"/>
        </w:rPr>
        <w:t xml:space="preserve">                            </w:t>
      </w:r>
      <w:r>
        <w:rPr>
          <w:rFonts w:hint="eastAsia" w:cs="宋体"/>
          <w:color w:val="auto"/>
          <w:sz w:val="21"/>
          <w:szCs w:val="21"/>
          <w:highlight w:val="none"/>
        </w:rPr>
        <w:t>；</w:t>
      </w:r>
    </w:p>
    <w:p w14:paraId="039C8BFD">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通信地址：</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7BF6196">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关于监理人的其他约定：</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5DEC090">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4.4 商定或确定</w:t>
      </w:r>
    </w:p>
    <w:p w14:paraId="7EC8DAA3">
      <w:pPr>
        <w:adjustRightInd w:val="0"/>
        <w:snapToGrid w:val="0"/>
        <w:spacing w:line="360" w:lineRule="auto"/>
        <w:ind w:firstLine="420" w:firstLineChars="200"/>
        <w:rPr>
          <w:rFonts w:cs="宋体"/>
          <w:color w:val="auto"/>
          <w:sz w:val="21"/>
          <w:szCs w:val="21"/>
          <w:highlight w:val="none"/>
        </w:rPr>
      </w:pPr>
      <w:bookmarkStart w:id="195" w:name="_Toc267251418"/>
      <w:r>
        <w:rPr>
          <w:rFonts w:hint="eastAsia" w:cs="宋体"/>
          <w:color w:val="auto"/>
          <w:sz w:val="21"/>
          <w:szCs w:val="21"/>
          <w:highlight w:val="none"/>
        </w:rPr>
        <w:t>在发包人和承包人不能通过协商达成一致意见时，发包人授权监理人对以下事项进行确定：</w:t>
      </w:r>
    </w:p>
    <w:p w14:paraId="10AF006B">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w:t>
      </w:r>
      <w:r>
        <w:rPr>
          <w:rFonts w:hint="eastAsia" w:cs="宋体"/>
          <w:color w:val="auto"/>
          <w:sz w:val="21"/>
          <w:szCs w:val="21"/>
          <w:highlight w:val="none"/>
          <w:u w:val="single"/>
        </w:rPr>
        <w:t xml:space="preserve">   施工方案                   </w:t>
      </w:r>
      <w:r>
        <w:rPr>
          <w:rFonts w:hint="eastAsia" w:cs="宋体"/>
          <w:color w:val="auto"/>
          <w:sz w:val="21"/>
          <w:szCs w:val="21"/>
          <w:highlight w:val="none"/>
        </w:rPr>
        <w:t>；</w:t>
      </w:r>
    </w:p>
    <w:p w14:paraId="105E0E11">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（2）</w:t>
      </w:r>
      <w:r>
        <w:rPr>
          <w:rFonts w:hint="eastAsia" w:cs="宋体"/>
          <w:color w:val="auto"/>
          <w:sz w:val="21"/>
          <w:szCs w:val="21"/>
          <w:highlight w:val="none"/>
          <w:u w:val="single"/>
        </w:rPr>
        <w:t xml:space="preserve">  索赔事项等               </w:t>
      </w:r>
      <w:r>
        <w:rPr>
          <w:rFonts w:hint="eastAsia" w:cs="宋体"/>
          <w:color w:val="auto"/>
          <w:sz w:val="21"/>
          <w:szCs w:val="21"/>
          <w:highlight w:val="none"/>
        </w:rPr>
        <w:t>；</w:t>
      </w:r>
    </w:p>
    <w:p w14:paraId="33EDF1F7">
      <w:pPr>
        <w:snapToGrid w:val="0"/>
        <w:spacing w:before="312" w:beforeLines="100" w:after="312" w:afterLines="100" w:line="360" w:lineRule="auto"/>
        <w:outlineLvl w:val="2"/>
        <w:rPr>
          <w:rFonts w:cs="宋体"/>
          <w:color w:val="auto"/>
          <w:sz w:val="21"/>
          <w:szCs w:val="21"/>
          <w:highlight w:val="none"/>
        </w:rPr>
      </w:pPr>
      <w:bookmarkStart w:id="196" w:name="_Toc351203637"/>
      <w:r>
        <w:rPr>
          <w:rFonts w:hint="eastAsia" w:cs="宋体"/>
          <w:color w:val="auto"/>
          <w:sz w:val="21"/>
          <w:szCs w:val="21"/>
          <w:highlight w:val="none"/>
        </w:rPr>
        <w:t>5</w:t>
      </w:r>
      <w:bookmarkEnd w:id="195"/>
      <w:bookmarkStart w:id="197" w:name="_Toc296944502"/>
      <w:bookmarkStart w:id="198" w:name="_Toc297048349"/>
      <w:bookmarkStart w:id="199" w:name="_Toc296347162"/>
      <w:bookmarkStart w:id="200" w:name="_Toc296891203"/>
      <w:bookmarkStart w:id="201" w:name="_Toc296346664"/>
      <w:bookmarkStart w:id="202" w:name="_Toc292559872"/>
      <w:bookmarkStart w:id="203" w:name="_Toc296890991"/>
      <w:bookmarkStart w:id="204" w:name="_Toc297120463"/>
      <w:bookmarkStart w:id="205" w:name="_Toc292559367"/>
      <w:bookmarkStart w:id="206" w:name="_Toc296503163"/>
      <w:r>
        <w:rPr>
          <w:rFonts w:hint="eastAsia" w:cs="宋体"/>
          <w:color w:val="auto"/>
          <w:sz w:val="21"/>
          <w:szCs w:val="21"/>
          <w:highlight w:val="none"/>
        </w:rPr>
        <w:t>. 工程质量</w:t>
      </w:r>
      <w:bookmarkEnd w:id="196"/>
    </w:p>
    <w:p w14:paraId="7CC2C8E8">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5.1 质量要求</w:t>
      </w:r>
    </w:p>
    <w:p w14:paraId="13B6579F">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5</w:t>
      </w:r>
      <w:bookmarkStart w:id="207" w:name="_Toc303539106"/>
      <w:bookmarkStart w:id="208" w:name="_Toc297216155"/>
      <w:bookmarkStart w:id="209" w:name="_Toc318581164"/>
      <w:bookmarkStart w:id="210" w:name="_Toc312677997"/>
      <w:bookmarkStart w:id="211" w:name="_Toc300934949"/>
      <w:bookmarkStart w:id="212" w:name="_Toc297123496"/>
      <w:bookmarkStart w:id="213" w:name="_Toc304295527"/>
      <w:r>
        <w:rPr>
          <w:rFonts w:hint="eastAsia" w:cs="宋体"/>
          <w:color w:val="auto"/>
          <w:sz w:val="21"/>
          <w:szCs w:val="21"/>
          <w:highlight w:val="none"/>
        </w:rPr>
        <w:t>.1.1 特殊质量标准和要求：</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18958D07">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关于工程奖项的约定：</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78A289EA">
      <w:pPr>
        <w:snapToGrid w:val="0"/>
        <w:spacing w:line="360" w:lineRule="auto"/>
        <w:ind w:firstLine="420" w:firstLineChars="200"/>
        <w:jc w:val="left"/>
        <w:rPr>
          <w:rFonts w:cs="宋体"/>
          <w:color w:val="auto"/>
          <w:sz w:val="21"/>
          <w:szCs w:val="21"/>
          <w:highlight w:val="none"/>
        </w:rPr>
      </w:pPr>
      <w:bookmarkStart w:id="214" w:name="_Toc351203638"/>
      <w:r>
        <w:rPr>
          <w:rFonts w:hint="eastAsia" w:cs="宋体"/>
          <w:color w:val="auto"/>
          <w:sz w:val="21"/>
          <w:szCs w:val="21"/>
          <w:highlight w:val="none"/>
        </w:rPr>
        <w:t>关于建造要求：</w:t>
      </w:r>
    </w:p>
    <w:p w14:paraId="30FBBCAC">
      <w:pPr>
        <w:pStyle w:val="13"/>
        <w:snapToGrid w:val="0"/>
        <w:spacing w:line="360" w:lineRule="auto"/>
        <w:ind w:firstLine="480"/>
        <w:rPr>
          <w:rFonts w:hAnsi="宋体" w:cs="宋体"/>
          <w:color w:val="auto"/>
          <w:sz w:val="21"/>
          <w:szCs w:val="21"/>
          <w:highlight w:val="none"/>
        </w:rPr>
      </w:pPr>
      <w:r>
        <w:rPr>
          <w:rFonts w:hint="eastAsia" w:hAnsi="宋体" w:cs="宋体"/>
          <w:color w:val="auto"/>
          <w:sz w:val="21"/>
          <w:szCs w:val="21"/>
          <w:highlight w:val="none"/>
        </w:rPr>
        <w:t>（1）绿色建筑等级要求：</w:t>
      </w:r>
      <w:r>
        <w:rPr>
          <w:rFonts w:hint="eastAsia" w:hAnsi="宋体" w:cs="宋体"/>
          <w:color w:val="auto"/>
          <w:sz w:val="21"/>
          <w:szCs w:val="21"/>
          <w:highlight w:val="none"/>
          <w:u w:val="single"/>
        </w:rPr>
        <w:t>见《专用合同条款数据表》</w:t>
      </w:r>
      <w:r>
        <w:rPr>
          <w:rFonts w:hint="eastAsia" w:hAnsi="宋体" w:cs="宋体"/>
          <w:color w:val="auto"/>
          <w:sz w:val="21"/>
          <w:szCs w:val="21"/>
          <w:highlight w:val="none"/>
        </w:rPr>
        <w:t>；</w:t>
      </w:r>
    </w:p>
    <w:p w14:paraId="1EDED31A">
      <w:pPr>
        <w:pStyle w:val="13"/>
        <w:snapToGrid w:val="0"/>
        <w:spacing w:line="360" w:lineRule="auto"/>
        <w:ind w:firstLine="480"/>
        <w:rPr>
          <w:rFonts w:hAnsi="宋体" w:cs="宋体"/>
          <w:color w:val="auto"/>
          <w:sz w:val="21"/>
          <w:szCs w:val="21"/>
          <w:highlight w:val="none"/>
        </w:rPr>
      </w:pPr>
      <w:r>
        <w:rPr>
          <w:rFonts w:hint="eastAsia" w:hAnsi="宋体" w:cs="宋体"/>
          <w:color w:val="auto"/>
          <w:sz w:val="21"/>
          <w:szCs w:val="21"/>
          <w:highlight w:val="none"/>
        </w:rPr>
        <w:t>（2）智慧工地管理要求：</w:t>
      </w:r>
      <w:r>
        <w:rPr>
          <w:rFonts w:hint="eastAsia" w:hAnsi="宋体" w:cs="宋体"/>
          <w:color w:val="auto"/>
          <w:sz w:val="21"/>
          <w:szCs w:val="21"/>
          <w:highlight w:val="none"/>
          <w:u w:val="single"/>
        </w:rPr>
        <w:t>见《专用合同条款数据表》</w:t>
      </w:r>
      <w:r>
        <w:rPr>
          <w:rFonts w:hint="eastAsia" w:hAnsi="宋体" w:cs="宋体"/>
          <w:color w:val="auto"/>
          <w:sz w:val="21"/>
          <w:szCs w:val="21"/>
          <w:highlight w:val="none"/>
        </w:rPr>
        <w:t>；</w:t>
      </w:r>
    </w:p>
    <w:p w14:paraId="07A0B865">
      <w:pPr>
        <w:pStyle w:val="13"/>
        <w:snapToGrid w:val="0"/>
        <w:spacing w:line="360" w:lineRule="auto"/>
        <w:ind w:firstLine="480"/>
        <w:rPr>
          <w:rFonts w:hAnsi="宋体" w:cs="宋体"/>
          <w:color w:val="auto"/>
          <w:sz w:val="21"/>
          <w:szCs w:val="21"/>
          <w:highlight w:val="none"/>
        </w:rPr>
      </w:pPr>
      <w:r>
        <w:rPr>
          <w:rFonts w:hint="eastAsia" w:hAnsi="宋体" w:cs="宋体"/>
          <w:color w:val="auto"/>
          <w:sz w:val="21"/>
          <w:szCs w:val="21"/>
          <w:highlight w:val="none"/>
        </w:rPr>
        <w:t>（3）建筑垃圾减量化目标：</w:t>
      </w:r>
      <w:r>
        <w:rPr>
          <w:rFonts w:hint="eastAsia" w:hAnsi="宋体" w:cs="宋体"/>
          <w:color w:val="auto"/>
          <w:sz w:val="21"/>
          <w:szCs w:val="21"/>
          <w:highlight w:val="none"/>
          <w:u w:val="single"/>
        </w:rPr>
        <w:t>见《专用合同条款数据表》</w:t>
      </w:r>
      <w:r>
        <w:rPr>
          <w:rFonts w:hint="eastAsia" w:hAnsi="宋体" w:cs="宋体"/>
          <w:color w:val="auto"/>
          <w:sz w:val="21"/>
          <w:szCs w:val="21"/>
          <w:highlight w:val="none"/>
        </w:rPr>
        <w:t>；</w:t>
      </w:r>
    </w:p>
    <w:p w14:paraId="4F075EC7">
      <w:pPr>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（4）装配式建筑装配率要求：</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5080CABF">
      <w:pPr>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（5）</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5DA53013">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5.3 隐蔽工程检查</w:t>
      </w:r>
    </w:p>
    <w:p w14:paraId="39B87CF8">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5.3.2 承包人提前通知监理人隐蔽工程检查的期限的约定：</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工</w:t>
      </w:r>
      <w:r>
        <w:rPr>
          <w:rFonts w:hint="eastAsia" w:ascii="宋体" w:hAnsi="Times New Roman" w:eastAsia="宋体" w:cs="宋体"/>
          <w:color w:val="auto"/>
          <w:kern w:val="2"/>
          <w:sz w:val="21"/>
          <w:szCs w:val="21"/>
          <w:highlight w:val="none"/>
          <w:u w:val="single"/>
          <w:shd w:val="clear" w:color="auto" w:fill="auto"/>
          <w:lang w:val="en-US" w:eastAsia="zh-CN" w:bidi="ar-SA"/>
        </w:rPr>
        <w:t>程具备隐蔽条件或达到中间验收部位时，承包人自检合格后，在隐蔽和中间验收 48 小时前书面通知甲方代表和监理工程师参加。通知应包含承包人自检记录、隐蔽和中间验收的内容、时间和地点。承包人准备验收记录， 验收合格，甲方代表及监理工程师在验收记录上签字后， 方可进行隐蔽和继续施工。验收不合格， 承包人 在限定时间内重新验收。承包人不服从质量管理的， 发包人有权清退其出场， 并赔偿因此而造成的</w:t>
      </w:r>
      <w:r>
        <w:rPr>
          <w:color w:val="auto"/>
          <w:spacing w:val="0"/>
          <w:sz w:val="21"/>
          <w:szCs w:val="21"/>
          <w:highlight w:val="none"/>
          <w:u w:val="single" w:color="auto"/>
        </w:rPr>
        <w:t>一切损失</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E954338">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监理人不能按时进行检查时，应提前</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24 </w:t>
      </w:r>
      <w:r>
        <w:rPr>
          <w:rFonts w:hint="eastAsia" w:cs="宋体"/>
          <w:color w:val="auto"/>
          <w:sz w:val="21"/>
          <w:szCs w:val="21"/>
          <w:highlight w:val="none"/>
        </w:rPr>
        <w:t>小时提交书面延期要求。</w:t>
      </w:r>
    </w:p>
    <w:p w14:paraId="694AE182">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关于延期最长不得超过：</w:t>
      </w:r>
      <w:r>
        <w:rPr>
          <w:rFonts w:hint="eastAsia" w:cs="宋体"/>
          <w:color w:val="auto"/>
          <w:sz w:val="21"/>
          <w:szCs w:val="21"/>
          <w:highlight w:val="none"/>
          <w:u w:val="single"/>
          <w:lang w:val="en-US" w:eastAsia="zh-CN"/>
        </w:rPr>
        <w:t>48</w:t>
      </w:r>
      <w:r>
        <w:rPr>
          <w:rFonts w:hint="eastAsia" w:cs="宋体"/>
          <w:color w:val="auto"/>
          <w:sz w:val="21"/>
          <w:szCs w:val="21"/>
          <w:highlight w:val="none"/>
          <w:u w:val="single"/>
        </w:rPr>
        <w:t xml:space="preserve"> </w:t>
      </w:r>
      <w:r>
        <w:rPr>
          <w:rFonts w:hint="eastAsia" w:cs="宋体"/>
          <w:color w:val="auto"/>
          <w:sz w:val="21"/>
          <w:szCs w:val="21"/>
          <w:highlight w:val="none"/>
        </w:rPr>
        <w:t>小时。</w:t>
      </w:r>
    </w:p>
    <w:p w14:paraId="61DB0AD7">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5</w:t>
      </w:r>
      <w:bookmarkStart w:id="215" w:name="_Toc337558762"/>
      <w:r>
        <w:rPr>
          <w:rFonts w:hint="eastAsia" w:cs="宋体"/>
          <w:bCs/>
          <w:color w:val="auto"/>
          <w:sz w:val="21"/>
          <w:szCs w:val="21"/>
          <w:highlight w:val="none"/>
        </w:rPr>
        <w:t>.4 不合格工程的处理</w:t>
      </w:r>
    </w:p>
    <w:bookmarkEnd w:id="215"/>
    <w:p w14:paraId="6C3EF29E">
      <w:pPr>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本款补充5.4.3项：</w:t>
      </w:r>
    </w:p>
    <w:p w14:paraId="3566AAAD">
      <w:pPr>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5.4.3 承包人在收到监理人发出的《不合格分项报告》或监理通知单后，必须在监理人规定时间内按要求完成整改，未能在限定时间内完成整改的，须承担相应违约责任。</w:t>
      </w:r>
    </w:p>
    <w:p w14:paraId="3A6FDE68">
      <w:pPr>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本条补充5.6款：</w:t>
      </w:r>
    </w:p>
    <w:p w14:paraId="1624E76C">
      <w:pPr>
        <w:keepNext/>
        <w:keepLines/>
        <w:snapToGrid w:val="0"/>
        <w:spacing w:before="120" w:after="120" w:line="360" w:lineRule="auto"/>
        <w:ind w:firstLine="420" w:firstLineChars="200"/>
        <w:outlineLvl w:val="3"/>
        <w:rPr>
          <w:rFonts w:cs="宋体"/>
          <w:bCs/>
          <w:color w:val="auto"/>
          <w:sz w:val="21"/>
          <w:szCs w:val="21"/>
          <w:highlight w:val="none"/>
        </w:rPr>
      </w:pPr>
      <w:bookmarkStart w:id="216" w:name="_Toc532377348"/>
      <w:r>
        <w:rPr>
          <w:rFonts w:hint="eastAsia" w:cs="宋体"/>
          <w:bCs/>
          <w:color w:val="auto"/>
          <w:sz w:val="21"/>
          <w:szCs w:val="21"/>
          <w:highlight w:val="none"/>
        </w:rPr>
        <w:t>5.6 质量事故的处理</w:t>
      </w:r>
      <w:bookmarkEnd w:id="216"/>
    </w:p>
    <w:p w14:paraId="1463A3E8">
      <w:pPr>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5.6.1 合同履行过程中，发生工程质量事故的调查处理按照国家现行规定处理。</w:t>
      </w:r>
    </w:p>
    <w:p w14:paraId="091FAC5A">
      <w:pPr>
        <w:snapToGrid w:val="0"/>
        <w:spacing w:line="360" w:lineRule="auto"/>
        <w:ind w:firstLine="420" w:firstLineChars="200"/>
        <w:jc w:val="left"/>
        <w:rPr>
          <w:rFonts w:cs="宋体"/>
          <w:color w:val="auto"/>
          <w:sz w:val="21"/>
          <w:szCs w:val="21"/>
          <w:highlight w:val="none"/>
        </w:rPr>
      </w:pPr>
      <w:r>
        <w:rPr>
          <w:rFonts w:hint="eastAsia" w:cs="宋体"/>
          <w:color w:val="auto"/>
          <w:sz w:val="21"/>
          <w:szCs w:val="21"/>
          <w:highlight w:val="none"/>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p w14:paraId="0300F908">
      <w:pPr>
        <w:snapToGrid w:val="0"/>
        <w:spacing w:before="312" w:beforeLines="100" w:after="312" w:afterLines="100" w:line="360" w:lineRule="auto"/>
        <w:outlineLvl w:val="2"/>
        <w:rPr>
          <w:rFonts w:cs="宋体"/>
          <w:color w:val="auto"/>
          <w:sz w:val="21"/>
          <w:szCs w:val="21"/>
          <w:highlight w:val="none"/>
        </w:rPr>
      </w:pPr>
      <w:r>
        <w:rPr>
          <w:rFonts w:hint="eastAsia" w:cs="宋体"/>
          <w:color w:val="auto"/>
          <w:sz w:val="21"/>
          <w:szCs w:val="21"/>
          <w:highlight w:val="none"/>
        </w:rPr>
        <w:t>6. 安全文明施工与环境保护</w:t>
      </w:r>
      <w:bookmarkEnd w:id="214"/>
    </w:p>
    <w:p w14:paraId="332C989F">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6.1 安全文明施工</w:t>
      </w:r>
    </w:p>
    <w:p w14:paraId="641301B7">
      <w:pPr>
        <w:snapToGrid w:val="0"/>
        <w:spacing w:line="440" w:lineRule="exact"/>
        <w:ind w:firstLine="420" w:firstLineChars="200"/>
        <w:jc w:val="left"/>
        <w:rPr>
          <w:rFonts w:cs="宋体"/>
          <w:color w:val="auto"/>
          <w:sz w:val="21"/>
          <w:szCs w:val="21"/>
          <w:highlight w:val="none"/>
          <w:u w:val="single"/>
        </w:rPr>
      </w:pPr>
      <w:r>
        <w:rPr>
          <w:rFonts w:hint="eastAsia" w:cs="宋体"/>
          <w:color w:val="auto"/>
          <w:sz w:val="21"/>
          <w:szCs w:val="21"/>
          <w:highlight w:val="none"/>
        </w:rPr>
        <w:t>6.1.1 项目安全生产的达标目标及相应事项的约定：</w:t>
      </w:r>
      <w:r>
        <w:rPr>
          <w:rFonts w:hint="eastAsia" w:cs="宋体"/>
          <w:color w:val="auto"/>
          <w:sz w:val="21"/>
          <w:szCs w:val="21"/>
          <w:highlight w:val="none"/>
          <w:u w:val="single"/>
        </w:rPr>
        <w:t xml:space="preserve">   </w:t>
      </w:r>
      <w:r>
        <w:rPr>
          <w:rFonts w:hint="eastAsia" w:ascii="宋体" w:cs="宋体"/>
          <w:color w:val="auto"/>
          <w:sz w:val="21"/>
          <w:szCs w:val="21"/>
          <w:highlight w:val="none"/>
          <w:u w:val="single"/>
          <w:shd w:val="clear" w:color="auto" w:fill="auto"/>
        </w:rPr>
        <w:t xml:space="preserve"> 承包人应严格遵守安全文明施工有关规 定， 注意高压电线、电缆、管线、设备、灯具等可能带来施工安全隐患的问题，并承担由此可能产 生的费用。有关现场安全文明的要求详见《安全施工与文明现场协议书》及“技术标准和要求”，缺项部分参照通用条款。安全防护文明施工措施费已包含在合同价款中， 承包人应自行承担该费用   </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2E7D477">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6.1.4 关于治安保卫的特别约定：</w:t>
      </w:r>
      <w:r>
        <w:rPr>
          <w:rFonts w:hint="eastAsia" w:cs="宋体"/>
          <w:color w:val="auto"/>
          <w:sz w:val="21"/>
          <w:szCs w:val="21"/>
          <w:highlight w:val="none"/>
          <w:u w:val="single"/>
        </w:rPr>
        <w:t xml:space="preserve">  </w:t>
      </w:r>
      <w:r>
        <w:rPr>
          <w:color w:val="auto"/>
          <w:spacing w:val="-8"/>
          <w:sz w:val="21"/>
          <w:szCs w:val="21"/>
          <w:highlight w:val="none"/>
          <w:u w:val="single" w:color="auto"/>
        </w:rPr>
        <w:t>由承包人负责</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355B85C">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关于编制施工场地治安管理计划的约定：</w:t>
      </w:r>
      <w:r>
        <w:rPr>
          <w:rFonts w:hint="eastAsia" w:cs="宋体"/>
          <w:color w:val="auto"/>
          <w:sz w:val="21"/>
          <w:szCs w:val="21"/>
          <w:highlight w:val="none"/>
          <w:u w:val="single"/>
        </w:rPr>
        <w:t xml:space="preserve"> </w:t>
      </w:r>
      <w:r>
        <w:rPr>
          <w:color w:val="auto"/>
          <w:spacing w:val="-8"/>
          <w:sz w:val="21"/>
          <w:szCs w:val="21"/>
          <w:highlight w:val="none"/>
          <w:u w:val="single" w:color="auto"/>
        </w:rPr>
        <w:t>由承包人负责</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DBBEB71">
      <w:pPr>
        <w:adjustRightInd w:val="0"/>
        <w:snapToGrid w:val="0"/>
        <w:spacing w:line="360" w:lineRule="auto"/>
        <w:ind w:firstLine="420" w:firstLineChars="200"/>
        <w:rPr>
          <w:rFonts w:hint="eastAsia" w:cs="宋体"/>
          <w:color w:val="auto"/>
          <w:sz w:val="21"/>
          <w:szCs w:val="21"/>
          <w:highlight w:val="none"/>
        </w:rPr>
      </w:pPr>
      <w:r>
        <w:rPr>
          <w:rFonts w:hint="eastAsia" w:cs="宋体"/>
          <w:color w:val="auto"/>
          <w:sz w:val="21"/>
          <w:szCs w:val="21"/>
          <w:highlight w:val="none"/>
        </w:rPr>
        <w:t>6.1.5 文明施工</w:t>
      </w:r>
    </w:p>
    <w:p w14:paraId="0EE4878F">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合同当事人对文明施工的要求：</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执行采购文件</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02E268B">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6.1.6 关于安全文明施工费支付比例和支付期限的约定：</w:t>
      </w:r>
      <w:r>
        <w:rPr>
          <w:rFonts w:hint="eastAsia" w:cs="宋体"/>
          <w:color w:val="auto"/>
          <w:sz w:val="21"/>
          <w:szCs w:val="21"/>
          <w:highlight w:val="none"/>
          <w:u w:val="single"/>
        </w:rPr>
        <w:t xml:space="preserve"> 按照《关于落实&lt;市规建委关于规范建设工程安全防护和文明施工措施费使用管理的通知&gt;的意见》，该费用付至施工企业在银行开立的专户。施工企业应当确保安全防护、文明施工措施费专款专用，在财务管理中单独列出安全防护、文明施工措施项目费用清单备查    </w:t>
      </w:r>
      <w:r>
        <w:rPr>
          <w:rFonts w:hint="eastAsia" w:cs="宋体"/>
          <w:color w:val="auto"/>
          <w:sz w:val="21"/>
          <w:szCs w:val="21"/>
          <w:highlight w:val="none"/>
        </w:rPr>
        <w:t>。</w:t>
      </w:r>
    </w:p>
    <w:bookmarkEnd w:id="207"/>
    <w:bookmarkEnd w:id="208"/>
    <w:bookmarkEnd w:id="209"/>
    <w:bookmarkEnd w:id="210"/>
    <w:bookmarkEnd w:id="211"/>
    <w:bookmarkEnd w:id="212"/>
    <w:bookmarkEnd w:id="213"/>
    <w:p w14:paraId="24FD35F9">
      <w:pPr>
        <w:snapToGrid w:val="0"/>
        <w:spacing w:before="312" w:beforeLines="100" w:after="312" w:afterLines="100" w:line="360" w:lineRule="auto"/>
        <w:outlineLvl w:val="2"/>
        <w:rPr>
          <w:rFonts w:cs="宋体"/>
          <w:color w:val="auto"/>
          <w:sz w:val="21"/>
          <w:szCs w:val="21"/>
          <w:highlight w:val="none"/>
        </w:rPr>
      </w:pPr>
      <w:bookmarkStart w:id="217" w:name="_Toc351203639"/>
      <w:r>
        <w:rPr>
          <w:rFonts w:hint="eastAsia" w:cs="宋体"/>
          <w:color w:val="auto"/>
          <w:sz w:val="21"/>
          <w:szCs w:val="21"/>
          <w:highlight w:val="none"/>
        </w:rPr>
        <w:t>7. 工期和进度</w:t>
      </w:r>
      <w:bookmarkEnd w:id="217"/>
    </w:p>
    <w:p w14:paraId="331A8F4B">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7.1 施工组织设计</w:t>
      </w:r>
    </w:p>
    <w:p w14:paraId="39E001D4">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7.1.1 合同当事人约定的施工组织设计应包括的其他内容：</w:t>
      </w:r>
      <w:r>
        <w:rPr>
          <w:rFonts w:hint="eastAsia" w:cs="宋体"/>
          <w:color w:val="auto"/>
          <w:sz w:val="21"/>
          <w:szCs w:val="21"/>
          <w:highlight w:val="none"/>
          <w:u w:val="single"/>
        </w:rPr>
        <w:t>总进度计划须含网络图、横道图。</w:t>
      </w:r>
    </w:p>
    <w:p w14:paraId="786A5CB7">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7.1.2 施工组织设计的提交和修改</w:t>
      </w:r>
    </w:p>
    <w:p w14:paraId="7D5B286F">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承包人提交详细施工组织设计的期限的约定：</w:t>
      </w:r>
      <w:r>
        <w:rPr>
          <w:rFonts w:hint="eastAsia" w:cs="宋体"/>
          <w:color w:val="auto"/>
          <w:sz w:val="21"/>
          <w:szCs w:val="21"/>
          <w:highlight w:val="none"/>
          <w:u w:val="single"/>
        </w:rPr>
        <w:t xml:space="preserve">   </w:t>
      </w:r>
      <w:r>
        <w:rPr>
          <w:rFonts w:hint="eastAsia" w:ascii="宋体" w:cs="宋体"/>
          <w:color w:val="auto"/>
          <w:szCs w:val="21"/>
          <w:highlight w:val="none"/>
          <w:u w:val="single"/>
        </w:rPr>
        <w:t>图纸会审及设计交底后一周内提供标后实施性施工组织设计</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183B33A">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发包人和监理人在收到详细的施工组织设计后确认或提出修改意见的期限：</w:t>
      </w:r>
      <w:r>
        <w:rPr>
          <w:rFonts w:hint="eastAsia" w:cs="宋体"/>
          <w:color w:val="auto"/>
          <w:sz w:val="21"/>
          <w:szCs w:val="21"/>
          <w:highlight w:val="none"/>
          <w:u w:val="single"/>
        </w:rPr>
        <w:t xml:space="preserve"> 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  </w:t>
      </w:r>
      <w:r>
        <w:rPr>
          <w:rFonts w:hint="eastAsia" w:cs="宋体"/>
          <w:color w:val="auto"/>
          <w:sz w:val="21"/>
          <w:szCs w:val="21"/>
          <w:highlight w:val="none"/>
        </w:rPr>
        <w:t>。</w:t>
      </w:r>
    </w:p>
    <w:p w14:paraId="5C29BD21">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7</w:t>
      </w:r>
      <w:bookmarkStart w:id="218" w:name="_Toc303539123"/>
      <w:bookmarkStart w:id="219" w:name="_Toc312678005"/>
      <w:bookmarkStart w:id="220" w:name="_Toc297123514"/>
      <w:bookmarkStart w:id="221" w:name="_Toc312677479"/>
      <w:bookmarkStart w:id="222" w:name="_Toc304295541"/>
      <w:bookmarkStart w:id="223" w:name="_Toc300934966"/>
      <w:bookmarkStart w:id="224" w:name="_Toc297216173"/>
      <w:r>
        <w:rPr>
          <w:rFonts w:hint="eastAsia" w:cs="宋体"/>
          <w:bCs/>
          <w:color w:val="auto"/>
          <w:sz w:val="21"/>
          <w:szCs w:val="21"/>
          <w:highlight w:val="none"/>
        </w:rPr>
        <w:t>.2 施工进度计划</w:t>
      </w:r>
    </w:p>
    <w:p w14:paraId="72FE743E">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7.2.2 施工进度计划的修订</w:t>
      </w:r>
    </w:p>
    <w:p w14:paraId="7B1FEB29">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发包人和监理人在收到修订的施工进度计划后确认或提出修改意见的期限：</w:t>
      </w:r>
      <w:r>
        <w:rPr>
          <w:rFonts w:hint="eastAsia" w:cs="宋体"/>
          <w:color w:val="auto"/>
          <w:sz w:val="21"/>
          <w:szCs w:val="21"/>
          <w:highlight w:val="none"/>
          <w:u w:val="single"/>
        </w:rPr>
        <w:t xml:space="preserve"> 发包人和监理人应在收到修订的施工进度计划后7天内完成审核和批准或提出修改意见。发包人和监理人对承包人提交的施工进度计划的确认，不能减轻或免除承包人根据法律规定和合同约定应承担的任何责任或义务。承包人必须按照批准的进度计划组织施工，接受发包人对进度的检查、监督，工程实际进展与进度计划不符时，应提供修改，调整后的进度计划及相应的措施报发包人批准后执行 </w:t>
      </w:r>
      <w:r>
        <w:rPr>
          <w:rFonts w:hint="eastAsia" w:cs="宋体"/>
          <w:color w:val="auto"/>
          <w:sz w:val="21"/>
          <w:szCs w:val="21"/>
          <w:highlight w:val="none"/>
        </w:rPr>
        <w:t>。</w:t>
      </w:r>
    </w:p>
    <w:p w14:paraId="69E7B302">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7.3 开工</w:t>
      </w:r>
    </w:p>
    <w:p w14:paraId="6BFD6BFB">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7.3.1 开工准备</w:t>
      </w:r>
    </w:p>
    <w:p w14:paraId="6460A29A">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关于承包人提交工程开工报审表的期限：</w:t>
      </w:r>
      <w:r>
        <w:rPr>
          <w:rFonts w:hint="eastAsia" w:cs="宋体"/>
          <w:color w:val="auto"/>
          <w:sz w:val="21"/>
          <w:szCs w:val="21"/>
          <w:highlight w:val="none"/>
          <w:u w:val="single"/>
        </w:rPr>
        <w:t xml:space="preserve">    </w:t>
      </w:r>
      <w:r>
        <w:rPr>
          <w:rFonts w:hint="eastAsia" w:ascii="宋体" w:cs="宋体"/>
          <w:color w:val="auto"/>
          <w:szCs w:val="21"/>
          <w:highlight w:val="none"/>
          <w:u w:val="single"/>
        </w:rPr>
        <w:t>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r>
        <w:rPr>
          <w:color w:val="auto"/>
          <w:spacing w:val="-5"/>
          <w:sz w:val="21"/>
          <w:szCs w:val="21"/>
          <w:highlight w:val="none"/>
          <w:u w:val="single" w:color="auto"/>
        </w:rPr>
        <w:t xml:space="preserve"> </w:t>
      </w:r>
      <w:r>
        <w:rPr>
          <w:rFonts w:hint="eastAsia" w:cs="宋体"/>
          <w:color w:val="auto"/>
          <w:sz w:val="21"/>
          <w:szCs w:val="21"/>
          <w:highlight w:val="none"/>
          <w:u w:val="single"/>
        </w:rPr>
        <w:t xml:space="preserve">   </w:t>
      </w:r>
      <w:r>
        <w:rPr>
          <w:rFonts w:hint="eastAsia" w:cs="宋体"/>
          <w:color w:val="auto"/>
          <w:sz w:val="21"/>
          <w:szCs w:val="21"/>
          <w:highlight w:val="none"/>
        </w:rPr>
        <w:t>。</w:t>
      </w:r>
    </w:p>
    <w:p w14:paraId="097393EF">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关于发包人应完成的其他开工准备工作及期限：</w:t>
      </w:r>
      <w:r>
        <w:rPr>
          <w:rFonts w:hint="eastAsia" w:cs="宋体"/>
          <w:color w:val="auto"/>
          <w:sz w:val="21"/>
          <w:szCs w:val="21"/>
          <w:highlight w:val="none"/>
          <w:u w:val="single"/>
        </w:rPr>
        <w:t xml:space="preserve">   </w:t>
      </w:r>
      <w:r>
        <w:rPr>
          <w:color w:val="auto"/>
          <w:spacing w:val="-5"/>
          <w:sz w:val="21"/>
          <w:szCs w:val="21"/>
          <w:highlight w:val="none"/>
          <w:u w:val="single" w:color="auto"/>
        </w:rPr>
        <w:t xml:space="preserve">执行通用条款  </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16ADBDF">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关于承包人应完成的其他开工准备工作及期限：</w:t>
      </w:r>
      <w:r>
        <w:rPr>
          <w:rFonts w:hint="eastAsia" w:cs="宋体"/>
          <w:color w:val="auto"/>
          <w:sz w:val="21"/>
          <w:szCs w:val="21"/>
          <w:highlight w:val="none"/>
          <w:u w:val="single"/>
        </w:rPr>
        <w:t xml:space="preserve">    </w:t>
      </w:r>
      <w:r>
        <w:rPr>
          <w:rFonts w:hint="eastAsia" w:ascii="宋体" w:cs="宋体"/>
          <w:color w:val="auto"/>
          <w:szCs w:val="21"/>
          <w:highlight w:val="none"/>
          <w:u w:val="single"/>
        </w:rPr>
        <w:t>合同当事人应按约定完成开工准备工</w:t>
      </w:r>
      <w:r>
        <w:rPr>
          <w:color w:val="auto"/>
          <w:spacing w:val="-5"/>
          <w:sz w:val="21"/>
          <w:szCs w:val="21"/>
          <w:highlight w:val="none"/>
          <w:u w:val="single" w:color="auto"/>
        </w:rPr>
        <w:t xml:space="preserve">  </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D97EB8D">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7.3.2 开工通知</w:t>
      </w:r>
    </w:p>
    <w:p w14:paraId="38E5D7B9">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因发包人原因造成监理人未能在计划开工日期之日起</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90 </w:t>
      </w:r>
      <w:r>
        <w:rPr>
          <w:rFonts w:hint="eastAsia" w:cs="宋体"/>
          <w:color w:val="auto"/>
          <w:sz w:val="21"/>
          <w:szCs w:val="21"/>
          <w:highlight w:val="none"/>
          <w:u w:val="single"/>
        </w:rPr>
        <w:t xml:space="preserve"> </w:t>
      </w:r>
      <w:r>
        <w:rPr>
          <w:rFonts w:hint="eastAsia" w:cs="宋体"/>
          <w:color w:val="auto"/>
          <w:sz w:val="21"/>
          <w:szCs w:val="21"/>
          <w:highlight w:val="none"/>
        </w:rPr>
        <w:t>天内发出开工通知的，承包人有权提出价格调整要求，或者解除合同。</w:t>
      </w:r>
    </w:p>
    <w:bookmarkEnd w:id="218"/>
    <w:bookmarkEnd w:id="219"/>
    <w:bookmarkEnd w:id="220"/>
    <w:bookmarkEnd w:id="221"/>
    <w:bookmarkEnd w:id="222"/>
    <w:bookmarkEnd w:id="223"/>
    <w:bookmarkEnd w:id="224"/>
    <w:p w14:paraId="0FF3C32C">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7.4 测量放线</w:t>
      </w:r>
    </w:p>
    <w:p w14:paraId="6B57F0F9">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7.4.1 发包人通过监理人向承包人提供测量基准点、基准线和水准点及其书面资料的期限：</w:t>
      </w:r>
      <w:r>
        <w:rPr>
          <w:rFonts w:hint="eastAsia" w:cs="宋体"/>
          <w:color w:val="auto"/>
          <w:sz w:val="21"/>
          <w:szCs w:val="21"/>
          <w:highlight w:val="none"/>
          <w:u w:val="single"/>
        </w:rPr>
        <w:t xml:space="preserve"> </w:t>
      </w:r>
      <w:r>
        <w:rPr>
          <w:rFonts w:hint="eastAsia" w:ascii="宋体" w:hAnsi="宋体" w:cs="宋体"/>
          <w:color w:val="auto"/>
          <w:szCs w:val="21"/>
          <w:highlight w:val="none"/>
          <w:u w:val="single"/>
        </w:rPr>
        <w:t>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1257DAA">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7</w:t>
      </w:r>
      <w:bookmarkStart w:id="225" w:name="_Toc297123516"/>
      <w:bookmarkStart w:id="226" w:name="_Toc312677484"/>
      <w:bookmarkStart w:id="227" w:name="_Toc303539125"/>
      <w:bookmarkStart w:id="228" w:name="_Toc312678010"/>
      <w:bookmarkStart w:id="229" w:name="_Toc304295546"/>
      <w:bookmarkStart w:id="230" w:name="_Toc300934968"/>
      <w:bookmarkStart w:id="231" w:name="_Toc297216175"/>
      <w:r>
        <w:rPr>
          <w:rFonts w:hint="eastAsia" w:cs="宋体"/>
          <w:bCs/>
          <w:color w:val="auto"/>
          <w:sz w:val="21"/>
          <w:szCs w:val="21"/>
          <w:highlight w:val="none"/>
        </w:rPr>
        <w:t>.5 工期延误</w:t>
      </w:r>
    </w:p>
    <w:bookmarkEnd w:id="225"/>
    <w:bookmarkEnd w:id="226"/>
    <w:bookmarkEnd w:id="227"/>
    <w:bookmarkEnd w:id="228"/>
    <w:bookmarkEnd w:id="229"/>
    <w:bookmarkEnd w:id="230"/>
    <w:bookmarkEnd w:id="231"/>
    <w:p w14:paraId="3726E2DA">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7.5.1 因发包人原因导致工期延误</w:t>
      </w:r>
    </w:p>
    <w:p w14:paraId="1FD85F78">
      <w:pPr>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（7）因发包人原因导致工期延误的其他情形：由于发包人的原因和非承包人的责任停工的，工期顺延       。</w:t>
      </w:r>
    </w:p>
    <w:p w14:paraId="4C20037F">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7</w:t>
      </w:r>
      <w:bookmarkStart w:id="232" w:name="_Toc312678012"/>
      <w:bookmarkStart w:id="233" w:name="_Toc318581169"/>
      <w:bookmarkStart w:id="234" w:name="_Toc312677486"/>
      <w:bookmarkStart w:id="235" w:name="_Toc297123518"/>
      <w:bookmarkStart w:id="236" w:name="_Toc297216177"/>
      <w:bookmarkStart w:id="237" w:name="_Toc304295548"/>
      <w:bookmarkStart w:id="238" w:name="_Toc300934970"/>
      <w:bookmarkStart w:id="239" w:name="_Toc303539127"/>
      <w:r>
        <w:rPr>
          <w:rFonts w:hint="eastAsia" w:cs="宋体"/>
          <w:color w:val="auto"/>
          <w:sz w:val="21"/>
          <w:szCs w:val="21"/>
          <w:highlight w:val="none"/>
        </w:rPr>
        <w:t>.5.2 因承包人原因导致工期延误</w:t>
      </w:r>
    </w:p>
    <w:bookmarkEnd w:id="232"/>
    <w:bookmarkEnd w:id="233"/>
    <w:bookmarkEnd w:id="234"/>
    <w:p w14:paraId="6D890612">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因</w:t>
      </w:r>
      <w:bookmarkStart w:id="240" w:name="_Toc312678013"/>
      <w:bookmarkStart w:id="241" w:name="_Toc312677487"/>
      <w:bookmarkStart w:id="242" w:name="_Toc318581170"/>
      <w:r>
        <w:rPr>
          <w:rFonts w:hint="eastAsia" w:cs="宋体"/>
          <w:color w:val="auto"/>
          <w:sz w:val="21"/>
          <w:szCs w:val="21"/>
          <w:highlight w:val="none"/>
        </w:rPr>
        <w:t>承包人原因造成工期延误，逾期竣工违约金的计算方法为：</w:t>
      </w:r>
      <w:r>
        <w:rPr>
          <w:rFonts w:hint="eastAsia" w:cs="宋体"/>
          <w:color w:val="auto"/>
          <w:sz w:val="21"/>
          <w:szCs w:val="21"/>
          <w:highlight w:val="none"/>
          <w:u w:val="single"/>
        </w:rPr>
        <w:t>见《专用合同条款数据表》</w:t>
      </w:r>
      <w:r>
        <w:rPr>
          <w:rFonts w:hint="eastAsia" w:cs="宋体"/>
          <w:color w:val="auto"/>
          <w:sz w:val="21"/>
          <w:szCs w:val="21"/>
          <w:highlight w:val="none"/>
        </w:rPr>
        <w:t>。</w:t>
      </w:r>
      <w:bookmarkEnd w:id="235"/>
      <w:bookmarkEnd w:id="236"/>
      <w:bookmarkEnd w:id="237"/>
      <w:bookmarkEnd w:id="238"/>
      <w:bookmarkEnd w:id="239"/>
      <w:bookmarkEnd w:id="240"/>
      <w:bookmarkEnd w:id="241"/>
    </w:p>
    <w:bookmarkEnd w:id="242"/>
    <w:p w14:paraId="5765941F">
      <w:pPr>
        <w:adjustRightInd w:val="0"/>
        <w:snapToGrid w:val="0"/>
        <w:spacing w:line="360" w:lineRule="auto"/>
        <w:ind w:firstLine="420" w:firstLineChars="200"/>
        <w:rPr>
          <w:rFonts w:cs="宋体"/>
          <w:b/>
          <w:color w:val="auto"/>
          <w:sz w:val="21"/>
          <w:szCs w:val="21"/>
          <w:highlight w:val="none"/>
          <w:u w:val="single"/>
        </w:rPr>
      </w:pPr>
      <w:r>
        <w:rPr>
          <w:rFonts w:hint="eastAsia" w:cs="宋体"/>
          <w:color w:val="auto"/>
          <w:sz w:val="21"/>
          <w:szCs w:val="21"/>
          <w:highlight w:val="none"/>
        </w:rPr>
        <w:t>因承包人原因造成工期延误，逾</w:t>
      </w:r>
      <w:bookmarkStart w:id="243" w:name="_Toc312678014"/>
      <w:bookmarkStart w:id="244" w:name="_Toc318581171"/>
      <w:r>
        <w:rPr>
          <w:rFonts w:hint="eastAsia" w:cs="宋体"/>
          <w:color w:val="auto"/>
          <w:sz w:val="21"/>
          <w:szCs w:val="21"/>
          <w:highlight w:val="none"/>
        </w:rPr>
        <w:t>期竣工违约金的上限：</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bookmarkEnd w:id="243"/>
    <w:bookmarkEnd w:id="244"/>
    <w:p w14:paraId="4424E0C8">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7</w:t>
      </w:r>
      <w:bookmarkStart w:id="245" w:name="_Toc297216178"/>
      <w:bookmarkStart w:id="246" w:name="_Toc303539128"/>
      <w:bookmarkStart w:id="247" w:name="_Toc304295549"/>
      <w:bookmarkStart w:id="248" w:name="_Toc300934971"/>
      <w:bookmarkStart w:id="249" w:name="_Toc297123519"/>
      <w:bookmarkStart w:id="250" w:name="_Toc312678015"/>
      <w:r>
        <w:rPr>
          <w:rFonts w:hint="eastAsia" w:cs="宋体"/>
          <w:bCs/>
          <w:color w:val="auto"/>
          <w:sz w:val="21"/>
          <w:szCs w:val="21"/>
          <w:highlight w:val="none"/>
        </w:rPr>
        <w:t>.6 不</w:t>
      </w:r>
      <w:bookmarkEnd w:id="245"/>
      <w:bookmarkEnd w:id="246"/>
      <w:bookmarkEnd w:id="247"/>
      <w:bookmarkEnd w:id="248"/>
      <w:bookmarkEnd w:id="249"/>
      <w:bookmarkEnd w:id="250"/>
      <w:r>
        <w:rPr>
          <w:rFonts w:hint="eastAsia" w:cs="宋体"/>
          <w:bCs/>
          <w:color w:val="auto"/>
          <w:sz w:val="21"/>
          <w:szCs w:val="21"/>
          <w:highlight w:val="none"/>
        </w:rPr>
        <w:t>利物质条件</w:t>
      </w:r>
    </w:p>
    <w:p w14:paraId="63EB1019">
      <w:pPr>
        <w:adjustRightInd w:val="0"/>
        <w:snapToGrid w:val="0"/>
        <w:spacing w:line="360" w:lineRule="auto"/>
        <w:ind w:firstLine="420" w:firstLineChars="200"/>
        <w:rPr>
          <w:rFonts w:hint="eastAsia" w:ascii="宋体" w:hAnsi="宋体" w:eastAsia="宋体" w:cs="宋体"/>
          <w:color w:val="auto"/>
          <w:sz w:val="21"/>
          <w:szCs w:val="21"/>
          <w:highlight w:val="none"/>
          <w:u w:val="single"/>
        </w:rPr>
      </w:pPr>
      <w:bookmarkStart w:id="251" w:name="_Toc297216179"/>
      <w:bookmarkStart w:id="252" w:name="_Toc304295550"/>
      <w:bookmarkStart w:id="253" w:name="_Toc312678016"/>
      <w:bookmarkStart w:id="254" w:name="_Toc297123520"/>
      <w:bookmarkStart w:id="255" w:name="_Toc300934972"/>
      <w:bookmarkStart w:id="256" w:name="_Toc303539129"/>
      <w:bookmarkStart w:id="257" w:name="_Toc318581172"/>
      <w:r>
        <w:rPr>
          <w:rFonts w:hint="eastAsia" w:ascii="宋体" w:hAnsi="宋体" w:eastAsia="宋体" w:cs="宋体"/>
          <w:color w:val="auto"/>
          <w:sz w:val="21"/>
          <w:szCs w:val="21"/>
          <w:highlight w:val="none"/>
          <w:u w:val="single"/>
        </w:rPr>
        <w:t>不利物质条件的其他情形和有关约定：承包人应了解当地地质、水文等情况并对照地勘报告了解地下情况，现场进行踏勘，中标后不得以不利物质条件为由提出索赔  。</w:t>
      </w:r>
    </w:p>
    <w:bookmarkEnd w:id="251"/>
    <w:bookmarkEnd w:id="252"/>
    <w:bookmarkEnd w:id="253"/>
    <w:bookmarkEnd w:id="254"/>
    <w:bookmarkEnd w:id="255"/>
    <w:bookmarkEnd w:id="256"/>
    <w:bookmarkEnd w:id="257"/>
    <w:p w14:paraId="181DD076">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7</w:t>
      </w:r>
      <w:bookmarkStart w:id="258" w:name="_Toc303539130"/>
      <w:bookmarkStart w:id="259" w:name="_Toc297216180"/>
      <w:bookmarkStart w:id="260" w:name="_Toc300934973"/>
      <w:bookmarkStart w:id="261" w:name="_Toc312678017"/>
      <w:bookmarkStart w:id="262" w:name="_Toc297123521"/>
      <w:bookmarkStart w:id="263" w:name="_Toc304295551"/>
      <w:r>
        <w:rPr>
          <w:rFonts w:hint="eastAsia" w:cs="宋体"/>
          <w:bCs/>
          <w:color w:val="auto"/>
          <w:sz w:val="21"/>
          <w:szCs w:val="21"/>
          <w:highlight w:val="none"/>
        </w:rPr>
        <w:t>.7 异常恶劣的气候条件</w:t>
      </w:r>
    </w:p>
    <w:bookmarkEnd w:id="258"/>
    <w:bookmarkEnd w:id="259"/>
    <w:bookmarkEnd w:id="260"/>
    <w:bookmarkEnd w:id="261"/>
    <w:bookmarkEnd w:id="262"/>
    <w:bookmarkEnd w:id="263"/>
    <w:p w14:paraId="6AD4F363">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发包人和承包人同意以下情形视为异常恶劣的气候条件：</w:t>
      </w:r>
    </w:p>
    <w:p w14:paraId="75D8E540">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ED49ACF">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（2）</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85558CE">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（3）</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4966174">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7.9 提前竣工</w:t>
      </w:r>
    </w:p>
    <w:p w14:paraId="784A137E">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7.9.2 提前竣工的奖励：</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100C3B97">
      <w:pPr>
        <w:snapToGrid w:val="0"/>
        <w:spacing w:before="312" w:beforeLines="100" w:after="312" w:afterLines="100" w:line="360" w:lineRule="auto"/>
        <w:outlineLvl w:val="2"/>
        <w:rPr>
          <w:rFonts w:cs="宋体"/>
          <w:color w:val="auto"/>
          <w:sz w:val="21"/>
          <w:szCs w:val="21"/>
          <w:highlight w:val="none"/>
        </w:rPr>
      </w:pPr>
      <w:bookmarkStart w:id="264" w:name="_Toc351203640"/>
      <w:r>
        <w:rPr>
          <w:rFonts w:hint="eastAsia" w:cs="宋体"/>
          <w:color w:val="auto"/>
          <w:sz w:val="21"/>
          <w:szCs w:val="21"/>
          <w:highlight w:val="none"/>
        </w:rPr>
        <w:t>8. 材料与设备</w:t>
      </w:r>
      <w:bookmarkEnd w:id="264"/>
    </w:p>
    <w:bookmarkEnd w:id="197"/>
    <w:bookmarkEnd w:id="198"/>
    <w:bookmarkEnd w:id="199"/>
    <w:bookmarkEnd w:id="200"/>
    <w:bookmarkEnd w:id="201"/>
    <w:bookmarkEnd w:id="202"/>
    <w:bookmarkEnd w:id="203"/>
    <w:bookmarkEnd w:id="204"/>
    <w:bookmarkEnd w:id="205"/>
    <w:bookmarkEnd w:id="206"/>
    <w:p w14:paraId="3EDE3119">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8</w:t>
      </w:r>
      <w:bookmarkStart w:id="265" w:name="_Toc296890995"/>
      <w:bookmarkStart w:id="266" w:name="_Toc312678019"/>
      <w:bookmarkStart w:id="267" w:name="_Toc296347166"/>
      <w:bookmarkStart w:id="268" w:name="_Toc296944506"/>
      <w:bookmarkStart w:id="269" w:name="_Toc304295556"/>
      <w:bookmarkStart w:id="270" w:name="_Toc292559877"/>
      <w:bookmarkStart w:id="271" w:name="_Toc296346668"/>
      <w:bookmarkStart w:id="272" w:name="_Toc300934979"/>
      <w:bookmarkStart w:id="273" w:name="_Toc296891207"/>
      <w:bookmarkStart w:id="274" w:name="_Toc297048353"/>
      <w:bookmarkStart w:id="275" w:name="_Toc297120467"/>
      <w:bookmarkStart w:id="276" w:name="_Toc303539136"/>
      <w:bookmarkStart w:id="277" w:name="_Toc312677493"/>
      <w:bookmarkStart w:id="278" w:name="_Toc280868654"/>
      <w:bookmarkStart w:id="279" w:name="_Toc297216186"/>
      <w:bookmarkStart w:id="280" w:name="_Toc296503167"/>
      <w:bookmarkStart w:id="281" w:name="_Toc292559372"/>
      <w:bookmarkStart w:id="282" w:name="_Toc297123527"/>
      <w:bookmarkStart w:id="283" w:name="_Toc280868656"/>
      <w:bookmarkStart w:id="284" w:name="_Toc280868655"/>
      <w:bookmarkStart w:id="285" w:name="_Toc267251424"/>
      <w:r>
        <w:rPr>
          <w:rFonts w:hint="eastAsia" w:cs="宋体"/>
          <w:color w:val="auto"/>
          <w:sz w:val="21"/>
          <w:szCs w:val="21"/>
          <w:highlight w:val="none"/>
        </w:rPr>
        <w:t>.4 材料与工程设备的保管与使用</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14:paraId="674C6E5C">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8</w:t>
      </w:r>
      <w:bookmarkStart w:id="286" w:name="_Toc292559878"/>
      <w:bookmarkStart w:id="287" w:name="_Toc292559373"/>
      <w:bookmarkStart w:id="288" w:name="_Toc296346669"/>
      <w:bookmarkStart w:id="289" w:name="_Toc297216187"/>
      <w:bookmarkStart w:id="290" w:name="_Toc296891208"/>
      <w:bookmarkStart w:id="291" w:name="_Toc312677494"/>
      <w:bookmarkStart w:id="292" w:name="_Toc296503168"/>
      <w:bookmarkStart w:id="293" w:name="_Toc300934980"/>
      <w:bookmarkStart w:id="294" w:name="_Toc297123528"/>
      <w:bookmarkStart w:id="295" w:name="_Toc312678020"/>
      <w:bookmarkStart w:id="296" w:name="_Toc303539137"/>
      <w:bookmarkStart w:id="297" w:name="_Toc296347167"/>
      <w:bookmarkStart w:id="298" w:name="_Toc296890996"/>
      <w:bookmarkStart w:id="299" w:name="_Toc296944507"/>
      <w:bookmarkStart w:id="300" w:name="_Toc297120468"/>
      <w:bookmarkStart w:id="301" w:name="_Toc318581173"/>
      <w:bookmarkStart w:id="302" w:name="_Toc297048354"/>
      <w:bookmarkStart w:id="303" w:name="_Toc304295557"/>
      <w:r>
        <w:rPr>
          <w:rFonts w:hint="eastAsia" w:cs="宋体"/>
          <w:color w:val="auto"/>
          <w:sz w:val="21"/>
          <w:szCs w:val="21"/>
          <w:highlight w:val="none"/>
        </w:rPr>
        <w:t>.4.1 发包人供应的材料设备的保管费用的承担：</w:t>
      </w:r>
      <w:r>
        <w:rPr>
          <w:rFonts w:hint="eastAsia" w:cs="宋体"/>
          <w:color w:val="auto"/>
          <w:sz w:val="21"/>
          <w:szCs w:val="21"/>
          <w:highlight w:val="none"/>
          <w:u w:val="single"/>
        </w:rPr>
        <w:t xml:space="preserve">    </w:t>
      </w:r>
      <w:r>
        <w:rPr>
          <w:rFonts w:hint="eastAsia" w:ascii="宋体" w:cs="宋体"/>
          <w:color w:val="auto"/>
          <w:sz w:val="21"/>
          <w:szCs w:val="21"/>
          <w:highlight w:val="none"/>
          <w:u w:val="single"/>
          <w:shd w:val="clear" w:color="auto" w:fill="auto"/>
          <w:lang w:val="en-US" w:eastAsia="zh-CN"/>
        </w:rPr>
        <w:t xml:space="preserve"> </w:t>
      </w:r>
      <w:r>
        <w:rPr>
          <w:color w:val="auto"/>
          <w:spacing w:val="-6"/>
          <w:sz w:val="21"/>
          <w:szCs w:val="21"/>
          <w:highlight w:val="none"/>
          <w:u w:val="single" w:color="auto"/>
        </w:rPr>
        <w:t>承包人承担</w:t>
      </w:r>
      <w:r>
        <w:rPr>
          <w:rFonts w:hint="eastAsia" w:cs="宋体"/>
          <w:color w:val="auto"/>
          <w:sz w:val="21"/>
          <w:szCs w:val="21"/>
          <w:highlight w:val="none"/>
          <w:u w:val="single"/>
        </w:rPr>
        <w:t xml:space="preserve">       </w:t>
      </w:r>
      <w:r>
        <w:rPr>
          <w:rFonts w:hint="eastAsia" w:cs="宋体"/>
          <w:color w:val="auto"/>
          <w:sz w:val="21"/>
          <w:szCs w:val="21"/>
          <w:highlight w:val="none"/>
        </w:rPr>
        <w:t>。</w:t>
      </w:r>
      <w:bookmarkEnd w:id="286"/>
      <w:bookmarkEnd w:id="287"/>
    </w:p>
    <w:p w14:paraId="69570DD3">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8.6 样品</w:t>
      </w:r>
    </w:p>
    <w:p w14:paraId="501D7B6C">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8.6.1 样品的报送与封存</w:t>
      </w:r>
    </w:p>
    <w:p w14:paraId="4D0B2288">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需要承包人报送样品的材料或工程设备，样品的种类、名称、规格、数量要求：</w:t>
      </w:r>
      <w:r>
        <w:rPr>
          <w:rFonts w:hint="eastAsia" w:cs="宋体"/>
          <w:color w:val="auto"/>
          <w:sz w:val="21"/>
          <w:szCs w:val="21"/>
          <w:highlight w:val="none"/>
          <w:u w:val="single"/>
        </w:rPr>
        <w:t xml:space="preserve">  按监理或发包人要求确定   </w:t>
      </w:r>
      <w:r>
        <w:rPr>
          <w:rFonts w:hint="eastAsia" w:cs="宋体"/>
          <w:color w:val="auto"/>
          <w:sz w:val="21"/>
          <w:szCs w:val="21"/>
          <w:highlight w:val="none"/>
        </w:rPr>
        <w:t>。</w:t>
      </w:r>
    </w:p>
    <w:p w14:paraId="0431B732">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8.8 施工设备和临时设施</w:t>
      </w:r>
    </w:p>
    <w:p w14:paraId="59D2F914">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8.8.1 承包人提供的施工设备和临时设施</w:t>
      </w:r>
    </w:p>
    <w:p w14:paraId="38E503E7">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关于修建临时设施费用承担的约定：</w:t>
      </w:r>
      <w:r>
        <w:rPr>
          <w:rFonts w:hint="eastAsia" w:cs="宋体"/>
          <w:color w:val="auto"/>
          <w:sz w:val="21"/>
          <w:szCs w:val="21"/>
          <w:highlight w:val="none"/>
          <w:u w:val="single"/>
        </w:rPr>
        <w:t xml:space="preserve">   </w:t>
      </w:r>
      <w:r>
        <w:rPr>
          <w:rFonts w:hint="eastAsia" w:ascii="宋体" w:cs="宋体"/>
          <w:color w:val="auto"/>
          <w:sz w:val="21"/>
          <w:szCs w:val="21"/>
          <w:highlight w:val="none"/>
          <w:u w:val="single"/>
          <w:shd w:val="clear" w:color="auto" w:fill="auto"/>
        </w:rPr>
        <w:t>由承包人自行承担费用</w:t>
      </w:r>
      <w:r>
        <w:rPr>
          <w:rFonts w:hint="eastAsia" w:cs="宋体"/>
          <w:color w:val="auto"/>
          <w:sz w:val="21"/>
          <w:szCs w:val="21"/>
          <w:highlight w:val="none"/>
          <w:u w:val="single"/>
        </w:rPr>
        <w:t xml:space="preserve">    </w:t>
      </w:r>
      <w:r>
        <w:rPr>
          <w:rFonts w:hint="eastAsia" w:cs="宋体"/>
          <w:color w:val="auto"/>
          <w:sz w:val="21"/>
          <w:szCs w:val="21"/>
          <w:highlight w:val="none"/>
        </w:rPr>
        <w:t>。</w:t>
      </w:r>
    </w:p>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14:paraId="6970FA82">
      <w:pPr>
        <w:snapToGrid w:val="0"/>
        <w:spacing w:before="312" w:beforeLines="100" w:after="312" w:afterLines="100" w:line="360" w:lineRule="auto"/>
        <w:outlineLvl w:val="2"/>
        <w:rPr>
          <w:rFonts w:cs="宋体"/>
          <w:color w:val="auto"/>
          <w:sz w:val="21"/>
          <w:szCs w:val="21"/>
          <w:highlight w:val="none"/>
        </w:rPr>
      </w:pPr>
      <w:bookmarkStart w:id="304" w:name="_Toc351203641"/>
      <w:r>
        <w:rPr>
          <w:rFonts w:hint="eastAsia" w:cs="宋体"/>
          <w:color w:val="auto"/>
          <w:sz w:val="21"/>
          <w:szCs w:val="21"/>
          <w:highlight w:val="none"/>
        </w:rPr>
        <w:t>9</w:t>
      </w:r>
      <w:bookmarkEnd w:id="283"/>
      <w:bookmarkEnd w:id="284"/>
      <w:bookmarkEnd w:id="285"/>
      <w:bookmarkStart w:id="305" w:name="_Toc300934982"/>
      <w:bookmarkStart w:id="306" w:name="_Toc312677495"/>
      <w:bookmarkStart w:id="307" w:name="_Toc297216192"/>
      <w:bookmarkStart w:id="308" w:name="_Toc312678021"/>
      <w:bookmarkStart w:id="309" w:name="_Toc304295559"/>
      <w:bookmarkStart w:id="310" w:name="_Toc303539139"/>
      <w:bookmarkStart w:id="311" w:name="_Toc297123533"/>
      <w:bookmarkStart w:id="312" w:name="_Toc292559883"/>
      <w:bookmarkStart w:id="313" w:name="_Toc297120473"/>
      <w:bookmarkStart w:id="314" w:name="_Toc296891001"/>
      <w:bookmarkStart w:id="315" w:name="_Toc267251427"/>
      <w:bookmarkStart w:id="316" w:name="_Toc267251428"/>
      <w:bookmarkStart w:id="317" w:name="_Toc297048359"/>
      <w:bookmarkStart w:id="318" w:name="_Toc296347172"/>
      <w:bookmarkStart w:id="319" w:name="_Toc296503173"/>
      <w:bookmarkStart w:id="320" w:name="_Toc292559378"/>
      <w:bookmarkStart w:id="321" w:name="_Toc296346674"/>
      <w:bookmarkStart w:id="322" w:name="_Toc296891213"/>
      <w:bookmarkStart w:id="323" w:name="_Toc296944512"/>
      <w:r>
        <w:rPr>
          <w:rFonts w:hint="eastAsia" w:cs="宋体"/>
          <w:color w:val="auto"/>
          <w:sz w:val="21"/>
          <w:szCs w:val="21"/>
          <w:highlight w:val="none"/>
        </w:rPr>
        <w:t>. 试验与检验</w:t>
      </w:r>
      <w:bookmarkEnd w:id="304"/>
    </w:p>
    <w:bookmarkEnd w:id="305"/>
    <w:bookmarkEnd w:id="306"/>
    <w:bookmarkEnd w:id="307"/>
    <w:bookmarkEnd w:id="308"/>
    <w:bookmarkEnd w:id="309"/>
    <w:bookmarkEnd w:id="310"/>
    <w:bookmarkEnd w:id="311"/>
    <w:p w14:paraId="4938ABF2">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9</w:t>
      </w:r>
      <w:bookmarkStart w:id="324" w:name="_Toc303539140"/>
      <w:bookmarkStart w:id="325" w:name="_Toc304295560"/>
      <w:bookmarkStart w:id="326" w:name="_Toc300934983"/>
      <w:bookmarkStart w:id="327" w:name="_Toc312678022"/>
      <w:bookmarkStart w:id="328" w:name="_Toc297123534"/>
      <w:bookmarkStart w:id="329" w:name="_Toc312677496"/>
      <w:bookmarkStart w:id="330" w:name="_Toc297216193"/>
      <w:r>
        <w:rPr>
          <w:rFonts w:hint="eastAsia" w:cs="宋体"/>
          <w:bCs/>
          <w:color w:val="auto"/>
          <w:sz w:val="21"/>
          <w:szCs w:val="21"/>
          <w:highlight w:val="none"/>
        </w:rPr>
        <w:t>.1 试验设备与试验人员</w:t>
      </w:r>
    </w:p>
    <w:bookmarkEnd w:id="324"/>
    <w:bookmarkEnd w:id="325"/>
    <w:bookmarkEnd w:id="326"/>
    <w:bookmarkEnd w:id="327"/>
    <w:bookmarkEnd w:id="328"/>
    <w:bookmarkEnd w:id="329"/>
    <w:bookmarkEnd w:id="330"/>
    <w:p w14:paraId="2E57CDFB">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9</w:t>
      </w:r>
      <w:bookmarkStart w:id="331" w:name="_Toc304295561"/>
      <w:bookmarkStart w:id="332" w:name="_Toc312677497"/>
      <w:bookmarkStart w:id="333" w:name="_Toc303539141"/>
      <w:bookmarkStart w:id="334" w:name="_Toc312678023"/>
      <w:bookmarkStart w:id="335" w:name="_Toc297123535"/>
      <w:bookmarkStart w:id="336" w:name="_Toc300934984"/>
      <w:bookmarkStart w:id="337" w:name="_Toc297216194"/>
      <w:bookmarkStart w:id="338" w:name="_Toc318581174"/>
      <w:r>
        <w:rPr>
          <w:rFonts w:hint="eastAsia" w:cs="宋体"/>
          <w:color w:val="auto"/>
          <w:sz w:val="21"/>
          <w:szCs w:val="21"/>
          <w:highlight w:val="none"/>
        </w:rPr>
        <w:t>.1.2 试验设备</w:t>
      </w:r>
    </w:p>
    <w:p w14:paraId="0FBC1CFE">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施工现场需要配置的试验场所</w:t>
      </w:r>
      <w:bookmarkEnd w:id="331"/>
      <w:bookmarkEnd w:id="332"/>
      <w:bookmarkEnd w:id="333"/>
      <w:bookmarkEnd w:id="334"/>
      <w:bookmarkEnd w:id="335"/>
      <w:bookmarkEnd w:id="336"/>
      <w:bookmarkEnd w:id="337"/>
      <w:bookmarkStart w:id="339" w:name="_Toc303539142"/>
      <w:bookmarkStart w:id="340" w:name="_Toc297216195"/>
      <w:bookmarkStart w:id="341" w:name="_Toc300934985"/>
      <w:bookmarkStart w:id="342" w:name="_Toc312677498"/>
      <w:bookmarkStart w:id="343" w:name="_Toc312678024"/>
      <w:bookmarkStart w:id="344" w:name="_Toc304295562"/>
      <w:bookmarkStart w:id="345" w:name="_Toc297123536"/>
      <w:r>
        <w:rPr>
          <w:rFonts w:hint="eastAsia" w:cs="宋体"/>
          <w:color w:val="auto"/>
          <w:sz w:val="21"/>
          <w:szCs w:val="21"/>
          <w:highlight w:val="none"/>
        </w:rPr>
        <w:t xml:space="preserve">： </w:t>
      </w:r>
      <w:r>
        <w:rPr>
          <w:color w:val="auto"/>
          <w:spacing w:val="-5"/>
          <w:sz w:val="21"/>
          <w:szCs w:val="21"/>
          <w:highlight w:val="none"/>
          <w:u w:val="single" w:color="auto"/>
        </w:rPr>
        <w:t>按有关规定执行，承包人自行承担费用</w:t>
      </w:r>
      <w:r>
        <w:rPr>
          <w:rFonts w:hint="eastAsia" w:ascii="宋体" w:cs="宋体"/>
          <w:color w:val="auto"/>
          <w:sz w:val="21"/>
          <w:szCs w:val="21"/>
          <w:highlight w:val="none"/>
          <w:u w:val="single"/>
          <w:shd w:val="clear" w:color="auto" w:fill="auto"/>
        </w:rPr>
        <w:t xml:space="preserve"> </w:t>
      </w:r>
      <w:r>
        <w:rPr>
          <w:rFonts w:hint="eastAsia" w:cs="宋体"/>
          <w:color w:val="auto"/>
          <w:sz w:val="21"/>
          <w:szCs w:val="21"/>
          <w:highlight w:val="none"/>
          <w:u w:val="single"/>
        </w:rPr>
        <w:t xml:space="preserve">      </w:t>
      </w:r>
      <w:r>
        <w:rPr>
          <w:rFonts w:hint="eastAsia" w:cs="宋体"/>
          <w:color w:val="auto"/>
          <w:sz w:val="21"/>
          <w:szCs w:val="21"/>
          <w:highlight w:val="none"/>
        </w:rPr>
        <w:t>。</w:t>
      </w:r>
    </w:p>
    <w:p w14:paraId="05674987">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施工现场需要配备的试验设备：</w:t>
      </w:r>
      <w:r>
        <w:rPr>
          <w:rFonts w:hint="eastAsia" w:cs="宋体"/>
          <w:color w:val="auto"/>
          <w:sz w:val="21"/>
          <w:szCs w:val="21"/>
          <w:highlight w:val="none"/>
          <w:u w:val="single"/>
        </w:rPr>
        <w:t xml:space="preserve">   </w:t>
      </w:r>
      <w:r>
        <w:rPr>
          <w:rFonts w:hint="eastAsia" w:ascii="宋体" w:cs="宋体"/>
          <w:color w:val="auto"/>
          <w:sz w:val="21"/>
          <w:szCs w:val="21"/>
          <w:highlight w:val="none"/>
          <w:u w:val="single"/>
          <w:shd w:val="clear" w:color="auto" w:fill="auto"/>
        </w:rPr>
        <w:t xml:space="preserve"> </w:t>
      </w:r>
      <w:r>
        <w:rPr>
          <w:color w:val="auto"/>
          <w:spacing w:val="-5"/>
          <w:sz w:val="21"/>
          <w:szCs w:val="21"/>
          <w:highlight w:val="none"/>
          <w:u w:val="single" w:color="auto"/>
        </w:rPr>
        <w:t>按有关规定执行，承包人自行承担费用</w:t>
      </w:r>
      <w:r>
        <w:rPr>
          <w:rFonts w:hint="eastAsia" w:ascii="宋体" w:cs="宋体"/>
          <w:color w:val="auto"/>
          <w:sz w:val="21"/>
          <w:szCs w:val="21"/>
          <w:highlight w:val="none"/>
          <w:u w:val="single"/>
          <w:shd w:val="clear" w:color="auto" w:fill="auto"/>
        </w:rPr>
        <w:t xml:space="preserve"> </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B22BEEC">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施工现场需要具备的其他试验条件：</w:t>
      </w:r>
      <w:r>
        <w:rPr>
          <w:rFonts w:hint="eastAsia" w:cs="宋体"/>
          <w:color w:val="auto"/>
          <w:sz w:val="21"/>
          <w:szCs w:val="21"/>
          <w:highlight w:val="none"/>
          <w:u w:val="single"/>
        </w:rPr>
        <w:t xml:space="preserve">  </w:t>
      </w:r>
      <w:r>
        <w:rPr>
          <w:rFonts w:hint="eastAsia" w:ascii="宋体" w:cs="宋体"/>
          <w:color w:val="auto"/>
          <w:sz w:val="21"/>
          <w:szCs w:val="21"/>
          <w:highlight w:val="none"/>
          <w:u w:val="single"/>
          <w:shd w:val="clear" w:color="auto" w:fill="auto"/>
        </w:rPr>
        <w:t xml:space="preserve"> </w:t>
      </w:r>
      <w:r>
        <w:rPr>
          <w:color w:val="auto"/>
          <w:spacing w:val="-5"/>
          <w:sz w:val="21"/>
          <w:szCs w:val="21"/>
          <w:highlight w:val="none"/>
          <w:u w:val="single" w:color="auto"/>
        </w:rPr>
        <w:t>按有关规定执行，承包人自行承担费用</w:t>
      </w:r>
      <w:r>
        <w:rPr>
          <w:rFonts w:hint="eastAsia" w:ascii="宋体" w:cs="宋体"/>
          <w:color w:val="auto"/>
          <w:sz w:val="21"/>
          <w:szCs w:val="21"/>
          <w:highlight w:val="none"/>
          <w:u w:val="single"/>
          <w:shd w:val="clear" w:color="auto" w:fill="auto"/>
        </w:rPr>
        <w:t xml:space="preserve"> </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31B6D08">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 xml:space="preserve">9.4 现场工艺试验 </w:t>
      </w:r>
    </w:p>
    <w:p w14:paraId="72830971">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现场工艺试验的有关约定：</w:t>
      </w:r>
      <w:r>
        <w:rPr>
          <w:rFonts w:hint="eastAsia" w:cs="宋体"/>
          <w:color w:val="auto"/>
          <w:sz w:val="21"/>
          <w:szCs w:val="21"/>
          <w:highlight w:val="none"/>
          <w:u w:val="single"/>
        </w:rPr>
        <w:t xml:space="preserve"> </w:t>
      </w:r>
      <w:r>
        <w:rPr>
          <w:rFonts w:hint="eastAsia" w:ascii="宋体" w:cs="宋体"/>
          <w:color w:val="auto"/>
          <w:sz w:val="21"/>
          <w:szCs w:val="21"/>
          <w:highlight w:val="none"/>
          <w:u w:val="single"/>
          <w:shd w:val="clear" w:color="auto" w:fill="auto"/>
        </w:rPr>
        <w:t xml:space="preserve"> </w:t>
      </w:r>
      <w:r>
        <w:rPr>
          <w:color w:val="auto"/>
          <w:spacing w:val="-5"/>
          <w:sz w:val="21"/>
          <w:szCs w:val="21"/>
          <w:highlight w:val="none"/>
          <w:u w:val="single" w:color="auto"/>
        </w:rPr>
        <w:t>按有关规定执行，承包人自行承担费用</w:t>
      </w:r>
      <w:r>
        <w:rPr>
          <w:rFonts w:hint="eastAsia" w:ascii="宋体" w:cs="宋体"/>
          <w:color w:val="auto"/>
          <w:sz w:val="21"/>
          <w:szCs w:val="21"/>
          <w:highlight w:val="none"/>
          <w:u w:val="single"/>
          <w:shd w:val="clear" w:color="auto" w:fill="auto"/>
        </w:rPr>
        <w:t xml:space="preserve"> </w:t>
      </w:r>
      <w:r>
        <w:rPr>
          <w:rFonts w:hint="eastAsia" w:cs="宋体"/>
          <w:color w:val="auto"/>
          <w:sz w:val="21"/>
          <w:szCs w:val="21"/>
          <w:highlight w:val="none"/>
          <w:u w:val="single"/>
        </w:rPr>
        <w:t xml:space="preserve">     </w:t>
      </w:r>
      <w:r>
        <w:rPr>
          <w:rFonts w:hint="eastAsia" w:cs="宋体"/>
          <w:color w:val="auto"/>
          <w:sz w:val="21"/>
          <w:szCs w:val="21"/>
          <w:highlight w:val="none"/>
        </w:rPr>
        <w:t>。</w:t>
      </w:r>
    </w:p>
    <w:bookmarkEnd w:id="338"/>
    <w:bookmarkEnd w:id="339"/>
    <w:bookmarkEnd w:id="340"/>
    <w:bookmarkEnd w:id="341"/>
    <w:bookmarkEnd w:id="342"/>
    <w:bookmarkEnd w:id="343"/>
    <w:bookmarkEnd w:id="344"/>
    <w:bookmarkEnd w:id="345"/>
    <w:p w14:paraId="5A0EE03C">
      <w:pPr>
        <w:snapToGrid w:val="0"/>
        <w:spacing w:before="312" w:beforeLines="100" w:after="312" w:afterLines="100" w:line="360" w:lineRule="auto"/>
        <w:outlineLvl w:val="2"/>
        <w:rPr>
          <w:rFonts w:cs="宋体"/>
          <w:color w:val="auto"/>
          <w:sz w:val="21"/>
          <w:szCs w:val="21"/>
          <w:highlight w:val="none"/>
        </w:rPr>
      </w:pPr>
      <w:bookmarkStart w:id="346" w:name="_Toc351203642"/>
      <w:r>
        <w:rPr>
          <w:rFonts w:hint="eastAsia" w:cs="宋体"/>
          <w:color w:val="auto"/>
          <w:sz w:val="21"/>
          <w:szCs w:val="21"/>
          <w:highlight w:val="none"/>
        </w:rPr>
        <w:t>1</w:t>
      </w:r>
      <w:bookmarkEnd w:id="312"/>
      <w:bookmarkEnd w:id="313"/>
      <w:bookmarkEnd w:id="314"/>
      <w:bookmarkEnd w:id="315"/>
      <w:bookmarkEnd w:id="316"/>
      <w:bookmarkEnd w:id="317"/>
      <w:bookmarkEnd w:id="318"/>
      <w:bookmarkEnd w:id="319"/>
      <w:bookmarkEnd w:id="320"/>
      <w:bookmarkEnd w:id="321"/>
      <w:bookmarkEnd w:id="322"/>
      <w:bookmarkEnd w:id="323"/>
      <w:bookmarkStart w:id="347" w:name="_Toc297216199"/>
      <w:bookmarkStart w:id="348" w:name="_Toc300934989"/>
      <w:bookmarkStart w:id="349" w:name="_Toc296346694"/>
      <w:bookmarkStart w:id="350" w:name="_Toc297120493"/>
      <w:bookmarkStart w:id="351" w:name="_Toc303539146"/>
      <w:bookmarkStart w:id="352" w:name="_Toc296347192"/>
      <w:bookmarkStart w:id="353" w:name="_Toc296891021"/>
      <w:bookmarkStart w:id="354" w:name="_Toc296891233"/>
      <w:bookmarkStart w:id="355" w:name="_Toc296503193"/>
      <w:bookmarkStart w:id="356" w:name="_Toc292559398"/>
      <w:bookmarkStart w:id="357" w:name="_Toc292559903"/>
      <w:bookmarkStart w:id="358" w:name="_Toc296944532"/>
      <w:bookmarkStart w:id="359" w:name="_Toc304295566"/>
      <w:bookmarkStart w:id="360" w:name="_Toc297048379"/>
      <w:bookmarkStart w:id="361" w:name="_Toc297123540"/>
      <w:bookmarkStart w:id="362" w:name="_Toc312678025"/>
      <w:bookmarkStart w:id="363" w:name="_Toc312677499"/>
      <w:bookmarkStart w:id="364" w:name="_Toc267251440"/>
      <w:bookmarkStart w:id="365" w:name="_Toc267251441"/>
      <w:bookmarkStart w:id="366" w:name="_Toc267251433"/>
      <w:bookmarkStart w:id="367" w:name="_Toc267251435"/>
      <w:bookmarkStart w:id="368" w:name="_Toc267251437"/>
      <w:bookmarkStart w:id="369" w:name="_Toc267251439"/>
      <w:bookmarkStart w:id="370" w:name="_Toc267251442"/>
      <w:r>
        <w:rPr>
          <w:rFonts w:hint="eastAsia" w:cs="宋体"/>
          <w:color w:val="auto"/>
          <w:sz w:val="21"/>
          <w:szCs w:val="21"/>
          <w:highlight w:val="none"/>
        </w:rPr>
        <w:t>0. 变更</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bookmarkEnd w:id="362"/>
    <w:bookmarkEnd w:id="363"/>
    <w:p w14:paraId="294D550A">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w:t>
      </w:r>
      <w:bookmarkStart w:id="371" w:name="_Toc297120494"/>
      <w:bookmarkStart w:id="372" w:name="_Toc303539147"/>
      <w:bookmarkStart w:id="373" w:name="_Toc297216200"/>
      <w:bookmarkStart w:id="374" w:name="_Toc300934990"/>
      <w:bookmarkStart w:id="375" w:name="_Toc296347193"/>
      <w:bookmarkStart w:id="376" w:name="_Toc292559399"/>
      <w:bookmarkStart w:id="377" w:name="_Toc296891234"/>
      <w:bookmarkStart w:id="378" w:name="_Toc312677500"/>
      <w:bookmarkStart w:id="379" w:name="_Toc297048380"/>
      <w:bookmarkStart w:id="380" w:name="_Toc304295567"/>
      <w:bookmarkStart w:id="381" w:name="_Toc296503194"/>
      <w:bookmarkStart w:id="382" w:name="_Toc296891022"/>
      <w:bookmarkStart w:id="383" w:name="_Toc296346695"/>
      <w:bookmarkStart w:id="384" w:name="_Toc296944533"/>
      <w:bookmarkStart w:id="385" w:name="_Toc292559904"/>
      <w:bookmarkStart w:id="386" w:name="_Toc312678026"/>
      <w:bookmarkStart w:id="387" w:name="_Toc297123541"/>
      <w:r>
        <w:rPr>
          <w:rFonts w:hint="eastAsia" w:cs="宋体"/>
          <w:bCs/>
          <w:color w:val="auto"/>
          <w:sz w:val="21"/>
          <w:szCs w:val="21"/>
          <w:highlight w:val="none"/>
        </w:rPr>
        <w:t>0.1 变更的范围</w:t>
      </w:r>
    </w:p>
    <w:p w14:paraId="0450A1F1">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关于变更的范围的约定：</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4498D75">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10.4 变更估价</w:t>
      </w:r>
    </w:p>
    <w:p w14:paraId="26869787">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10.4.1 变更估价原则</w:t>
      </w:r>
    </w:p>
    <w:p w14:paraId="4482B382">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关于变更估价的约定：</w:t>
      </w:r>
    </w:p>
    <w:p w14:paraId="36B9BE45">
      <w:pPr>
        <w:adjustRightInd w:val="0"/>
        <w:snapToGrid w:val="0"/>
        <w:spacing w:line="360" w:lineRule="auto"/>
        <w:ind w:firstLine="422" w:firstLineChars="200"/>
        <w:rPr>
          <w:rFonts w:cs="宋体"/>
          <w:b/>
          <w:color w:val="auto"/>
          <w:sz w:val="21"/>
          <w:szCs w:val="21"/>
          <w:highlight w:val="none"/>
        </w:rPr>
      </w:pPr>
      <w:r>
        <w:rPr>
          <w:rFonts w:hint="eastAsia" w:cs="宋体"/>
          <w:b/>
          <w:color w:val="auto"/>
          <w:sz w:val="21"/>
          <w:szCs w:val="21"/>
          <w:highlight w:val="none"/>
        </w:rPr>
        <w:t>10.4.1.1 因工程变更引起已标价工程量清单项目或其工程数量发生变化时，按下列规定调整：</w:t>
      </w:r>
    </w:p>
    <w:p w14:paraId="61617E85">
      <w:pPr>
        <w:adjustRightInd w:val="0"/>
        <w:snapToGrid w:val="0"/>
        <w:spacing w:line="360" w:lineRule="auto"/>
        <w:ind w:firstLine="422" w:firstLineChars="200"/>
        <w:rPr>
          <w:rFonts w:hint="eastAsia" w:cs="宋体"/>
          <w:b/>
          <w:color w:val="auto"/>
          <w:sz w:val="21"/>
          <w:szCs w:val="21"/>
          <w:highlight w:val="none"/>
          <w:u w:val="single"/>
        </w:rPr>
      </w:pPr>
      <w:r>
        <w:rPr>
          <w:rFonts w:hint="eastAsia" w:cs="宋体"/>
          <w:b/>
          <w:color w:val="auto"/>
          <w:sz w:val="21"/>
          <w:szCs w:val="21"/>
          <w:highlight w:val="none"/>
          <w:u w:val="single"/>
        </w:rPr>
        <w:t>（1）合同中有类似工程项目的，变更导致结算工程量减少0-100%或增加15%以内部分，执行中标单价；若清单子目实际工程量增加超出清单工程量的15％的，超出15％以外部分，若中标综合单价高于（最高投标限价中综合单价×投标让利幅度）时，按（最高投标限价中综合单价×投标让利幅度）计算；若中标综合单价低于（最高投标限价中综合单价×投标让利幅度）时，执行中标单价(组价明显错误的予以纠正) 。</w:t>
      </w:r>
    </w:p>
    <w:p w14:paraId="0051895C">
      <w:pPr>
        <w:adjustRightInd w:val="0"/>
        <w:snapToGrid w:val="0"/>
        <w:spacing w:line="360" w:lineRule="auto"/>
        <w:ind w:firstLine="422" w:firstLineChars="200"/>
        <w:rPr>
          <w:rFonts w:hint="eastAsia" w:cs="宋体"/>
          <w:b/>
          <w:color w:val="auto"/>
          <w:sz w:val="21"/>
          <w:szCs w:val="21"/>
          <w:highlight w:val="none"/>
          <w:u w:val="single"/>
        </w:rPr>
      </w:pPr>
      <w:r>
        <w:rPr>
          <w:rFonts w:hint="eastAsia" w:cs="宋体"/>
          <w:b/>
          <w:color w:val="auto"/>
          <w:sz w:val="21"/>
          <w:szCs w:val="21"/>
          <w:highlight w:val="none"/>
          <w:u w:val="single"/>
        </w:rPr>
        <w:t>注：投标让利幅度为中标价/最高投标限价，其中中标价和最高投标限价均扣除暂定金额、暂估价。</w:t>
      </w:r>
    </w:p>
    <w:p w14:paraId="63FFD9E7">
      <w:pPr>
        <w:adjustRightInd w:val="0"/>
        <w:snapToGrid w:val="0"/>
        <w:spacing w:line="360" w:lineRule="auto"/>
        <w:ind w:firstLine="422" w:firstLineChars="200"/>
        <w:rPr>
          <w:rFonts w:hint="eastAsia" w:cs="宋体"/>
          <w:b/>
          <w:color w:val="auto"/>
          <w:sz w:val="21"/>
          <w:szCs w:val="21"/>
          <w:highlight w:val="none"/>
          <w:u w:val="single"/>
        </w:rPr>
      </w:pPr>
      <w:r>
        <w:rPr>
          <w:rFonts w:hint="eastAsia" w:cs="宋体"/>
          <w:b/>
          <w:color w:val="auto"/>
          <w:sz w:val="21"/>
          <w:szCs w:val="21"/>
          <w:highlight w:val="none"/>
          <w:u w:val="single"/>
        </w:rPr>
        <w:t xml:space="preserve">（2）合同中没有类似工程项目的，由承包人参考“清单计价依据”提出适当的综合单价，报工程造价咨询机构审定后乘以中标价/最高投标限价作为结算依据。（中标价和最高投标限价均应扣除暂列金额和暂估价部分） </w:t>
      </w:r>
    </w:p>
    <w:p w14:paraId="6EF5B8E0">
      <w:pPr>
        <w:adjustRightInd w:val="0"/>
        <w:snapToGrid w:val="0"/>
        <w:spacing w:line="360" w:lineRule="auto"/>
        <w:ind w:firstLine="422" w:firstLineChars="200"/>
        <w:rPr>
          <w:rFonts w:hint="eastAsia" w:cs="宋体"/>
          <w:b/>
          <w:color w:val="auto"/>
          <w:sz w:val="21"/>
          <w:szCs w:val="21"/>
          <w:highlight w:val="none"/>
          <w:u w:val="single"/>
        </w:rPr>
      </w:pPr>
      <w:r>
        <w:rPr>
          <w:rFonts w:hint="eastAsia" w:cs="宋体"/>
          <w:b/>
          <w:color w:val="auto"/>
          <w:sz w:val="21"/>
          <w:szCs w:val="21"/>
          <w:highlight w:val="none"/>
          <w:u w:val="single"/>
        </w:rPr>
        <w:t xml:space="preserve">技术措施费调整：因承包人改变施工技术措施，造成的价格变动，措施费不予调整。因工程变更必须改变原来施工技术措施，造成价格变动的，按实调整，变更组价原则同上。 </w:t>
      </w:r>
    </w:p>
    <w:p w14:paraId="7F3741A0">
      <w:pPr>
        <w:adjustRightInd w:val="0"/>
        <w:snapToGrid w:val="0"/>
        <w:spacing w:line="360" w:lineRule="auto"/>
        <w:ind w:firstLine="422" w:firstLineChars="200"/>
        <w:rPr>
          <w:rFonts w:cs="宋体"/>
          <w:b/>
          <w:color w:val="auto"/>
          <w:sz w:val="21"/>
          <w:szCs w:val="21"/>
          <w:highlight w:val="none"/>
          <w:u w:val="single"/>
        </w:rPr>
      </w:pPr>
      <w:r>
        <w:rPr>
          <w:rFonts w:hint="eastAsia" w:cs="宋体"/>
          <w:b/>
          <w:color w:val="auto"/>
          <w:sz w:val="21"/>
          <w:szCs w:val="21"/>
          <w:highlight w:val="none"/>
          <w:u w:val="single"/>
        </w:rPr>
        <w:t xml:space="preserve">组织措施费调整：按实调整。 </w:t>
      </w:r>
    </w:p>
    <w:p w14:paraId="610D45AB">
      <w:pPr>
        <w:adjustRightInd w:val="0"/>
        <w:snapToGrid w:val="0"/>
        <w:spacing w:before="93" w:beforeLines="30" w:line="360" w:lineRule="auto"/>
        <w:ind w:firstLine="422" w:firstLineChars="200"/>
        <w:rPr>
          <w:rFonts w:cs="宋体"/>
          <w:b/>
          <w:color w:val="auto"/>
          <w:sz w:val="21"/>
          <w:szCs w:val="21"/>
          <w:highlight w:val="none"/>
        </w:rPr>
      </w:pPr>
      <w:r>
        <w:rPr>
          <w:rFonts w:hint="eastAsia" w:cs="宋体"/>
          <w:b/>
          <w:color w:val="auto"/>
          <w:sz w:val="21"/>
          <w:szCs w:val="21"/>
          <w:highlight w:val="none"/>
        </w:rPr>
        <w:t>10.4.1.2 工程变更引起施工方案改变并使措施项目发生变化时，承包人提出调整措施项目费的，应事前将拟实施的方案提交发包人确认，并应详细说明与原方案措施项目相比的变化情况。拟实施的方案经发承包双方确认后执行，并应按照下列规定调整措施项目费：</w:t>
      </w:r>
    </w:p>
    <w:p w14:paraId="45633F4D">
      <w:pPr>
        <w:adjustRightInd w:val="0"/>
        <w:snapToGrid w:val="0"/>
        <w:spacing w:before="93" w:beforeLines="30" w:line="360" w:lineRule="auto"/>
        <w:ind w:firstLine="422" w:firstLineChars="200"/>
        <w:rPr>
          <w:rFonts w:cs="宋体"/>
          <w:b/>
          <w:color w:val="auto"/>
          <w:sz w:val="21"/>
          <w:szCs w:val="21"/>
          <w:highlight w:val="none"/>
          <w:u w:val="single"/>
        </w:rPr>
      </w:pPr>
      <w:r>
        <w:rPr>
          <w:rFonts w:hint="eastAsia" w:cs="宋体"/>
          <w:b/>
          <w:color w:val="auto"/>
          <w:sz w:val="21"/>
          <w:szCs w:val="21"/>
          <w:highlight w:val="none"/>
          <w:u w:val="single"/>
        </w:rPr>
        <w:t>（1）按照费率计算的措施费，应按照实际发生变化的措施项目依据原招标文件规定的费率计算；</w:t>
      </w:r>
    </w:p>
    <w:p w14:paraId="139552B6">
      <w:pPr>
        <w:adjustRightInd w:val="0"/>
        <w:snapToGrid w:val="0"/>
        <w:spacing w:before="93" w:beforeLines="30" w:line="360" w:lineRule="auto"/>
        <w:ind w:firstLine="422" w:firstLineChars="200"/>
        <w:jc w:val="left"/>
        <w:rPr>
          <w:rFonts w:cs="宋体"/>
          <w:b/>
          <w:color w:val="auto"/>
          <w:sz w:val="21"/>
          <w:szCs w:val="21"/>
          <w:highlight w:val="none"/>
          <w:u w:val="single"/>
        </w:rPr>
      </w:pPr>
      <w:r>
        <w:rPr>
          <w:rFonts w:hint="eastAsia" w:cs="宋体"/>
          <w:b/>
          <w:color w:val="auto"/>
          <w:sz w:val="21"/>
          <w:szCs w:val="21"/>
          <w:highlight w:val="none"/>
          <w:u w:val="single"/>
        </w:rPr>
        <w:t>（2）按照单价计算的措施项目费，应按照实际发生变化的措施项目，按本合同专业条款第10.4.1.1目计算；</w:t>
      </w:r>
    </w:p>
    <w:p w14:paraId="1D8FE11B">
      <w:pPr>
        <w:adjustRightInd w:val="0"/>
        <w:snapToGrid w:val="0"/>
        <w:spacing w:before="93" w:beforeLines="30" w:line="360" w:lineRule="auto"/>
        <w:ind w:firstLine="422" w:firstLineChars="200"/>
        <w:rPr>
          <w:rFonts w:cs="宋体"/>
          <w:b/>
          <w:color w:val="auto"/>
          <w:sz w:val="21"/>
          <w:szCs w:val="21"/>
          <w:highlight w:val="none"/>
          <w:u w:val="single"/>
        </w:rPr>
      </w:pPr>
      <w:r>
        <w:rPr>
          <w:rFonts w:hint="eastAsia" w:cs="宋体"/>
          <w:b/>
          <w:color w:val="auto"/>
          <w:sz w:val="21"/>
          <w:szCs w:val="21"/>
          <w:highlight w:val="none"/>
          <w:u w:val="single"/>
        </w:rPr>
        <w:t>（3）按总价（或系数）计算的措施项目费，应按照实际发生变化的措施项目和承包人报价浮动率同比下浮标准，提出新的措施项目费，作为结算的依据；</w:t>
      </w:r>
    </w:p>
    <w:p w14:paraId="294971A2">
      <w:pPr>
        <w:adjustRightInd w:val="0"/>
        <w:snapToGrid w:val="0"/>
        <w:spacing w:before="93" w:beforeLines="30" w:line="360" w:lineRule="auto"/>
        <w:ind w:firstLine="422" w:firstLineChars="200"/>
        <w:rPr>
          <w:rFonts w:cs="宋体"/>
          <w:b/>
          <w:strike/>
          <w:color w:val="auto"/>
          <w:sz w:val="21"/>
          <w:szCs w:val="21"/>
          <w:highlight w:val="none"/>
          <w:u w:val="single"/>
        </w:rPr>
      </w:pPr>
      <w:r>
        <w:rPr>
          <w:rFonts w:hint="eastAsia" w:cs="宋体"/>
          <w:b/>
          <w:color w:val="auto"/>
          <w:sz w:val="21"/>
          <w:szCs w:val="21"/>
          <w:highlight w:val="none"/>
          <w:u w:val="single"/>
        </w:rPr>
        <w:t>（4）如果承包人未事前将拟实施的方案提交给发包人确认，则应视为工程变更不引起措施项目费的调整或承包人放弃调整措施项目费的权利。</w:t>
      </w:r>
    </w:p>
    <w:p w14:paraId="0223AA53">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Start w:id="388" w:name="_Toc292559907"/>
      <w:bookmarkStart w:id="389" w:name="_Toc297123544"/>
      <w:bookmarkStart w:id="390" w:name="_Toc300934993"/>
      <w:bookmarkStart w:id="391" w:name="_Toc297216203"/>
      <w:bookmarkStart w:id="392" w:name="_Toc296944536"/>
      <w:bookmarkStart w:id="393" w:name="_Toc296347196"/>
      <w:bookmarkStart w:id="394" w:name="_Toc296891237"/>
      <w:bookmarkStart w:id="395" w:name="_Toc297120497"/>
      <w:bookmarkStart w:id="396" w:name="_Toc303539150"/>
      <w:bookmarkStart w:id="397" w:name="_Toc296346698"/>
      <w:bookmarkStart w:id="398" w:name="_Toc297048383"/>
      <w:bookmarkStart w:id="399" w:name="_Toc296891025"/>
      <w:bookmarkStart w:id="400" w:name="_Toc292559402"/>
      <w:bookmarkStart w:id="401" w:name="_Toc296503197"/>
      <w:bookmarkStart w:id="402" w:name="_Toc312678029"/>
      <w:bookmarkStart w:id="403" w:name="_Toc312677503"/>
      <w:bookmarkStart w:id="404" w:name="_Toc304295570"/>
      <w:r>
        <w:rPr>
          <w:rFonts w:hint="eastAsia" w:cs="宋体"/>
          <w:bCs/>
          <w:color w:val="auto"/>
          <w:sz w:val="21"/>
          <w:szCs w:val="21"/>
          <w:highlight w:val="none"/>
        </w:rPr>
        <w:t>0.5 承</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Start w:id="405" w:name="_Toc303539151"/>
      <w:bookmarkStart w:id="406" w:name="_Toc297216204"/>
      <w:bookmarkStart w:id="407" w:name="_Toc292559913"/>
      <w:bookmarkStart w:id="408" w:name="_Toc297123545"/>
      <w:bookmarkStart w:id="409" w:name="_Toc296891243"/>
      <w:bookmarkStart w:id="410" w:name="_Toc296503203"/>
      <w:bookmarkStart w:id="411" w:name="_Toc296347202"/>
      <w:bookmarkStart w:id="412" w:name="_Toc292559408"/>
      <w:bookmarkStart w:id="413" w:name="_Toc296944542"/>
      <w:bookmarkStart w:id="414" w:name="_Toc296346704"/>
      <w:bookmarkStart w:id="415" w:name="_Toc297120503"/>
      <w:bookmarkStart w:id="416" w:name="_Toc300934994"/>
      <w:bookmarkStart w:id="417" w:name="_Toc297048389"/>
      <w:bookmarkStart w:id="418" w:name="_Toc296891031"/>
      <w:r>
        <w:rPr>
          <w:rFonts w:hint="eastAsia" w:cs="宋体"/>
          <w:bCs/>
          <w:color w:val="auto"/>
          <w:sz w:val="21"/>
          <w:szCs w:val="21"/>
          <w:highlight w:val="none"/>
        </w:rPr>
        <w:t>包人的合理化建议</w:t>
      </w:r>
    </w:p>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14:paraId="73B5BF4C">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监理人审查承包人合理化建议的期限：</w:t>
      </w:r>
      <w:r>
        <w:rPr>
          <w:rFonts w:hint="eastAsia" w:cs="宋体"/>
          <w:color w:val="auto"/>
          <w:sz w:val="21"/>
          <w:szCs w:val="21"/>
          <w:highlight w:val="none"/>
          <w:u w:val="single"/>
        </w:rPr>
        <w:t xml:space="preserve">  </w:t>
      </w:r>
      <w:r>
        <w:rPr>
          <w:rFonts w:hint="eastAsia" w:ascii="宋体" w:cs="宋体"/>
          <w:color w:val="auto"/>
          <w:sz w:val="21"/>
          <w:szCs w:val="21"/>
          <w:highlight w:val="none"/>
          <w:u w:val="single"/>
          <w:shd w:val="clear" w:color="auto" w:fill="auto"/>
        </w:rPr>
        <w:t>监理人应在收到承包人提交的合理化建议后 7 天内审查完毕并报送发包人，发现其中存在技术上的缺陷，应通知承包人修改。</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88E4B27">
      <w:pPr>
        <w:keepNext/>
        <w:keepLines/>
        <w:snapToGrid w:val="0"/>
        <w:spacing w:before="120" w:after="120" w:line="360" w:lineRule="auto"/>
        <w:ind w:firstLine="420" w:firstLineChars="200"/>
        <w:outlineLvl w:val="3"/>
        <w:rPr>
          <w:rFonts w:cs="宋体"/>
          <w:color w:val="auto"/>
          <w:sz w:val="21"/>
          <w:szCs w:val="21"/>
          <w:highlight w:val="none"/>
        </w:rPr>
      </w:pPr>
      <w:r>
        <w:rPr>
          <w:rFonts w:hint="eastAsia" w:cs="宋体"/>
          <w:color w:val="auto"/>
          <w:sz w:val="21"/>
          <w:szCs w:val="21"/>
          <w:highlight w:val="none"/>
        </w:rPr>
        <w:t>发包人审批承包人合理化建议的期限：</w:t>
      </w:r>
      <w:r>
        <w:rPr>
          <w:rFonts w:hint="eastAsia" w:cs="宋体"/>
          <w:color w:val="auto"/>
          <w:sz w:val="21"/>
          <w:szCs w:val="21"/>
          <w:highlight w:val="none"/>
          <w:u w:val="single"/>
        </w:rPr>
        <w:t xml:space="preserve">  </w:t>
      </w:r>
      <w:r>
        <w:rPr>
          <w:rFonts w:hint="eastAsia" w:cs="宋体"/>
          <w:bCs/>
          <w:color w:val="auto"/>
          <w:sz w:val="21"/>
          <w:szCs w:val="21"/>
          <w:highlight w:val="none"/>
          <w:u w:val="single"/>
        </w:rPr>
        <w:t>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26961F68">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承</w:t>
      </w:r>
      <w:bookmarkStart w:id="419" w:name="_Toc296891244"/>
      <w:bookmarkStart w:id="420" w:name="_Toc296503204"/>
      <w:bookmarkStart w:id="421" w:name="_Toc296944543"/>
      <w:bookmarkStart w:id="422" w:name="_Toc296891032"/>
      <w:bookmarkStart w:id="423" w:name="_Toc312678030"/>
      <w:bookmarkStart w:id="424" w:name="_Toc297216205"/>
      <w:bookmarkStart w:id="425" w:name="_Toc318581175"/>
      <w:bookmarkStart w:id="426" w:name="_Toc297123546"/>
      <w:bookmarkStart w:id="427" w:name="_Toc304295571"/>
      <w:bookmarkStart w:id="428" w:name="_Toc292559409"/>
      <w:bookmarkStart w:id="429" w:name="_Toc292559914"/>
      <w:bookmarkStart w:id="430" w:name="_Toc296346705"/>
      <w:bookmarkStart w:id="431" w:name="_Toc296347203"/>
      <w:bookmarkStart w:id="432" w:name="_Toc297048390"/>
      <w:bookmarkStart w:id="433" w:name="_Toc300934995"/>
      <w:bookmarkStart w:id="434" w:name="_Toc312677504"/>
      <w:bookmarkStart w:id="435" w:name="_Toc303539152"/>
      <w:bookmarkStart w:id="436" w:name="_Toc297120504"/>
      <w:r>
        <w:rPr>
          <w:rFonts w:hint="eastAsia" w:cs="宋体"/>
          <w:color w:val="auto"/>
          <w:sz w:val="21"/>
          <w:szCs w:val="21"/>
          <w:highlight w:val="none"/>
        </w:rPr>
        <w:t>包人提出的合理化建议降低了合同价格或者提高了工程经济效益的奖励的方法和金额为：</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r>
        <w:rPr>
          <w:rFonts w:hint="eastAsia" w:cs="宋体"/>
          <w:color w:val="auto"/>
          <w:sz w:val="21"/>
          <w:szCs w:val="21"/>
          <w:highlight w:val="none"/>
        </w:rPr>
        <w:t>。</w:t>
      </w:r>
    </w:p>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14:paraId="625BCFE8">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w:t>
      </w:r>
      <w:bookmarkStart w:id="437" w:name="_Toc296944538"/>
      <w:bookmarkStart w:id="438" w:name="_Toc296347198"/>
      <w:bookmarkStart w:id="439" w:name="_Toc296346700"/>
      <w:bookmarkStart w:id="440" w:name="_Toc303539154"/>
      <w:bookmarkStart w:id="441" w:name="_Toc312678033"/>
      <w:bookmarkStart w:id="442" w:name="_Toc296891027"/>
      <w:bookmarkStart w:id="443" w:name="_Toc297120499"/>
      <w:bookmarkStart w:id="444" w:name="_Toc304295574"/>
      <w:bookmarkStart w:id="445" w:name="_Toc297123548"/>
      <w:bookmarkStart w:id="446" w:name="_Toc300934997"/>
      <w:bookmarkStart w:id="447" w:name="_Toc297048385"/>
      <w:bookmarkStart w:id="448" w:name="_Toc297216207"/>
      <w:bookmarkStart w:id="449" w:name="_Toc292559909"/>
      <w:bookmarkStart w:id="450" w:name="_Toc296503199"/>
      <w:bookmarkStart w:id="451" w:name="_Toc296891239"/>
      <w:bookmarkStart w:id="452" w:name="_Toc292559404"/>
      <w:bookmarkStart w:id="453" w:name="_Toc312677507"/>
      <w:r>
        <w:rPr>
          <w:rFonts w:hint="eastAsia" w:cs="宋体"/>
          <w:bCs/>
          <w:color w:val="auto"/>
          <w:sz w:val="21"/>
          <w:szCs w:val="21"/>
          <w:highlight w:val="none"/>
        </w:rPr>
        <w:t>0.7 暂估价</w:t>
      </w:r>
    </w:p>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14:paraId="14A38CCC">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暂</w:t>
      </w:r>
      <w:bookmarkStart w:id="454" w:name="_Toc318581176"/>
      <w:bookmarkStart w:id="455" w:name="_Toc312677508"/>
      <w:bookmarkStart w:id="456" w:name="_Toc312678034"/>
      <w:r>
        <w:rPr>
          <w:rFonts w:hint="eastAsia" w:cs="宋体"/>
          <w:color w:val="auto"/>
          <w:sz w:val="21"/>
          <w:szCs w:val="21"/>
          <w:highlight w:val="none"/>
        </w:rPr>
        <w:t>估价材料和工程设备的明细见附件12：《暂估价一览表》。</w:t>
      </w:r>
    </w:p>
    <w:bookmarkEnd w:id="454"/>
    <w:bookmarkEnd w:id="455"/>
    <w:bookmarkEnd w:id="456"/>
    <w:p w14:paraId="37B88703">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w:t>
      </w:r>
      <w:bookmarkStart w:id="457" w:name="_Toc312678035"/>
      <w:bookmarkStart w:id="458" w:name="_Toc312677509"/>
      <w:bookmarkStart w:id="459" w:name="_Toc318581177"/>
      <w:r>
        <w:rPr>
          <w:rFonts w:hint="eastAsia" w:cs="宋体"/>
          <w:color w:val="auto"/>
          <w:sz w:val="21"/>
          <w:szCs w:val="21"/>
          <w:highlight w:val="none"/>
        </w:rPr>
        <w:t>0.7.1 依法必须招标的暂估价项目</w:t>
      </w:r>
    </w:p>
    <w:bookmarkEnd w:id="457"/>
    <w:bookmarkEnd w:id="458"/>
    <w:bookmarkEnd w:id="459"/>
    <w:p w14:paraId="406A8E29">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对于依法必须招标的暂估价项目的确认和批准采取第</w:t>
      </w:r>
      <w:r>
        <w:rPr>
          <w:rFonts w:hint="eastAsia" w:cs="宋体"/>
          <w:color w:val="auto"/>
          <w:sz w:val="21"/>
          <w:szCs w:val="21"/>
          <w:highlight w:val="none"/>
          <w:u w:val="single"/>
        </w:rPr>
        <w:t>2</w:t>
      </w:r>
      <w:r>
        <w:rPr>
          <w:rFonts w:hint="eastAsia" w:cs="宋体"/>
          <w:color w:val="auto"/>
          <w:sz w:val="21"/>
          <w:szCs w:val="21"/>
          <w:highlight w:val="none"/>
        </w:rPr>
        <w:t>种方式确定。</w:t>
      </w:r>
      <w:r>
        <w:rPr>
          <w:rFonts w:hint="eastAsia" w:cs="宋体"/>
          <w:b/>
          <w:color w:val="auto"/>
          <w:sz w:val="21"/>
          <w:szCs w:val="21"/>
          <w:highlight w:val="none"/>
          <w:u w:val="single"/>
        </w:rPr>
        <w:t>并应按相关规定进行二次招标</w:t>
      </w:r>
      <w:r>
        <w:rPr>
          <w:rFonts w:hint="eastAsia" w:cs="宋体"/>
          <w:color w:val="auto"/>
          <w:sz w:val="21"/>
          <w:szCs w:val="21"/>
          <w:highlight w:val="none"/>
        </w:rPr>
        <w:t>。</w:t>
      </w:r>
    </w:p>
    <w:p w14:paraId="0035B7B5">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10.7.2 不属于依法必须招标的暂估价项目</w:t>
      </w:r>
    </w:p>
    <w:p w14:paraId="380A8C11">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对于不属于依法必须招标的暂估价项目的确认和批准采取第</w:t>
      </w:r>
      <w:r>
        <w:rPr>
          <w:rFonts w:hint="eastAsia" w:cs="宋体"/>
          <w:color w:val="auto"/>
          <w:sz w:val="21"/>
          <w:szCs w:val="21"/>
          <w:highlight w:val="none"/>
          <w:u w:val="single"/>
        </w:rPr>
        <w:t>1</w:t>
      </w:r>
      <w:r>
        <w:rPr>
          <w:rFonts w:hint="eastAsia" w:cs="宋体"/>
          <w:color w:val="auto"/>
          <w:sz w:val="21"/>
          <w:szCs w:val="21"/>
          <w:highlight w:val="none"/>
        </w:rPr>
        <w:t>种方式确定。</w:t>
      </w:r>
    </w:p>
    <w:p w14:paraId="2A2C2D85">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第3种方式：承包人直接实施的暂估价项目</w:t>
      </w:r>
    </w:p>
    <w:p w14:paraId="59F6A9B8">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承包人直接实施的暂估价项目的约定：</w:t>
      </w:r>
      <w:r>
        <w:rPr>
          <w:rFonts w:hint="eastAsia" w:cs="宋体"/>
          <w:color w:val="auto"/>
          <w:sz w:val="21"/>
          <w:szCs w:val="21"/>
          <w:highlight w:val="none"/>
          <w:u w:val="single"/>
        </w:rPr>
        <w:t xml:space="preserve">  /  </w:t>
      </w:r>
      <w:r>
        <w:rPr>
          <w:rFonts w:hint="eastAsia" w:cs="宋体"/>
          <w:color w:val="auto"/>
          <w:sz w:val="21"/>
          <w:szCs w:val="21"/>
          <w:highlight w:val="none"/>
        </w:rPr>
        <w:t>。</w:t>
      </w:r>
    </w:p>
    <w:p w14:paraId="066AEE70">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10.8 暂列金额</w:t>
      </w:r>
    </w:p>
    <w:p w14:paraId="5EC0E359">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合同当事人关于暂列金额使用的约定：</w:t>
      </w:r>
      <w:r>
        <w:rPr>
          <w:rFonts w:hint="eastAsia" w:cs="宋体"/>
          <w:color w:val="auto"/>
          <w:sz w:val="21"/>
          <w:szCs w:val="21"/>
          <w:highlight w:val="none"/>
          <w:u w:val="single"/>
        </w:rPr>
        <w:t xml:space="preserve">   </w:t>
      </w:r>
      <w:r>
        <w:rPr>
          <w:rFonts w:hint="eastAsia" w:ascii="宋体" w:cs="宋体"/>
          <w:color w:val="auto"/>
          <w:sz w:val="21"/>
          <w:szCs w:val="21"/>
          <w:highlight w:val="none"/>
          <w:u w:val="single"/>
          <w:shd w:val="clear" w:color="auto" w:fill="auto"/>
        </w:rPr>
        <w:t>暂列金是发包人为可能发生工程变更而暂列的金额， 是 招标人自行确定设立的， 承包商无权使用此笔费用。此费用按实际发生经招标人签证后确定全部使用、部分使用或不使用。暂列金不计入工程款付款的基数</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61AC0B8">
      <w:pPr>
        <w:snapToGrid w:val="0"/>
        <w:spacing w:before="312" w:beforeLines="100" w:after="312" w:afterLines="100" w:line="360" w:lineRule="auto"/>
        <w:outlineLvl w:val="2"/>
        <w:rPr>
          <w:rFonts w:cs="宋体"/>
          <w:color w:val="auto"/>
          <w:sz w:val="21"/>
          <w:szCs w:val="21"/>
          <w:highlight w:val="none"/>
        </w:rPr>
      </w:pPr>
      <w:bookmarkStart w:id="460" w:name="_Toc351203643"/>
      <w:r>
        <w:rPr>
          <w:rFonts w:hint="eastAsia" w:cs="宋体"/>
          <w:color w:val="auto"/>
          <w:sz w:val="21"/>
          <w:szCs w:val="21"/>
          <w:highlight w:val="none"/>
        </w:rPr>
        <w:t>11. 价格调整</w:t>
      </w:r>
      <w:bookmarkEnd w:id="460"/>
    </w:p>
    <w:p w14:paraId="15F267A3">
      <w:pPr>
        <w:keepNext/>
        <w:keepLines/>
        <w:snapToGrid w:val="0"/>
        <w:spacing w:before="120" w:after="120" w:line="360" w:lineRule="auto"/>
        <w:ind w:firstLine="420" w:firstLineChars="200"/>
        <w:outlineLvl w:val="3"/>
        <w:rPr>
          <w:rFonts w:cs="宋体"/>
          <w:bCs/>
          <w:color w:val="auto"/>
          <w:sz w:val="21"/>
          <w:szCs w:val="21"/>
          <w:highlight w:val="none"/>
        </w:rPr>
      </w:pPr>
      <w:bookmarkStart w:id="461" w:name="_Toc292559406"/>
      <w:bookmarkStart w:id="462" w:name="_Toc297048387"/>
      <w:bookmarkStart w:id="463" w:name="_Toc303539157"/>
      <w:bookmarkStart w:id="464" w:name="_Toc297216209"/>
      <w:bookmarkStart w:id="465" w:name="_Toc296891241"/>
      <w:bookmarkStart w:id="466" w:name="_Toc296346702"/>
      <w:bookmarkStart w:id="467" w:name="_Toc304295577"/>
      <w:bookmarkStart w:id="468" w:name="_Toc297120501"/>
      <w:bookmarkStart w:id="469" w:name="_Toc312678039"/>
      <w:bookmarkStart w:id="470" w:name="_Toc297123550"/>
      <w:bookmarkStart w:id="471" w:name="_Toc296347200"/>
      <w:bookmarkStart w:id="472" w:name="_Toc300935000"/>
      <w:bookmarkStart w:id="473" w:name="_Toc296944540"/>
      <w:bookmarkStart w:id="474" w:name="_Toc292559911"/>
      <w:bookmarkStart w:id="475" w:name="_Toc296891029"/>
      <w:bookmarkStart w:id="476" w:name="_Toc296503201"/>
      <w:r>
        <w:rPr>
          <w:rFonts w:hint="eastAsia" w:cs="宋体"/>
          <w:bCs/>
          <w:color w:val="auto"/>
          <w:sz w:val="21"/>
          <w:szCs w:val="21"/>
          <w:highlight w:val="none"/>
        </w:rPr>
        <w:t>11.1 市场价格波动引起的调整</w:t>
      </w:r>
    </w:p>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14:paraId="18A6D667">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市场价格波动是否调整合同价格的约定：</w:t>
      </w:r>
      <w:r>
        <w:rPr>
          <w:rFonts w:hint="eastAsia" w:cs="宋体"/>
          <w:color w:val="auto"/>
          <w:sz w:val="21"/>
          <w:szCs w:val="21"/>
          <w:highlight w:val="none"/>
          <w:u w:val="single"/>
          <w:lang w:val="en-US" w:eastAsia="zh-CN"/>
        </w:rPr>
        <w:t>不调整</w:t>
      </w:r>
      <w:r>
        <w:rPr>
          <w:rFonts w:hint="eastAsia" w:cs="宋体"/>
          <w:color w:val="auto"/>
          <w:sz w:val="21"/>
          <w:szCs w:val="21"/>
          <w:highlight w:val="none"/>
        </w:rPr>
        <w:t>。</w:t>
      </w:r>
    </w:p>
    <w:bookmarkEnd w:id="364"/>
    <w:bookmarkEnd w:id="365"/>
    <w:bookmarkEnd w:id="366"/>
    <w:bookmarkEnd w:id="367"/>
    <w:bookmarkEnd w:id="368"/>
    <w:bookmarkEnd w:id="369"/>
    <w:p w14:paraId="31694FE2">
      <w:pPr>
        <w:snapToGrid w:val="0"/>
        <w:spacing w:before="312" w:beforeLines="100" w:after="312" w:afterLines="100" w:line="360" w:lineRule="auto"/>
        <w:outlineLvl w:val="2"/>
        <w:rPr>
          <w:rFonts w:cs="宋体"/>
          <w:color w:val="auto"/>
          <w:sz w:val="21"/>
          <w:szCs w:val="21"/>
          <w:highlight w:val="none"/>
        </w:rPr>
      </w:pPr>
      <w:bookmarkStart w:id="477" w:name="_Toc292559915"/>
      <w:bookmarkStart w:id="478" w:name="_Toc296346706"/>
      <w:bookmarkStart w:id="479" w:name="_Toc297120505"/>
      <w:bookmarkStart w:id="480" w:name="_Toc296891245"/>
      <w:bookmarkStart w:id="481" w:name="_Toc296944544"/>
      <w:bookmarkStart w:id="482" w:name="_Toc296891033"/>
      <w:bookmarkStart w:id="483" w:name="_Toc292559410"/>
      <w:bookmarkStart w:id="484" w:name="_Toc296347204"/>
      <w:bookmarkStart w:id="485" w:name="_Toc297048391"/>
      <w:bookmarkStart w:id="486" w:name="_Toc296503205"/>
      <w:bookmarkStart w:id="487" w:name="_Toc351203644"/>
      <w:bookmarkStart w:id="488" w:name="_Toc312678040"/>
      <w:bookmarkStart w:id="489" w:name="_Toc300935002"/>
      <w:bookmarkStart w:id="490" w:name="_Toc297216211"/>
      <w:bookmarkStart w:id="491" w:name="_Toc303539159"/>
      <w:bookmarkStart w:id="492" w:name="_Toc304295579"/>
      <w:bookmarkStart w:id="493" w:name="_Toc297123552"/>
      <w:r>
        <w:rPr>
          <w:rFonts w:hint="eastAsia" w:cs="宋体"/>
          <w:color w:val="auto"/>
          <w:sz w:val="21"/>
          <w:szCs w:val="21"/>
          <w:highlight w:val="none"/>
        </w:rPr>
        <w:t xml:space="preserve">12. </w:t>
      </w:r>
      <w:bookmarkEnd w:id="477"/>
      <w:bookmarkEnd w:id="478"/>
      <w:bookmarkEnd w:id="479"/>
      <w:bookmarkEnd w:id="480"/>
      <w:bookmarkEnd w:id="481"/>
      <w:bookmarkEnd w:id="482"/>
      <w:bookmarkEnd w:id="483"/>
      <w:bookmarkEnd w:id="484"/>
      <w:bookmarkEnd w:id="485"/>
      <w:bookmarkEnd w:id="486"/>
      <w:r>
        <w:rPr>
          <w:rFonts w:hint="eastAsia" w:cs="宋体"/>
          <w:color w:val="auto"/>
          <w:sz w:val="21"/>
          <w:szCs w:val="21"/>
          <w:highlight w:val="none"/>
        </w:rPr>
        <w:t>合同价格、计量与支付</w:t>
      </w:r>
      <w:bookmarkEnd w:id="487"/>
    </w:p>
    <w:bookmarkEnd w:id="488"/>
    <w:bookmarkEnd w:id="489"/>
    <w:bookmarkEnd w:id="490"/>
    <w:bookmarkEnd w:id="491"/>
    <w:bookmarkEnd w:id="492"/>
    <w:bookmarkEnd w:id="493"/>
    <w:p w14:paraId="26629185">
      <w:pPr>
        <w:keepNext/>
        <w:keepLines/>
        <w:snapToGrid w:val="0"/>
        <w:spacing w:before="120" w:after="120" w:line="360" w:lineRule="auto"/>
        <w:ind w:firstLine="420" w:firstLineChars="200"/>
        <w:outlineLvl w:val="3"/>
        <w:rPr>
          <w:rFonts w:cs="宋体"/>
          <w:bCs/>
          <w:color w:val="auto"/>
          <w:sz w:val="21"/>
          <w:szCs w:val="21"/>
          <w:highlight w:val="none"/>
        </w:rPr>
      </w:pPr>
      <w:bookmarkStart w:id="494" w:name="_Toc267251461"/>
      <w:bookmarkStart w:id="495" w:name="_Toc292559411"/>
      <w:bookmarkStart w:id="496" w:name="_Toc292559916"/>
      <w:bookmarkStart w:id="497" w:name="_Toc296503206"/>
      <w:bookmarkStart w:id="498" w:name="_Toc296891034"/>
      <w:bookmarkStart w:id="499" w:name="_Toc297048392"/>
      <w:bookmarkStart w:id="500" w:name="_Toc297120506"/>
      <w:bookmarkStart w:id="501" w:name="_Toc296347205"/>
      <w:bookmarkStart w:id="502" w:name="_Toc296346707"/>
      <w:bookmarkStart w:id="503" w:name="_Toc296891246"/>
      <w:bookmarkStart w:id="504" w:name="_Toc296944545"/>
      <w:bookmarkStart w:id="505" w:name="_Toc304295580"/>
      <w:bookmarkStart w:id="506" w:name="_Toc300935003"/>
      <w:bookmarkStart w:id="507" w:name="_Toc303539160"/>
      <w:bookmarkStart w:id="508" w:name="_Toc297216212"/>
      <w:bookmarkStart w:id="509" w:name="_Toc312678041"/>
      <w:bookmarkStart w:id="510" w:name="_Toc297123553"/>
      <w:r>
        <w:rPr>
          <w:rFonts w:hint="eastAsia" w:cs="宋体"/>
          <w:bCs/>
          <w:color w:val="auto"/>
          <w:sz w:val="21"/>
          <w:szCs w:val="21"/>
          <w:highlight w:val="none"/>
        </w:rPr>
        <w:t>12.1 合</w:t>
      </w:r>
      <w:bookmarkEnd w:id="494"/>
      <w:bookmarkEnd w:id="495"/>
      <w:bookmarkEnd w:id="496"/>
      <w:r>
        <w:rPr>
          <w:rFonts w:hint="eastAsia" w:cs="宋体"/>
          <w:bCs/>
          <w:color w:val="auto"/>
          <w:sz w:val="21"/>
          <w:szCs w:val="21"/>
          <w:highlight w:val="none"/>
        </w:rPr>
        <w:t>同价</w:t>
      </w:r>
      <w:bookmarkEnd w:id="497"/>
      <w:bookmarkEnd w:id="498"/>
      <w:bookmarkEnd w:id="499"/>
      <w:bookmarkEnd w:id="500"/>
      <w:bookmarkEnd w:id="501"/>
      <w:bookmarkEnd w:id="502"/>
      <w:bookmarkEnd w:id="503"/>
      <w:bookmarkEnd w:id="504"/>
      <w:r>
        <w:rPr>
          <w:rFonts w:hint="eastAsia" w:cs="宋体"/>
          <w:bCs/>
          <w:color w:val="auto"/>
          <w:sz w:val="21"/>
          <w:szCs w:val="21"/>
          <w:highlight w:val="none"/>
        </w:rPr>
        <w:t>格形式</w:t>
      </w:r>
    </w:p>
    <w:bookmarkEnd w:id="505"/>
    <w:bookmarkEnd w:id="506"/>
    <w:bookmarkEnd w:id="507"/>
    <w:bookmarkEnd w:id="508"/>
    <w:bookmarkEnd w:id="509"/>
    <w:bookmarkEnd w:id="510"/>
    <w:p w14:paraId="5C4AD776">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（1）单价合同。</w:t>
      </w:r>
    </w:p>
    <w:p w14:paraId="7139ED1B">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综合单价包含的风险范围：</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7292562E">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风险费用的计算方法：</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40702585">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风险范围以外合同价格的调整方法：</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4551B7C1">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（2）总价合同。</w:t>
      </w:r>
    </w:p>
    <w:p w14:paraId="5AD41C81">
      <w:pPr>
        <w:adjustRightInd w:val="0"/>
        <w:snapToGrid w:val="0"/>
        <w:spacing w:line="360" w:lineRule="auto"/>
        <w:ind w:firstLine="420" w:firstLineChars="200"/>
        <w:rPr>
          <w:rFonts w:cs="宋体"/>
          <w:b/>
          <w:color w:val="auto"/>
          <w:sz w:val="21"/>
          <w:szCs w:val="21"/>
          <w:highlight w:val="none"/>
        </w:rPr>
      </w:pPr>
      <w:r>
        <w:rPr>
          <w:rFonts w:hint="eastAsia" w:cs="宋体"/>
          <w:color w:val="auto"/>
          <w:sz w:val="21"/>
          <w:szCs w:val="21"/>
          <w:highlight w:val="none"/>
        </w:rPr>
        <w:t>总价包含的风险范围：</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221D88F7">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风险费用的计算方法：</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518FEC64">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风险范围以外合同价格的调整方法：</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15600F1E">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（3）其他价格方式：</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48F5CCB4">
      <w:pPr>
        <w:keepNext/>
        <w:keepLines/>
        <w:snapToGrid w:val="0"/>
        <w:spacing w:before="120" w:after="120" w:line="360" w:lineRule="auto"/>
        <w:ind w:firstLine="420" w:firstLineChars="200"/>
        <w:outlineLvl w:val="3"/>
        <w:rPr>
          <w:rFonts w:cs="宋体"/>
          <w:bCs/>
          <w:color w:val="auto"/>
          <w:sz w:val="21"/>
          <w:szCs w:val="21"/>
          <w:highlight w:val="none"/>
        </w:rPr>
      </w:pPr>
      <w:bookmarkStart w:id="511" w:name="_Toc300935004"/>
      <w:bookmarkStart w:id="512" w:name="_Toc297216213"/>
      <w:bookmarkStart w:id="513" w:name="_Toc312678042"/>
      <w:bookmarkStart w:id="514" w:name="_Toc304295581"/>
      <w:bookmarkStart w:id="515" w:name="_Toc303539161"/>
      <w:bookmarkStart w:id="516" w:name="_Toc297123554"/>
      <w:bookmarkStart w:id="517" w:name="_Toc292559917"/>
      <w:bookmarkStart w:id="518" w:name="_Toc296346708"/>
      <w:bookmarkStart w:id="519" w:name="_Toc297120507"/>
      <w:bookmarkStart w:id="520" w:name="_Toc296944546"/>
      <w:bookmarkStart w:id="521" w:name="_Toc297048393"/>
      <w:bookmarkStart w:id="522" w:name="_Toc296503207"/>
      <w:bookmarkStart w:id="523" w:name="_Toc296891247"/>
      <w:bookmarkStart w:id="524" w:name="_Toc296347206"/>
      <w:bookmarkStart w:id="525" w:name="_Toc296891035"/>
      <w:bookmarkStart w:id="526" w:name="_Toc292559412"/>
      <w:r>
        <w:rPr>
          <w:rFonts w:hint="eastAsia" w:cs="宋体"/>
          <w:bCs/>
          <w:color w:val="auto"/>
          <w:sz w:val="21"/>
          <w:szCs w:val="21"/>
          <w:highlight w:val="none"/>
        </w:rPr>
        <w:t>12.2 预付款</w:t>
      </w:r>
    </w:p>
    <w:bookmarkEnd w:id="511"/>
    <w:bookmarkEnd w:id="512"/>
    <w:bookmarkEnd w:id="513"/>
    <w:bookmarkEnd w:id="514"/>
    <w:bookmarkEnd w:id="515"/>
    <w:bookmarkEnd w:id="516"/>
    <w:p w14:paraId="58460BB8">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12.2.1 预付款的支付</w:t>
      </w:r>
    </w:p>
    <w:p w14:paraId="0CC44EB3">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预付款支付比例或金额：</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37B2F7C3">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预付款支付期限：</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503D2321">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预付款扣回的方式：</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31528EFF">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12.2.2 预付款担保</w:t>
      </w:r>
    </w:p>
    <w:p w14:paraId="12801CE9">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承包人提交预付款担保的期限：</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7A3FC2FA">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预付款担保的形式为：</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bookmarkEnd w:id="517"/>
    <w:bookmarkEnd w:id="518"/>
    <w:bookmarkEnd w:id="519"/>
    <w:bookmarkEnd w:id="520"/>
    <w:bookmarkEnd w:id="521"/>
    <w:bookmarkEnd w:id="522"/>
    <w:bookmarkEnd w:id="523"/>
    <w:bookmarkEnd w:id="524"/>
    <w:bookmarkEnd w:id="525"/>
    <w:bookmarkEnd w:id="526"/>
    <w:p w14:paraId="1718BE00">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12.3 计量</w:t>
      </w:r>
    </w:p>
    <w:p w14:paraId="242325EC">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12.3.1 计量原则</w:t>
      </w:r>
    </w:p>
    <w:p w14:paraId="2A61878C">
      <w:pPr>
        <w:adjustRightInd w:val="0"/>
        <w:snapToGrid w:val="0"/>
        <w:spacing w:line="360" w:lineRule="auto"/>
        <w:ind w:firstLine="420" w:firstLineChars="200"/>
        <w:rPr>
          <w:rFonts w:cs="宋体"/>
          <w:b/>
          <w:color w:val="auto"/>
          <w:sz w:val="21"/>
          <w:szCs w:val="21"/>
          <w:highlight w:val="none"/>
        </w:rPr>
      </w:pPr>
      <w:r>
        <w:rPr>
          <w:rFonts w:hint="eastAsia" w:cs="宋体"/>
          <w:color w:val="auto"/>
          <w:sz w:val="21"/>
          <w:szCs w:val="21"/>
          <w:highlight w:val="none"/>
        </w:rPr>
        <w:t>工程量计算规则：</w:t>
      </w:r>
      <w:r>
        <w:rPr>
          <w:rFonts w:hint="eastAsia" w:cs="宋体"/>
          <w:color w:val="auto"/>
          <w:sz w:val="21"/>
          <w:szCs w:val="21"/>
          <w:highlight w:val="none"/>
          <w:u w:val="single"/>
        </w:rPr>
        <w:t>按招标工程量清单及最高投标限价所采用的工程量清单计价规范及配套文件等</w:t>
      </w:r>
      <w:r>
        <w:rPr>
          <w:rFonts w:hint="eastAsia" w:cs="宋体"/>
          <w:b/>
          <w:color w:val="auto"/>
          <w:sz w:val="21"/>
          <w:szCs w:val="21"/>
          <w:highlight w:val="none"/>
        </w:rPr>
        <w:t>。</w:t>
      </w:r>
    </w:p>
    <w:p w14:paraId="527C1F05">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12.3.2 计量周期</w:t>
      </w:r>
    </w:p>
    <w:p w14:paraId="761B5AA0">
      <w:pPr>
        <w:adjustRightInd w:val="0"/>
        <w:snapToGrid w:val="0"/>
        <w:spacing w:line="360" w:lineRule="auto"/>
        <w:ind w:firstLine="420" w:firstLineChars="200"/>
        <w:rPr>
          <w:rFonts w:cs="宋体"/>
          <w:b/>
          <w:color w:val="auto"/>
          <w:sz w:val="21"/>
          <w:szCs w:val="21"/>
          <w:highlight w:val="none"/>
        </w:rPr>
      </w:pPr>
      <w:r>
        <w:rPr>
          <w:rFonts w:hint="eastAsia" w:cs="宋体"/>
          <w:color w:val="auto"/>
          <w:sz w:val="21"/>
          <w:szCs w:val="21"/>
          <w:highlight w:val="none"/>
        </w:rPr>
        <w:t>关于计量周期的约定</w:t>
      </w:r>
      <w:r>
        <w:rPr>
          <w:rFonts w:hint="eastAsia" w:cs="宋体"/>
          <w:b/>
          <w:color w:val="auto"/>
          <w:sz w:val="21"/>
          <w:szCs w:val="21"/>
          <w:highlight w:val="none"/>
        </w:rPr>
        <w:t>：</w:t>
      </w:r>
      <w:r>
        <w:rPr>
          <w:rFonts w:hint="eastAsia" w:cs="宋体"/>
          <w:color w:val="auto"/>
          <w:sz w:val="21"/>
          <w:szCs w:val="21"/>
          <w:highlight w:val="none"/>
          <w:u w:val="single"/>
        </w:rPr>
        <w:t xml:space="preserve">  </w:t>
      </w:r>
      <w:r>
        <w:rPr>
          <w:rFonts w:hint="eastAsia" w:ascii="宋体" w:cs="宋体"/>
          <w:color w:val="auto"/>
          <w:sz w:val="21"/>
          <w:szCs w:val="21"/>
          <w:highlight w:val="none"/>
          <w:u w:val="single"/>
          <w:shd w:val="clear" w:color="auto" w:fill="auto"/>
        </w:rPr>
        <w:t xml:space="preserve">  按月计量  </w:t>
      </w:r>
      <w:r>
        <w:rPr>
          <w:rFonts w:hint="eastAsia" w:cs="宋体"/>
          <w:color w:val="auto"/>
          <w:sz w:val="21"/>
          <w:szCs w:val="21"/>
          <w:highlight w:val="none"/>
          <w:u w:val="single"/>
        </w:rPr>
        <w:t xml:space="preserve">  </w:t>
      </w:r>
      <w:r>
        <w:rPr>
          <w:rFonts w:hint="eastAsia" w:cs="宋体"/>
          <w:b/>
          <w:color w:val="auto"/>
          <w:sz w:val="21"/>
          <w:szCs w:val="21"/>
          <w:highlight w:val="none"/>
        </w:rPr>
        <w:t>。</w:t>
      </w:r>
    </w:p>
    <w:p w14:paraId="1AA17620">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12.3.3 单价合同的计量</w:t>
      </w:r>
    </w:p>
    <w:p w14:paraId="5F997947">
      <w:pPr>
        <w:snapToGrid w:val="0"/>
        <w:spacing w:line="440" w:lineRule="exact"/>
        <w:ind w:firstLine="420" w:firstLineChars="200"/>
        <w:jc w:val="left"/>
        <w:rPr>
          <w:rFonts w:hint="eastAsia" w:ascii="宋体" w:cs="宋体"/>
          <w:color w:val="auto"/>
          <w:sz w:val="21"/>
          <w:szCs w:val="21"/>
          <w:highlight w:val="none"/>
          <w:shd w:val="clear" w:color="auto" w:fill="auto"/>
        </w:rPr>
      </w:pPr>
      <w:r>
        <w:rPr>
          <w:rFonts w:hint="eastAsia" w:cs="宋体"/>
          <w:color w:val="auto"/>
          <w:sz w:val="21"/>
          <w:szCs w:val="21"/>
          <w:highlight w:val="none"/>
        </w:rPr>
        <w:t>关于单价合同计量的约定：</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cs="宋体"/>
          <w:color w:val="auto"/>
          <w:sz w:val="21"/>
          <w:szCs w:val="21"/>
          <w:highlight w:val="none"/>
          <w:u w:val="single"/>
          <w:shd w:val="clear" w:color="auto" w:fill="auto"/>
        </w:rPr>
        <w:t xml:space="preserve"> （1）承包人应在施工期间每月底向工程师提交当月已合格完成的 核对合同价(未按照专用合同条款 12.1 完成核对的，为签约合同价，下同)内已完成工程量验工月报表，已完成工程量报表和有关资料。</w:t>
      </w:r>
      <w:r>
        <w:rPr>
          <w:rFonts w:hint="eastAsia" w:ascii="宋体" w:cs="宋体"/>
          <w:color w:val="auto"/>
          <w:sz w:val="21"/>
          <w:szCs w:val="21"/>
          <w:highlight w:val="none"/>
          <w:shd w:val="clear" w:color="auto" w:fill="auto"/>
        </w:rPr>
        <w:t xml:space="preserve">  </w:t>
      </w:r>
    </w:p>
    <w:p w14:paraId="71EE1D4C">
      <w:pPr>
        <w:snapToGrid w:val="0"/>
        <w:spacing w:line="440" w:lineRule="exact"/>
        <w:ind w:firstLine="420" w:firstLineChars="200"/>
        <w:jc w:val="left"/>
        <w:rPr>
          <w:rFonts w:hint="eastAsia" w:ascii="宋体" w:cs="宋体"/>
          <w:color w:val="auto"/>
          <w:sz w:val="21"/>
          <w:szCs w:val="21"/>
          <w:highlight w:val="none"/>
          <w:u w:val="single"/>
          <w:shd w:val="clear" w:color="auto" w:fill="auto"/>
        </w:rPr>
      </w:pPr>
      <w:r>
        <w:rPr>
          <w:rFonts w:hint="eastAsia" w:ascii="宋体" w:cs="宋体"/>
          <w:color w:val="auto"/>
          <w:sz w:val="21"/>
          <w:szCs w:val="21"/>
          <w:highlight w:val="none"/>
          <w:u w:val="single"/>
          <w:shd w:val="clear" w:color="auto" w:fill="auto"/>
        </w:rPr>
        <w:t xml:space="preserve">（2）监理人及跟踪审计单位应在收到承包人提交的工程量报告后 7 天内完成对承包人提交的 工程量报表的审核并报送发包人， 以确定当月实际完成的工程量。监理人或跟踪审计单位对工程量 有异议的，有权要求承包人进行共同复核或抽样复测。承包人应协助监理人或跟踪审计单位进行复 核或抽样复测，并按监理人或跟踪审计单位要求提供补充计量资料。承包人未按监理人或跟踪审计 单位要求参加复核或抽样复测的， 监理人或跟踪审计单位复核或修正的工程量视为承包人实际完成的工程量。 </w:t>
      </w:r>
    </w:p>
    <w:p w14:paraId="17AAD2F2">
      <w:pPr>
        <w:snapToGrid w:val="0"/>
        <w:spacing w:line="440" w:lineRule="exact"/>
        <w:ind w:firstLine="420" w:firstLineChars="200"/>
        <w:jc w:val="left"/>
        <w:rPr>
          <w:rFonts w:cs="宋体"/>
          <w:color w:val="auto"/>
          <w:sz w:val="21"/>
          <w:szCs w:val="21"/>
          <w:highlight w:val="none"/>
        </w:rPr>
      </w:pPr>
      <w:r>
        <w:rPr>
          <w:rFonts w:hint="eastAsia" w:ascii="宋体" w:cs="宋体"/>
          <w:color w:val="auto"/>
          <w:sz w:val="21"/>
          <w:szCs w:val="21"/>
          <w:highlight w:val="none"/>
          <w:u w:val="single"/>
          <w:shd w:val="clear" w:color="auto" w:fill="auto"/>
        </w:rPr>
        <w:t>（3）对承包人超出设计图纸范围和因承包人原因造成返工的工程量，工程师不予计量。承包  人提交的计量报告未经监理人、跟踪审计单位及发包人确认， 不作为工程价款支付的依据。承包人 不按约定时间通知监理人、工程师及跟踪审计单位，致使相关人员未能参加计量，计量结果无效。 如施工图上无法清楚反映或无法准确计算工程量的项目， 必须在隐蔽前由监理人及跟踪审计单位现场计量，保存相关计量文档（包括照片、签字等）。</w:t>
      </w:r>
      <w:r>
        <w:rPr>
          <w:rFonts w:hint="eastAsia" w:ascii="宋体" w:cs="宋体"/>
          <w:color w:val="auto"/>
          <w:sz w:val="21"/>
          <w:szCs w:val="21"/>
          <w:highlight w:val="none"/>
          <w:shd w:val="clear" w:color="auto" w:fill="auto"/>
        </w:rPr>
        <w:t xml:space="preserve">  </w:t>
      </w:r>
    </w:p>
    <w:p w14:paraId="7AFE951A">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12.3.4 总价合同的计量</w:t>
      </w:r>
    </w:p>
    <w:p w14:paraId="0B43B12C">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关于总价合同计量的约定：</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13F54B9">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12.3.5 总价合同采用支付分解表计量支付的，是否适用第12.3.4项〔总价合同的计量〕约定进行计量：</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r>
        <w:rPr>
          <w:rFonts w:hint="eastAsia" w:cs="宋体"/>
          <w:b/>
          <w:color w:val="auto"/>
          <w:sz w:val="21"/>
          <w:szCs w:val="21"/>
          <w:highlight w:val="none"/>
        </w:rPr>
        <w:t>。</w:t>
      </w:r>
    </w:p>
    <w:p w14:paraId="0FEE18DC">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12.3.6 其他价格形式合同的计量</w:t>
      </w:r>
    </w:p>
    <w:p w14:paraId="4A607DEE">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其他价格形式的计量方式和程序：</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B88BD16">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12.4 工程进度款支付</w:t>
      </w:r>
    </w:p>
    <w:p w14:paraId="6E5CB200">
      <w:pPr>
        <w:adjustRightInd w:val="0"/>
        <w:snapToGrid w:val="0"/>
        <w:spacing w:line="360" w:lineRule="auto"/>
        <w:ind w:firstLine="420" w:firstLineChars="200"/>
        <w:rPr>
          <w:rFonts w:cs="宋体"/>
          <w:color w:val="auto"/>
          <w:sz w:val="21"/>
          <w:szCs w:val="21"/>
          <w:highlight w:val="none"/>
        </w:rPr>
      </w:pPr>
      <w:bookmarkStart w:id="527" w:name="_Toc300935006"/>
      <w:bookmarkStart w:id="528" w:name="_Toc296891039"/>
      <w:bookmarkStart w:id="529" w:name="_Toc303539163"/>
      <w:bookmarkStart w:id="530" w:name="_Toc297048397"/>
      <w:bookmarkStart w:id="531" w:name="_Toc296891251"/>
      <w:bookmarkStart w:id="532" w:name="_Toc296346712"/>
      <w:bookmarkStart w:id="533" w:name="_Toc296347210"/>
      <w:bookmarkStart w:id="534" w:name="_Toc297216215"/>
      <w:bookmarkStart w:id="535" w:name="_Toc296503211"/>
      <w:bookmarkStart w:id="536" w:name="_Toc296944550"/>
      <w:bookmarkStart w:id="537" w:name="_Toc292559921"/>
      <w:bookmarkStart w:id="538" w:name="_Toc297120511"/>
      <w:bookmarkStart w:id="539" w:name="_Toc297123556"/>
      <w:bookmarkStart w:id="540" w:name="_Toc292559416"/>
      <w:r>
        <w:rPr>
          <w:rFonts w:hint="eastAsia" w:cs="宋体"/>
          <w:color w:val="auto"/>
          <w:sz w:val="21"/>
          <w:szCs w:val="21"/>
          <w:highlight w:val="none"/>
        </w:rPr>
        <w:t>12.4.1 付款周期</w:t>
      </w:r>
    </w:p>
    <w:p w14:paraId="298DB91E">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关于付款周期的约定：</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73D2BC31">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12.4.2 进度付款申请单的编制</w:t>
      </w:r>
    </w:p>
    <w:p w14:paraId="48CB45D6">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关于进度付款申请单编制的约定：</w:t>
      </w:r>
      <w:r>
        <w:rPr>
          <w:rFonts w:hint="eastAsia" w:cs="宋体"/>
          <w:color w:val="auto"/>
          <w:sz w:val="21"/>
          <w:szCs w:val="21"/>
          <w:highlight w:val="none"/>
          <w:u w:val="single"/>
        </w:rPr>
        <w:t xml:space="preserve"> </w:t>
      </w:r>
      <w:r>
        <w:rPr>
          <w:color w:val="auto"/>
          <w:spacing w:val="-7"/>
          <w:sz w:val="21"/>
          <w:szCs w:val="21"/>
          <w:highlight w:val="none"/>
          <w:u w:val="single" w:color="auto"/>
        </w:rPr>
        <w:t>按监理要求</w:t>
      </w:r>
      <w:r>
        <w:rPr>
          <w:rFonts w:hint="eastAsia" w:cs="宋体"/>
          <w:color w:val="auto"/>
          <w:sz w:val="21"/>
          <w:szCs w:val="21"/>
          <w:highlight w:val="none"/>
          <w:u w:val="single"/>
        </w:rPr>
        <w:t xml:space="preserve">  </w:t>
      </w:r>
      <w:r>
        <w:rPr>
          <w:rFonts w:hint="eastAsia" w:cs="宋体"/>
          <w:color w:val="auto"/>
          <w:sz w:val="21"/>
          <w:szCs w:val="21"/>
          <w:highlight w:val="none"/>
        </w:rPr>
        <w:t>。</w:t>
      </w:r>
    </w:p>
    <w:p w14:paraId="0A0F3765">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Pr>
          <w:rFonts w:hint="eastAsia" w:cs="宋体"/>
          <w:color w:val="auto"/>
          <w:sz w:val="21"/>
          <w:szCs w:val="21"/>
          <w:highlight w:val="none"/>
        </w:rPr>
        <w:t>2.4.3 进度付款申请单的提交</w:t>
      </w:r>
    </w:p>
    <w:p w14:paraId="674EE74B">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（1）单价合同进度付款申请单提交的约定：</w:t>
      </w:r>
      <w:r>
        <w:rPr>
          <w:rFonts w:hint="eastAsia" w:cs="宋体"/>
          <w:color w:val="auto"/>
          <w:sz w:val="21"/>
          <w:szCs w:val="21"/>
          <w:highlight w:val="none"/>
          <w:u w:val="single"/>
        </w:rPr>
        <w:t xml:space="preserve">  </w:t>
      </w:r>
      <w:r>
        <w:rPr>
          <w:color w:val="auto"/>
          <w:spacing w:val="-7"/>
          <w:sz w:val="21"/>
          <w:szCs w:val="21"/>
          <w:highlight w:val="none"/>
          <w:u w:val="single" w:color="auto"/>
        </w:rPr>
        <w:t>按监理要求</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BE51955">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（2）总价合同进度付款申请单提交的约定：</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8CC3294">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（3）其他价格形式合同进度付款申请单提交的约定：</w:t>
      </w:r>
      <w:r>
        <w:rPr>
          <w:rFonts w:hint="eastAsia" w:cs="宋体"/>
          <w:color w:val="auto"/>
          <w:sz w:val="21"/>
          <w:szCs w:val="21"/>
          <w:highlight w:val="none"/>
          <w:u w:val="single"/>
        </w:rPr>
        <w:t xml:space="preserve">  /  </w:t>
      </w:r>
      <w:r>
        <w:rPr>
          <w:rFonts w:hint="eastAsia" w:cs="宋体"/>
          <w:color w:val="auto"/>
          <w:sz w:val="21"/>
          <w:szCs w:val="21"/>
          <w:highlight w:val="none"/>
        </w:rPr>
        <w:t>。</w:t>
      </w:r>
    </w:p>
    <w:p w14:paraId="576583FB">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12.4.4 进度款审核和支付</w:t>
      </w:r>
    </w:p>
    <w:p w14:paraId="2665448C">
      <w:pPr>
        <w:adjustRightInd w:val="0"/>
        <w:snapToGrid w:val="0"/>
        <w:spacing w:line="360" w:lineRule="auto"/>
        <w:ind w:firstLine="420" w:firstLineChars="200"/>
        <w:rPr>
          <w:rFonts w:cs="宋体"/>
          <w:b/>
          <w:color w:val="auto"/>
          <w:sz w:val="21"/>
          <w:szCs w:val="21"/>
          <w:highlight w:val="none"/>
          <w:u w:val="single"/>
        </w:rPr>
      </w:pPr>
      <w:r>
        <w:rPr>
          <w:rFonts w:hint="eastAsia" w:cs="宋体"/>
          <w:color w:val="auto"/>
          <w:sz w:val="21"/>
          <w:szCs w:val="21"/>
          <w:highlight w:val="none"/>
        </w:rPr>
        <w:t>（1）监理人审查并报送发包人的期限：</w:t>
      </w:r>
      <w:r>
        <w:rPr>
          <w:rFonts w:hint="eastAsia" w:cs="宋体"/>
          <w:color w:val="auto"/>
          <w:sz w:val="21"/>
          <w:szCs w:val="21"/>
          <w:highlight w:val="none"/>
          <w:u w:val="single"/>
        </w:rPr>
        <w:t xml:space="preserve"> </w:t>
      </w:r>
      <w:r>
        <w:rPr>
          <w:color w:val="auto"/>
          <w:spacing w:val="-5"/>
          <w:sz w:val="21"/>
          <w:szCs w:val="21"/>
          <w:highlight w:val="none"/>
          <w:u w:val="single" w:color="auto"/>
        </w:rPr>
        <w:t>执行通用条款</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F83BDCB">
      <w:pPr>
        <w:adjustRightInd w:val="0"/>
        <w:snapToGrid w:val="0"/>
        <w:spacing w:line="360" w:lineRule="auto"/>
        <w:ind w:firstLine="420" w:firstLineChars="200"/>
        <w:rPr>
          <w:rFonts w:cs="宋体"/>
          <w:b/>
          <w:color w:val="auto"/>
          <w:sz w:val="21"/>
          <w:szCs w:val="21"/>
          <w:highlight w:val="none"/>
          <w:u w:val="single"/>
        </w:rPr>
      </w:pPr>
      <w:r>
        <w:rPr>
          <w:rFonts w:hint="eastAsia" w:cs="宋体"/>
          <w:color w:val="auto"/>
          <w:sz w:val="21"/>
          <w:szCs w:val="21"/>
          <w:highlight w:val="none"/>
        </w:rPr>
        <w:t>发包人完成审批并签发进度款支付证书的期限：</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A9A6431">
      <w:pPr>
        <w:adjustRightInd w:val="0"/>
        <w:snapToGrid w:val="0"/>
        <w:spacing w:line="360" w:lineRule="auto"/>
        <w:ind w:firstLine="420" w:firstLineChars="200"/>
        <w:rPr>
          <w:rFonts w:cs="宋体"/>
          <w:b/>
          <w:color w:val="auto"/>
          <w:sz w:val="21"/>
          <w:szCs w:val="21"/>
          <w:highlight w:val="none"/>
        </w:rPr>
      </w:pPr>
      <w:r>
        <w:rPr>
          <w:rFonts w:hint="eastAsia" w:cs="宋体"/>
          <w:color w:val="auto"/>
          <w:sz w:val="21"/>
          <w:szCs w:val="21"/>
          <w:highlight w:val="none"/>
        </w:rPr>
        <w:t>（2）发包人支付进度款的期限：</w:t>
      </w:r>
      <w:r>
        <w:rPr>
          <w:rFonts w:hint="eastAsia" w:cs="宋体"/>
          <w:color w:val="auto"/>
          <w:sz w:val="21"/>
          <w:szCs w:val="21"/>
          <w:highlight w:val="none"/>
          <w:u w:val="single"/>
        </w:rPr>
        <w:t xml:space="preserve"> 发包人批准且发票送达一周内完成支付  </w:t>
      </w:r>
      <w:r>
        <w:rPr>
          <w:rFonts w:hint="eastAsia" w:cs="宋体"/>
          <w:color w:val="auto"/>
          <w:sz w:val="21"/>
          <w:szCs w:val="21"/>
          <w:highlight w:val="none"/>
        </w:rPr>
        <w:t>。</w:t>
      </w:r>
    </w:p>
    <w:p w14:paraId="2FA2F687">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发包人逾期支付进度款的违约金的计算方式</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C7A8EF6">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12.4.6 支付分解表的编制</w:t>
      </w:r>
    </w:p>
    <w:p w14:paraId="1ED88776">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（2）总价合同支付分解表的编制与审批：</w:t>
      </w:r>
      <w:r>
        <w:rPr>
          <w:rFonts w:hint="eastAsia" w:cs="宋体"/>
          <w:color w:val="auto"/>
          <w:sz w:val="21"/>
          <w:szCs w:val="21"/>
          <w:highlight w:val="none"/>
          <w:u w:val="single"/>
        </w:rPr>
        <w:t xml:space="preserve">  /  </w:t>
      </w:r>
      <w:r>
        <w:rPr>
          <w:rFonts w:hint="eastAsia" w:cs="宋体"/>
          <w:color w:val="auto"/>
          <w:sz w:val="21"/>
          <w:szCs w:val="21"/>
          <w:highlight w:val="none"/>
        </w:rPr>
        <w:t>。</w:t>
      </w:r>
    </w:p>
    <w:p w14:paraId="28D71D09">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（3）单价合同的总价项目支付分解表的编制与审批：</w:t>
      </w:r>
      <w:r>
        <w:rPr>
          <w:rFonts w:hint="eastAsia" w:cs="宋体"/>
          <w:color w:val="auto"/>
          <w:sz w:val="21"/>
          <w:szCs w:val="21"/>
          <w:highlight w:val="none"/>
          <w:u w:val="single"/>
        </w:rPr>
        <w:t xml:space="preserve">  /  </w:t>
      </w:r>
      <w:r>
        <w:rPr>
          <w:rFonts w:hint="eastAsia" w:cs="宋体"/>
          <w:color w:val="auto"/>
          <w:sz w:val="21"/>
          <w:szCs w:val="21"/>
          <w:highlight w:val="none"/>
        </w:rPr>
        <w:t>。</w:t>
      </w:r>
    </w:p>
    <w:p w14:paraId="61CE5F2C">
      <w:pPr>
        <w:adjustRightInd w:val="0"/>
        <w:snapToGrid w:val="0"/>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12.4.7 农民工工资管理</w:t>
      </w:r>
    </w:p>
    <w:p w14:paraId="625010EB">
      <w:pPr>
        <w:adjustRightInd w:val="0"/>
        <w:snapToGrid w:val="0"/>
        <w:spacing w:line="360" w:lineRule="auto"/>
        <w:ind w:firstLine="420" w:firstLineChars="200"/>
        <w:rPr>
          <w:rFonts w:cs="宋体"/>
          <w:bCs/>
          <w:color w:val="auto"/>
          <w:sz w:val="21"/>
          <w:szCs w:val="21"/>
          <w:highlight w:val="none"/>
        </w:rPr>
      </w:pPr>
      <w:r>
        <w:rPr>
          <w:rFonts w:hint="eastAsia" w:cs="宋体"/>
          <w:color w:val="auto"/>
          <w:sz w:val="21"/>
          <w:szCs w:val="21"/>
          <w:highlight w:val="none"/>
        </w:rPr>
        <w:t>（1）</w:t>
      </w:r>
      <w:r>
        <w:rPr>
          <w:rFonts w:hint="eastAsia" w:cs="宋体"/>
          <w:bCs/>
          <w:color w:val="auto"/>
          <w:sz w:val="21"/>
          <w:szCs w:val="21"/>
          <w:highlight w:val="none"/>
        </w:rPr>
        <w:t>本工程农民工工资实行专用账户管理，承包人设立的专用账户开户行为</w:t>
      </w:r>
      <w:r>
        <w:rPr>
          <w:rFonts w:hint="eastAsia" w:cs="宋体"/>
          <w:bCs/>
          <w:color w:val="auto"/>
          <w:sz w:val="21"/>
          <w:szCs w:val="21"/>
          <w:highlight w:val="none"/>
          <w:u w:val="single"/>
        </w:rPr>
        <w:t xml:space="preserve">：        </w:t>
      </w:r>
      <w:r>
        <w:rPr>
          <w:rFonts w:hint="eastAsia" w:cs="宋体"/>
          <w:bCs/>
          <w:color w:val="auto"/>
          <w:sz w:val="21"/>
          <w:szCs w:val="21"/>
          <w:highlight w:val="none"/>
        </w:rPr>
        <w:t>，账号：</w:t>
      </w:r>
      <w:r>
        <w:rPr>
          <w:rFonts w:hint="eastAsia" w:cs="宋体"/>
          <w:bCs/>
          <w:color w:val="auto"/>
          <w:sz w:val="21"/>
          <w:szCs w:val="21"/>
          <w:highlight w:val="none"/>
          <w:u w:val="single"/>
        </w:rPr>
        <w:t xml:space="preserve">              </w:t>
      </w:r>
      <w:r>
        <w:rPr>
          <w:rFonts w:hint="eastAsia" w:cs="宋体"/>
          <w:bCs/>
          <w:color w:val="auto"/>
          <w:sz w:val="21"/>
          <w:szCs w:val="21"/>
          <w:highlight w:val="none"/>
        </w:rPr>
        <w:t>;</w:t>
      </w:r>
    </w:p>
    <w:p w14:paraId="2E6D9713">
      <w:pPr>
        <w:adjustRightInd w:val="0"/>
        <w:snapToGrid w:val="0"/>
        <w:spacing w:line="360" w:lineRule="auto"/>
        <w:ind w:firstLine="420" w:firstLineChars="200"/>
        <w:rPr>
          <w:rFonts w:cs="宋体"/>
          <w:bCs/>
          <w:color w:val="auto"/>
          <w:sz w:val="21"/>
          <w:szCs w:val="21"/>
          <w:highlight w:val="none"/>
        </w:rPr>
      </w:pPr>
      <w:r>
        <w:rPr>
          <w:rFonts w:hint="eastAsia" w:cs="宋体"/>
          <w:color w:val="auto"/>
          <w:sz w:val="21"/>
          <w:szCs w:val="21"/>
          <w:highlight w:val="none"/>
        </w:rPr>
        <w:t>（2）</w:t>
      </w:r>
      <w:r>
        <w:rPr>
          <w:rFonts w:hint="eastAsia" w:cs="宋体"/>
          <w:bCs/>
          <w:color w:val="auto"/>
          <w:sz w:val="21"/>
          <w:szCs w:val="21"/>
          <w:highlight w:val="none"/>
        </w:rPr>
        <w:t>本工程工资性工程款</w:t>
      </w:r>
      <w:r>
        <w:rPr>
          <w:rFonts w:hint="eastAsia" w:cs="宋体"/>
          <w:bCs/>
          <w:color w:val="auto"/>
          <w:sz w:val="21"/>
          <w:szCs w:val="21"/>
          <w:highlight w:val="none"/>
          <w:u w:val="single"/>
        </w:rPr>
        <w:t xml:space="preserve">         </w:t>
      </w:r>
      <w:r>
        <w:rPr>
          <w:rFonts w:hint="eastAsia" w:cs="宋体"/>
          <w:bCs/>
          <w:color w:val="auto"/>
          <w:sz w:val="21"/>
          <w:szCs w:val="21"/>
          <w:highlight w:val="none"/>
        </w:rPr>
        <w:t>元。</w:t>
      </w:r>
    </w:p>
    <w:p w14:paraId="02432E36">
      <w:pPr>
        <w:adjustRightInd w:val="0"/>
        <w:snapToGrid w:val="0"/>
        <w:spacing w:line="360" w:lineRule="auto"/>
        <w:ind w:firstLine="420" w:firstLineChars="200"/>
        <w:rPr>
          <w:rFonts w:cs="宋体"/>
          <w:bCs/>
          <w:color w:val="auto"/>
          <w:sz w:val="21"/>
          <w:szCs w:val="21"/>
          <w:highlight w:val="none"/>
        </w:rPr>
      </w:pPr>
      <w:r>
        <w:rPr>
          <w:rFonts w:hint="eastAsia" w:cs="宋体"/>
          <w:color w:val="auto"/>
          <w:sz w:val="21"/>
          <w:szCs w:val="21"/>
          <w:highlight w:val="none"/>
        </w:rPr>
        <w:t>（3）</w:t>
      </w:r>
      <w:r>
        <w:rPr>
          <w:rFonts w:hint="eastAsia" w:cs="宋体"/>
          <w:bCs/>
          <w:color w:val="auto"/>
          <w:sz w:val="21"/>
          <w:szCs w:val="21"/>
          <w:highlight w:val="none"/>
        </w:rPr>
        <w:t>发包人于每月25日前将工资性工程进度款转入农民工工资专用账户。</w:t>
      </w:r>
    </w:p>
    <w:p w14:paraId="31310DC2">
      <w:pPr>
        <w:adjustRightInd w:val="0"/>
        <w:snapToGrid w:val="0"/>
        <w:spacing w:line="360" w:lineRule="auto"/>
        <w:ind w:firstLine="420" w:firstLineChars="200"/>
        <w:rPr>
          <w:rFonts w:cs="宋体"/>
          <w:bCs/>
          <w:color w:val="auto"/>
          <w:sz w:val="21"/>
          <w:szCs w:val="21"/>
          <w:highlight w:val="none"/>
        </w:rPr>
      </w:pPr>
      <w:r>
        <w:rPr>
          <w:rFonts w:hint="eastAsia" w:cs="宋体"/>
          <w:color w:val="auto"/>
          <w:sz w:val="21"/>
          <w:szCs w:val="21"/>
          <w:highlight w:val="none"/>
        </w:rPr>
        <w:t>（4）</w:t>
      </w:r>
      <w:r>
        <w:rPr>
          <w:rFonts w:hint="eastAsia" w:cs="宋体"/>
          <w:bCs/>
          <w:color w:val="auto"/>
          <w:sz w:val="21"/>
          <w:szCs w:val="21"/>
          <w:highlight w:val="none"/>
        </w:rPr>
        <w:t>承包人每月25日前上报本工程农民工工资清单，每月10日前委托开设农民工工资专用账户的银行支付农民工工资。</w:t>
      </w:r>
    </w:p>
    <w:p w14:paraId="232D6CA6">
      <w:pPr>
        <w:adjustRightInd w:val="0"/>
        <w:snapToGrid w:val="0"/>
        <w:spacing w:line="360" w:lineRule="auto"/>
        <w:ind w:firstLine="420" w:firstLineChars="200"/>
        <w:rPr>
          <w:rFonts w:cs="宋体"/>
          <w:b/>
          <w:color w:val="auto"/>
          <w:sz w:val="21"/>
          <w:szCs w:val="21"/>
          <w:highlight w:val="none"/>
        </w:rPr>
      </w:pPr>
      <w:r>
        <w:rPr>
          <w:rFonts w:hint="eastAsia" w:cs="宋体"/>
          <w:color w:val="auto"/>
          <w:sz w:val="21"/>
          <w:szCs w:val="21"/>
          <w:highlight w:val="none"/>
        </w:rPr>
        <w:t>（5）</w:t>
      </w:r>
      <w:r>
        <w:rPr>
          <w:rFonts w:hint="eastAsia" w:cs="宋体"/>
          <w:bCs/>
          <w:color w:val="auto"/>
          <w:sz w:val="21"/>
          <w:szCs w:val="21"/>
          <w:highlight w:val="none"/>
        </w:rPr>
        <w:t>工程竣工后，经项目部农民工维权组确认无农民工工资拖欠后，发、承双方办理农民工工资专用账户撤销手续，农民工工资专用账户余额划至本合同约定的承包人账户。</w:t>
      </w:r>
    </w:p>
    <w:bookmarkEnd w:id="370"/>
    <w:p w14:paraId="738EF25C">
      <w:pPr>
        <w:snapToGrid w:val="0"/>
        <w:spacing w:before="312" w:beforeLines="100" w:after="312" w:afterLines="100" w:line="360" w:lineRule="auto"/>
        <w:outlineLvl w:val="2"/>
        <w:rPr>
          <w:rFonts w:cs="宋体"/>
          <w:color w:val="auto"/>
          <w:sz w:val="21"/>
          <w:szCs w:val="21"/>
          <w:highlight w:val="none"/>
        </w:rPr>
      </w:pPr>
      <w:bookmarkStart w:id="541" w:name="_Toc351203645"/>
      <w:bookmarkStart w:id="542" w:name="_Toc297120519"/>
      <w:bookmarkStart w:id="543" w:name="_Toc296346720"/>
      <w:bookmarkStart w:id="544" w:name="_Toc296944558"/>
      <w:bookmarkStart w:id="545" w:name="_Toc297048405"/>
      <w:bookmarkStart w:id="546" w:name="_Toc292559424"/>
      <w:bookmarkStart w:id="547" w:name="_Toc292559929"/>
      <w:bookmarkStart w:id="548" w:name="_Toc312678053"/>
      <w:bookmarkStart w:id="549" w:name="_Toc297216223"/>
      <w:bookmarkStart w:id="550" w:name="_Toc296891047"/>
      <w:bookmarkStart w:id="551" w:name="_Toc296347218"/>
      <w:bookmarkStart w:id="552" w:name="_Toc296503219"/>
      <w:bookmarkStart w:id="553" w:name="_Toc303539172"/>
      <w:bookmarkStart w:id="554" w:name="_Toc300935015"/>
      <w:bookmarkStart w:id="555" w:name="_Toc297123564"/>
      <w:bookmarkStart w:id="556" w:name="_Toc296891259"/>
      <w:bookmarkStart w:id="557" w:name="_Toc304295593"/>
      <w:r>
        <w:rPr>
          <w:rFonts w:hint="eastAsia" w:cs="宋体"/>
          <w:color w:val="auto"/>
          <w:sz w:val="21"/>
          <w:szCs w:val="21"/>
          <w:highlight w:val="none"/>
        </w:rPr>
        <w:t>13. 验收和工程试车</w:t>
      </w:r>
      <w:bookmarkEnd w:id="541"/>
    </w:p>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14:paraId="728E331C">
      <w:pPr>
        <w:keepNext/>
        <w:keepLines/>
        <w:snapToGrid w:val="0"/>
        <w:spacing w:before="120" w:after="120" w:line="360" w:lineRule="auto"/>
        <w:jc w:val="left"/>
        <w:outlineLvl w:val="2"/>
        <w:rPr>
          <w:rFonts w:cs="宋体"/>
          <w:bCs/>
          <w:color w:val="auto"/>
          <w:sz w:val="21"/>
          <w:szCs w:val="21"/>
          <w:highlight w:val="none"/>
        </w:rPr>
      </w:pPr>
      <w:r>
        <w:rPr>
          <w:rFonts w:hint="eastAsia" w:cs="宋体"/>
          <w:bCs/>
          <w:color w:val="auto"/>
          <w:sz w:val="21"/>
          <w:szCs w:val="21"/>
          <w:highlight w:val="none"/>
        </w:rPr>
        <w:t>13.1 分部分项工程验收</w:t>
      </w:r>
    </w:p>
    <w:p w14:paraId="0C6DFB17">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13.1.2 监理人不能按时进行验收时，应提前</w:t>
      </w:r>
      <w:r>
        <w:rPr>
          <w:rFonts w:hint="eastAsia" w:cs="宋体"/>
          <w:color w:val="auto"/>
          <w:sz w:val="21"/>
          <w:szCs w:val="21"/>
          <w:highlight w:val="none"/>
          <w:u w:val="single"/>
        </w:rPr>
        <w:t>24</w:t>
      </w:r>
      <w:r>
        <w:rPr>
          <w:rFonts w:hint="eastAsia" w:cs="宋体"/>
          <w:color w:val="auto"/>
          <w:sz w:val="21"/>
          <w:szCs w:val="21"/>
          <w:highlight w:val="none"/>
        </w:rPr>
        <w:t>小时提交书面延期要求。</w:t>
      </w:r>
    </w:p>
    <w:p w14:paraId="02462F9B">
      <w:pPr>
        <w:adjustRightInd w:val="0"/>
        <w:snapToGrid w:val="0"/>
        <w:spacing w:line="360" w:lineRule="auto"/>
        <w:ind w:firstLine="420" w:firstLineChars="200"/>
        <w:rPr>
          <w:rFonts w:cs="宋体"/>
          <w:b/>
          <w:color w:val="auto"/>
          <w:sz w:val="21"/>
          <w:szCs w:val="21"/>
          <w:highlight w:val="none"/>
        </w:rPr>
      </w:pPr>
      <w:r>
        <w:rPr>
          <w:rFonts w:hint="eastAsia" w:cs="宋体"/>
          <w:color w:val="auto"/>
          <w:sz w:val="21"/>
          <w:szCs w:val="21"/>
          <w:highlight w:val="none"/>
        </w:rPr>
        <w:t>关于延期最长不得超过：</w:t>
      </w:r>
      <w:r>
        <w:rPr>
          <w:rFonts w:hint="eastAsia" w:cs="宋体"/>
          <w:color w:val="auto"/>
          <w:sz w:val="21"/>
          <w:szCs w:val="21"/>
          <w:highlight w:val="none"/>
          <w:u w:val="single"/>
        </w:rPr>
        <w:t>48</w:t>
      </w:r>
      <w:r>
        <w:rPr>
          <w:rFonts w:hint="eastAsia" w:cs="宋体"/>
          <w:color w:val="auto"/>
          <w:sz w:val="21"/>
          <w:szCs w:val="21"/>
          <w:highlight w:val="none"/>
        </w:rPr>
        <w:t>小时。</w:t>
      </w:r>
    </w:p>
    <w:p w14:paraId="4C9DC327">
      <w:pPr>
        <w:keepNext/>
        <w:keepLines/>
        <w:snapToGrid w:val="0"/>
        <w:spacing w:before="120" w:after="120" w:line="360" w:lineRule="auto"/>
        <w:ind w:firstLine="420" w:firstLineChars="200"/>
        <w:outlineLvl w:val="3"/>
        <w:rPr>
          <w:rFonts w:cs="宋体"/>
          <w:bCs/>
          <w:color w:val="auto"/>
          <w:sz w:val="21"/>
          <w:szCs w:val="21"/>
          <w:highlight w:val="none"/>
        </w:rPr>
      </w:pPr>
      <w:bookmarkStart w:id="558" w:name="_Toc296503223"/>
      <w:bookmarkStart w:id="559" w:name="_Toc297216224"/>
      <w:bookmarkStart w:id="560" w:name="_Toc296891263"/>
      <w:bookmarkStart w:id="561" w:name="_Toc300935016"/>
      <w:bookmarkStart w:id="562" w:name="_Toc296891051"/>
      <w:bookmarkStart w:id="563" w:name="_Toc297048409"/>
      <w:bookmarkStart w:id="564" w:name="_Toc297123565"/>
      <w:bookmarkStart w:id="565" w:name="_Toc297120523"/>
      <w:bookmarkStart w:id="566" w:name="_Toc292559933"/>
      <w:bookmarkStart w:id="567" w:name="_Toc303539173"/>
      <w:bookmarkStart w:id="568" w:name="_Toc292559428"/>
      <w:bookmarkStart w:id="569" w:name="_Toc296944562"/>
      <w:bookmarkStart w:id="570" w:name="_Toc304295596"/>
      <w:bookmarkStart w:id="571" w:name="_Toc312678056"/>
      <w:bookmarkStart w:id="572" w:name="_Toc296347222"/>
      <w:bookmarkStart w:id="573" w:name="_Toc296346724"/>
      <w:bookmarkStart w:id="574" w:name="_Toc267251472"/>
      <w:bookmarkStart w:id="575" w:name="_Toc267251475"/>
      <w:bookmarkStart w:id="576" w:name="_Toc267251470"/>
      <w:bookmarkStart w:id="577" w:name="_Toc267251474"/>
      <w:bookmarkStart w:id="578" w:name="_Toc267251476"/>
      <w:bookmarkStart w:id="579" w:name="_Toc267251471"/>
      <w:bookmarkStart w:id="580" w:name="_Toc267251473"/>
      <w:r>
        <w:rPr>
          <w:rFonts w:hint="eastAsia" w:cs="宋体"/>
          <w:bCs/>
          <w:color w:val="auto"/>
          <w:sz w:val="21"/>
          <w:szCs w:val="21"/>
          <w:highlight w:val="none"/>
        </w:rPr>
        <w:t>13.2 竣工验收</w:t>
      </w:r>
    </w:p>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14:paraId="2AEF9AE5">
      <w:pPr>
        <w:adjustRightInd w:val="0"/>
        <w:snapToGrid w:val="0"/>
        <w:spacing w:line="360" w:lineRule="auto"/>
        <w:ind w:firstLine="420" w:firstLineChars="200"/>
        <w:rPr>
          <w:rFonts w:cs="宋体"/>
          <w:color w:val="auto"/>
          <w:sz w:val="21"/>
          <w:szCs w:val="21"/>
          <w:highlight w:val="none"/>
        </w:rPr>
      </w:pPr>
      <w:bookmarkStart w:id="581" w:name="_Toc280868704"/>
      <w:bookmarkStart w:id="582" w:name="_Toc280868705"/>
      <w:bookmarkStart w:id="583" w:name="_Toc280868706"/>
      <w:bookmarkStart w:id="584" w:name="_Toc280868707"/>
      <w:bookmarkStart w:id="585" w:name="_Toc280868708"/>
      <w:bookmarkStart w:id="586" w:name="_Toc280868709"/>
      <w:r>
        <w:rPr>
          <w:rFonts w:hint="eastAsia" w:cs="宋体"/>
          <w:color w:val="auto"/>
          <w:sz w:val="21"/>
          <w:szCs w:val="21"/>
          <w:highlight w:val="none"/>
        </w:rPr>
        <w:t>13.2.2 竣工验收程序</w:t>
      </w:r>
    </w:p>
    <w:bookmarkEnd w:id="581"/>
    <w:p w14:paraId="70BF5462">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关于竣工验收程序的约定：</w:t>
      </w:r>
      <w:r>
        <w:rPr>
          <w:rFonts w:hint="eastAsia" w:cs="宋体"/>
          <w:color w:val="auto"/>
          <w:sz w:val="21"/>
          <w:szCs w:val="21"/>
          <w:highlight w:val="none"/>
          <w:u w:val="single"/>
        </w:rPr>
        <w:t>执行通用条款</w:t>
      </w:r>
      <w:r>
        <w:rPr>
          <w:rFonts w:hint="eastAsia" w:cs="宋体"/>
          <w:color w:val="auto"/>
          <w:sz w:val="21"/>
          <w:szCs w:val="21"/>
          <w:highlight w:val="none"/>
        </w:rPr>
        <w:t>。</w:t>
      </w:r>
    </w:p>
    <w:p w14:paraId="60EFDB76">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发包人不按照本项约定组织竣工验收、颁发工程接收证书的违约金的计算方法：</w:t>
      </w:r>
      <w:r>
        <w:rPr>
          <w:rFonts w:hint="eastAsia" w:cs="宋体"/>
          <w:color w:val="auto"/>
          <w:sz w:val="21"/>
          <w:szCs w:val="21"/>
          <w:highlight w:val="none"/>
          <w:u w:val="single"/>
        </w:rPr>
        <w:t>执行通用条款</w:t>
      </w:r>
      <w:r>
        <w:rPr>
          <w:rFonts w:hint="eastAsia" w:cs="宋体"/>
          <w:color w:val="auto"/>
          <w:sz w:val="21"/>
          <w:szCs w:val="21"/>
          <w:highlight w:val="none"/>
        </w:rPr>
        <w:t>。</w:t>
      </w:r>
    </w:p>
    <w:bookmarkEnd w:id="582"/>
    <w:p w14:paraId="30F0A5E3">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13.2.5 移交、接收全部与部分工程</w:t>
      </w:r>
    </w:p>
    <w:bookmarkEnd w:id="583"/>
    <w:p w14:paraId="735BFDB6">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承包人向发包人移交工程的期限：</w:t>
      </w:r>
      <w:r>
        <w:rPr>
          <w:rFonts w:hint="eastAsia" w:cs="宋体"/>
          <w:color w:val="auto"/>
          <w:sz w:val="21"/>
          <w:szCs w:val="21"/>
          <w:highlight w:val="none"/>
          <w:u w:val="single"/>
        </w:rPr>
        <w:t>颁发工程接收证书后7天内完成工程的移交</w:t>
      </w:r>
      <w:r>
        <w:rPr>
          <w:rFonts w:hint="eastAsia" w:cs="宋体"/>
          <w:color w:val="auto"/>
          <w:sz w:val="21"/>
          <w:szCs w:val="21"/>
          <w:highlight w:val="none"/>
        </w:rPr>
        <w:t>。</w:t>
      </w:r>
    </w:p>
    <w:p w14:paraId="5300DBA9">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发包人未按本合同约定接收全部或部分工程的，违约金的计算方法为：</w:t>
      </w:r>
      <w:r>
        <w:rPr>
          <w:rFonts w:hint="eastAsia" w:cs="宋体"/>
          <w:color w:val="auto"/>
          <w:sz w:val="21"/>
          <w:szCs w:val="21"/>
          <w:highlight w:val="none"/>
          <w:u w:val="single"/>
        </w:rPr>
        <w:t>发包人自应当接收工程之日起，承担工程照管、成品保护、保管等与工程有关的各项费用</w:t>
      </w:r>
      <w:r>
        <w:rPr>
          <w:rFonts w:hint="eastAsia" w:cs="宋体"/>
          <w:color w:val="auto"/>
          <w:sz w:val="21"/>
          <w:szCs w:val="21"/>
          <w:highlight w:val="none"/>
        </w:rPr>
        <w:t>。</w:t>
      </w:r>
    </w:p>
    <w:bookmarkEnd w:id="584"/>
    <w:p w14:paraId="5C36D8EE">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承包人未按时移交工程的，违约金的计算方法为：</w:t>
      </w:r>
      <w:r>
        <w:rPr>
          <w:rFonts w:hint="eastAsia" w:cs="宋体"/>
          <w:color w:val="auto"/>
          <w:sz w:val="21"/>
          <w:szCs w:val="21"/>
          <w:highlight w:val="none"/>
          <w:u w:val="single"/>
        </w:rPr>
        <w:t>承包人应承担工程照管、成品保护、保管等与工程有关的各项费用</w:t>
      </w:r>
      <w:r>
        <w:rPr>
          <w:rFonts w:hint="eastAsia" w:cs="宋体"/>
          <w:color w:val="auto"/>
          <w:sz w:val="21"/>
          <w:szCs w:val="21"/>
          <w:highlight w:val="none"/>
        </w:rPr>
        <w:t>。</w:t>
      </w:r>
    </w:p>
    <w:p w14:paraId="74673035">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13.3 工程试车</w:t>
      </w:r>
    </w:p>
    <w:bookmarkEnd w:id="585"/>
    <w:p w14:paraId="14FA08BF">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13.3.1 试车程序</w:t>
      </w:r>
    </w:p>
    <w:p w14:paraId="77BAD518">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工程试车内容：</w:t>
      </w:r>
      <w:r>
        <w:rPr>
          <w:rFonts w:hint="eastAsia" w:cs="宋体"/>
          <w:color w:val="auto"/>
          <w:sz w:val="21"/>
          <w:szCs w:val="21"/>
          <w:highlight w:val="none"/>
          <w:u w:val="single"/>
        </w:rPr>
        <w:t xml:space="preserve">    </w:t>
      </w:r>
      <w:r>
        <w:rPr>
          <w:rFonts w:hint="eastAsia" w:ascii="宋体" w:cs="宋体"/>
          <w:color w:val="auto"/>
          <w:sz w:val="21"/>
          <w:szCs w:val="21"/>
          <w:highlight w:val="none"/>
          <w:u w:val="single"/>
          <w:shd w:val="clear" w:color="auto" w:fill="auto"/>
        </w:rPr>
        <w:t xml:space="preserve"> </w:t>
      </w:r>
      <w:r>
        <w:rPr>
          <w:color w:val="auto"/>
          <w:spacing w:val="-10"/>
          <w:sz w:val="21"/>
          <w:szCs w:val="21"/>
          <w:highlight w:val="none"/>
          <w:u w:val="single" w:color="auto"/>
        </w:rPr>
        <w:t>执行通用条款</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F5AE9D7">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（1）单机无负荷试车费用由</w:t>
      </w:r>
      <w:r>
        <w:rPr>
          <w:rFonts w:hint="eastAsia" w:cs="宋体"/>
          <w:color w:val="auto"/>
          <w:sz w:val="21"/>
          <w:szCs w:val="21"/>
          <w:highlight w:val="none"/>
          <w:u w:val="single"/>
        </w:rPr>
        <w:t>试车消耗的生产性原材料由发包人承担；试车其他费用（包括试车所需水电油等费用）由承包人在投标报价中综合考虑并</w:t>
      </w:r>
      <w:r>
        <w:rPr>
          <w:rFonts w:hint="eastAsia" w:cs="宋体"/>
          <w:color w:val="auto"/>
          <w:sz w:val="21"/>
          <w:szCs w:val="21"/>
          <w:highlight w:val="none"/>
        </w:rPr>
        <w:t>承担；</w:t>
      </w:r>
    </w:p>
    <w:p w14:paraId="4213B459">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（2）无负荷联动试车费用由</w:t>
      </w:r>
      <w:r>
        <w:rPr>
          <w:rFonts w:hint="eastAsia" w:cs="宋体"/>
          <w:color w:val="auto"/>
          <w:sz w:val="21"/>
          <w:szCs w:val="21"/>
          <w:highlight w:val="none"/>
          <w:u w:val="single"/>
        </w:rPr>
        <w:t>试车消耗的生产性原材料由发包人承担；试车其他费用（包括试车所需水电油等费用）由承包人在投标报价中综合考虑并</w:t>
      </w:r>
      <w:r>
        <w:rPr>
          <w:rFonts w:hint="eastAsia" w:cs="宋体"/>
          <w:color w:val="auto"/>
          <w:sz w:val="21"/>
          <w:szCs w:val="21"/>
          <w:highlight w:val="none"/>
        </w:rPr>
        <w:t>承担。</w:t>
      </w:r>
    </w:p>
    <w:p w14:paraId="2AC5D079">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13.3.3 投料试车</w:t>
      </w:r>
    </w:p>
    <w:p w14:paraId="5EAFBCF2">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关于投料试车相关事项的约定：</w:t>
      </w:r>
      <w:r>
        <w:rPr>
          <w:rFonts w:hint="eastAsia" w:cs="宋体"/>
          <w:color w:val="auto"/>
          <w:sz w:val="21"/>
          <w:szCs w:val="21"/>
          <w:highlight w:val="none"/>
          <w:u w:val="single"/>
        </w:rPr>
        <w:t>执行通用条款</w:t>
      </w:r>
      <w:r>
        <w:rPr>
          <w:rFonts w:hint="eastAsia" w:cs="宋体"/>
          <w:color w:val="auto"/>
          <w:sz w:val="21"/>
          <w:szCs w:val="21"/>
          <w:highlight w:val="none"/>
        </w:rPr>
        <w:t>。</w:t>
      </w:r>
    </w:p>
    <w:p w14:paraId="4AA95179">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13.6 竣工退场</w:t>
      </w:r>
    </w:p>
    <w:p w14:paraId="0E2715D4">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13.6.1 竣工退场</w:t>
      </w:r>
    </w:p>
    <w:p w14:paraId="2461F010">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承包人完成竣工退场的期限：</w:t>
      </w:r>
      <w:r>
        <w:rPr>
          <w:rFonts w:hint="eastAsia" w:cs="宋体"/>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工程竣工合格后，7天内退场 </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A72247E">
      <w:pPr>
        <w:snapToGrid w:val="0"/>
        <w:spacing w:before="312" w:beforeLines="100" w:after="312" w:afterLines="100" w:line="360" w:lineRule="auto"/>
        <w:outlineLvl w:val="2"/>
        <w:rPr>
          <w:rFonts w:cs="宋体"/>
          <w:color w:val="auto"/>
          <w:sz w:val="21"/>
          <w:szCs w:val="21"/>
          <w:highlight w:val="none"/>
        </w:rPr>
      </w:pPr>
      <w:bookmarkStart w:id="587" w:name="_Toc351203646"/>
      <w:r>
        <w:rPr>
          <w:rFonts w:hint="eastAsia" w:cs="宋体"/>
          <w:color w:val="auto"/>
          <w:sz w:val="21"/>
          <w:szCs w:val="21"/>
          <w:highlight w:val="none"/>
        </w:rPr>
        <w:t>14. 竣工结算</w:t>
      </w:r>
      <w:bookmarkEnd w:id="587"/>
    </w:p>
    <w:p w14:paraId="06CC7426">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14.1 竣工结算申请</w:t>
      </w:r>
    </w:p>
    <w:p w14:paraId="2F6C7C68">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承包人提交竣工结算申请单的期限：</w:t>
      </w:r>
      <w:r>
        <w:rPr>
          <w:rFonts w:hint="eastAsia" w:cs="宋体"/>
          <w:color w:val="auto"/>
          <w:sz w:val="21"/>
          <w:szCs w:val="21"/>
          <w:highlight w:val="none"/>
          <w:u w:val="single"/>
        </w:rPr>
        <w:t>承包人应在工程竣工验收合格后28天内</w:t>
      </w:r>
      <w:r>
        <w:rPr>
          <w:rFonts w:hint="eastAsia" w:cs="宋体"/>
          <w:color w:val="auto"/>
          <w:sz w:val="21"/>
          <w:szCs w:val="21"/>
          <w:highlight w:val="none"/>
        </w:rPr>
        <w:t>。</w:t>
      </w:r>
    </w:p>
    <w:p w14:paraId="30AF58D5">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竣工结算申请单应包括的内容：</w:t>
      </w:r>
      <w:r>
        <w:rPr>
          <w:rFonts w:hint="eastAsia" w:cs="宋体"/>
          <w:color w:val="auto"/>
          <w:sz w:val="21"/>
          <w:szCs w:val="21"/>
          <w:highlight w:val="none"/>
          <w:u w:val="single"/>
        </w:rPr>
        <w:t>执行通用条款</w:t>
      </w:r>
      <w:r>
        <w:rPr>
          <w:rFonts w:hint="eastAsia" w:cs="宋体"/>
          <w:color w:val="auto"/>
          <w:sz w:val="21"/>
          <w:szCs w:val="21"/>
          <w:highlight w:val="none"/>
        </w:rPr>
        <w:t>。</w:t>
      </w:r>
    </w:p>
    <w:p w14:paraId="71F19830">
      <w:pPr>
        <w:keepNext/>
        <w:keepLines/>
        <w:pageBreakBefore w:val="0"/>
        <w:kinsoku/>
        <w:wordWrap/>
        <w:overflowPunct/>
        <w:topLinePunct w:val="0"/>
        <w:bidi w:val="0"/>
        <w:snapToGrid w:val="0"/>
        <w:spacing w:line="400" w:lineRule="exact"/>
        <w:ind w:left="0" w:leftChars="0" w:right="0" w:rightChars="0" w:firstLine="420" w:firstLineChars="200"/>
        <w:textAlignment w:val="auto"/>
        <w:outlineLvl w:val="3"/>
        <w:rPr>
          <w:rFonts w:cs="宋体"/>
          <w:bCs/>
          <w:color w:val="auto"/>
          <w:sz w:val="21"/>
          <w:szCs w:val="21"/>
          <w:highlight w:val="none"/>
        </w:rPr>
      </w:pPr>
      <w:r>
        <w:rPr>
          <w:rFonts w:hint="eastAsia" w:cs="宋体"/>
          <w:bCs/>
          <w:color w:val="auto"/>
          <w:sz w:val="21"/>
          <w:szCs w:val="21"/>
          <w:highlight w:val="none"/>
        </w:rPr>
        <w:t>14.2 竣工结算审核</w:t>
      </w:r>
    </w:p>
    <w:p w14:paraId="4C141C7B">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rPr>
      </w:pPr>
      <w:r>
        <w:rPr>
          <w:rFonts w:hint="eastAsia" w:cs="宋体"/>
          <w:color w:val="auto"/>
          <w:sz w:val="21"/>
          <w:szCs w:val="21"/>
          <w:highlight w:val="none"/>
        </w:rPr>
        <w:t>发包人审批竣工付款申请单的期限：</w:t>
      </w:r>
      <w:r>
        <w:rPr>
          <w:rFonts w:hint="eastAsia" w:ascii="宋体" w:cs="宋体"/>
          <w:color w:val="auto"/>
          <w:sz w:val="21"/>
          <w:szCs w:val="21"/>
          <w:highlight w:val="none"/>
          <w:u w:val="single"/>
          <w:shd w:val="clear" w:color="auto" w:fill="auto"/>
        </w:rPr>
        <w:t>相关部门审核通过后7天内完成审批并签发结算款支付证书</w:t>
      </w:r>
      <w:r>
        <w:rPr>
          <w:rFonts w:hint="eastAsia" w:cs="宋体"/>
          <w:color w:val="auto"/>
          <w:sz w:val="21"/>
          <w:szCs w:val="21"/>
          <w:highlight w:val="none"/>
        </w:rPr>
        <w:t>。</w:t>
      </w:r>
    </w:p>
    <w:p w14:paraId="5E17C815">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发包人完成竣工付款的期限：</w:t>
      </w:r>
      <w:r>
        <w:rPr>
          <w:rFonts w:hint="eastAsia" w:ascii="宋体" w:cs="宋体"/>
          <w:color w:val="auto"/>
          <w:sz w:val="21"/>
          <w:szCs w:val="21"/>
          <w:highlight w:val="none"/>
          <w:u w:val="single"/>
          <w:shd w:val="clear" w:color="auto" w:fill="auto"/>
        </w:rPr>
        <w:t>发包人批准且发票送达一周内完成支付</w:t>
      </w:r>
      <w:r>
        <w:rPr>
          <w:rFonts w:hint="eastAsia" w:cs="宋体"/>
          <w:color w:val="auto"/>
          <w:sz w:val="21"/>
          <w:szCs w:val="21"/>
          <w:highlight w:val="none"/>
        </w:rPr>
        <w:t>。</w:t>
      </w:r>
    </w:p>
    <w:p w14:paraId="4D219F1C">
      <w:pPr>
        <w:pageBreakBefore w:val="0"/>
        <w:kinsoku/>
        <w:wordWrap/>
        <w:overflowPunct/>
        <w:topLinePunct w:val="0"/>
        <w:bidi w:val="0"/>
        <w:adjustRightInd w:val="0"/>
        <w:snapToGrid w:val="0"/>
        <w:spacing w:line="400" w:lineRule="exact"/>
        <w:ind w:left="0" w:leftChars="0" w:right="0" w:rightChars="0" w:firstLine="420" w:firstLineChars="200"/>
        <w:textAlignment w:val="auto"/>
        <w:rPr>
          <w:rFonts w:cs="宋体"/>
          <w:color w:val="auto"/>
          <w:sz w:val="21"/>
          <w:szCs w:val="21"/>
          <w:highlight w:val="none"/>
          <w:u w:val="single"/>
        </w:rPr>
      </w:pPr>
      <w:r>
        <w:rPr>
          <w:rFonts w:hint="eastAsia" w:cs="宋体"/>
          <w:color w:val="auto"/>
          <w:sz w:val="21"/>
          <w:szCs w:val="21"/>
          <w:highlight w:val="none"/>
        </w:rPr>
        <w:t>关于竣工付款证书异议部分复核的方式和程序：</w:t>
      </w:r>
      <w:r>
        <w:rPr>
          <w:rFonts w:hint="eastAsia" w:ascii="宋体" w:cs="宋体"/>
          <w:color w:val="auto"/>
          <w:sz w:val="21"/>
          <w:szCs w:val="21"/>
          <w:highlight w:val="none"/>
          <w:u w:val="single"/>
          <w:shd w:val="clear" w:color="auto" w:fill="auto"/>
        </w:rPr>
        <w:t xml:space="preserve"> 按照第20条〔争议解决〕约定处理</w:t>
      </w:r>
      <w:r>
        <w:rPr>
          <w:rFonts w:hint="eastAsia" w:cs="宋体"/>
          <w:color w:val="auto"/>
          <w:sz w:val="21"/>
          <w:szCs w:val="21"/>
          <w:highlight w:val="none"/>
        </w:rPr>
        <w:t>。</w:t>
      </w:r>
    </w:p>
    <w:p w14:paraId="5706EF34">
      <w:pPr>
        <w:pageBreakBefore w:val="0"/>
        <w:kinsoku/>
        <w:wordWrap/>
        <w:overflowPunct/>
        <w:topLinePunct w:val="0"/>
        <w:bidi w:val="0"/>
        <w:adjustRightInd w:val="0"/>
        <w:snapToGrid w:val="0"/>
        <w:spacing w:line="400" w:lineRule="exact"/>
        <w:ind w:left="0" w:leftChars="0" w:right="0" w:rightChars="0" w:firstLine="422" w:firstLineChars="200"/>
        <w:textAlignment w:val="auto"/>
        <w:rPr>
          <w:rFonts w:hint="eastAsia" w:eastAsia="黑体" w:cs="宋体"/>
          <w:color w:val="auto"/>
          <w:sz w:val="21"/>
          <w:szCs w:val="21"/>
          <w:highlight w:val="none"/>
          <w:lang w:eastAsia="zh-CN"/>
        </w:rPr>
      </w:pPr>
      <w:r>
        <w:rPr>
          <w:rFonts w:hint="eastAsia" w:ascii="黑体" w:hAnsi="黑体" w:eastAsia="黑体" w:cs="黑体"/>
          <w:b/>
          <w:bCs/>
          <w:color w:val="auto"/>
          <w:sz w:val="21"/>
          <w:szCs w:val="21"/>
          <w:highlight w:val="none"/>
          <w:shd w:val="clear" w:color="auto" w:fill="auto"/>
        </w:rPr>
        <w:t>工程造价审减率超过3%时，将对施工单位进行处罚，处罚金额为审减率超过3%以上的报送金额的6%，由</w:t>
      </w:r>
      <w:r>
        <w:rPr>
          <w:rFonts w:hint="eastAsia" w:ascii="黑体" w:hAnsi="黑体" w:eastAsia="黑体" w:cs="黑体"/>
          <w:b/>
          <w:bCs/>
          <w:color w:val="auto"/>
          <w:sz w:val="21"/>
          <w:szCs w:val="21"/>
          <w:highlight w:val="none"/>
          <w:shd w:val="clear" w:color="auto" w:fill="auto"/>
          <w:lang w:val="en-US" w:eastAsia="zh-CN"/>
        </w:rPr>
        <w:t>发包人</w:t>
      </w:r>
      <w:r>
        <w:rPr>
          <w:rFonts w:hint="eastAsia" w:ascii="黑体" w:hAnsi="黑体" w:eastAsia="黑体" w:cs="黑体"/>
          <w:b/>
          <w:bCs/>
          <w:color w:val="auto"/>
          <w:sz w:val="21"/>
          <w:szCs w:val="21"/>
          <w:highlight w:val="none"/>
          <w:shd w:val="clear" w:color="auto" w:fill="auto"/>
        </w:rPr>
        <w:t>在定案时明确处罚金额报工程监管科落实处罚</w:t>
      </w:r>
      <w:r>
        <w:rPr>
          <w:rFonts w:hint="eastAsia" w:ascii="黑体" w:hAnsi="黑体" w:eastAsia="黑体" w:cs="黑体"/>
          <w:b/>
          <w:bCs/>
          <w:color w:val="auto"/>
          <w:sz w:val="21"/>
          <w:szCs w:val="21"/>
          <w:highlight w:val="none"/>
          <w:shd w:val="clear" w:color="auto" w:fill="auto"/>
          <w:lang w:eastAsia="zh-CN"/>
        </w:rPr>
        <w:t>。</w:t>
      </w:r>
    </w:p>
    <w:p w14:paraId="04E7593C">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14.4 最终结清</w:t>
      </w:r>
    </w:p>
    <w:p w14:paraId="036981CA">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14.4.1 最终结清申请单</w:t>
      </w:r>
    </w:p>
    <w:p w14:paraId="3DE128FC">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承包人提交最终结清申请单的份数：</w:t>
      </w:r>
      <w:r>
        <w:rPr>
          <w:rFonts w:hint="eastAsia" w:cs="宋体"/>
          <w:color w:val="auto"/>
          <w:sz w:val="21"/>
          <w:szCs w:val="21"/>
          <w:highlight w:val="none"/>
          <w:u w:val="single"/>
        </w:rPr>
        <w:t xml:space="preserve">   </w:t>
      </w:r>
      <w:r>
        <w:rPr>
          <w:color w:val="auto"/>
          <w:sz w:val="21"/>
          <w:szCs w:val="21"/>
          <w:highlight w:val="none"/>
          <w:u w:val="single" w:color="auto"/>
        </w:rPr>
        <w:t>按监理要求</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707BD43">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承包人提交最终结算申请单的期限：</w:t>
      </w:r>
      <w:r>
        <w:rPr>
          <w:rFonts w:hint="eastAsia" w:cs="宋体"/>
          <w:color w:val="auto"/>
          <w:sz w:val="21"/>
          <w:szCs w:val="21"/>
          <w:highlight w:val="none"/>
          <w:u w:val="single"/>
        </w:rPr>
        <w:t>缺陷责任期终止证书颁发后7天内</w:t>
      </w:r>
      <w:r>
        <w:rPr>
          <w:rFonts w:hint="eastAsia" w:cs="宋体"/>
          <w:color w:val="auto"/>
          <w:sz w:val="21"/>
          <w:szCs w:val="21"/>
          <w:highlight w:val="none"/>
        </w:rPr>
        <w:t xml:space="preserve">。 </w:t>
      </w:r>
    </w:p>
    <w:p w14:paraId="24BB6815">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14.4.2 最终结清证书和支付</w:t>
      </w:r>
    </w:p>
    <w:p w14:paraId="1B1E81C9">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（1）发包人完成最终结清申请单的审批并颁发最终结清证书的期限：</w:t>
      </w:r>
      <w:r>
        <w:rPr>
          <w:rFonts w:hint="eastAsia" w:cs="宋体"/>
          <w:color w:val="auto"/>
          <w:sz w:val="21"/>
          <w:szCs w:val="21"/>
          <w:highlight w:val="none"/>
          <w:u w:val="single"/>
        </w:rPr>
        <w:t>发包人应在收到监理人提交的经审核的竣工结算申请单后14天内完成审批</w:t>
      </w:r>
      <w:r>
        <w:rPr>
          <w:rFonts w:hint="eastAsia" w:cs="宋体"/>
          <w:color w:val="auto"/>
          <w:sz w:val="21"/>
          <w:szCs w:val="21"/>
          <w:highlight w:val="none"/>
        </w:rPr>
        <w:t>。</w:t>
      </w:r>
    </w:p>
    <w:p w14:paraId="6EA1095A">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（2）发包人完成支付的期限：</w:t>
      </w:r>
      <w:r>
        <w:rPr>
          <w:rFonts w:hint="eastAsia" w:cs="宋体"/>
          <w:color w:val="auto"/>
          <w:sz w:val="21"/>
          <w:szCs w:val="21"/>
          <w:highlight w:val="none"/>
          <w:u w:val="single"/>
        </w:rPr>
        <w:t>发包人应在签发竣工付款证书后的14 天内，完成对承包人的竣工付款</w:t>
      </w:r>
      <w:r>
        <w:rPr>
          <w:rFonts w:hint="eastAsia" w:cs="宋体"/>
          <w:color w:val="auto"/>
          <w:sz w:val="21"/>
          <w:szCs w:val="21"/>
          <w:highlight w:val="none"/>
        </w:rPr>
        <w:t>。</w:t>
      </w:r>
    </w:p>
    <w:bookmarkEnd w:id="574"/>
    <w:bookmarkEnd w:id="575"/>
    <w:bookmarkEnd w:id="576"/>
    <w:bookmarkEnd w:id="577"/>
    <w:bookmarkEnd w:id="578"/>
    <w:bookmarkEnd w:id="579"/>
    <w:bookmarkEnd w:id="580"/>
    <w:bookmarkEnd w:id="586"/>
    <w:p w14:paraId="6F4D8382">
      <w:pPr>
        <w:snapToGrid w:val="0"/>
        <w:spacing w:before="312" w:beforeLines="100" w:after="312" w:afterLines="100" w:line="360" w:lineRule="auto"/>
        <w:outlineLvl w:val="2"/>
        <w:rPr>
          <w:rFonts w:cs="宋体"/>
          <w:color w:val="auto"/>
          <w:sz w:val="21"/>
          <w:szCs w:val="21"/>
          <w:highlight w:val="none"/>
        </w:rPr>
      </w:pPr>
      <w:bookmarkStart w:id="588" w:name="_Toc351203647"/>
      <w:bookmarkStart w:id="589" w:name="_Toc267251483"/>
      <w:bookmarkStart w:id="590" w:name="_Toc267251484"/>
      <w:bookmarkStart w:id="591" w:name="_Toc267251482"/>
      <w:bookmarkStart w:id="592" w:name="_Toc267251485"/>
      <w:bookmarkStart w:id="593" w:name="_Toc267251486"/>
      <w:bookmarkStart w:id="594" w:name="_Toc267251488"/>
      <w:bookmarkStart w:id="595" w:name="_Toc267251490"/>
      <w:bookmarkStart w:id="596" w:name="_Toc267251489"/>
      <w:bookmarkStart w:id="597" w:name="_Toc267251491"/>
      <w:bookmarkStart w:id="598" w:name="_Toc267251496"/>
      <w:bookmarkStart w:id="599" w:name="_Toc267251492"/>
      <w:bookmarkStart w:id="600" w:name="_Toc267251494"/>
      <w:bookmarkStart w:id="601" w:name="_Toc267251495"/>
      <w:bookmarkStart w:id="602" w:name="_Toc267251493"/>
      <w:bookmarkStart w:id="603" w:name="_Toc267251502"/>
      <w:bookmarkStart w:id="604" w:name="_Toc267251498"/>
      <w:bookmarkStart w:id="605" w:name="_Toc267251503"/>
      <w:bookmarkStart w:id="606" w:name="_Toc267251501"/>
      <w:bookmarkStart w:id="607" w:name="_Toc267251499"/>
      <w:bookmarkStart w:id="608" w:name="_Toc267251497"/>
      <w:bookmarkStart w:id="609" w:name="_Toc267251504"/>
      <w:bookmarkStart w:id="610" w:name="_Toc267251506"/>
      <w:bookmarkStart w:id="611" w:name="_Toc267251507"/>
      <w:bookmarkStart w:id="612" w:name="_Toc267251508"/>
      <w:bookmarkStart w:id="613" w:name="_Toc267251510"/>
      <w:bookmarkStart w:id="614" w:name="_Toc267251515"/>
      <w:bookmarkStart w:id="615" w:name="_Toc267251509"/>
      <w:bookmarkStart w:id="616" w:name="_Toc267251514"/>
      <w:bookmarkStart w:id="617" w:name="_Toc267251513"/>
      <w:bookmarkStart w:id="618" w:name="_Toc267251511"/>
      <w:r>
        <w:rPr>
          <w:rFonts w:hint="eastAsia" w:cs="宋体"/>
          <w:color w:val="auto"/>
          <w:sz w:val="21"/>
          <w:szCs w:val="21"/>
          <w:highlight w:val="none"/>
        </w:rPr>
        <w:t>15. 缺陷责任期与保修</w:t>
      </w:r>
      <w:bookmarkEnd w:id="588"/>
    </w:p>
    <w:p w14:paraId="6E8057FB">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15.2 缺陷责任期</w:t>
      </w:r>
      <w:bookmarkEnd w:id="589"/>
    </w:p>
    <w:p w14:paraId="1597DBE5">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缺陷责任期的具体期限：</w:t>
      </w:r>
      <w:r>
        <w:rPr>
          <w:rFonts w:hint="eastAsia" w:cs="宋体"/>
          <w:color w:val="auto"/>
          <w:sz w:val="21"/>
          <w:szCs w:val="21"/>
          <w:highlight w:val="none"/>
          <w:u w:val="single"/>
        </w:rPr>
        <w:t>两年，从验收合格之日起计算</w:t>
      </w:r>
      <w:r>
        <w:rPr>
          <w:rFonts w:hint="eastAsia" w:cs="宋体"/>
          <w:color w:val="auto"/>
          <w:sz w:val="21"/>
          <w:szCs w:val="21"/>
          <w:highlight w:val="none"/>
        </w:rPr>
        <w:t>。</w:t>
      </w:r>
    </w:p>
    <w:p w14:paraId="1856F1DA">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15.3 质量保证金</w:t>
      </w:r>
    </w:p>
    <w:p w14:paraId="2AA01DBF">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关于是否扣留质量保证金的约定：</w:t>
      </w:r>
      <w:r>
        <w:rPr>
          <w:rFonts w:hint="eastAsia" w:cs="宋体"/>
          <w:color w:val="auto"/>
          <w:sz w:val="21"/>
          <w:szCs w:val="21"/>
          <w:highlight w:val="none"/>
          <w:u w:val="single"/>
        </w:rPr>
        <w:t xml:space="preserve">  </w:t>
      </w:r>
      <w:r>
        <w:rPr>
          <w:rFonts w:hint="eastAsia" w:cs="宋体"/>
          <w:color w:val="auto"/>
          <w:sz w:val="21"/>
          <w:szCs w:val="21"/>
          <w:highlight w:val="none"/>
          <w:u w:val="single"/>
          <w:lang w:eastAsia="zh-CN"/>
        </w:rPr>
        <w:t>是</w:t>
      </w:r>
      <w:r>
        <w:rPr>
          <w:rFonts w:hint="eastAsia" w:cs="宋体"/>
          <w:color w:val="auto"/>
          <w:sz w:val="21"/>
          <w:szCs w:val="21"/>
          <w:highlight w:val="none"/>
          <w:u w:val="single"/>
        </w:rPr>
        <w:t xml:space="preserve">    </w:t>
      </w:r>
      <w:r>
        <w:rPr>
          <w:rFonts w:hint="eastAsia" w:cs="宋体"/>
          <w:color w:val="auto"/>
          <w:sz w:val="21"/>
          <w:szCs w:val="21"/>
          <w:highlight w:val="none"/>
        </w:rPr>
        <w:t>。在工程项目竣工前，承包人按专用合同条款第3.7款提供履约保证金的，发包人不得同时预留工程质量保证金。</w:t>
      </w:r>
    </w:p>
    <w:p w14:paraId="525AB896">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15.3.1 承包人提供质量保证金的方式</w:t>
      </w:r>
    </w:p>
    <w:p w14:paraId="51611DC3">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质量保证金可采用以下任意一种方式：</w:t>
      </w:r>
    </w:p>
    <w:p w14:paraId="3827F1E7">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（1）由银行业金融机构、工程担保公司、保险机构出具银行保函、工程质量保险等担保方式，担保/保证金额为：</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66F0C99A">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（2）</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63B9E309">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（3）其他方式：</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16929A6E">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 xml:space="preserve">15.3.2 质量保证金的扣留 </w:t>
      </w:r>
    </w:p>
    <w:p w14:paraId="4DC15BED">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质量保证金的扣留采取以下方式：</w:t>
      </w:r>
    </w:p>
    <w:p w14:paraId="462F24B5">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（1）在支付工程进度款时逐次扣留，在此情形下，质量保证金的计算基数不包括预付款的支付、扣回以及价格调整的金额；</w:t>
      </w:r>
    </w:p>
    <w:p w14:paraId="10B69D4A">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（2）工程竣工结算时一次性扣留质量保证金；</w:t>
      </w:r>
    </w:p>
    <w:p w14:paraId="083DE720">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（3）其他扣留方式：</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BA92C16">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关于质量保证金的补充约定：</w:t>
      </w:r>
    </w:p>
    <w:p w14:paraId="51B319B9">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u w:val="single"/>
        </w:rPr>
        <w:t>①在工程项目竣工前，承包人按专用合同条款第3.7款提供履约保证金的，可在工程进入缺陷责任期时按照多退少补原则转为质量保证金；</w:t>
      </w:r>
    </w:p>
    <w:p w14:paraId="1A14E948">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u w:val="single"/>
        </w:rPr>
        <w:t>②</w:t>
      </w:r>
      <w:r>
        <w:rPr>
          <w:rFonts w:hint="eastAsia" w:ascii="宋体" w:hAnsi="宋体" w:cs="宋体"/>
          <w:color w:val="auto"/>
          <w:kern w:val="0"/>
          <w:highlight w:val="none"/>
          <w:u w:val="single"/>
        </w:rPr>
        <w:t>质量保证金支持保函（银行保函、担保机构担保、保证保险）使用。采用保函的，保函有效期须与缺陷责任期截止时间保持一致</w:t>
      </w:r>
      <w:r>
        <w:rPr>
          <w:rFonts w:hint="eastAsia" w:cs="宋体"/>
          <w:color w:val="auto"/>
          <w:kern w:val="0"/>
          <w:highlight w:val="none"/>
          <w:u w:val="single"/>
          <w:lang w:eastAsia="zh-CN"/>
        </w:rPr>
        <w:t>。</w:t>
      </w:r>
      <w:r>
        <w:rPr>
          <w:rFonts w:hint="eastAsia" w:cs="宋体"/>
          <w:color w:val="auto"/>
          <w:sz w:val="21"/>
          <w:szCs w:val="21"/>
          <w:highlight w:val="none"/>
          <w:u w:val="single"/>
        </w:rPr>
        <w:t>承包人在缺陷责任期内未履行保修义务的，缺陷责任期满经复查不合格的，质量保证金不予退还。质量缺陷较多，多次催促整改不到位，处理不及时的，发包人可动用质保金，用于工程质量整改</w:t>
      </w:r>
      <w:r>
        <w:rPr>
          <w:rFonts w:hint="eastAsia" w:cs="宋体"/>
          <w:color w:val="auto"/>
          <w:sz w:val="21"/>
          <w:szCs w:val="21"/>
          <w:highlight w:val="none"/>
        </w:rPr>
        <w:t>。</w:t>
      </w:r>
    </w:p>
    <w:bookmarkEnd w:id="590"/>
    <w:bookmarkEnd w:id="591"/>
    <w:p w14:paraId="745DF667">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15.4 保修</w:t>
      </w:r>
    </w:p>
    <w:bookmarkEnd w:id="592"/>
    <w:p w14:paraId="44C7A24E">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15.4.1 保修责任</w:t>
      </w:r>
    </w:p>
    <w:p w14:paraId="3AD92B03">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工程保修期为：</w:t>
      </w:r>
      <w:r>
        <w:rPr>
          <w:rFonts w:hint="eastAsia" w:cs="宋体"/>
          <w:color w:val="auto"/>
          <w:sz w:val="21"/>
          <w:szCs w:val="21"/>
          <w:highlight w:val="none"/>
          <w:u w:val="single"/>
        </w:rPr>
        <w:t>执行《工程质量保修书》规定</w:t>
      </w:r>
      <w:r>
        <w:rPr>
          <w:rFonts w:hint="eastAsia" w:cs="宋体"/>
          <w:color w:val="auto"/>
          <w:sz w:val="21"/>
          <w:szCs w:val="21"/>
          <w:highlight w:val="none"/>
        </w:rPr>
        <w:t>。</w:t>
      </w:r>
    </w:p>
    <w:p w14:paraId="1FCDB855">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15.4.3 修复通知</w:t>
      </w:r>
    </w:p>
    <w:p w14:paraId="0B940A23">
      <w:pPr>
        <w:snapToGrid w:val="0"/>
        <w:spacing w:line="440" w:lineRule="exact"/>
        <w:ind w:firstLine="420" w:firstLineChars="200"/>
        <w:jc w:val="left"/>
        <w:rPr>
          <w:rFonts w:hint="eastAsia" w:ascii="宋体" w:cs="宋体"/>
          <w:color w:val="auto"/>
          <w:kern w:val="0"/>
          <w:sz w:val="21"/>
          <w:szCs w:val="21"/>
          <w:highlight w:val="none"/>
          <w:u w:val="single"/>
          <w:shd w:val="clear" w:color="auto" w:fill="auto"/>
        </w:rPr>
      </w:pPr>
      <w:r>
        <w:rPr>
          <w:rFonts w:hint="eastAsia" w:cs="宋体"/>
          <w:color w:val="auto"/>
          <w:sz w:val="21"/>
          <w:szCs w:val="21"/>
          <w:highlight w:val="none"/>
        </w:rPr>
        <w:t>承包人收到保修通知并到达工程现场的合理时间：</w:t>
      </w:r>
      <w:r>
        <w:rPr>
          <w:rFonts w:hint="eastAsia" w:ascii="宋体" w:cs="宋体"/>
          <w:color w:val="auto"/>
          <w:kern w:val="0"/>
          <w:sz w:val="21"/>
          <w:szCs w:val="21"/>
          <w:highlight w:val="none"/>
          <w:u w:val="single"/>
          <w:shd w:val="clear" w:color="auto" w:fill="auto"/>
        </w:rPr>
        <w:t>自承包人收到保修通知起 24 小时内到达工程现场并修复缺陷或损坏 ，如承包人违反此规定，由发包人另行安排队伍进行修整，由此产生的费用将在承包人的质保金中扣除。事后出现漏水、漏电等情况，承包人应在 12 小时内修复 。</w:t>
      </w:r>
    </w:p>
    <w:bookmarkEnd w:id="593"/>
    <w:bookmarkEnd w:id="594"/>
    <w:bookmarkEnd w:id="595"/>
    <w:bookmarkEnd w:id="596"/>
    <w:p w14:paraId="643E5164">
      <w:pPr>
        <w:snapToGrid w:val="0"/>
        <w:spacing w:before="312" w:beforeLines="100" w:after="312" w:afterLines="100" w:line="360" w:lineRule="auto"/>
        <w:outlineLvl w:val="2"/>
        <w:rPr>
          <w:rFonts w:cs="宋体"/>
          <w:color w:val="auto"/>
          <w:sz w:val="21"/>
          <w:szCs w:val="21"/>
          <w:highlight w:val="none"/>
        </w:rPr>
      </w:pPr>
      <w:bookmarkStart w:id="619" w:name="_Toc351203648"/>
      <w:bookmarkStart w:id="620" w:name="_Toc280868717"/>
      <w:bookmarkStart w:id="621" w:name="_Toc280868718"/>
      <w:r>
        <w:rPr>
          <w:rFonts w:hint="eastAsia" w:cs="宋体"/>
          <w:color w:val="auto"/>
          <w:sz w:val="21"/>
          <w:szCs w:val="21"/>
          <w:highlight w:val="none"/>
        </w:rPr>
        <w:t>16. 违约</w:t>
      </w:r>
      <w:bookmarkEnd w:id="619"/>
    </w:p>
    <w:p w14:paraId="3B88E4F3">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16.1 发包人违约</w:t>
      </w:r>
    </w:p>
    <w:p w14:paraId="2284F5C1">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16.1.1 发包人违约的情形</w:t>
      </w:r>
    </w:p>
    <w:p w14:paraId="243FA12A">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发包人违约的其他情形：</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C2DC66D">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16.1.2 发包人违约的责任</w:t>
      </w:r>
    </w:p>
    <w:p w14:paraId="5C2C8748">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发包人违约责任的承担方式和计算方法：</w:t>
      </w:r>
    </w:p>
    <w:p w14:paraId="36F59AF1">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（1）因发包人原因未能在计划开工日期前7天内下达开工通知的违约责任：</w:t>
      </w:r>
      <w:r>
        <w:rPr>
          <w:rFonts w:hint="eastAsia" w:cs="宋体"/>
          <w:color w:val="auto"/>
          <w:sz w:val="21"/>
          <w:szCs w:val="21"/>
          <w:highlight w:val="none"/>
          <w:u w:val="single"/>
        </w:rPr>
        <w:t xml:space="preserve">  </w:t>
      </w:r>
      <w:r>
        <w:rPr>
          <w:rFonts w:hint="eastAsia" w:ascii="宋体" w:cs="宋体"/>
          <w:color w:val="auto"/>
          <w:kern w:val="0"/>
          <w:szCs w:val="21"/>
          <w:highlight w:val="none"/>
          <w:u w:val="single"/>
        </w:rPr>
        <w:t xml:space="preserve"> 对工期造成影响的可顺延工期</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1F5E79D">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（2）因发包人原因未能按合同约定支付合同价款的违约责任：</w:t>
      </w:r>
      <w:r>
        <w:rPr>
          <w:rFonts w:hint="eastAsia" w:cs="宋体"/>
          <w:color w:val="auto"/>
          <w:sz w:val="21"/>
          <w:szCs w:val="21"/>
          <w:highlight w:val="none"/>
          <w:u w:val="single"/>
        </w:rPr>
        <w:t xml:space="preserve"> </w:t>
      </w:r>
      <w:r>
        <w:rPr>
          <w:rFonts w:hint="eastAsia" w:ascii="宋体" w:cs="宋体"/>
          <w:color w:val="auto"/>
          <w:kern w:val="0"/>
          <w:szCs w:val="21"/>
          <w:highlight w:val="none"/>
          <w:u w:val="single"/>
        </w:rPr>
        <w:t>可按照中国人民银行发布的同期同类贷款基准利率支付违约金</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135F51E">
      <w:pPr>
        <w:adjustRightInd w:val="0"/>
        <w:snapToGrid w:val="0"/>
        <w:spacing w:line="360" w:lineRule="auto"/>
        <w:ind w:firstLine="420" w:firstLineChars="200"/>
        <w:rPr>
          <w:rFonts w:cs="宋体"/>
          <w:b/>
          <w:color w:val="auto"/>
          <w:sz w:val="21"/>
          <w:szCs w:val="21"/>
          <w:highlight w:val="none"/>
          <w:u w:val="single"/>
        </w:rPr>
      </w:pPr>
      <w:r>
        <w:rPr>
          <w:rFonts w:hint="eastAsia" w:cs="宋体"/>
          <w:color w:val="auto"/>
          <w:sz w:val="21"/>
          <w:szCs w:val="21"/>
          <w:highlight w:val="none"/>
        </w:rPr>
        <w:t>（3）发包人违反第10.1款〔变更的范围〕第（2）项约定，自行实施被取消的工作或转由他人实施的违约责任：</w:t>
      </w:r>
      <w:r>
        <w:rPr>
          <w:rFonts w:hint="eastAsia" w:cs="宋体"/>
          <w:color w:val="auto"/>
          <w:sz w:val="21"/>
          <w:szCs w:val="21"/>
          <w:highlight w:val="none"/>
          <w:u w:val="single"/>
        </w:rPr>
        <w:t xml:space="preserve">  </w:t>
      </w:r>
      <w:r>
        <w:rPr>
          <w:rFonts w:hint="eastAsia" w:ascii="宋体" w:cs="宋体"/>
          <w:color w:val="auto"/>
          <w:kern w:val="0"/>
          <w:szCs w:val="21"/>
          <w:highlight w:val="none"/>
          <w:u w:val="single"/>
        </w:rPr>
        <w:t xml:space="preserve"> 发包人可追加与被取消的工作造价相当的额外工作做为补偿  </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EA0FA82">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（4）发包人提供的材料、工程设备的规格、数量或质量不符合合同约定，或因发包人原因导致交货日期延误或交货地点变更等情况的违约责任：</w:t>
      </w:r>
      <w:r>
        <w:rPr>
          <w:rFonts w:hint="eastAsia" w:cs="宋体"/>
          <w:color w:val="auto"/>
          <w:sz w:val="21"/>
          <w:szCs w:val="21"/>
          <w:highlight w:val="none"/>
          <w:u w:val="single"/>
        </w:rPr>
        <w:t xml:space="preserve"> </w:t>
      </w:r>
      <w:r>
        <w:rPr>
          <w:rFonts w:hint="eastAsia" w:ascii="宋体" w:cs="宋体"/>
          <w:color w:val="auto"/>
          <w:kern w:val="0"/>
          <w:szCs w:val="21"/>
          <w:highlight w:val="none"/>
          <w:u w:val="single"/>
        </w:rPr>
        <w:t>发包人可补足或更换材料、工程设备；对工期造成延误的可以顺延；增加承包人成本的可予以补偿</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122FAE9">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（5）因发包人违反合同约定造成暂停施工的违约责任：</w:t>
      </w:r>
      <w:r>
        <w:rPr>
          <w:rFonts w:hint="eastAsia" w:cs="宋体"/>
          <w:color w:val="auto"/>
          <w:sz w:val="21"/>
          <w:szCs w:val="21"/>
          <w:highlight w:val="none"/>
          <w:u w:val="single"/>
        </w:rPr>
        <w:t xml:space="preserve">  </w:t>
      </w:r>
      <w:r>
        <w:rPr>
          <w:rFonts w:hint="eastAsia" w:ascii="宋体" w:cs="宋体"/>
          <w:color w:val="auto"/>
          <w:kern w:val="0"/>
          <w:szCs w:val="21"/>
          <w:highlight w:val="none"/>
          <w:u w:val="single"/>
        </w:rPr>
        <w:t xml:space="preserve"> 可顺延工期 </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EE31172">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（6）发包人无正当理由没有在约定期限内发出复工指示，导致承包人无法复工的违约责任：</w:t>
      </w:r>
      <w:r>
        <w:rPr>
          <w:rFonts w:hint="eastAsia" w:cs="宋体"/>
          <w:color w:val="auto"/>
          <w:sz w:val="21"/>
          <w:szCs w:val="21"/>
          <w:highlight w:val="none"/>
          <w:u w:val="single"/>
        </w:rPr>
        <w:t xml:space="preserve">   </w:t>
      </w:r>
      <w:r>
        <w:rPr>
          <w:rFonts w:hint="eastAsia" w:ascii="宋体" w:cs="宋体"/>
          <w:color w:val="auto"/>
          <w:kern w:val="0"/>
          <w:szCs w:val="21"/>
          <w:highlight w:val="none"/>
          <w:u w:val="single"/>
        </w:rPr>
        <w:t>对工期造成影响的可顺延工期</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C63F4B5">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（7）其他：</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8BC91E9">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16.1.3 因发包人违约解除合同</w:t>
      </w:r>
    </w:p>
    <w:p w14:paraId="5746F944">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承包人按16.1.1项〔发包人违约的情形〕约定暂停施工满</w:t>
      </w:r>
      <w:r>
        <w:rPr>
          <w:rFonts w:hint="eastAsia" w:cs="宋体"/>
          <w:color w:val="auto"/>
          <w:sz w:val="21"/>
          <w:szCs w:val="21"/>
          <w:highlight w:val="none"/>
          <w:u w:val="single"/>
        </w:rPr>
        <w:t>28</w:t>
      </w:r>
      <w:r>
        <w:rPr>
          <w:rFonts w:hint="eastAsia" w:cs="宋体"/>
          <w:color w:val="auto"/>
          <w:sz w:val="21"/>
          <w:szCs w:val="21"/>
          <w:highlight w:val="none"/>
        </w:rPr>
        <w:t>天后发包人仍不纠正其违约行为并致使合同目的不能实现的，承包人有权解除合同。</w:t>
      </w:r>
    </w:p>
    <w:p w14:paraId="56B500BA">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16.2 承包人违约</w:t>
      </w:r>
    </w:p>
    <w:p w14:paraId="6181ED2B">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16.2.1 承包人违约的情形</w:t>
      </w:r>
    </w:p>
    <w:p w14:paraId="51FE7A43">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承包人违约的其他情形：</w:t>
      </w:r>
      <w:r>
        <w:rPr>
          <w:rFonts w:hint="eastAsia" w:cs="宋体"/>
          <w:color w:val="auto"/>
          <w:sz w:val="21"/>
          <w:szCs w:val="21"/>
          <w:highlight w:val="none"/>
          <w:u w:val="single"/>
        </w:rPr>
        <w:t xml:space="preserve">       </w:t>
      </w:r>
      <w:r>
        <w:rPr>
          <w:rFonts w:hint="eastAsia" w:ascii="宋体" w:cs="宋体"/>
          <w:color w:val="auto"/>
          <w:kern w:val="0"/>
          <w:szCs w:val="21"/>
          <w:highlight w:val="none"/>
          <w:u w:val="single"/>
        </w:rPr>
        <w:t>执行补充条款</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12A028B">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16.2.2 承包人违约的责任</w:t>
      </w:r>
    </w:p>
    <w:p w14:paraId="14BAD40E">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承包人违约责任的承担方式和计算方法：</w:t>
      </w:r>
      <w:r>
        <w:rPr>
          <w:rFonts w:hint="eastAsia" w:cs="宋体"/>
          <w:color w:val="auto"/>
          <w:sz w:val="21"/>
          <w:szCs w:val="21"/>
          <w:highlight w:val="none"/>
          <w:u w:val="single"/>
        </w:rPr>
        <w:t xml:space="preserve">      </w:t>
      </w:r>
      <w:r>
        <w:rPr>
          <w:color w:val="auto"/>
          <w:spacing w:val="0"/>
          <w:sz w:val="21"/>
          <w:szCs w:val="21"/>
          <w:highlight w:val="none"/>
          <w:u w:val="single" w:color="auto"/>
        </w:rPr>
        <w:t>由承包人承担全部费用并承担相关法律责任</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AF27172">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16.2.3 因承包人违约解除合同</w:t>
      </w:r>
    </w:p>
    <w:p w14:paraId="4FB1EFB4">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关于承包人违约解除合同的特别约定：</w:t>
      </w:r>
      <w:r>
        <w:rPr>
          <w:rFonts w:hint="eastAsia" w:cs="宋体"/>
          <w:color w:val="auto"/>
          <w:sz w:val="21"/>
          <w:szCs w:val="21"/>
          <w:highlight w:val="none"/>
          <w:u w:val="single"/>
        </w:rPr>
        <w:t xml:space="preserve">    </w:t>
      </w:r>
      <w:r>
        <w:rPr>
          <w:color w:val="auto"/>
          <w:spacing w:val="-4"/>
          <w:sz w:val="21"/>
          <w:szCs w:val="21"/>
          <w:highlight w:val="none"/>
          <w:u w:val="single" w:color="auto"/>
        </w:rPr>
        <w:t>除专用条款约定情形外，其余执行通用条款</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0A8E1CC">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发包人继续使用承包人在施工现场的材料、设备、临时工程、承包人文件和由承包人或以其名义编制的其他文件的费用承担方式：</w:t>
      </w:r>
      <w:r>
        <w:rPr>
          <w:rFonts w:hint="eastAsia" w:cs="宋体"/>
          <w:color w:val="auto"/>
          <w:sz w:val="21"/>
          <w:szCs w:val="21"/>
          <w:highlight w:val="none"/>
          <w:u w:val="single"/>
        </w:rPr>
        <w:t xml:space="preserve">  </w:t>
      </w:r>
      <w:r>
        <w:rPr>
          <w:color w:val="auto"/>
          <w:spacing w:val="-11"/>
          <w:sz w:val="21"/>
          <w:szCs w:val="21"/>
          <w:highlight w:val="none"/>
          <w:u w:val="single" w:color="auto"/>
        </w:rPr>
        <w:t>承包人承担</w:t>
      </w:r>
      <w:r>
        <w:rPr>
          <w:color w:val="auto"/>
          <w:spacing w:val="-12"/>
          <w:sz w:val="21"/>
          <w:szCs w:val="21"/>
          <w:highlight w:val="none"/>
          <w:u w:val="single" w:color="auto"/>
        </w:rPr>
        <w:t>费用</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E133561">
      <w:pPr>
        <w:snapToGrid w:val="0"/>
        <w:spacing w:before="312" w:beforeLines="100" w:after="312" w:afterLines="100" w:line="360" w:lineRule="auto"/>
        <w:outlineLvl w:val="2"/>
        <w:rPr>
          <w:rFonts w:cs="宋体"/>
          <w:color w:val="auto"/>
          <w:sz w:val="21"/>
          <w:szCs w:val="21"/>
          <w:highlight w:val="none"/>
        </w:rPr>
      </w:pPr>
      <w:bookmarkStart w:id="622" w:name="_Toc351203649"/>
      <w:r>
        <w:rPr>
          <w:rFonts w:hint="eastAsia" w:cs="宋体"/>
          <w:color w:val="auto"/>
          <w:sz w:val="21"/>
          <w:szCs w:val="21"/>
          <w:highlight w:val="none"/>
        </w:rPr>
        <w:t>17. 不可抗力</w:t>
      </w:r>
      <w:bookmarkEnd w:id="622"/>
      <w:r>
        <w:rPr>
          <w:rFonts w:hint="eastAsia" w:cs="宋体"/>
          <w:color w:val="auto"/>
          <w:sz w:val="21"/>
          <w:szCs w:val="21"/>
          <w:highlight w:val="none"/>
        </w:rPr>
        <w:t xml:space="preserve"> </w:t>
      </w:r>
      <w:bookmarkEnd w:id="620"/>
    </w:p>
    <w:p w14:paraId="65458864">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17.1 不可抗力的确认</w:t>
      </w:r>
    </w:p>
    <w:p w14:paraId="70C7BDF3">
      <w:pPr>
        <w:adjustRightInd w:val="0"/>
        <w:snapToGrid w:val="0"/>
        <w:spacing w:line="360" w:lineRule="auto"/>
        <w:ind w:firstLine="420" w:firstLineChars="200"/>
        <w:rPr>
          <w:rFonts w:cs="宋体"/>
          <w:b/>
          <w:color w:val="auto"/>
          <w:sz w:val="21"/>
          <w:szCs w:val="21"/>
          <w:highlight w:val="none"/>
          <w:u w:val="single"/>
        </w:rPr>
      </w:pPr>
      <w:r>
        <w:rPr>
          <w:rFonts w:hint="eastAsia" w:cs="宋体"/>
          <w:color w:val="auto"/>
          <w:sz w:val="21"/>
          <w:szCs w:val="21"/>
          <w:highlight w:val="none"/>
        </w:rPr>
        <w:t>除通用合同条款约定的不可抗力事件之外，视为不可抗力的其他情形：</w:t>
      </w:r>
      <w:r>
        <w:rPr>
          <w:rFonts w:hint="eastAsia" w:cs="宋体"/>
          <w:color w:val="auto"/>
          <w:sz w:val="21"/>
          <w:szCs w:val="21"/>
          <w:highlight w:val="none"/>
          <w:u w:val="single"/>
        </w:rPr>
        <w:t>执行通用条款</w:t>
      </w:r>
      <w:r>
        <w:rPr>
          <w:rFonts w:hint="eastAsia" w:cs="宋体"/>
          <w:color w:val="auto"/>
          <w:sz w:val="21"/>
          <w:szCs w:val="21"/>
          <w:highlight w:val="none"/>
        </w:rPr>
        <w:t>。</w:t>
      </w:r>
    </w:p>
    <w:p w14:paraId="12B2135A">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17.4 因不可抗力解除合同</w:t>
      </w:r>
    </w:p>
    <w:p w14:paraId="7BFE1D45">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合同解除后，发包人应在商定或确定发包人应支付款项后</w:t>
      </w:r>
      <w:r>
        <w:rPr>
          <w:rFonts w:hint="eastAsia" w:cs="宋体"/>
          <w:color w:val="auto"/>
          <w:sz w:val="21"/>
          <w:szCs w:val="21"/>
          <w:highlight w:val="none"/>
          <w:u w:val="single"/>
        </w:rPr>
        <w:t>28</w:t>
      </w:r>
      <w:r>
        <w:rPr>
          <w:rFonts w:hint="eastAsia" w:cs="宋体"/>
          <w:color w:val="auto"/>
          <w:sz w:val="21"/>
          <w:szCs w:val="21"/>
          <w:highlight w:val="none"/>
        </w:rPr>
        <w:t>天内完成款项的支付。</w:t>
      </w:r>
    </w:p>
    <w:p w14:paraId="369E8586">
      <w:pPr>
        <w:snapToGrid w:val="0"/>
        <w:spacing w:before="312" w:beforeLines="100" w:after="312" w:afterLines="100" w:line="360" w:lineRule="auto"/>
        <w:outlineLvl w:val="2"/>
        <w:rPr>
          <w:rFonts w:cs="宋体"/>
          <w:color w:val="auto"/>
          <w:sz w:val="21"/>
          <w:szCs w:val="21"/>
          <w:highlight w:val="none"/>
        </w:rPr>
      </w:pPr>
      <w:bookmarkStart w:id="623" w:name="_Toc351203650"/>
      <w:r>
        <w:rPr>
          <w:rFonts w:hint="eastAsia" w:cs="宋体"/>
          <w:color w:val="auto"/>
          <w:sz w:val="21"/>
          <w:szCs w:val="21"/>
          <w:highlight w:val="none"/>
        </w:rPr>
        <w:t>18. 保险</w:t>
      </w:r>
      <w:bookmarkEnd w:id="623"/>
    </w:p>
    <w:bookmarkEnd w:id="621"/>
    <w:p w14:paraId="4494DD91">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18.1 工程保险</w:t>
      </w:r>
    </w:p>
    <w:p w14:paraId="22C39F34">
      <w:pPr>
        <w:adjustRightInd w:val="0"/>
        <w:snapToGrid w:val="0"/>
        <w:spacing w:line="360" w:lineRule="auto"/>
        <w:ind w:firstLine="420" w:firstLineChars="200"/>
        <w:rPr>
          <w:rFonts w:cs="宋体"/>
          <w:b/>
          <w:color w:val="auto"/>
          <w:sz w:val="21"/>
          <w:szCs w:val="21"/>
          <w:highlight w:val="none"/>
        </w:rPr>
      </w:pPr>
      <w:r>
        <w:rPr>
          <w:rFonts w:hint="eastAsia" w:cs="宋体"/>
          <w:color w:val="auto"/>
          <w:sz w:val="21"/>
          <w:szCs w:val="21"/>
          <w:highlight w:val="none"/>
        </w:rPr>
        <w:t>关于工程保险的特别约定：</w:t>
      </w:r>
      <w:r>
        <w:rPr>
          <w:rFonts w:hint="eastAsia" w:cs="宋体"/>
          <w:b/>
          <w:color w:val="auto"/>
          <w:sz w:val="21"/>
          <w:szCs w:val="21"/>
          <w:highlight w:val="none"/>
          <w:u w:val="single"/>
        </w:rPr>
        <w:t xml:space="preserve">  </w:t>
      </w:r>
      <w:r>
        <w:rPr>
          <w:rFonts w:hint="eastAsia"/>
          <w:color w:val="auto"/>
          <w:sz w:val="21"/>
          <w:szCs w:val="21"/>
          <w:highlight w:val="none"/>
          <w:u w:val="single"/>
          <w:shd w:val="clear" w:color="auto" w:fill="auto"/>
        </w:rPr>
        <w:t xml:space="preserve"> </w:t>
      </w:r>
      <w:r>
        <w:rPr>
          <w:color w:val="auto"/>
          <w:spacing w:val="-7"/>
          <w:sz w:val="21"/>
          <w:szCs w:val="21"/>
          <w:highlight w:val="none"/>
          <w:u w:val="single" w:color="auto"/>
        </w:rPr>
        <w:t>承包人自行考虑，</w:t>
      </w:r>
      <w:r>
        <w:rPr>
          <w:color w:val="auto"/>
          <w:spacing w:val="-62"/>
          <w:sz w:val="21"/>
          <w:szCs w:val="21"/>
          <w:highlight w:val="none"/>
          <w:u w:val="single" w:color="auto"/>
        </w:rPr>
        <w:t xml:space="preserve"> </w:t>
      </w:r>
      <w:r>
        <w:rPr>
          <w:color w:val="auto"/>
          <w:spacing w:val="-7"/>
          <w:sz w:val="21"/>
          <w:szCs w:val="21"/>
          <w:highlight w:val="none"/>
          <w:u w:val="single" w:color="auto"/>
        </w:rPr>
        <w:t>自行承担</w:t>
      </w:r>
      <w:r>
        <w:rPr>
          <w:rFonts w:hint="eastAsia" w:cs="宋体"/>
          <w:b/>
          <w:color w:val="auto"/>
          <w:sz w:val="21"/>
          <w:szCs w:val="21"/>
          <w:highlight w:val="none"/>
          <w:u w:val="single"/>
        </w:rPr>
        <w:t xml:space="preserve">   </w:t>
      </w:r>
      <w:r>
        <w:rPr>
          <w:rFonts w:hint="eastAsia" w:cs="宋体"/>
          <w:b/>
          <w:color w:val="auto"/>
          <w:sz w:val="21"/>
          <w:szCs w:val="21"/>
          <w:highlight w:val="none"/>
        </w:rPr>
        <w:t>。</w:t>
      </w:r>
    </w:p>
    <w:p w14:paraId="718161C9">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18.3 其他保险</w:t>
      </w:r>
    </w:p>
    <w:p w14:paraId="2D400BF1">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关于其他保险的约定：</w:t>
      </w:r>
      <w:r>
        <w:rPr>
          <w:rFonts w:hint="eastAsia" w:cs="宋体"/>
          <w:color w:val="auto"/>
          <w:sz w:val="21"/>
          <w:szCs w:val="21"/>
          <w:highlight w:val="none"/>
          <w:u w:val="single"/>
        </w:rPr>
        <w:t>承包人须为其施工现场的全部人员办理意外伤害保险并支付保险费，包括其员工及为履行合同聘请的第三方的人员</w:t>
      </w:r>
      <w:r>
        <w:rPr>
          <w:rFonts w:hint="eastAsia" w:cs="宋体"/>
          <w:color w:val="auto"/>
          <w:sz w:val="21"/>
          <w:szCs w:val="21"/>
          <w:highlight w:val="none"/>
        </w:rPr>
        <w:t>。</w:t>
      </w:r>
    </w:p>
    <w:p w14:paraId="09D79896">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承包人是否应为其施工设备等办理财产保险：</w:t>
      </w:r>
      <w:r>
        <w:rPr>
          <w:rFonts w:hint="eastAsia" w:cs="宋体"/>
          <w:color w:val="auto"/>
          <w:sz w:val="21"/>
          <w:szCs w:val="21"/>
          <w:highlight w:val="none"/>
          <w:u w:val="single"/>
        </w:rPr>
        <w:t>执行通用条款</w:t>
      </w:r>
      <w:r>
        <w:rPr>
          <w:rFonts w:hint="eastAsia" w:cs="宋体"/>
          <w:color w:val="auto"/>
          <w:sz w:val="21"/>
          <w:szCs w:val="21"/>
          <w:highlight w:val="none"/>
        </w:rPr>
        <w:t>。</w:t>
      </w:r>
    </w:p>
    <w:p w14:paraId="2B5B9518">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18.7 通知义务</w:t>
      </w:r>
    </w:p>
    <w:p w14:paraId="1ACDF475">
      <w:pPr>
        <w:adjustRightInd w:val="0"/>
        <w:snapToGrid w:val="0"/>
        <w:spacing w:line="360" w:lineRule="auto"/>
        <w:ind w:firstLine="420" w:firstLineChars="200"/>
        <w:rPr>
          <w:rFonts w:cs="宋体"/>
          <w:b/>
          <w:color w:val="auto"/>
          <w:sz w:val="21"/>
          <w:szCs w:val="21"/>
          <w:highlight w:val="none"/>
          <w:u w:val="single"/>
        </w:rPr>
      </w:pPr>
      <w:r>
        <w:rPr>
          <w:rFonts w:hint="eastAsia" w:cs="宋体"/>
          <w:color w:val="auto"/>
          <w:sz w:val="21"/>
          <w:szCs w:val="21"/>
          <w:highlight w:val="none"/>
        </w:rPr>
        <w:t>关于变更保险合同时的通知义务的约定：</w:t>
      </w:r>
      <w:r>
        <w:rPr>
          <w:rFonts w:hint="eastAsia" w:cs="宋体"/>
          <w:color w:val="auto"/>
          <w:sz w:val="21"/>
          <w:szCs w:val="21"/>
          <w:highlight w:val="none"/>
          <w:u w:val="single"/>
        </w:rPr>
        <w:t>执行通用条款</w:t>
      </w:r>
      <w:r>
        <w:rPr>
          <w:rFonts w:hint="eastAsia" w:cs="宋体"/>
          <w:color w:val="auto"/>
          <w:sz w:val="21"/>
          <w:szCs w:val="21"/>
          <w:highlight w:val="none"/>
        </w:rPr>
        <w:t>。</w:t>
      </w:r>
    </w:p>
    <w:bookmarkEnd w:id="597"/>
    <w:bookmarkEnd w:id="598"/>
    <w:bookmarkEnd w:id="599"/>
    <w:bookmarkEnd w:id="600"/>
    <w:bookmarkEnd w:id="601"/>
    <w:bookmarkEnd w:id="602"/>
    <w:bookmarkEnd w:id="603"/>
    <w:bookmarkEnd w:id="604"/>
    <w:bookmarkEnd w:id="605"/>
    <w:bookmarkEnd w:id="606"/>
    <w:bookmarkEnd w:id="607"/>
    <w:bookmarkEnd w:id="608"/>
    <w:p w14:paraId="3E4F8BA7">
      <w:pPr>
        <w:snapToGrid w:val="0"/>
        <w:spacing w:before="312" w:beforeLines="100" w:after="312" w:afterLines="100" w:line="360" w:lineRule="auto"/>
        <w:outlineLvl w:val="2"/>
        <w:rPr>
          <w:rFonts w:cs="宋体"/>
          <w:color w:val="auto"/>
          <w:sz w:val="21"/>
          <w:szCs w:val="21"/>
          <w:highlight w:val="none"/>
        </w:rPr>
      </w:pPr>
      <w:bookmarkStart w:id="624" w:name="_Toc351203651"/>
      <w:r>
        <w:rPr>
          <w:rFonts w:hint="eastAsia" w:cs="宋体"/>
          <w:color w:val="auto"/>
          <w:sz w:val="21"/>
          <w:szCs w:val="21"/>
          <w:highlight w:val="none"/>
        </w:rPr>
        <w:t>20. 争议解决</w:t>
      </w:r>
      <w:bookmarkEnd w:id="624"/>
    </w:p>
    <w:bookmarkEnd w:id="609"/>
    <w:bookmarkEnd w:id="610"/>
    <w:p w14:paraId="38A60609">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20.3 争</w:t>
      </w:r>
      <w:bookmarkEnd w:id="611"/>
      <w:r>
        <w:rPr>
          <w:rFonts w:hint="eastAsia" w:cs="宋体"/>
          <w:bCs/>
          <w:color w:val="auto"/>
          <w:sz w:val="21"/>
          <w:szCs w:val="21"/>
          <w:highlight w:val="none"/>
        </w:rPr>
        <w:t>议评审</w:t>
      </w:r>
    </w:p>
    <w:p w14:paraId="1E20BE87">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合同当事人是否同意将工程争议提交争议评审小组决定：</w:t>
      </w:r>
      <w:r>
        <w:rPr>
          <w:rFonts w:hint="eastAsia" w:cs="宋体"/>
          <w:color w:val="auto"/>
          <w:sz w:val="21"/>
          <w:szCs w:val="21"/>
          <w:highlight w:val="none"/>
          <w:u w:val="single"/>
        </w:rPr>
        <w:t xml:space="preserve">   </w:t>
      </w:r>
      <w:r>
        <w:rPr>
          <w:rFonts w:hint="eastAsia" w:ascii="宋体" w:cs="宋体"/>
          <w:color w:val="auto"/>
          <w:sz w:val="21"/>
          <w:szCs w:val="21"/>
          <w:highlight w:val="none"/>
          <w:u w:val="single"/>
          <w:shd w:val="clear" w:color="auto" w:fill="auto"/>
        </w:rPr>
        <w:t xml:space="preserve"> </w:t>
      </w:r>
      <w:r>
        <w:rPr>
          <w:color w:val="auto"/>
          <w:spacing w:val="-4"/>
          <w:sz w:val="21"/>
          <w:szCs w:val="21"/>
          <w:highlight w:val="none"/>
          <w:u w:val="single" w:color="auto"/>
        </w:rPr>
        <w:t>不采用</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A113334">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20.3.1 争议评审小组的确定</w:t>
      </w:r>
    </w:p>
    <w:p w14:paraId="168AF0A1">
      <w:pPr>
        <w:adjustRightInd w:val="0"/>
        <w:snapToGrid w:val="0"/>
        <w:spacing w:line="360" w:lineRule="auto"/>
        <w:ind w:firstLine="420" w:firstLineChars="200"/>
        <w:rPr>
          <w:rFonts w:cs="宋体"/>
          <w:color w:val="auto"/>
          <w:sz w:val="21"/>
          <w:szCs w:val="21"/>
          <w:highlight w:val="none"/>
          <w:u w:val="single"/>
        </w:rPr>
      </w:pPr>
      <w:r>
        <w:rPr>
          <w:rFonts w:hint="eastAsia" w:cs="宋体"/>
          <w:color w:val="auto"/>
          <w:sz w:val="21"/>
          <w:szCs w:val="21"/>
          <w:highlight w:val="none"/>
        </w:rPr>
        <w:t>争议评审小组成员的确定：</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50E3614">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选定争议评审员的期限：</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r>
        <w:rPr>
          <w:rFonts w:hint="eastAsia" w:cs="宋体"/>
          <w:color w:val="auto"/>
          <w:sz w:val="21"/>
          <w:szCs w:val="21"/>
          <w:highlight w:val="none"/>
        </w:rPr>
        <w:t>。</w:t>
      </w:r>
    </w:p>
    <w:p w14:paraId="064961DA">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争议评审小组成员的报酬承担方式：</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FF9F0FC">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其他事项的约定：</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D9B4142">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20.3.2 争议评审小组的决定</w:t>
      </w:r>
    </w:p>
    <w:p w14:paraId="2EFDE150">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合同当事人关于本项的约定：</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D19D088">
      <w:pPr>
        <w:keepNext/>
        <w:keepLines/>
        <w:snapToGrid w:val="0"/>
        <w:spacing w:before="120" w:after="120" w:line="360" w:lineRule="auto"/>
        <w:ind w:firstLine="420" w:firstLineChars="200"/>
        <w:outlineLvl w:val="3"/>
        <w:rPr>
          <w:rFonts w:cs="宋体"/>
          <w:bCs/>
          <w:color w:val="auto"/>
          <w:sz w:val="21"/>
          <w:szCs w:val="21"/>
          <w:highlight w:val="none"/>
        </w:rPr>
      </w:pPr>
      <w:r>
        <w:rPr>
          <w:rFonts w:hint="eastAsia" w:cs="宋体"/>
          <w:bCs/>
          <w:color w:val="auto"/>
          <w:sz w:val="21"/>
          <w:szCs w:val="21"/>
          <w:highlight w:val="none"/>
        </w:rPr>
        <w:t>20.4 仲裁或诉讼</w:t>
      </w:r>
      <w:bookmarkEnd w:id="612"/>
    </w:p>
    <w:bookmarkEnd w:id="613"/>
    <w:bookmarkEnd w:id="614"/>
    <w:bookmarkEnd w:id="615"/>
    <w:bookmarkEnd w:id="616"/>
    <w:bookmarkEnd w:id="617"/>
    <w:bookmarkEnd w:id="618"/>
    <w:p w14:paraId="3E02592C">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因合同及合同有关事项发生的争议，按下列</w:t>
      </w:r>
      <w:r>
        <w:rPr>
          <w:rFonts w:hint="eastAsia" w:cs="宋体"/>
          <w:b/>
          <w:bCs/>
          <w:color w:val="auto"/>
          <w:sz w:val="21"/>
          <w:szCs w:val="21"/>
          <w:highlight w:val="none"/>
        </w:rPr>
        <w:t>第</w:t>
      </w:r>
      <w:r>
        <w:rPr>
          <w:rFonts w:hint="eastAsia" w:cs="宋体"/>
          <w:b/>
          <w:bCs/>
          <w:color w:val="auto"/>
          <w:sz w:val="21"/>
          <w:szCs w:val="21"/>
          <w:highlight w:val="none"/>
          <w:u w:val="single"/>
        </w:rPr>
        <w:t xml:space="preserve"> </w:t>
      </w:r>
      <w:r>
        <w:rPr>
          <w:rFonts w:hint="eastAsia" w:cs="宋体"/>
          <w:b/>
          <w:bCs/>
          <w:color w:val="auto"/>
          <w:sz w:val="21"/>
          <w:szCs w:val="21"/>
          <w:highlight w:val="none"/>
          <w:u w:val="single"/>
          <w:lang w:val="en-US" w:eastAsia="zh-CN"/>
        </w:rPr>
        <w:t xml:space="preserve">1 </w:t>
      </w:r>
      <w:r>
        <w:rPr>
          <w:rFonts w:hint="eastAsia" w:cs="宋体"/>
          <w:b/>
          <w:bCs/>
          <w:color w:val="auto"/>
          <w:sz w:val="21"/>
          <w:szCs w:val="21"/>
          <w:highlight w:val="none"/>
        </w:rPr>
        <w:t>种</w:t>
      </w:r>
      <w:r>
        <w:rPr>
          <w:rFonts w:hint="eastAsia" w:cs="宋体"/>
          <w:color w:val="auto"/>
          <w:sz w:val="21"/>
          <w:szCs w:val="21"/>
          <w:highlight w:val="none"/>
        </w:rPr>
        <w:t>方式解决：</w:t>
      </w:r>
    </w:p>
    <w:p w14:paraId="61AF16C2">
      <w:pPr>
        <w:numPr>
          <w:ilvl w:val="0"/>
          <w:numId w:val="3"/>
        </w:num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向</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滁州</w:t>
      </w:r>
      <w:r>
        <w:rPr>
          <w:rFonts w:hint="eastAsia" w:cs="宋体"/>
          <w:color w:val="auto"/>
          <w:sz w:val="21"/>
          <w:szCs w:val="21"/>
          <w:highlight w:val="none"/>
          <w:u w:val="single"/>
        </w:rPr>
        <w:t xml:space="preserve"> </w:t>
      </w:r>
      <w:r>
        <w:rPr>
          <w:rFonts w:hint="eastAsia" w:cs="宋体"/>
          <w:color w:val="auto"/>
          <w:sz w:val="21"/>
          <w:szCs w:val="21"/>
          <w:highlight w:val="none"/>
        </w:rPr>
        <w:t>仲裁委员会申请仲裁；</w:t>
      </w:r>
    </w:p>
    <w:p w14:paraId="614A14BC">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（2）向</w:t>
      </w:r>
      <w:r>
        <w:rPr>
          <w:rFonts w:hint="eastAsia" w:cs="宋体"/>
          <w:color w:val="auto"/>
          <w:sz w:val="21"/>
          <w:szCs w:val="21"/>
          <w:highlight w:val="none"/>
          <w:u w:val="single"/>
        </w:rPr>
        <w:t>工程所在地</w:t>
      </w:r>
      <w:r>
        <w:rPr>
          <w:rFonts w:hint="eastAsia" w:cs="宋体"/>
          <w:color w:val="auto"/>
          <w:sz w:val="21"/>
          <w:szCs w:val="21"/>
          <w:highlight w:val="none"/>
        </w:rPr>
        <w:t>人民法院起诉。</w:t>
      </w:r>
    </w:p>
    <w:p w14:paraId="5B38A430">
      <w:pPr>
        <w:snapToGrid w:val="0"/>
        <w:spacing w:before="312" w:beforeLines="100" w:after="312" w:afterLines="100" w:line="360" w:lineRule="auto"/>
        <w:outlineLvl w:val="2"/>
        <w:rPr>
          <w:rFonts w:hint="eastAsia" w:cs="宋体"/>
          <w:color w:val="auto"/>
          <w:sz w:val="21"/>
          <w:szCs w:val="21"/>
          <w:highlight w:val="none"/>
        </w:rPr>
      </w:pPr>
      <w:r>
        <w:rPr>
          <w:rFonts w:hint="eastAsia" w:cs="宋体"/>
          <w:color w:val="auto"/>
          <w:sz w:val="21"/>
          <w:szCs w:val="21"/>
          <w:highlight w:val="none"/>
        </w:rPr>
        <w:t xml:space="preserve">21. 补充条款 </w:t>
      </w:r>
    </w:p>
    <w:p w14:paraId="73A342BE">
      <w:pPr>
        <w:snapToGrid w:val="0"/>
        <w:spacing w:before="312" w:beforeLines="100" w:after="312" w:afterLines="100" w:line="360" w:lineRule="auto"/>
        <w:outlineLvl w:val="2"/>
        <w:rPr>
          <w:rFonts w:hint="default" w:eastAsia="宋体" w:cs="宋体"/>
          <w:color w:val="auto"/>
          <w:sz w:val="21"/>
          <w:szCs w:val="21"/>
          <w:highlight w:val="none"/>
          <w:lang w:val="en-US" w:eastAsia="zh-CN"/>
        </w:rPr>
      </w:pPr>
      <w:r>
        <w:rPr>
          <w:rFonts w:hint="eastAsia" w:cs="宋体"/>
          <w:color w:val="auto"/>
          <w:sz w:val="21"/>
          <w:szCs w:val="21"/>
          <w:highlight w:val="none"/>
          <w:lang w:val="en-US" w:eastAsia="zh-CN"/>
        </w:rPr>
        <w:t>双方自行商定。</w:t>
      </w:r>
    </w:p>
    <w:p w14:paraId="785F2BF1">
      <w:pPr>
        <w:snapToGrid w:val="0"/>
        <w:spacing w:before="312" w:beforeLines="100" w:after="312" w:afterLines="100" w:line="360" w:lineRule="auto"/>
        <w:outlineLvl w:val="2"/>
        <w:rPr>
          <w:rFonts w:hint="eastAsia" w:cs="宋体"/>
          <w:color w:val="auto"/>
          <w:sz w:val="21"/>
          <w:szCs w:val="21"/>
          <w:highlight w:val="none"/>
        </w:rPr>
      </w:pPr>
    </w:p>
    <w:p w14:paraId="256D8FD4">
      <w:pPr>
        <w:snapToGrid w:val="0"/>
        <w:spacing w:before="312" w:beforeLines="100" w:after="312" w:afterLines="100" w:line="360" w:lineRule="auto"/>
        <w:outlineLvl w:val="2"/>
        <w:rPr>
          <w:rFonts w:hint="eastAsia" w:cs="宋体"/>
          <w:color w:val="auto"/>
          <w:sz w:val="21"/>
          <w:szCs w:val="21"/>
          <w:highlight w:val="none"/>
        </w:rPr>
      </w:pPr>
    </w:p>
    <w:p w14:paraId="161B81B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eastAsia="宋体" w:cs="宋体"/>
          <w:b/>
          <w:color w:val="auto"/>
          <w:sz w:val="21"/>
          <w:szCs w:val="21"/>
          <w:highlight w:val="none"/>
          <w:lang w:val="en-US" w:eastAsia="zh-CN"/>
        </w:rPr>
      </w:pPr>
    </w:p>
    <w:p w14:paraId="263E1D87">
      <w:pPr>
        <w:pStyle w:val="19"/>
        <w:rPr>
          <w:color w:val="auto"/>
          <w:highlight w:val="none"/>
        </w:rPr>
      </w:pPr>
    </w:p>
    <w:p w14:paraId="4DA46FE1">
      <w:pPr>
        <w:snapToGrid w:val="0"/>
        <w:spacing w:line="360" w:lineRule="auto"/>
        <w:rPr>
          <w:rFonts w:cs="宋体"/>
          <w:color w:val="auto"/>
          <w:sz w:val="21"/>
          <w:szCs w:val="21"/>
          <w:highlight w:val="none"/>
        </w:rPr>
      </w:pPr>
      <w:r>
        <w:rPr>
          <w:rFonts w:hint="eastAsia" w:cs="宋体"/>
          <w:color w:val="auto"/>
          <w:sz w:val="21"/>
          <w:szCs w:val="21"/>
          <w:highlight w:val="none"/>
        </w:rPr>
        <w:t>发包人：  （公章）                           承包人：  （公章）</w:t>
      </w:r>
    </w:p>
    <w:p w14:paraId="1110B631">
      <w:pPr>
        <w:snapToGrid w:val="0"/>
        <w:spacing w:line="360" w:lineRule="auto"/>
        <w:rPr>
          <w:rFonts w:cs="宋体"/>
          <w:color w:val="auto"/>
          <w:sz w:val="21"/>
          <w:szCs w:val="21"/>
          <w:highlight w:val="none"/>
        </w:rPr>
      </w:pPr>
      <w:r>
        <w:rPr>
          <w:rFonts w:hint="eastAsia" w:cs="宋体"/>
          <w:color w:val="auto"/>
          <w:sz w:val="21"/>
          <w:szCs w:val="21"/>
          <w:highlight w:val="none"/>
        </w:rPr>
        <w:t>法定代表人或其委托代理人：                 法定代表人或其委托代理人：</w:t>
      </w:r>
    </w:p>
    <w:p w14:paraId="7975D1D9">
      <w:pPr>
        <w:snapToGrid w:val="0"/>
        <w:spacing w:line="360" w:lineRule="auto"/>
        <w:rPr>
          <w:rFonts w:cs="宋体"/>
          <w:color w:val="auto"/>
          <w:sz w:val="21"/>
          <w:szCs w:val="21"/>
          <w:highlight w:val="none"/>
        </w:rPr>
      </w:pPr>
      <w:r>
        <w:rPr>
          <w:rFonts w:hint="eastAsia" w:cs="宋体"/>
          <w:color w:val="auto"/>
          <w:sz w:val="21"/>
          <w:szCs w:val="21"/>
          <w:highlight w:val="none"/>
        </w:rPr>
        <w:t>（签字）                                  （签字）</w:t>
      </w:r>
    </w:p>
    <w:p w14:paraId="25BCCDAF">
      <w:pPr>
        <w:snapToGrid w:val="0"/>
        <w:spacing w:line="360" w:lineRule="auto"/>
        <w:rPr>
          <w:rFonts w:cs="宋体"/>
          <w:color w:val="auto"/>
          <w:sz w:val="21"/>
          <w:szCs w:val="21"/>
          <w:highlight w:val="none"/>
        </w:rPr>
      </w:pPr>
      <w:r>
        <w:rPr>
          <w:rFonts w:hint="eastAsia" w:cs="宋体"/>
          <w:color w:val="auto"/>
          <w:sz w:val="21"/>
          <w:szCs w:val="21"/>
          <w:highlight w:val="none"/>
        </w:rPr>
        <w:t>组织机构代码：</w:t>
      </w:r>
      <w:r>
        <w:rPr>
          <w:rFonts w:hint="eastAsia" w:cs="宋体"/>
          <w:color w:val="auto"/>
          <w:sz w:val="21"/>
          <w:szCs w:val="21"/>
          <w:highlight w:val="none"/>
          <w:u w:val="single"/>
        </w:rPr>
        <w:t xml:space="preserve">       </w:t>
      </w:r>
      <w:r>
        <w:rPr>
          <w:rFonts w:hint="eastAsia" w:cs="宋体"/>
          <w:color w:val="auto"/>
          <w:sz w:val="21"/>
          <w:szCs w:val="21"/>
          <w:highlight w:val="none"/>
        </w:rPr>
        <w:t xml:space="preserve">                组织机构代码：</w:t>
      </w:r>
      <w:r>
        <w:rPr>
          <w:rFonts w:hint="eastAsia" w:cs="宋体"/>
          <w:color w:val="auto"/>
          <w:sz w:val="21"/>
          <w:szCs w:val="21"/>
          <w:highlight w:val="none"/>
          <w:u w:val="single"/>
        </w:rPr>
        <w:t xml:space="preserve">          </w:t>
      </w:r>
      <w:r>
        <w:rPr>
          <w:rFonts w:hint="eastAsia" w:cs="宋体"/>
          <w:color w:val="auto"/>
          <w:sz w:val="21"/>
          <w:szCs w:val="21"/>
          <w:highlight w:val="none"/>
        </w:rPr>
        <w:t xml:space="preserve"> </w:t>
      </w:r>
    </w:p>
    <w:p w14:paraId="201D02CD">
      <w:pPr>
        <w:snapToGrid w:val="0"/>
        <w:spacing w:line="360" w:lineRule="auto"/>
        <w:rPr>
          <w:rFonts w:cs="宋体"/>
          <w:color w:val="auto"/>
          <w:sz w:val="21"/>
          <w:szCs w:val="21"/>
          <w:highlight w:val="none"/>
        </w:rPr>
      </w:pPr>
      <w:r>
        <w:rPr>
          <w:rFonts w:hint="eastAsia" w:cs="宋体"/>
          <w:color w:val="auto"/>
          <w:sz w:val="21"/>
          <w:szCs w:val="21"/>
          <w:highlight w:val="none"/>
        </w:rPr>
        <w:t>地  址：</w:t>
      </w:r>
      <w:r>
        <w:rPr>
          <w:rFonts w:hint="eastAsia" w:cs="宋体"/>
          <w:color w:val="auto"/>
          <w:sz w:val="21"/>
          <w:szCs w:val="21"/>
          <w:highlight w:val="none"/>
          <w:u w:val="single"/>
        </w:rPr>
        <w:t xml:space="preserve">     </w:t>
      </w:r>
      <w:r>
        <w:rPr>
          <w:rFonts w:hint="eastAsia" w:cs="宋体"/>
          <w:color w:val="auto"/>
          <w:sz w:val="21"/>
          <w:szCs w:val="21"/>
          <w:highlight w:val="none"/>
        </w:rPr>
        <w:t xml:space="preserve">                地  址：</w:t>
      </w:r>
      <w:r>
        <w:rPr>
          <w:rFonts w:hint="eastAsia" w:cs="宋体"/>
          <w:color w:val="auto"/>
          <w:sz w:val="21"/>
          <w:szCs w:val="21"/>
          <w:highlight w:val="none"/>
          <w:u w:val="single"/>
        </w:rPr>
        <w:t xml:space="preserve">        </w:t>
      </w:r>
    </w:p>
    <w:p w14:paraId="2A2EDBCC">
      <w:pPr>
        <w:snapToGrid w:val="0"/>
        <w:spacing w:line="360" w:lineRule="auto"/>
        <w:rPr>
          <w:rFonts w:cs="宋体"/>
          <w:color w:val="auto"/>
          <w:sz w:val="21"/>
          <w:szCs w:val="21"/>
          <w:highlight w:val="none"/>
        </w:rPr>
      </w:pPr>
      <w:r>
        <w:rPr>
          <w:rFonts w:hint="eastAsia" w:cs="宋体"/>
          <w:color w:val="auto"/>
          <w:sz w:val="21"/>
          <w:szCs w:val="21"/>
          <w:highlight w:val="none"/>
        </w:rPr>
        <w:t>邮政编码：</w:t>
      </w:r>
      <w:r>
        <w:rPr>
          <w:rFonts w:hint="eastAsia" w:cs="宋体"/>
          <w:color w:val="auto"/>
          <w:sz w:val="21"/>
          <w:szCs w:val="21"/>
          <w:highlight w:val="none"/>
          <w:u w:val="single"/>
        </w:rPr>
        <w:t xml:space="preserve">      </w:t>
      </w:r>
      <w:r>
        <w:rPr>
          <w:rFonts w:hint="eastAsia" w:cs="宋体"/>
          <w:color w:val="auto"/>
          <w:sz w:val="21"/>
          <w:szCs w:val="21"/>
          <w:highlight w:val="none"/>
        </w:rPr>
        <w:t xml:space="preserve">               邮政编码：</w:t>
      </w:r>
      <w:r>
        <w:rPr>
          <w:rFonts w:hint="eastAsia" w:cs="宋体"/>
          <w:color w:val="auto"/>
          <w:sz w:val="21"/>
          <w:szCs w:val="21"/>
          <w:highlight w:val="none"/>
          <w:u w:val="single"/>
        </w:rPr>
        <w:t xml:space="preserve">   </w:t>
      </w:r>
    </w:p>
    <w:p w14:paraId="6EB6EA3A">
      <w:pPr>
        <w:snapToGrid w:val="0"/>
        <w:spacing w:line="360" w:lineRule="auto"/>
        <w:rPr>
          <w:rFonts w:cs="宋体"/>
          <w:color w:val="auto"/>
          <w:sz w:val="21"/>
          <w:szCs w:val="21"/>
          <w:highlight w:val="none"/>
        </w:rPr>
      </w:pPr>
      <w:r>
        <w:rPr>
          <w:rFonts w:hint="eastAsia" w:cs="宋体"/>
          <w:color w:val="auto"/>
          <w:sz w:val="21"/>
          <w:szCs w:val="21"/>
          <w:highlight w:val="none"/>
        </w:rPr>
        <w:t>法定代表人：</w:t>
      </w:r>
      <w:r>
        <w:rPr>
          <w:rFonts w:hint="eastAsia" w:cs="宋体"/>
          <w:color w:val="auto"/>
          <w:sz w:val="21"/>
          <w:szCs w:val="21"/>
          <w:highlight w:val="none"/>
          <w:u w:val="single"/>
        </w:rPr>
        <w:t xml:space="preserve">           </w:t>
      </w:r>
      <w:r>
        <w:rPr>
          <w:rFonts w:hint="eastAsia" w:cs="宋体"/>
          <w:color w:val="auto"/>
          <w:sz w:val="21"/>
          <w:szCs w:val="21"/>
          <w:highlight w:val="none"/>
        </w:rPr>
        <w:t xml:space="preserve">                法定代表人：</w:t>
      </w:r>
      <w:r>
        <w:rPr>
          <w:rFonts w:hint="eastAsia" w:cs="宋体"/>
          <w:color w:val="auto"/>
          <w:sz w:val="21"/>
          <w:szCs w:val="21"/>
          <w:highlight w:val="none"/>
          <w:u w:val="single"/>
        </w:rPr>
        <w:t xml:space="preserve">             </w:t>
      </w:r>
    </w:p>
    <w:p w14:paraId="1920CDB0">
      <w:pPr>
        <w:snapToGrid w:val="0"/>
        <w:spacing w:line="360" w:lineRule="auto"/>
        <w:rPr>
          <w:rFonts w:cs="宋体"/>
          <w:color w:val="auto"/>
          <w:sz w:val="21"/>
          <w:szCs w:val="21"/>
          <w:highlight w:val="none"/>
        </w:rPr>
      </w:pPr>
      <w:r>
        <w:rPr>
          <w:rFonts w:hint="eastAsia" w:cs="宋体"/>
          <w:color w:val="auto"/>
          <w:sz w:val="21"/>
          <w:szCs w:val="21"/>
          <w:highlight w:val="none"/>
        </w:rPr>
        <w:t>委托代理人：</w:t>
      </w:r>
      <w:r>
        <w:rPr>
          <w:rFonts w:hint="eastAsia" w:cs="宋体"/>
          <w:color w:val="auto"/>
          <w:sz w:val="21"/>
          <w:szCs w:val="21"/>
          <w:highlight w:val="none"/>
          <w:u w:val="single"/>
        </w:rPr>
        <w:t xml:space="preserve">           </w:t>
      </w:r>
      <w:r>
        <w:rPr>
          <w:rFonts w:hint="eastAsia" w:cs="宋体"/>
          <w:color w:val="auto"/>
          <w:sz w:val="21"/>
          <w:szCs w:val="21"/>
          <w:highlight w:val="none"/>
        </w:rPr>
        <w:t xml:space="preserve">                委托代理人：</w:t>
      </w:r>
      <w:r>
        <w:rPr>
          <w:rFonts w:hint="eastAsia" w:cs="宋体"/>
          <w:color w:val="auto"/>
          <w:sz w:val="21"/>
          <w:szCs w:val="21"/>
          <w:highlight w:val="none"/>
          <w:u w:val="single"/>
        </w:rPr>
        <w:t xml:space="preserve">             </w:t>
      </w:r>
    </w:p>
    <w:p w14:paraId="5C845E66">
      <w:pPr>
        <w:snapToGrid w:val="0"/>
        <w:spacing w:line="360" w:lineRule="auto"/>
        <w:rPr>
          <w:rFonts w:cs="宋体"/>
          <w:color w:val="auto"/>
          <w:sz w:val="21"/>
          <w:szCs w:val="21"/>
          <w:highlight w:val="none"/>
        </w:rPr>
      </w:pPr>
      <w:r>
        <w:rPr>
          <w:rFonts w:hint="eastAsia" w:cs="宋体"/>
          <w:color w:val="auto"/>
          <w:sz w:val="21"/>
          <w:szCs w:val="21"/>
          <w:highlight w:val="none"/>
        </w:rPr>
        <w:t>电  话：</w:t>
      </w:r>
      <w:r>
        <w:rPr>
          <w:rFonts w:hint="eastAsia" w:cs="宋体"/>
          <w:color w:val="auto"/>
          <w:sz w:val="21"/>
          <w:szCs w:val="21"/>
          <w:highlight w:val="none"/>
          <w:u w:val="single"/>
        </w:rPr>
        <w:t xml:space="preserve">   </w:t>
      </w:r>
      <w:r>
        <w:rPr>
          <w:rFonts w:hint="eastAsia" w:cs="宋体"/>
          <w:color w:val="auto"/>
          <w:sz w:val="21"/>
          <w:szCs w:val="21"/>
          <w:highlight w:val="none"/>
        </w:rPr>
        <w:t xml:space="preserve">                电  话：</w:t>
      </w:r>
      <w:r>
        <w:rPr>
          <w:rFonts w:hint="eastAsia" w:cs="宋体"/>
          <w:color w:val="auto"/>
          <w:sz w:val="21"/>
          <w:szCs w:val="21"/>
          <w:highlight w:val="none"/>
          <w:u w:val="single"/>
        </w:rPr>
        <w:t xml:space="preserve">     </w:t>
      </w:r>
    </w:p>
    <w:p w14:paraId="1203A78F">
      <w:pPr>
        <w:snapToGrid w:val="0"/>
        <w:spacing w:line="360" w:lineRule="auto"/>
        <w:rPr>
          <w:rFonts w:cs="宋体"/>
          <w:color w:val="auto"/>
          <w:sz w:val="21"/>
          <w:szCs w:val="21"/>
          <w:highlight w:val="none"/>
        </w:rPr>
      </w:pPr>
      <w:r>
        <w:rPr>
          <w:rFonts w:hint="eastAsia" w:cs="宋体"/>
          <w:color w:val="auto"/>
          <w:sz w:val="21"/>
          <w:szCs w:val="21"/>
          <w:highlight w:val="none"/>
        </w:rPr>
        <w:t>传  真：</w:t>
      </w:r>
      <w:r>
        <w:rPr>
          <w:rFonts w:hint="eastAsia" w:cs="宋体"/>
          <w:color w:val="auto"/>
          <w:sz w:val="21"/>
          <w:szCs w:val="21"/>
          <w:highlight w:val="none"/>
          <w:u w:val="single"/>
        </w:rPr>
        <w:t xml:space="preserve">   </w:t>
      </w:r>
      <w:r>
        <w:rPr>
          <w:rFonts w:hint="eastAsia" w:cs="宋体"/>
          <w:color w:val="auto"/>
          <w:sz w:val="21"/>
          <w:szCs w:val="21"/>
          <w:highlight w:val="none"/>
        </w:rPr>
        <w:t xml:space="preserve">                传  真：</w:t>
      </w:r>
      <w:r>
        <w:rPr>
          <w:rFonts w:hint="eastAsia" w:cs="宋体"/>
          <w:color w:val="auto"/>
          <w:sz w:val="21"/>
          <w:szCs w:val="21"/>
          <w:highlight w:val="none"/>
          <w:u w:val="single"/>
        </w:rPr>
        <w:t xml:space="preserve">     </w:t>
      </w:r>
    </w:p>
    <w:p w14:paraId="319C8BF3">
      <w:pPr>
        <w:snapToGrid w:val="0"/>
        <w:spacing w:line="360" w:lineRule="auto"/>
        <w:rPr>
          <w:rFonts w:cs="宋体"/>
          <w:color w:val="auto"/>
          <w:sz w:val="21"/>
          <w:szCs w:val="21"/>
          <w:highlight w:val="none"/>
        </w:rPr>
      </w:pPr>
      <w:r>
        <w:rPr>
          <w:rFonts w:hint="eastAsia" w:cs="宋体"/>
          <w:color w:val="auto"/>
          <w:sz w:val="21"/>
          <w:szCs w:val="21"/>
          <w:highlight w:val="none"/>
        </w:rPr>
        <w:t>电子信箱：</w:t>
      </w:r>
      <w:r>
        <w:rPr>
          <w:rFonts w:hint="eastAsia" w:cs="宋体"/>
          <w:color w:val="auto"/>
          <w:sz w:val="21"/>
          <w:szCs w:val="21"/>
          <w:highlight w:val="none"/>
          <w:u w:val="single"/>
        </w:rPr>
        <w:t xml:space="preserve">                 </w:t>
      </w:r>
      <w:r>
        <w:rPr>
          <w:rFonts w:hint="eastAsia" w:cs="宋体"/>
          <w:color w:val="auto"/>
          <w:sz w:val="21"/>
          <w:szCs w:val="21"/>
          <w:highlight w:val="none"/>
        </w:rPr>
        <w:t xml:space="preserve">                电子信箱：</w:t>
      </w:r>
      <w:r>
        <w:rPr>
          <w:rFonts w:hint="eastAsia" w:cs="宋体"/>
          <w:color w:val="auto"/>
          <w:sz w:val="21"/>
          <w:szCs w:val="21"/>
          <w:highlight w:val="none"/>
          <w:u w:val="single"/>
        </w:rPr>
        <w:t xml:space="preserve">   </w:t>
      </w:r>
    </w:p>
    <w:p w14:paraId="3033DA87">
      <w:pPr>
        <w:snapToGrid w:val="0"/>
        <w:spacing w:line="360" w:lineRule="auto"/>
        <w:rPr>
          <w:rFonts w:cs="宋体"/>
          <w:color w:val="auto"/>
          <w:sz w:val="21"/>
          <w:szCs w:val="21"/>
          <w:highlight w:val="none"/>
        </w:rPr>
      </w:pPr>
      <w:r>
        <w:rPr>
          <w:rFonts w:hint="eastAsia" w:cs="宋体"/>
          <w:color w:val="auto"/>
          <w:sz w:val="21"/>
          <w:szCs w:val="21"/>
          <w:highlight w:val="none"/>
        </w:rPr>
        <w:t>开户银行：</w:t>
      </w:r>
      <w:r>
        <w:rPr>
          <w:rFonts w:hint="eastAsia" w:cs="宋体"/>
          <w:color w:val="auto"/>
          <w:sz w:val="21"/>
          <w:szCs w:val="21"/>
          <w:highlight w:val="none"/>
          <w:u w:val="single"/>
        </w:rPr>
        <w:t xml:space="preserve">   </w:t>
      </w:r>
      <w:r>
        <w:rPr>
          <w:rFonts w:hint="eastAsia" w:cs="宋体"/>
          <w:color w:val="auto"/>
          <w:sz w:val="21"/>
          <w:szCs w:val="21"/>
          <w:highlight w:val="none"/>
        </w:rPr>
        <w:t xml:space="preserve">                开户银行：</w:t>
      </w:r>
      <w:r>
        <w:rPr>
          <w:rFonts w:hint="eastAsia" w:cs="宋体"/>
          <w:color w:val="auto"/>
          <w:sz w:val="21"/>
          <w:szCs w:val="21"/>
          <w:highlight w:val="none"/>
          <w:u w:val="single"/>
        </w:rPr>
        <w:t xml:space="preserve">   </w:t>
      </w:r>
    </w:p>
    <w:p w14:paraId="3B191D50">
      <w:pPr>
        <w:snapToGrid w:val="0"/>
        <w:spacing w:line="360" w:lineRule="auto"/>
        <w:rPr>
          <w:rFonts w:cs="宋体"/>
          <w:color w:val="auto"/>
          <w:sz w:val="21"/>
          <w:szCs w:val="21"/>
          <w:highlight w:val="none"/>
        </w:rPr>
      </w:pPr>
      <w:r>
        <w:rPr>
          <w:rFonts w:hint="eastAsia" w:cs="宋体"/>
          <w:color w:val="auto"/>
          <w:sz w:val="21"/>
          <w:szCs w:val="21"/>
          <w:highlight w:val="none"/>
        </w:rPr>
        <w:t>账  号：</w:t>
      </w:r>
      <w:r>
        <w:rPr>
          <w:rFonts w:hint="eastAsia" w:cs="宋体"/>
          <w:color w:val="auto"/>
          <w:sz w:val="21"/>
          <w:szCs w:val="21"/>
          <w:highlight w:val="none"/>
          <w:u w:val="single"/>
        </w:rPr>
        <w:t xml:space="preserve">       </w:t>
      </w:r>
      <w:r>
        <w:rPr>
          <w:rFonts w:hint="eastAsia" w:cs="宋体"/>
          <w:color w:val="auto"/>
          <w:sz w:val="21"/>
          <w:szCs w:val="21"/>
          <w:highlight w:val="none"/>
        </w:rPr>
        <w:t xml:space="preserve">                账  号：</w:t>
      </w:r>
      <w:r>
        <w:rPr>
          <w:rFonts w:hint="eastAsia" w:cs="宋体"/>
          <w:color w:val="auto"/>
          <w:sz w:val="21"/>
          <w:szCs w:val="21"/>
          <w:highlight w:val="none"/>
          <w:u w:val="single"/>
        </w:rPr>
        <w:t xml:space="preserve">     </w:t>
      </w:r>
    </w:p>
    <w:bookmarkEnd w:id="91"/>
    <w:p w14:paraId="067474C6">
      <w:pPr>
        <w:snapToGrid w:val="0"/>
        <w:spacing w:line="360" w:lineRule="auto"/>
        <w:rPr>
          <w:rFonts w:hint="eastAsia" w:cs="宋体"/>
          <w:b/>
          <w:color w:val="auto"/>
          <w:sz w:val="21"/>
          <w:szCs w:val="21"/>
          <w:highlight w:val="none"/>
        </w:rPr>
      </w:pPr>
    </w:p>
    <w:p w14:paraId="09D0F02A">
      <w:pPr>
        <w:snapToGrid w:val="0"/>
        <w:spacing w:line="360" w:lineRule="auto"/>
        <w:rPr>
          <w:rFonts w:hint="eastAsia" w:cs="宋体"/>
          <w:b/>
          <w:color w:val="auto"/>
          <w:sz w:val="21"/>
          <w:szCs w:val="21"/>
          <w:highlight w:val="none"/>
        </w:rPr>
      </w:pPr>
    </w:p>
    <w:p w14:paraId="1F0C9B81">
      <w:pPr>
        <w:snapToGrid w:val="0"/>
        <w:spacing w:line="360" w:lineRule="auto"/>
        <w:rPr>
          <w:rFonts w:hint="eastAsia" w:cs="宋体"/>
          <w:b/>
          <w:color w:val="auto"/>
          <w:sz w:val="21"/>
          <w:szCs w:val="21"/>
          <w:highlight w:val="none"/>
        </w:rPr>
      </w:pPr>
    </w:p>
    <w:p w14:paraId="6EF58AB5">
      <w:pPr>
        <w:snapToGrid w:val="0"/>
        <w:spacing w:line="360" w:lineRule="auto"/>
        <w:rPr>
          <w:rFonts w:hint="eastAsia" w:cs="宋体"/>
          <w:b/>
          <w:color w:val="auto"/>
          <w:sz w:val="21"/>
          <w:szCs w:val="21"/>
          <w:highlight w:val="none"/>
        </w:rPr>
      </w:pPr>
    </w:p>
    <w:p w14:paraId="40ECE854">
      <w:pPr>
        <w:rPr>
          <w:rFonts w:hint="eastAsia" w:cs="宋体"/>
          <w:b/>
          <w:color w:val="auto"/>
          <w:sz w:val="21"/>
          <w:szCs w:val="21"/>
          <w:highlight w:val="none"/>
        </w:rPr>
      </w:pPr>
    </w:p>
    <w:p w14:paraId="00A025E9">
      <w:pPr>
        <w:rPr>
          <w:rFonts w:hint="eastAsia" w:cs="宋体"/>
          <w:b/>
          <w:color w:val="auto"/>
          <w:sz w:val="21"/>
          <w:szCs w:val="21"/>
          <w:highlight w:val="none"/>
        </w:rPr>
      </w:pPr>
    </w:p>
    <w:p w14:paraId="07BFB47B">
      <w:pPr>
        <w:rPr>
          <w:rFonts w:hint="eastAsia" w:cs="宋体"/>
          <w:b/>
          <w:color w:val="auto"/>
          <w:sz w:val="21"/>
          <w:szCs w:val="21"/>
          <w:highlight w:val="none"/>
        </w:rPr>
      </w:pPr>
    </w:p>
    <w:p w14:paraId="5478A2C2">
      <w:pPr>
        <w:spacing w:before="312" w:beforeLines="100" w:after="312" w:afterLines="100"/>
        <w:outlineLvl w:val="2"/>
        <w:rPr>
          <w:rFonts w:ascii="Times New Roman" w:eastAsia="黑体"/>
          <w:color w:val="auto"/>
          <w:szCs w:val="24"/>
          <w:highlight w:val="none"/>
        </w:rPr>
      </w:pPr>
      <w:bookmarkStart w:id="625" w:name="_Toc128950237"/>
      <w:r>
        <w:rPr>
          <w:rFonts w:hint="eastAsia" w:ascii="Times New Roman" w:eastAsia="黑体"/>
          <w:color w:val="auto"/>
          <w:szCs w:val="24"/>
          <w:highlight w:val="none"/>
        </w:rPr>
        <w:t>工程质量保修书</w:t>
      </w:r>
      <w:bookmarkEnd w:id="625"/>
    </w:p>
    <w:p w14:paraId="685C563F">
      <w:pPr>
        <w:adjustRightInd w:val="0"/>
        <w:snapToGrid w:val="0"/>
        <w:spacing w:before="156" w:beforeLines="50" w:after="156" w:afterLines="50" w:line="360" w:lineRule="auto"/>
        <w:jc w:val="center"/>
        <w:rPr>
          <w:rFonts w:cs="宋体"/>
          <w:b/>
          <w:color w:val="auto"/>
          <w:highlight w:val="none"/>
        </w:rPr>
      </w:pPr>
      <w:r>
        <w:rPr>
          <w:rFonts w:hint="eastAsia" w:cs="宋体"/>
          <w:b/>
          <w:color w:val="auto"/>
          <w:highlight w:val="none"/>
        </w:rPr>
        <w:t>工程质量保修书</w:t>
      </w:r>
    </w:p>
    <w:p w14:paraId="02F5395F">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发包人（全称）：</w:t>
      </w:r>
      <w:r>
        <w:rPr>
          <w:rFonts w:hint="eastAsia" w:cs="宋体"/>
          <w:color w:val="auto"/>
          <w:sz w:val="21"/>
          <w:szCs w:val="21"/>
          <w:highlight w:val="none"/>
          <w:u w:val="single"/>
        </w:rPr>
        <w:t xml:space="preserve">                                </w:t>
      </w:r>
      <w:r>
        <w:rPr>
          <w:rFonts w:hint="eastAsia" w:cs="宋体"/>
          <w:color w:val="auto"/>
          <w:sz w:val="21"/>
          <w:szCs w:val="21"/>
          <w:highlight w:val="none"/>
        </w:rPr>
        <w:t xml:space="preserve"> </w:t>
      </w:r>
    </w:p>
    <w:p w14:paraId="41685918">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承包人（全称）：</w:t>
      </w:r>
      <w:r>
        <w:rPr>
          <w:rFonts w:hint="eastAsia" w:cs="宋体"/>
          <w:color w:val="auto"/>
          <w:sz w:val="21"/>
          <w:szCs w:val="21"/>
          <w:highlight w:val="none"/>
          <w:u w:val="single"/>
        </w:rPr>
        <w:t xml:space="preserve">                                </w:t>
      </w:r>
      <w:r>
        <w:rPr>
          <w:rFonts w:hint="eastAsia" w:cs="宋体"/>
          <w:color w:val="auto"/>
          <w:sz w:val="21"/>
          <w:szCs w:val="21"/>
          <w:highlight w:val="none"/>
        </w:rPr>
        <w:t xml:space="preserve"> </w:t>
      </w:r>
    </w:p>
    <w:p w14:paraId="2D40AAFC">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发包人和承包人根据《中华人民共和国建筑法》和《建设工程质量管理条例》，经协商一致就_______________（工程全称）签订工程质量保修书。</w:t>
      </w:r>
    </w:p>
    <w:p w14:paraId="376AA5B3">
      <w:pPr>
        <w:adjustRightInd w:val="0"/>
        <w:snapToGrid w:val="0"/>
        <w:spacing w:line="360" w:lineRule="auto"/>
        <w:ind w:firstLine="422" w:firstLineChars="200"/>
        <w:rPr>
          <w:rFonts w:cs="宋体"/>
          <w:b/>
          <w:color w:val="auto"/>
          <w:sz w:val="21"/>
          <w:szCs w:val="21"/>
          <w:highlight w:val="none"/>
        </w:rPr>
      </w:pPr>
      <w:r>
        <w:rPr>
          <w:rFonts w:hint="eastAsia" w:cs="宋体"/>
          <w:b/>
          <w:color w:val="auto"/>
          <w:sz w:val="21"/>
          <w:szCs w:val="21"/>
          <w:highlight w:val="none"/>
        </w:rPr>
        <w:t>一、工程质量保修范围和内容</w:t>
      </w:r>
    </w:p>
    <w:p w14:paraId="729DDA37">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承包人在质量保修期内，按照有关法律规定和合同约定，承担工程质量保修责任。</w:t>
      </w:r>
    </w:p>
    <w:p w14:paraId="1B2051E5">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E895A62">
      <w:pPr>
        <w:adjustRightInd w:val="0"/>
        <w:snapToGrid w:val="0"/>
        <w:spacing w:line="360" w:lineRule="auto"/>
        <w:ind w:firstLine="413" w:firstLineChars="196"/>
        <w:rPr>
          <w:rFonts w:cs="宋体"/>
          <w:b/>
          <w:color w:val="auto"/>
          <w:sz w:val="21"/>
          <w:szCs w:val="21"/>
          <w:highlight w:val="none"/>
        </w:rPr>
      </w:pPr>
      <w:r>
        <w:rPr>
          <w:rFonts w:hint="eastAsia" w:cs="宋体"/>
          <w:b/>
          <w:color w:val="auto"/>
          <w:sz w:val="21"/>
          <w:szCs w:val="21"/>
          <w:highlight w:val="none"/>
        </w:rPr>
        <w:t>二、质量保修期</w:t>
      </w:r>
    </w:p>
    <w:p w14:paraId="7650C0B4">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根据《建设工程质量管理条例》及有关规定，工程的质量保修期如下：</w:t>
      </w:r>
    </w:p>
    <w:p w14:paraId="0154AE4A">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1. 地基基础工程和主体结构工程为设计文件规定的工程合理使用年限；</w:t>
      </w:r>
    </w:p>
    <w:p w14:paraId="2F159F66">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2. 屋面防水工程、有防水要求的卫生间、房间和外墙面的防渗为</w:t>
      </w:r>
      <w:r>
        <w:rPr>
          <w:rFonts w:hint="eastAsia" w:cs="宋体"/>
          <w:color w:val="auto"/>
          <w:sz w:val="21"/>
          <w:szCs w:val="21"/>
          <w:highlight w:val="none"/>
          <w:u w:val="single"/>
        </w:rPr>
        <w:t>5</w:t>
      </w:r>
      <w:r>
        <w:rPr>
          <w:rFonts w:hint="eastAsia" w:cs="宋体"/>
          <w:color w:val="auto"/>
          <w:sz w:val="21"/>
          <w:szCs w:val="21"/>
          <w:highlight w:val="none"/>
        </w:rPr>
        <w:t>年；</w:t>
      </w:r>
    </w:p>
    <w:p w14:paraId="0FB14583">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3. 装修工程为</w:t>
      </w:r>
      <w:r>
        <w:rPr>
          <w:rFonts w:hint="eastAsia" w:cs="宋体"/>
          <w:color w:val="auto"/>
          <w:sz w:val="21"/>
          <w:szCs w:val="21"/>
          <w:highlight w:val="none"/>
          <w:u w:val="single"/>
        </w:rPr>
        <w:t>2</w:t>
      </w:r>
      <w:r>
        <w:rPr>
          <w:rFonts w:hint="eastAsia" w:cs="宋体"/>
          <w:color w:val="auto"/>
          <w:sz w:val="21"/>
          <w:szCs w:val="21"/>
          <w:highlight w:val="none"/>
        </w:rPr>
        <w:t>年；</w:t>
      </w:r>
    </w:p>
    <w:p w14:paraId="587857A1">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4. 电气管线、给排水管道、设备安装工程为</w:t>
      </w:r>
      <w:r>
        <w:rPr>
          <w:rFonts w:hint="eastAsia" w:cs="宋体"/>
          <w:color w:val="auto"/>
          <w:sz w:val="21"/>
          <w:szCs w:val="21"/>
          <w:highlight w:val="none"/>
          <w:u w:val="single"/>
        </w:rPr>
        <w:t>2</w:t>
      </w:r>
      <w:r>
        <w:rPr>
          <w:rFonts w:hint="eastAsia" w:cs="宋体"/>
          <w:color w:val="auto"/>
          <w:sz w:val="21"/>
          <w:szCs w:val="21"/>
          <w:highlight w:val="none"/>
        </w:rPr>
        <w:t>年；</w:t>
      </w:r>
    </w:p>
    <w:p w14:paraId="5B59B963">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5. 供热与供冷系统为</w:t>
      </w:r>
      <w:r>
        <w:rPr>
          <w:rFonts w:hint="eastAsia" w:cs="宋体"/>
          <w:color w:val="auto"/>
          <w:sz w:val="21"/>
          <w:szCs w:val="21"/>
          <w:highlight w:val="none"/>
          <w:u w:val="single"/>
        </w:rPr>
        <w:t>2</w:t>
      </w:r>
      <w:r>
        <w:rPr>
          <w:rFonts w:hint="eastAsia" w:cs="宋体"/>
          <w:color w:val="auto"/>
          <w:sz w:val="21"/>
          <w:szCs w:val="21"/>
          <w:highlight w:val="none"/>
        </w:rPr>
        <w:t>个采暖期、供冷期；</w:t>
      </w:r>
    </w:p>
    <w:p w14:paraId="3031D11D">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6. 住宅小区内的给排水设施、道路等配套工程为</w:t>
      </w:r>
      <w:r>
        <w:rPr>
          <w:rFonts w:hint="eastAsia" w:cs="宋体"/>
          <w:color w:val="auto"/>
          <w:sz w:val="21"/>
          <w:szCs w:val="21"/>
          <w:highlight w:val="none"/>
          <w:u w:val="single"/>
        </w:rPr>
        <w:t>2</w:t>
      </w:r>
      <w:r>
        <w:rPr>
          <w:rFonts w:hint="eastAsia" w:cs="宋体"/>
          <w:color w:val="auto"/>
          <w:sz w:val="21"/>
          <w:szCs w:val="21"/>
          <w:highlight w:val="none"/>
        </w:rPr>
        <w:t>年；</w:t>
      </w:r>
    </w:p>
    <w:p w14:paraId="4C05E997">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7. 其他项目保修期限约定如下：</w:t>
      </w:r>
      <w:r>
        <w:rPr>
          <w:rFonts w:hint="eastAsia" w:cs="宋体"/>
          <w:color w:val="auto"/>
          <w:sz w:val="21"/>
          <w:szCs w:val="21"/>
          <w:highlight w:val="none"/>
          <w:u w:val="single"/>
        </w:rPr>
        <w:t>保温工程5年</w:t>
      </w:r>
      <w:r>
        <w:rPr>
          <w:rFonts w:hint="eastAsia" w:cs="宋体"/>
          <w:color w:val="auto"/>
          <w:sz w:val="21"/>
          <w:szCs w:val="21"/>
          <w:highlight w:val="none"/>
          <w:u w:val="single"/>
          <w:lang w:eastAsia="zh-CN"/>
        </w:rPr>
        <w:t>，</w:t>
      </w:r>
      <w:r>
        <w:rPr>
          <w:rFonts w:hint="eastAsia" w:cs="宋体"/>
          <w:color w:val="0000FF"/>
          <w:sz w:val="21"/>
          <w:szCs w:val="21"/>
          <w:highlight w:val="none"/>
          <w:u w:val="single"/>
          <w:lang w:eastAsia="zh-CN"/>
        </w:rPr>
        <w:t>001分项中西涧亭维修、002分项、003分项、004分项质保五年</w:t>
      </w:r>
      <w:r>
        <w:rPr>
          <w:rFonts w:hint="eastAsia" w:cs="宋体"/>
          <w:color w:val="auto"/>
          <w:sz w:val="21"/>
          <w:szCs w:val="21"/>
          <w:highlight w:val="none"/>
        </w:rPr>
        <w:t>。</w:t>
      </w:r>
    </w:p>
    <w:p w14:paraId="796422E8">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质量保修期自工程竣工验收合格之日起计算。</w:t>
      </w:r>
    </w:p>
    <w:p w14:paraId="37F4DF45">
      <w:pPr>
        <w:adjustRightInd w:val="0"/>
        <w:snapToGrid w:val="0"/>
        <w:spacing w:line="360" w:lineRule="auto"/>
        <w:ind w:firstLine="422" w:firstLineChars="200"/>
        <w:rPr>
          <w:rFonts w:cs="宋体"/>
          <w:b/>
          <w:color w:val="auto"/>
          <w:sz w:val="21"/>
          <w:szCs w:val="21"/>
          <w:highlight w:val="none"/>
        </w:rPr>
      </w:pPr>
      <w:r>
        <w:rPr>
          <w:rFonts w:hint="eastAsia" w:cs="宋体"/>
          <w:b/>
          <w:color w:val="auto"/>
          <w:sz w:val="21"/>
          <w:szCs w:val="21"/>
          <w:highlight w:val="none"/>
        </w:rPr>
        <w:t>三、缺陷责任期</w:t>
      </w:r>
    </w:p>
    <w:p w14:paraId="13AB0301">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工程缺陷责任期为</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两年</w:t>
      </w:r>
      <w:r>
        <w:rPr>
          <w:rFonts w:hint="eastAsia" w:cs="宋体"/>
          <w:color w:val="auto"/>
          <w:sz w:val="21"/>
          <w:szCs w:val="21"/>
          <w:highlight w:val="none"/>
          <w:u w:val="single"/>
        </w:rPr>
        <w:t xml:space="preserve"> </w:t>
      </w:r>
      <w:r>
        <w:rPr>
          <w:rFonts w:hint="eastAsia" w:cs="宋体"/>
          <w:color w:val="auto"/>
          <w:sz w:val="21"/>
          <w:szCs w:val="21"/>
          <w:highlight w:val="none"/>
        </w:rPr>
        <w:t>，缺陷责任期自工程竣工验收合格之日起计算。单位工程先于全部工程进行验收，单位工程缺陷责任期自单位工程验收合格之日起算。</w:t>
      </w:r>
    </w:p>
    <w:p w14:paraId="67FCBCF2">
      <w:pPr>
        <w:adjustRightInd w:val="0"/>
        <w:snapToGrid w:val="0"/>
        <w:spacing w:line="360" w:lineRule="auto"/>
        <w:ind w:firstLine="420" w:firstLineChars="200"/>
        <w:rPr>
          <w:rFonts w:cs="宋体"/>
          <w:b/>
          <w:color w:val="auto"/>
          <w:sz w:val="21"/>
          <w:szCs w:val="21"/>
          <w:highlight w:val="none"/>
        </w:rPr>
      </w:pPr>
      <w:r>
        <w:rPr>
          <w:rFonts w:hint="eastAsia" w:cs="宋体"/>
          <w:color w:val="auto"/>
          <w:sz w:val="21"/>
          <w:szCs w:val="21"/>
          <w:highlight w:val="none"/>
        </w:rPr>
        <w:t>缺陷责任期终止后，发包人应退还剩余的质量保证金。</w:t>
      </w:r>
    </w:p>
    <w:p w14:paraId="0BBCDEE3">
      <w:pPr>
        <w:adjustRightInd w:val="0"/>
        <w:snapToGrid w:val="0"/>
        <w:spacing w:line="360" w:lineRule="auto"/>
        <w:ind w:firstLine="422" w:firstLineChars="200"/>
        <w:rPr>
          <w:rFonts w:cs="宋体"/>
          <w:b/>
          <w:color w:val="auto"/>
          <w:sz w:val="21"/>
          <w:szCs w:val="21"/>
          <w:highlight w:val="none"/>
        </w:rPr>
      </w:pPr>
      <w:r>
        <w:rPr>
          <w:rFonts w:hint="eastAsia" w:cs="宋体"/>
          <w:b/>
          <w:color w:val="auto"/>
          <w:sz w:val="21"/>
          <w:szCs w:val="21"/>
          <w:highlight w:val="none"/>
        </w:rPr>
        <w:t>四、质量保修责任</w:t>
      </w:r>
    </w:p>
    <w:p w14:paraId="41C2D92A">
      <w:pPr>
        <w:adjustRightInd w:val="0"/>
        <w:snapToGrid w:val="0"/>
        <w:spacing w:line="360" w:lineRule="auto"/>
        <w:ind w:firstLine="430" w:firstLineChars="205"/>
        <w:rPr>
          <w:rFonts w:cs="宋体"/>
          <w:color w:val="auto"/>
          <w:sz w:val="21"/>
          <w:szCs w:val="21"/>
          <w:highlight w:val="none"/>
        </w:rPr>
      </w:pPr>
      <w:r>
        <w:rPr>
          <w:rFonts w:hint="eastAsia" w:cs="宋体"/>
          <w:color w:val="auto"/>
          <w:sz w:val="21"/>
          <w:szCs w:val="21"/>
          <w:highlight w:val="none"/>
        </w:rPr>
        <w:t>1. 属于保修范围、内容的项目，承包人应当在接到保修通知之日起7天内派人保修。承包人不在约定期限内派人保修的，发包人可以委托他人修理。</w:t>
      </w:r>
    </w:p>
    <w:p w14:paraId="5EF255F0">
      <w:pPr>
        <w:adjustRightInd w:val="0"/>
        <w:snapToGrid w:val="0"/>
        <w:spacing w:line="360" w:lineRule="auto"/>
        <w:ind w:firstLine="430" w:firstLineChars="205"/>
        <w:rPr>
          <w:rFonts w:cs="宋体"/>
          <w:color w:val="auto"/>
          <w:sz w:val="21"/>
          <w:szCs w:val="21"/>
          <w:highlight w:val="none"/>
        </w:rPr>
      </w:pPr>
      <w:r>
        <w:rPr>
          <w:rFonts w:hint="eastAsia" w:cs="宋体"/>
          <w:color w:val="auto"/>
          <w:sz w:val="21"/>
          <w:szCs w:val="21"/>
          <w:highlight w:val="none"/>
        </w:rPr>
        <w:t>2. 发生紧急事故需抢修的，承包人在接到事故通知后，应当立即到达事故现场抢修。</w:t>
      </w:r>
    </w:p>
    <w:p w14:paraId="2882A654">
      <w:pPr>
        <w:adjustRightInd w:val="0"/>
        <w:snapToGrid w:val="0"/>
        <w:spacing w:line="360" w:lineRule="auto"/>
        <w:ind w:firstLine="430" w:firstLineChars="205"/>
        <w:rPr>
          <w:rFonts w:cs="宋体"/>
          <w:color w:val="auto"/>
          <w:sz w:val="21"/>
          <w:szCs w:val="21"/>
          <w:highlight w:val="none"/>
        </w:rPr>
      </w:pPr>
      <w:r>
        <w:rPr>
          <w:rFonts w:hint="eastAsia" w:cs="宋体"/>
          <w:color w:val="auto"/>
          <w:sz w:val="21"/>
          <w:szCs w:val="21"/>
          <w:highlight w:val="none"/>
        </w:rPr>
        <w:t>3. 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CBE9637">
      <w:pPr>
        <w:adjustRightInd w:val="0"/>
        <w:snapToGrid w:val="0"/>
        <w:spacing w:line="360" w:lineRule="auto"/>
        <w:ind w:firstLine="430" w:firstLineChars="205"/>
        <w:rPr>
          <w:rFonts w:cs="宋体"/>
          <w:color w:val="auto"/>
          <w:sz w:val="21"/>
          <w:szCs w:val="21"/>
          <w:highlight w:val="none"/>
        </w:rPr>
      </w:pPr>
      <w:r>
        <w:rPr>
          <w:rFonts w:hint="eastAsia" w:cs="宋体"/>
          <w:color w:val="auto"/>
          <w:sz w:val="21"/>
          <w:szCs w:val="21"/>
          <w:highlight w:val="none"/>
        </w:rPr>
        <w:t>4. 质量保修完成后，由发包人组织验收。</w:t>
      </w:r>
    </w:p>
    <w:p w14:paraId="534BEC07">
      <w:pPr>
        <w:adjustRightInd w:val="0"/>
        <w:snapToGrid w:val="0"/>
        <w:spacing w:line="360" w:lineRule="auto"/>
        <w:ind w:firstLine="422" w:firstLineChars="200"/>
        <w:rPr>
          <w:rFonts w:cs="宋体"/>
          <w:b/>
          <w:color w:val="auto"/>
          <w:sz w:val="21"/>
          <w:szCs w:val="21"/>
          <w:highlight w:val="none"/>
        </w:rPr>
      </w:pPr>
      <w:r>
        <w:rPr>
          <w:rFonts w:hint="eastAsia" w:cs="宋体"/>
          <w:b/>
          <w:color w:val="auto"/>
          <w:sz w:val="21"/>
          <w:szCs w:val="21"/>
          <w:highlight w:val="none"/>
        </w:rPr>
        <w:t>五、保修费用</w:t>
      </w:r>
    </w:p>
    <w:p w14:paraId="01EC9971">
      <w:pPr>
        <w:adjustRightInd w:val="0"/>
        <w:snapToGrid w:val="0"/>
        <w:spacing w:line="360" w:lineRule="auto"/>
        <w:ind w:firstLine="420" w:firstLineChars="200"/>
        <w:rPr>
          <w:rFonts w:cs="宋体"/>
          <w:color w:val="auto"/>
          <w:sz w:val="21"/>
          <w:szCs w:val="21"/>
          <w:highlight w:val="none"/>
        </w:rPr>
      </w:pPr>
      <w:r>
        <w:rPr>
          <w:rFonts w:hint="eastAsia" w:cs="宋体"/>
          <w:color w:val="auto"/>
          <w:sz w:val="21"/>
          <w:szCs w:val="21"/>
          <w:highlight w:val="none"/>
        </w:rPr>
        <w:t>保修费用由造成质量缺陷的责任方承担。</w:t>
      </w:r>
    </w:p>
    <w:p w14:paraId="42C213E9">
      <w:pPr>
        <w:adjustRightInd w:val="0"/>
        <w:snapToGrid w:val="0"/>
        <w:spacing w:line="360" w:lineRule="auto"/>
        <w:ind w:firstLine="422" w:firstLineChars="200"/>
        <w:rPr>
          <w:rFonts w:cs="宋体"/>
          <w:b/>
          <w:color w:val="auto"/>
          <w:sz w:val="21"/>
          <w:szCs w:val="21"/>
          <w:highlight w:val="none"/>
        </w:rPr>
      </w:pPr>
      <w:r>
        <w:rPr>
          <w:rFonts w:hint="eastAsia" w:cs="宋体"/>
          <w:b/>
          <w:color w:val="auto"/>
          <w:sz w:val="21"/>
          <w:szCs w:val="21"/>
          <w:highlight w:val="none"/>
        </w:rPr>
        <w:t>六、双方约定的其他工程质量保修事项：</w:t>
      </w:r>
      <w:r>
        <w:rPr>
          <w:rFonts w:hint="eastAsia" w:cs="宋体"/>
          <w:b/>
          <w:color w:val="auto"/>
          <w:sz w:val="21"/>
          <w:szCs w:val="21"/>
          <w:highlight w:val="none"/>
          <w:u w:val="single"/>
        </w:rPr>
        <w:t xml:space="preserve">             </w:t>
      </w:r>
      <w:r>
        <w:rPr>
          <w:rFonts w:hint="eastAsia" w:cs="宋体"/>
          <w:b/>
          <w:color w:val="auto"/>
          <w:sz w:val="21"/>
          <w:szCs w:val="21"/>
          <w:highlight w:val="none"/>
        </w:rPr>
        <w:t>。</w:t>
      </w:r>
    </w:p>
    <w:p w14:paraId="0FB05168">
      <w:pPr>
        <w:adjustRightInd w:val="0"/>
        <w:snapToGrid w:val="0"/>
        <w:spacing w:line="360" w:lineRule="auto"/>
        <w:ind w:firstLine="399" w:firstLineChars="190"/>
        <w:rPr>
          <w:rFonts w:cs="宋体"/>
          <w:color w:val="auto"/>
          <w:sz w:val="21"/>
          <w:szCs w:val="21"/>
          <w:highlight w:val="none"/>
        </w:rPr>
      </w:pPr>
      <w:r>
        <w:rPr>
          <w:rFonts w:hint="eastAsia" w:cs="宋体"/>
          <w:color w:val="auto"/>
          <w:sz w:val="21"/>
          <w:szCs w:val="21"/>
          <w:highlight w:val="none"/>
        </w:rPr>
        <w:t>工程质量保修书由发包人、承包人在工程竣工验收前共同签署，作为施工合同附件，其有效期限至保修期满。</w:t>
      </w:r>
    </w:p>
    <w:p w14:paraId="6928E619">
      <w:pPr>
        <w:adjustRightInd w:val="0"/>
        <w:snapToGrid w:val="0"/>
        <w:spacing w:line="360" w:lineRule="auto"/>
        <w:ind w:firstLine="420"/>
        <w:rPr>
          <w:rFonts w:cs="宋体"/>
          <w:color w:val="auto"/>
          <w:sz w:val="21"/>
          <w:szCs w:val="21"/>
          <w:highlight w:val="none"/>
        </w:rPr>
      </w:pPr>
    </w:p>
    <w:p w14:paraId="0E864B38">
      <w:pPr>
        <w:adjustRightInd w:val="0"/>
        <w:snapToGrid w:val="0"/>
        <w:spacing w:line="360" w:lineRule="auto"/>
        <w:ind w:firstLine="420"/>
        <w:rPr>
          <w:rFonts w:cs="宋体"/>
          <w:color w:val="auto"/>
          <w:sz w:val="21"/>
          <w:szCs w:val="21"/>
          <w:highlight w:val="none"/>
        </w:rPr>
      </w:pPr>
    </w:p>
    <w:p w14:paraId="488C3B90">
      <w:pPr>
        <w:adjustRightInd w:val="0"/>
        <w:snapToGrid w:val="0"/>
        <w:spacing w:line="360" w:lineRule="auto"/>
        <w:rPr>
          <w:rFonts w:cs="宋体"/>
          <w:color w:val="auto"/>
          <w:sz w:val="21"/>
          <w:szCs w:val="21"/>
          <w:highlight w:val="none"/>
          <w:u w:val="single"/>
        </w:rPr>
      </w:pPr>
      <w:r>
        <w:rPr>
          <w:rFonts w:hint="eastAsia" w:cs="宋体"/>
          <w:color w:val="auto"/>
          <w:sz w:val="21"/>
          <w:szCs w:val="21"/>
          <w:highlight w:val="none"/>
        </w:rPr>
        <w:t>发包人（公章）：</w:t>
      </w:r>
      <w:r>
        <w:rPr>
          <w:rFonts w:hint="eastAsia" w:cs="宋体"/>
          <w:color w:val="auto"/>
          <w:sz w:val="21"/>
          <w:szCs w:val="21"/>
          <w:highlight w:val="none"/>
          <w:u w:val="single"/>
        </w:rPr>
        <w:t xml:space="preserve">      </w:t>
      </w:r>
      <w:r>
        <w:rPr>
          <w:rFonts w:hint="eastAsia" w:cs="宋体"/>
          <w:color w:val="auto"/>
          <w:sz w:val="21"/>
          <w:szCs w:val="21"/>
          <w:highlight w:val="none"/>
        </w:rPr>
        <w:t xml:space="preserve">           承包人（公章）：</w:t>
      </w:r>
      <w:r>
        <w:rPr>
          <w:rFonts w:hint="eastAsia" w:cs="宋体"/>
          <w:color w:val="auto"/>
          <w:sz w:val="21"/>
          <w:szCs w:val="21"/>
          <w:highlight w:val="none"/>
          <w:u w:val="single"/>
        </w:rPr>
        <w:t>          </w:t>
      </w:r>
    </w:p>
    <w:p w14:paraId="268EA469">
      <w:pPr>
        <w:adjustRightInd w:val="0"/>
        <w:snapToGrid w:val="0"/>
        <w:spacing w:line="360" w:lineRule="auto"/>
        <w:rPr>
          <w:rFonts w:cs="宋体"/>
          <w:color w:val="auto"/>
          <w:sz w:val="21"/>
          <w:szCs w:val="21"/>
          <w:highlight w:val="none"/>
          <w:u w:val="single"/>
        </w:rPr>
      </w:pPr>
      <w:r>
        <w:rPr>
          <w:rFonts w:hint="eastAsia" w:cs="宋体"/>
          <w:color w:val="auto"/>
          <w:sz w:val="21"/>
          <w:szCs w:val="21"/>
          <w:highlight w:val="none"/>
        </w:rPr>
        <w:t>地  址：</w:t>
      </w:r>
      <w:r>
        <w:rPr>
          <w:rFonts w:hint="eastAsia" w:cs="宋体"/>
          <w:color w:val="auto"/>
          <w:sz w:val="21"/>
          <w:szCs w:val="21"/>
          <w:highlight w:val="none"/>
          <w:u w:val="single"/>
        </w:rPr>
        <w:t xml:space="preserve">     </w:t>
      </w:r>
      <w:r>
        <w:rPr>
          <w:rFonts w:hint="eastAsia" w:cs="宋体"/>
          <w:color w:val="auto"/>
          <w:sz w:val="21"/>
          <w:szCs w:val="21"/>
          <w:highlight w:val="none"/>
        </w:rPr>
        <w:t xml:space="preserve">            地  址：</w:t>
      </w:r>
      <w:r>
        <w:rPr>
          <w:rFonts w:hint="eastAsia" w:cs="宋体"/>
          <w:color w:val="auto"/>
          <w:sz w:val="21"/>
          <w:szCs w:val="21"/>
          <w:highlight w:val="none"/>
          <w:u w:val="single"/>
        </w:rPr>
        <w:t xml:space="preserve">    </w:t>
      </w:r>
    </w:p>
    <w:p w14:paraId="2D02DF5C">
      <w:pPr>
        <w:adjustRightInd w:val="0"/>
        <w:snapToGrid w:val="0"/>
        <w:spacing w:line="360" w:lineRule="auto"/>
        <w:rPr>
          <w:rFonts w:cs="宋体"/>
          <w:color w:val="auto"/>
          <w:sz w:val="21"/>
          <w:szCs w:val="21"/>
          <w:highlight w:val="none"/>
          <w:u w:val="single"/>
        </w:rPr>
      </w:pPr>
      <w:r>
        <w:rPr>
          <w:rFonts w:hint="eastAsia" w:cs="宋体"/>
          <w:color w:val="auto"/>
          <w:sz w:val="21"/>
          <w:szCs w:val="21"/>
          <w:highlight w:val="none"/>
        </w:rPr>
        <w:t>法定代表人（签字）：</w:t>
      </w:r>
      <w:r>
        <w:rPr>
          <w:rFonts w:hint="eastAsia" w:cs="宋体"/>
          <w:color w:val="auto"/>
          <w:sz w:val="21"/>
          <w:szCs w:val="21"/>
          <w:highlight w:val="none"/>
          <w:u w:val="single"/>
        </w:rPr>
        <w:t xml:space="preserve">      </w:t>
      </w:r>
      <w:r>
        <w:rPr>
          <w:rFonts w:hint="eastAsia" w:cs="宋体"/>
          <w:color w:val="auto"/>
          <w:sz w:val="21"/>
          <w:szCs w:val="21"/>
          <w:highlight w:val="none"/>
        </w:rPr>
        <w:t xml:space="preserve">         法定代表人（签字）：</w:t>
      </w:r>
      <w:r>
        <w:rPr>
          <w:rFonts w:hint="eastAsia" w:cs="宋体"/>
          <w:color w:val="auto"/>
          <w:sz w:val="21"/>
          <w:szCs w:val="21"/>
          <w:highlight w:val="none"/>
          <w:u w:val="single"/>
        </w:rPr>
        <w:t xml:space="preserve">    </w:t>
      </w:r>
    </w:p>
    <w:p w14:paraId="4B21B1E7">
      <w:pPr>
        <w:adjustRightInd w:val="0"/>
        <w:snapToGrid w:val="0"/>
        <w:spacing w:line="360" w:lineRule="auto"/>
        <w:rPr>
          <w:rFonts w:cs="宋体"/>
          <w:color w:val="auto"/>
          <w:sz w:val="21"/>
          <w:szCs w:val="21"/>
          <w:highlight w:val="none"/>
          <w:u w:val="single"/>
        </w:rPr>
      </w:pPr>
      <w:r>
        <w:rPr>
          <w:rFonts w:hint="eastAsia" w:cs="宋体"/>
          <w:color w:val="auto"/>
          <w:sz w:val="21"/>
          <w:szCs w:val="21"/>
          <w:highlight w:val="none"/>
        </w:rPr>
        <w:t>委托代理人（签字）：</w:t>
      </w:r>
      <w:r>
        <w:rPr>
          <w:rFonts w:hint="eastAsia" w:cs="宋体"/>
          <w:color w:val="auto"/>
          <w:sz w:val="21"/>
          <w:szCs w:val="21"/>
          <w:highlight w:val="none"/>
          <w:u w:val="single"/>
        </w:rPr>
        <w:t xml:space="preserve">      </w:t>
      </w:r>
      <w:r>
        <w:rPr>
          <w:rFonts w:hint="eastAsia" w:cs="宋体"/>
          <w:color w:val="auto"/>
          <w:sz w:val="21"/>
          <w:szCs w:val="21"/>
          <w:highlight w:val="none"/>
        </w:rPr>
        <w:t xml:space="preserve">         委托代理人（签字）：</w:t>
      </w:r>
      <w:r>
        <w:rPr>
          <w:rFonts w:hint="eastAsia" w:cs="宋体"/>
          <w:color w:val="auto"/>
          <w:sz w:val="21"/>
          <w:szCs w:val="21"/>
          <w:highlight w:val="none"/>
          <w:u w:val="single"/>
        </w:rPr>
        <w:t xml:space="preserve">    </w:t>
      </w:r>
    </w:p>
    <w:p w14:paraId="0B20AF82">
      <w:pPr>
        <w:adjustRightInd w:val="0"/>
        <w:snapToGrid w:val="0"/>
        <w:spacing w:line="360" w:lineRule="auto"/>
        <w:rPr>
          <w:rFonts w:cs="宋体"/>
          <w:color w:val="auto"/>
          <w:sz w:val="21"/>
          <w:szCs w:val="21"/>
          <w:highlight w:val="none"/>
        </w:rPr>
      </w:pPr>
      <w:r>
        <w:rPr>
          <w:rFonts w:hint="eastAsia" w:cs="宋体"/>
          <w:color w:val="auto"/>
          <w:sz w:val="21"/>
          <w:szCs w:val="21"/>
          <w:highlight w:val="none"/>
        </w:rPr>
        <w:t>电  话：</w:t>
      </w:r>
      <w:r>
        <w:rPr>
          <w:rFonts w:hint="eastAsia" w:cs="宋体"/>
          <w:color w:val="auto"/>
          <w:sz w:val="21"/>
          <w:szCs w:val="21"/>
          <w:highlight w:val="none"/>
          <w:u w:val="single"/>
        </w:rPr>
        <w:t xml:space="preserve">   </w:t>
      </w:r>
      <w:r>
        <w:rPr>
          <w:rFonts w:hint="eastAsia" w:cs="宋体"/>
          <w:color w:val="auto"/>
          <w:sz w:val="21"/>
          <w:szCs w:val="21"/>
          <w:highlight w:val="none"/>
        </w:rPr>
        <w:t xml:space="preserve">            电  话：</w:t>
      </w:r>
      <w:r>
        <w:rPr>
          <w:rFonts w:hint="eastAsia" w:cs="宋体"/>
          <w:color w:val="auto"/>
          <w:sz w:val="21"/>
          <w:szCs w:val="21"/>
          <w:highlight w:val="none"/>
          <w:u w:val="single"/>
        </w:rPr>
        <w:t xml:space="preserve">  </w:t>
      </w:r>
    </w:p>
    <w:p w14:paraId="27F49735">
      <w:pPr>
        <w:adjustRightInd w:val="0"/>
        <w:snapToGrid w:val="0"/>
        <w:spacing w:line="360" w:lineRule="auto"/>
        <w:rPr>
          <w:rFonts w:cs="宋体"/>
          <w:color w:val="auto"/>
          <w:sz w:val="21"/>
          <w:szCs w:val="21"/>
          <w:highlight w:val="none"/>
        </w:rPr>
      </w:pPr>
      <w:r>
        <w:rPr>
          <w:rFonts w:hint="eastAsia" w:cs="宋体"/>
          <w:color w:val="auto"/>
          <w:sz w:val="21"/>
          <w:szCs w:val="21"/>
          <w:highlight w:val="none"/>
        </w:rPr>
        <w:t>传  真：</w:t>
      </w:r>
      <w:r>
        <w:rPr>
          <w:rFonts w:hint="eastAsia" w:cs="宋体"/>
          <w:color w:val="auto"/>
          <w:sz w:val="21"/>
          <w:szCs w:val="21"/>
          <w:highlight w:val="none"/>
          <w:u w:val="single"/>
        </w:rPr>
        <w:t xml:space="preserve">   </w:t>
      </w:r>
      <w:r>
        <w:rPr>
          <w:rFonts w:hint="eastAsia" w:cs="宋体"/>
          <w:color w:val="auto"/>
          <w:sz w:val="21"/>
          <w:szCs w:val="21"/>
          <w:highlight w:val="none"/>
        </w:rPr>
        <w:t xml:space="preserve">            传  真：</w:t>
      </w:r>
      <w:r>
        <w:rPr>
          <w:rFonts w:hint="eastAsia" w:cs="宋体"/>
          <w:color w:val="auto"/>
          <w:sz w:val="21"/>
          <w:szCs w:val="21"/>
          <w:highlight w:val="none"/>
          <w:u w:val="single"/>
        </w:rPr>
        <w:t>  </w:t>
      </w:r>
    </w:p>
    <w:p w14:paraId="04ED8FCE">
      <w:pPr>
        <w:adjustRightInd w:val="0"/>
        <w:snapToGrid w:val="0"/>
        <w:spacing w:line="360" w:lineRule="auto"/>
        <w:rPr>
          <w:rFonts w:cs="宋体"/>
          <w:color w:val="auto"/>
          <w:sz w:val="21"/>
          <w:szCs w:val="21"/>
          <w:highlight w:val="none"/>
        </w:rPr>
      </w:pPr>
      <w:r>
        <w:rPr>
          <w:rFonts w:hint="eastAsia" w:cs="宋体"/>
          <w:color w:val="auto"/>
          <w:sz w:val="21"/>
          <w:szCs w:val="21"/>
          <w:highlight w:val="none"/>
        </w:rPr>
        <w:t>开户银行：</w:t>
      </w:r>
      <w:r>
        <w:rPr>
          <w:rFonts w:hint="eastAsia" w:cs="宋体"/>
          <w:color w:val="auto"/>
          <w:sz w:val="21"/>
          <w:szCs w:val="21"/>
          <w:highlight w:val="none"/>
          <w:u w:val="single"/>
        </w:rPr>
        <w:t xml:space="preserve">   </w:t>
      </w:r>
      <w:r>
        <w:rPr>
          <w:rFonts w:hint="eastAsia" w:cs="宋体"/>
          <w:color w:val="auto"/>
          <w:sz w:val="21"/>
          <w:szCs w:val="21"/>
          <w:highlight w:val="none"/>
        </w:rPr>
        <w:t xml:space="preserve">            开户银行：</w:t>
      </w:r>
      <w:r>
        <w:rPr>
          <w:rFonts w:hint="eastAsia" w:cs="宋体"/>
          <w:color w:val="auto"/>
          <w:sz w:val="21"/>
          <w:szCs w:val="21"/>
          <w:highlight w:val="none"/>
          <w:u w:val="single"/>
        </w:rPr>
        <w:t></w:t>
      </w:r>
    </w:p>
    <w:p w14:paraId="787FFD46">
      <w:pPr>
        <w:adjustRightInd w:val="0"/>
        <w:snapToGrid w:val="0"/>
        <w:spacing w:line="360" w:lineRule="auto"/>
        <w:rPr>
          <w:rFonts w:cs="宋体"/>
          <w:color w:val="auto"/>
          <w:sz w:val="21"/>
          <w:szCs w:val="21"/>
          <w:highlight w:val="none"/>
        </w:rPr>
      </w:pPr>
      <w:r>
        <w:rPr>
          <w:rFonts w:hint="eastAsia" w:cs="宋体"/>
          <w:color w:val="auto"/>
          <w:sz w:val="21"/>
          <w:szCs w:val="21"/>
          <w:highlight w:val="none"/>
        </w:rPr>
        <w:t>账  号：</w:t>
      </w:r>
      <w:r>
        <w:rPr>
          <w:rFonts w:hint="eastAsia" w:cs="宋体"/>
          <w:color w:val="auto"/>
          <w:sz w:val="21"/>
          <w:szCs w:val="21"/>
          <w:highlight w:val="none"/>
          <w:u w:val="single"/>
        </w:rPr>
        <w:t xml:space="preserve">       </w:t>
      </w:r>
      <w:r>
        <w:rPr>
          <w:rFonts w:hint="eastAsia" w:cs="宋体"/>
          <w:color w:val="auto"/>
          <w:sz w:val="21"/>
          <w:szCs w:val="21"/>
          <w:highlight w:val="none"/>
        </w:rPr>
        <w:t xml:space="preserve">            账  号：</w:t>
      </w:r>
      <w:r>
        <w:rPr>
          <w:rFonts w:hint="eastAsia" w:cs="宋体"/>
          <w:color w:val="auto"/>
          <w:sz w:val="21"/>
          <w:szCs w:val="21"/>
          <w:highlight w:val="none"/>
          <w:u w:val="single"/>
        </w:rPr>
        <w:t xml:space="preserve">  </w:t>
      </w:r>
    </w:p>
    <w:p w14:paraId="5CC212B8">
      <w:pPr>
        <w:adjustRightInd w:val="0"/>
        <w:snapToGrid w:val="0"/>
        <w:spacing w:line="360" w:lineRule="auto"/>
        <w:rPr>
          <w:rFonts w:cs="宋体"/>
          <w:color w:val="auto"/>
          <w:sz w:val="21"/>
          <w:szCs w:val="21"/>
          <w:highlight w:val="none"/>
        </w:rPr>
      </w:pPr>
      <w:r>
        <w:rPr>
          <w:rFonts w:hint="eastAsia" w:cs="宋体"/>
          <w:color w:val="auto"/>
          <w:sz w:val="21"/>
          <w:szCs w:val="21"/>
          <w:highlight w:val="none"/>
        </w:rPr>
        <w:t>邮政编码：</w:t>
      </w:r>
      <w:r>
        <w:rPr>
          <w:rFonts w:hint="eastAsia" w:cs="宋体"/>
          <w:color w:val="auto"/>
          <w:sz w:val="21"/>
          <w:szCs w:val="21"/>
          <w:highlight w:val="none"/>
          <w:u w:val="single"/>
        </w:rPr>
        <w:t xml:space="preserve">     </w:t>
      </w:r>
      <w:r>
        <w:rPr>
          <w:rFonts w:hint="eastAsia" w:cs="宋体"/>
          <w:color w:val="auto"/>
          <w:sz w:val="21"/>
          <w:szCs w:val="21"/>
          <w:highlight w:val="none"/>
        </w:rPr>
        <w:t xml:space="preserve">            邮政编码：</w:t>
      </w:r>
      <w:r>
        <w:rPr>
          <w:rFonts w:hint="eastAsia" w:cs="宋体"/>
          <w:color w:val="auto"/>
          <w:sz w:val="21"/>
          <w:szCs w:val="21"/>
          <w:highlight w:val="none"/>
          <w:u w:val="single"/>
        </w:rPr>
        <w:t></w:t>
      </w:r>
    </w:p>
    <w:p w14:paraId="1F7E9A6F">
      <w:pPr>
        <w:widowControl/>
        <w:spacing w:line="360" w:lineRule="auto"/>
        <w:ind w:firstLine="400" w:firstLineChars="200"/>
        <w:jc w:val="left"/>
        <w:rPr>
          <w:rFonts w:cs="宋体"/>
          <w:color w:val="auto"/>
          <w:sz w:val="21"/>
          <w:szCs w:val="21"/>
          <w:highlight w:val="none"/>
        </w:rPr>
      </w:pPr>
      <w:r>
        <w:rPr>
          <w:rFonts w:hint="eastAsia" w:ascii="Times New Roman" w:eastAsia="黑体"/>
          <w:bCs/>
          <w:color w:val="auto"/>
          <w:highlight w:val="none"/>
        </w:rPr>
        <w:br w:type="page"/>
      </w:r>
    </w:p>
    <w:p w14:paraId="2C96278A">
      <w:pPr>
        <w:spacing w:before="312" w:beforeLines="100" w:after="312" w:afterLines="100"/>
        <w:outlineLvl w:val="2"/>
        <w:rPr>
          <w:rFonts w:ascii="Times New Roman" w:eastAsia="黑体"/>
          <w:color w:val="auto"/>
          <w:szCs w:val="24"/>
          <w:highlight w:val="none"/>
        </w:rPr>
      </w:pPr>
      <w:bookmarkStart w:id="626" w:name="_Toc128950249"/>
      <w:r>
        <w:rPr>
          <w:rFonts w:hint="eastAsia" w:ascii="Times New Roman" w:eastAsia="黑体"/>
          <w:color w:val="auto"/>
          <w:szCs w:val="24"/>
          <w:highlight w:val="none"/>
        </w:rPr>
        <w:t>项目经理质量终身责任制承诺</w:t>
      </w:r>
      <w:bookmarkEnd w:id="626"/>
    </w:p>
    <w:p w14:paraId="43EE0CDC">
      <w:pPr>
        <w:spacing w:before="156" w:beforeLines="50" w:after="156" w:afterLines="50" w:line="360" w:lineRule="auto"/>
        <w:jc w:val="center"/>
        <w:rPr>
          <w:rFonts w:cs="宋体"/>
          <w:b/>
          <w:color w:val="auto"/>
          <w:sz w:val="32"/>
          <w:szCs w:val="32"/>
          <w:highlight w:val="none"/>
        </w:rPr>
      </w:pPr>
      <w:bookmarkStart w:id="627" w:name="_Toc128950250"/>
      <w:bookmarkStart w:id="628" w:name="_Toc14540"/>
      <w:bookmarkStart w:id="629" w:name="_Toc19417"/>
      <w:r>
        <w:rPr>
          <w:rFonts w:hint="eastAsia" w:cs="宋体"/>
          <w:b/>
          <w:color w:val="auto"/>
          <w:sz w:val="32"/>
          <w:szCs w:val="32"/>
          <w:highlight w:val="none"/>
        </w:rPr>
        <w:t>项目经理质量终身责任制承诺</w:t>
      </w:r>
      <w:bookmarkEnd w:id="627"/>
      <w:bookmarkEnd w:id="628"/>
      <w:bookmarkEnd w:id="629"/>
    </w:p>
    <w:p w14:paraId="10DD46BB">
      <w:pPr>
        <w:spacing w:line="360" w:lineRule="auto"/>
        <w:rPr>
          <w:rFonts w:cs="宋体"/>
          <w:bCs/>
          <w:color w:val="auto"/>
          <w:sz w:val="21"/>
          <w:szCs w:val="21"/>
          <w:highlight w:val="none"/>
        </w:rPr>
      </w:pPr>
      <w:r>
        <w:rPr>
          <w:rFonts w:hint="eastAsia" w:cs="宋体"/>
          <w:bCs/>
          <w:color w:val="auto"/>
          <w:sz w:val="21"/>
          <w:szCs w:val="21"/>
          <w:highlight w:val="none"/>
        </w:rPr>
        <w:t>致：</w:t>
      </w:r>
      <w:r>
        <w:rPr>
          <w:rFonts w:hint="eastAsia" w:cs="宋体"/>
          <w:bCs/>
          <w:color w:val="auto"/>
          <w:sz w:val="21"/>
          <w:szCs w:val="21"/>
          <w:highlight w:val="none"/>
          <w:u w:val="single"/>
        </w:rPr>
        <w:t>（采购人）</w:t>
      </w:r>
    </w:p>
    <w:p w14:paraId="7BB0798D">
      <w:pPr>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本人作为施工项目经理，承担相关质量终身责任，现郑重承诺如下：</w:t>
      </w:r>
    </w:p>
    <w:p w14:paraId="4EDB4380">
      <w:pPr>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一、在取得施工许可证后进行施工。</w:t>
      </w:r>
    </w:p>
    <w:p w14:paraId="7D11F23E">
      <w:pPr>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二、严格执行施工规范及标准。</w:t>
      </w:r>
    </w:p>
    <w:p w14:paraId="26CDCC56">
      <w:pPr>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三、严格按规定配备施工项目部关键岗位人员，并确保所有人员到岗履职。</w:t>
      </w:r>
    </w:p>
    <w:p w14:paraId="601E5BA3">
      <w:pPr>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四、严格按照经施工图审查机构审查合格的工程设计文件及合同约定的质量标准精心组织施工。</w:t>
      </w:r>
    </w:p>
    <w:p w14:paraId="21EF60D2">
      <w:pPr>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五、施工中采用合格的建筑材料、建筑构配件和设备等，并严格按规定执行见证取样制度。</w:t>
      </w:r>
    </w:p>
    <w:p w14:paraId="0C84009F">
      <w:pPr>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六、建立、健全质量检查、验收制度，严格工序管理，做好隐蔽工程质量的检查和记录。</w:t>
      </w:r>
    </w:p>
    <w:p w14:paraId="5280EB3A">
      <w:pPr>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七、对施工中出现的质量问题，及时进行整改。严格依法依规履行义务。</w:t>
      </w:r>
    </w:p>
    <w:p w14:paraId="6E22C953">
      <w:pPr>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八、履行相关工程质量检查、验收及事故处理等职责。</w:t>
      </w:r>
    </w:p>
    <w:p w14:paraId="0ADCB5AC">
      <w:pPr>
        <w:spacing w:line="360" w:lineRule="auto"/>
        <w:ind w:firstLine="420" w:firstLineChars="200"/>
        <w:rPr>
          <w:rFonts w:cs="宋体"/>
          <w:bCs/>
          <w:color w:val="auto"/>
          <w:sz w:val="21"/>
          <w:szCs w:val="21"/>
          <w:highlight w:val="none"/>
        </w:rPr>
      </w:pPr>
      <w:r>
        <w:rPr>
          <w:rFonts w:hint="eastAsia" w:cs="宋体"/>
          <w:bCs/>
          <w:color w:val="auto"/>
          <w:sz w:val="21"/>
          <w:szCs w:val="21"/>
          <w:highlight w:val="none"/>
        </w:rPr>
        <w:t>九、履行其他法律法规规定的职责。</w:t>
      </w:r>
    </w:p>
    <w:p w14:paraId="484F1F64">
      <w:pPr>
        <w:spacing w:line="360" w:lineRule="auto"/>
        <w:ind w:left="342" w:leftChars="171" w:firstLine="630" w:firstLineChars="300"/>
        <w:rPr>
          <w:rFonts w:cs="宋体"/>
          <w:bCs/>
          <w:color w:val="auto"/>
          <w:sz w:val="21"/>
          <w:szCs w:val="21"/>
          <w:highlight w:val="none"/>
        </w:rPr>
      </w:pPr>
    </w:p>
    <w:p w14:paraId="2817DC3A">
      <w:pPr>
        <w:spacing w:line="360" w:lineRule="auto"/>
        <w:ind w:left="342" w:leftChars="171" w:firstLine="630" w:firstLineChars="300"/>
        <w:rPr>
          <w:rFonts w:cs="宋体"/>
          <w:bCs/>
          <w:color w:val="auto"/>
          <w:sz w:val="21"/>
          <w:szCs w:val="21"/>
          <w:highlight w:val="none"/>
        </w:rPr>
      </w:pPr>
    </w:p>
    <w:p w14:paraId="07682919">
      <w:pPr>
        <w:spacing w:line="360" w:lineRule="auto"/>
        <w:ind w:left="342" w:leftChars="171" w:firstLine="630" w:firstLineChars="300"/>
        <w:rPr>
          <w:rFonts w:cs="宋体"/>
          <w:bCs/>
          <w:color w:val="auto"/>
          <w:sz w:val="21"/>
          <w:szCs w:val="21"/>
          <w:highlight w:val="none"/>
        </w:rPr>
      </w:pPr>
      <w:r>
        <w:rPr>
          <w:rFonts w:hint="eastAsia" w:cs="宋体"/>
          <w:bCs/>
          <w:color w:val="auto"/>
          <w:sz w:val="21"/>
          <w:szCs w:val="21"/>
          <w:highlight w:val="none"/>
        </w:rPr>
        <w:t>项目经理：</w:t>
      </w:r>
      <w:r>
        <w:rPr>
          <w:rFonts w:hint="eastAsia" w:cs="宋体"/>
          <w:bCs/>
          <w:color w:val="auto"/>
          <w:sz w:val="21"/>
          <w:szCs w:val="21"/>
          <w:highlight w:val="none"/>
          <w:u w:val="single"/>
        </w:rPr>
        <w:t xml:space="preserve">                   </w:t>
      </w:r>
      <w:r>
        <w:rPr>
          <w:rFonts w:hint="eastAsia" w:cs="宋体"/>
          <w:bCs/>
          <w:color w:val="auto"/>
          <w:sz w:val="21"/>
          <w:szCs w:val="21"/>
          <w:highlight w:val="none"/>
        </w:rPr>
        <w:t>（签字）</w:t>
      </w:r>
    </w:p>
    <w:p w14:paraId="6E674EC9">
      <w:pPr>
        <w:spacing w:line="360" w:lineRule="auto"/>
        <w:ind w:left="342" w:leftChars="171" w:firstLine="630" w:firstLineChars="300"/>
        <w:rPr>
          <w:rFonts w:cs="宋体"/>
          <w:bCs/>
          <w:color w:val="auto"/>
          <w:sz w:val="21"/>
          <w:szCs w:val="21"/>
          <w:highlight w:val="none"/>
        </w:rPr>
      </w:pPr>
      <w:r>
        <w:rPr>
          <w:rFonts w:hint="eastAsia" w:cs="宋体"/>
          <w:bCs/>
          <w:color w:val="auto"/>
          <w:sz w:val="21"/>
          <w:szCs w:val="21"/>
          <w:highlight w:val="none"/>
        </w:rPr>
        <w:t>日期：_____年____月____日</w:t>
      </w:r>
    </w:p>
    <w:p w14:paraId="52BAAE3F">
      <w:pPr>
        <w:pStyle w:val="19"/>
        <w:rPr>
          <w:rFonts w:ascii="宋体" w:hAnsi="宋体" w:eastAsia="宋体" w:cs="宋体"/>
          <w:bCs/>
          <w:color w:val="auto"/>
          <w:sz w:val="21"/>
          <w:szCs w:val="21"/>
          <w:highlight w:val="none"/>
        </w:rPr>
      </w:pPr>
    </w:p>
    <w:p w14:paraId="2ABBB00E">
      <w:pPr>
        <w:widowControl/>
        <w:jc w:val="left"/>
        <w:rPr>
          <w:b/>
          <w:color w:val="auto"/>
          <w:sz w:val="24"/>
          <w:highlight w:val="none"/>
        </w:rPr>
      </w:pPr>
      <w:r>
        <w:rPr>
          <w:b/>
          <w:color w:val="auto"/>
          <w:sz w:val="24"/>
          <w:highlight w:val="none"/>
        </w:rPr>
        <w:br w:type="page"/>
      </w:r>
    </w:p>
    <w:p w14:paraId="322FD2D5">
      <w:pPr>
        <w:spacing w:line="360" w:lineRule="auto"/>
        <w:jc w:val="center"/>
        <w:outlineLvl w:val="0"/>
        <w:rPr>
          <w:rFonts w:asciiTheme="minorEastAsia" w:hAnsiTheme="minorEastAsia" w:eastAsiaTheme="minorEastAsia"/>
          <w:b/>
          <w:color w:val="auto"/>
          <w:sz w:val="28"/>
          <w:highlight w:val="none"/>
        </w:rPr>
      </w:pPr>
      <w:bookmarkStart w:id="630" w:name="_Toc24717"/>
      <w:r>
        <w:rPr>
          <w:rFonts w:hint="eastAsia" w:asciiTheme="minorEastAsia" w:hAnsiTheme="minorEastAsia" w:eastAsiaTheme="minorEastAsia"/>
          <w:b/>
          <w:color w:val="auto"/>
          <w:sz w:val="28"/>
          <w:highlight w:val="none"/>
        </w:rPr>
        <w:t>第六章  响应文件格式</w:t>
      </w:r>
      <w:bookmarkEnd w:id="630"/>
    </w:p>
    <w:p w14:paraId="3360F249">
      <w:pPr>
        <w:spacing w:line="900" w:lineRule="exact"/>
        <w:jc w:val="center"/>
        <w:rPr>
          <w:rFonts w:asciiTheme="minorEastAsia" w:hAnsiTheme="minorEastAsia" w:eastAsiaTheme="minorEastAsia"/>
          <w:b/>
          <w:color w:val="auto"/>
          <w:sz w:val="72"/>
          <w:highlight w:val="none"/>
        </w:rPr>
      </w:pPr>
    </w:p>
    <w:p w14:paraId="31B562DA">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响</w:t>
      </w:r>
    </w:p>
    <w:p w14:paraId="631461ED">
      <w:pPr>
        <w:spacing w:line="900" w:lineRule="exact"/>
        <w:jc w:val="center"/>
        <w:rPr>
          <w:rFonts w:asciiTheme="minorEastAsia" w:hAnsiTheme="minorEastAsia" w:eastAsiaTheme="minorEastAsia"/>
          <w:b/>
          <w:color w:val="auto"/>
          <w:sz w:val="72"/>
          <w:highlight w:val="none"/>
        </w:rPr>
      </w:pPr>
    </w:p>
    <w:p w14:paraId="6A4BDC0B">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应</w:t>
      </w:r>
    </w:p>
    <w:p w14:paraId="7AD64C8A">
      <w:pPr>
        <w:spacing w:line="900" w:lineRule="exact"/>
        <w:jc w:val="center"/>
        <w:rPr>
          <w:rFonts w:asciiTheme="minorEastAsia" w:hAnsiTheme="minorEastAsia" w:eastAsiaTheme="minorEastAsia"/>
          <w:b/>
          <w:color w:val="auto"/>
          <w:sz w:val="72"/>
          <w:highlight w:val="none"/>
        </w:rPr>
      </w:pPr>
    </w:p>
    <w:p w14:paraId="7827E9BB">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14:paraId="7F615740">
      <w:pPr>
        <w:spacing w:line="900" w:lineRule="exact"/>
        <w:jc w:val="center"/>
        <w:rPr>
          <w:rFonts w:asciiTheme="minorEastAsia" w:hAnsiTheme="minorEastAsia" w:eastAsiaTheme="minorEastAsia"/>
          <w:b/>
          <w:color w:val="auto"/>
          <w:sz w:val="72"/>
          <w:highlight w:val="none"/>
        </w:rPr>
      </w:pPr>
    </w:p>
    <w:p w14:paraId="266A0972">
      <w:pPr>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14:paraId="1B19583A">
      <w:pPr>
        <w:spacing w:after="156" w:afterLines="50"/>
        <w:jc w:val="center"/>
        <w:rPr>
          <w:rFonts w:asciiTheme="minorEastAsia" w:hAnsiTheme="minorEastAsia" w:eastAsiaTheme="minorEastAsia"/>
          <w:b/>
          <w:color w:val="auto"/>
          <w:sz w:val="72"/>
          <w:highlight w:val="none"/>
        </w:rPr>
      </w:pPr>
    </w:p>
    <w:p w14:paraId="682CE49E">
      <w:pPr>
        <w:tabs>
          <w:tab w:val="left" w:pos="2410"/>
        </w:tabs>
        <w:autoSpaceDE w:val="0"/>
        <w:autoSpaceDN w:val="0"/>
        <w:adjustRightInd w:val="0"/>
        <w:snapToGrid w:val="0"/>
        <w:spacing w:line="360" w:lineRule="auto"/>
        <w:ind w:firstLine="1606" w:firstLineChars="500"/>
        <w:jc w:val="both"/>
        <w:outlineLvl w:val="9"/>
        <w:rPr>
          <w:rFonts w:hint="default" w:ascii="宋体" w:hAnsi="宋体" w:eastAsia="宋体"/>
          <w:b/>
          <w:color w:val="auto"/>
          <w:spacing w:val="20"/>
          <w:kern w:val="0"/>
          <w:sz w:val="32"/>
          <w:szCs w:val="32"/>
          <w:highlight w:val="none"/>
          <w:lang w:val="en-US" w:eastAsia="zh-CN"/>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0E9EFBFE">
      <w:pPr>
        <w:tabs>
          <w:tab w:val="left" w:pos="2410"/>
        </w:tabs>
        <w:autoSpaceDE w:val="0"/>
        <w:autoSpaceDN w:val="0"/>
        <w:adjustRightInd w:val="0"/>
        <w:snapToGrid w:val="0"/>
        <w:spacing w:line="360" w:lineRule="auto"/>
        <w:ind w:firstLine="1606" w:firstLineChars="500"/>
        <w:jc w:val="both"/>
        <w:outlineLvl w:val="9"/>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1DA8997C">
      <w:pPr>
        <w:tabs>
          <w:tab w:val="left" w:pos="2410"/>
        </w:tabs>
        <w:autoSpaceDE w:val="0"/>
        <w:autoSpaceDN w:val="0"/>
        <w:adjustRightInd w:val="0"/>
        <w:snapToGrid w:val="0"/>
        <w:spacing w:line="360" w:lineRule="auto"/>
        <w:ind w:firstLine="1606" w:firstLineChars="500"/>
        <w:jc w:val="both"/>
        <w:outlineLvl w:val="9"/>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lang w:val="en-US" w:eastAsia="zh-CN"/>
        </w:rPr>
        <w:t>供 应 商</w:t>
      </w:r>
      <w:r>
        <w:rPr>
          <w:rFonts w:hint="eastAsia" w:asciiTheme="minorEastAsia" w:hAnsiTheme="minorEastAsia" w:eastAsiaTheme="minorEastAsia"/>
          <w:b/>
          <w:color w:val="auto"/>
          <w:sz w:val="32"/>
          <w:highlight w:val="none"/>
        </w:rPr>
        <w:t>：</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217A0AF0">
      <w:pPr>
        <w:spacing w:after="156" w:afterLines="50" w:line="500" w:lineRule="exact"/>
        <w:jc w:val="center"/>
        <w:outlineLvl w:val="1"/>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631" w:name="_Toc27597"/>
      <w:bookmarkStart w:id="632" w:name="_Toc32582"/>
      <w:bookmarkStart w:id="633" w:name="_Toc4866"/>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631"/>
      <w:bookmarkEnd w:id="632"/>
      <w:bookmarkEnd w:id="633"/>
    </w:p>
    <w:p w14:paraId="02427904">
      <w:pPr>
        <w:keepNext w:val="0"/>
        <w:keepLines w:val="0"/>
        <w:widowControl/>
        <w:suppressLineNumbers w:val="0"/>
        <w:jc w:val="left"/>
        <w:rPr>
          <w:rFonts w:hint="eastAsia" w:ascii="宋体" w:hAnsi="宋体" w:eastAsia="宋体" w:cs="宋体"/>
          <w:b/>
          <w:bCs/>
          <w:color w:val="auto"/>
          <w:kern w:val="0"/>
          <w:sz w:val="21"/>
          <w:szCs w:val="21"/>
          <w:highlight w:val="none"/>
          <w:lang w:val="en-US" w:eastAsia="zh-CN" w:bidi="ar"/>
        </w:rPr>
      </w:pPr>
    </w:p>
    <w:p w14:paraId="1ACA34E5">
      <w:pPr>
        <w:widowControl/>
        <w:jc w:val="left"/>
        <w:rPr>
          <w:rFonts w:asciiTheme="minorEastAsia" w:hAnsiTheme="minorEastAsia" w:eastAsiaTheme="minorEastAsia"/>
          <w:b/>
          <w:color w:val="auto"/>
          <w:sz w:val="28"/>
          <w:highlight w:val="none"/>
        </w:rPr>
      </w:pPr>
    </w:p>
    <w:p w14:paraId="6E9C33A8">
      <w:pPr>
        <w:spacing w:line="360" w:lineRule="auto"/>
        <w:jc w:val="center"/>
        <w:outlineLvl w:val="1"/>
        <w:rPr>
          <w:rFonts w:hint="eastAsia" w:asciiTheme="minorEastAsia" w:hAnsiTheme="minorEastAsia" w:eastAsiaTheme="minorEastAsia"/>
          <w:b/>
          <w:color w:val="auto"/>
          <w:sz w:val="24"/>
          <w:highlight w:val="none"/>
        </w:rPr>
      </w:pPr>
      <w:bookmarkStart w:id="634" w:name="_Toc461053086"/>
      <w:bookmarkStart w:id="635" w:name="_Toc461056631"/>
      <w:bookmarkStart w:id="636" w:name="_Toc17778"/>
      <w:bookmarkStart w:id="637" w:name="_Toc520983587"/>
      <w:bookmarkStart w:id="638" w:name="_Toc26877"/>
    </w:p>
    <w:p w14:paraId="2674617D">
      <w:pPr>
        <w:spacing w:line="360" w:lineRule="auto"/>
        <w:jc w:val="center"/>
        <w:outlineLvl w:val="1"/>
        <w:rPr>
          <w:rFonts w:hint="eastAsia" w:asciiTheme="minorEastAsia" w:hAnsiTheme="minorEastAsia" w:eastAsiaTheme="minorEastAsia"/>
          <w:b/>
          <w:color w:val="auto"/>
          <w:sz w:val="24"/>
          <w:highlight w:val="none"/>
        </w:rPr>
      </w:pPr>
    </w:p>
    <w:p w14:paraId="79D639DE">
      <w:pPr>
        <w:spacing w:line="360" w:lineRule="auto"/>
        <w:jc w:val="center"/>
        <w:outlineLvl w:val="1"/>
        <w:rPr>
          <w:rFonts w:hint="eastAsia" w:asciiTheme="minorEastAsia" w:hAnsiTheme="minorEastAsia" w:eastAsiaTheme="minorEastAsia"/>
          <w:b/>
          <w:color w:val="auto"/>
          <w:sz w:val="24"/>
          <w:highlight w:val="none"/>
        </w:rPr>
      </w:pPr>
    </w:p>
    <w:p w14:paraId="604D4F59">
      <w:pPr>
        <w:spacing w:line="360" w:lineRule="auto"/>
        <w:jc w:val="center"/>
        <w:outlineLvl w:val="1"/>
        <w:rPr>
          <w:rFonts w:asciiTheme="minorEastAsia" w:hAnsiTheme="minorEastAsia" w:eastAsiaTheme="minorEastAsia"/>
          <w:b/>
          <w:color w:val="auto"/>
          <w:sz w:val="24"/>
          <w:highlight w:val="none"/>
        </w:rPr>
      </w:pPr>
      <w:bookmarkStart w:id="639" w:name="_Toc9831"/>
      <w:r>
        <w:rPr>
          <w:rFonts w:hint="eastAsia" w:asciiTheme="minorEastAsia" w:hAnsiTheme="minorEastAsia" w:eastAsiaTheme="minorEastAsia"/>
          <w:b/>
          <w:color w:val="auto"/>
          <w:sz w:val="24"/>
          <w:highlight w:val="none"/>
        </w:rPr>
        <w:t>一</w:t>
      </w:r>
      <w:bookmarkEnd w:id="634"/>
      <w:bookmarkEnd w:id="635"/>
      <w:r>
        <w:rPr>
          <w:rFonts w:hint="eastAsia" w:asciiTheme="minorEastAsia" w:hAnsiTheme="minorEastAsia" w:eastAsiaTheme="minorEastAsia"/>
          <w:b/>
          <w:color w:val="auto"/>
          <w:sz w:val="24"/>
          <w:highlight w:val="none"/>
        </w:rPr>
        <w:t>、报价表格式</w:t>
      </w:r>
      <w:bookmarkEnd w:id="636"/>
      <w:bookmarkEnd w:id="637"/>
      <w:bookmarkEnd w:id="638"/>
      <w:bookmarkEnd w:id="639"/>
    </w:p>
    <w:p w14:paraId="60002640">
      <w:pPr>
        <w:spacing w:before="156" w:beforeLines="50" w:after="156" w:afterLines="50" w:line="360" w:lineRule="auto"/>
        <w:jc w:val="left"/>
        <w:outlineLvl w:val="2"/>
        <w:rPr>
          <w:rFonts w:cs="@仿宋_GB2312" w:asciiTheme="minorEastAsia" w:hAnsiTheme="minorEastAsia" w:eastAsiaTheme="minorEastAsia"/>
          <w:b/>
          <w:color w:val="auto"/>
          <w:kern w:val="2"/>
          <w:sz w:val="24"/>
          <w:szCs w:val="24"/>
          <w:highlight w:val="none"/>
        </w:rPr>
      </w:pPr>
      <w:r>
        <w:rPr>
          <w:rFonts w:hint="eastAsia" w:cs="@仿宋_GB2312" w:asciiTheme="minorEastAsia" w:hAnsiTheme="minorEastAsia" w:eastAsiaTheme="minorEastAsia"/>
          <w:b/>
          <w:color w:val="auto"/>
          <w:kern w:val="2"/>
          <w:sz w:val="24"/>
          <w:szCs w:val="24"/>
          <w:highlight w:val="none"/>
        </w:rPr>
        <w:t>1-1 报价表</w:t>
      </w:r>
    </w:p>
    <w:p w14:paraId="5EAD724A">
      <w:pPr>
        <w:snapToGrid w:val="0"/>
        <w:spacing w:line="360" w:lineRule="auto"/>
        <w:jc w:val="left"/>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项目名称：</w:t>
      </w:r>
      <w:r>
        <w:rPr>
          <w:rFonts w:hint="eastAsia" w:cs="宋体" w:asciiTheme="minorEastAsia" w:hAnsiTheme="minorEastAsia" w:eastAsiaTheme="minorEastAsia"/>
          <w:b/>
          <w:color w:val="auto"/>
          <w:kern w:val="2"/>
          <w:sz w:val="24"/>
          <w:szCs w:val="24"/>
          <w:highlight w:val="none"/>
          <w:u w:val="single"/>
        </w:rPr>
        <w:t xml:space="preserve"> </w:t>
      </w:r>
      <w:r>
        <w:rPr>
          <w:rFonts w:hint="eastAsia" w:cs="宋体" w:asciiTheme="minorEastAsia" w:hAnsiTheme="minorEastAsia" w:eastAsiaTheme="minorEastAsia"/>
          <w:b/>
          <w:color w:val="auto"/>
          <w:kern w:val="2"/>
          <w:sz w:val="24"/>
          <w:szCs w:val="24"/>
          <w:highlight w:val="none"/>
          <w:u w:val="single"/>
          <w:lang w:val="en-US" w:eastAsia="zh-CN"/>
        </w:rPr>
        <w:t>2025年公园游园亭廊栈道等设施维修项目</w:t>
      </w:r>
    </w:p>
    <w:p w14:paraId="5D38220C">
      <w:pPr>
        <w:snapToGrid w:val="0"/>
        <w:spacing w:after="156" w:afterLines="50" w:line="360" w:lineRule="auto"/>
        <w:jc w:val="left"/>
        <w:rPr>
          <w:rFonts w:cs="宋体" w:asciiTheme="minorEastAsia" w:hAnsiTheme="minorEastAsia" w:eastAsiaTheme="minorEastAsia"/>
          <w:b/>
          <w:bCs/>
          <w:color w:val="auto"/>
          <w:kern w:val="2"/>
          <w:sz w:val="24"/>
          <w:szCs w:val="24"/>
          <w:highlight w:val="none"/>
          <w:u w:val="single"/>
        </w:rPr>
      </w:pPr>
      <w:r>
        <w:rPr>
          <w:rFonts w:hint="eastAsia" w:cs="宋体" w:asciiTheme="minorEastAsia" w:hAnsiTheme="minorEastAsia" w:eastAsiaTheme="minorEastAsia"/>
          <w:b/>
          <w:color w:val="auto"/>
          <w:kern w:val="2"/>
          <w:sz w:val="24"/>
          <w:szCs w:val="24"/>
          <w:highlight w:val="none"/>
        </w:rPr>
        <w:t>项目编号：</w:t>
      </w:r>
      <w:r>
        <w:rPr>
          <w:rFonts w:hint="eastAsia" w:cs="宋体" w:asciiTheme="minorEastAsia" w:hAnsiTheme="minorEastAsia" w:eastAsiaTheme="minorEastAsia"/>
          <w:b/>
          <w:color w:val="auto"/>
          <w:kern w:val="2"/>
          <w:sz w:val="24"/>
          <w:szCs w:val="24"/>
          <w:highlight w:val="none"/>
          <w:u w:val="single"/>
          <w:lang w:val="en-US" w:eastAsia="zh-CN"/>
        </w:rPr>
        <w:t xml:space="preserve">              </w:t>
      </w:r>
      <w:r>
        <w:rPr>
          <w:rFonts w:hint="eastAsia" w:cs="宋体" w:asciiTheme="minorEastAsia" w:hAnsiTheme="minorEastAsia" w:eastAsiaTheme="minorEastAsia"/>
          <w:b/>
          <w:color w:val="auto"/>
          <w:kern w:val="2"/>
          <w:sz w:val="24"/>
          <w:szCs w:val="24"/>
          <w:highlight w:val="none"/>
          <w:u w:val="single"/>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26D50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466A4DAD">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供应商名称</w:t>
            </w:r>
          </w:p>
        </w:tc>
        <w:tc>
          <w:tcPr>
            <w:tcW w:w="3557" w:type="pct"/>
            <w:tcBorders>
              <w:left w:val="single" w:color="auto" w:sz="4" w:space="0"/>
            </w:tcBorders>
          </w:tcPr>
          <w:p w14:paraId="09D3F650">
            <w:pPr>
              <w:rPr>
                <w:rFonts w:cs="宋体" w:asciiTheme="minorEastAsia" w:hAnsiTheme="minorEastAsia" w:eastAsiaTheme="minorEastAsia"/>
                <w:b/>
                <w:color w:val="auto"/>
                <w:kern w:val="2"/>
                <w:sz w:val="24"/>
                <w:szCs w:val="24"/>
                <w:highlight w:val="none"/>
              </w:rPr>
            </w:pPr>
          </w:p>
        </w:tc>
      </w:tr>
      <w:tr w14:paraId="139B6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5F56659D">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谈判</w:t>
            </w:r>
            <w:r>
              <w:rPr>
                <w:rFonts w:hint="eastAsia" w:cs="宋体" w:asciiTheme="minorEastAsia" w:hAnsiTheme="minorEastAsia" w:eastAsiaTheme="minorEastAsia"/>
                <w:b/>
                <w:color w:val="auto"/>
                <w:kern w:val="2"/>
                <w:sz w:val="24"/>
                <w:szCs w:val="24"/>
                <w:highlight w:val="none"/>
              </w:rPr>
              <w:t>范围</w:t>
            </w:r>
          </w:p>
        </w:tc>
        <w:tc>
          <w:tcPr>
            <w:tcW w:w="3557" w:type="pct"/>
            <w:tcBorders>
              <w:left w:val="single" w:color="auto" w:sz="4" w:space="0"/>
            </w:tcBorders>
            <w:vAlign w:val="center"/>
          </w:tcPr>
          <w:p w14:paraId="7D2D3778">
            <w:pPr>
              <w:widowControl/>
              <w:rPr>
                <w:rFonts w:hint="eastAsia" w:cs="宋体" w:asciiTheme="minorEastAsia" w:hAnsiTheme="minorEastAsia" w:eastAsiaTheme="minorEastAsia"/>
                <w:b/>
                <w:color w:val="auto"/>
                <w:kern w:val="2"/>
                <w:sz w:val="24"/>
                <w:szCs w:val="24"/>
                <w:highlight w:val="none"/>
                <w:lang w:eastAsia="zh-CN"/>
              </w:rPr>
            </w:pPr>
            <w:r>
              <w:rPr>
                <w:rFonts w:hint="eastAsia" w:cs="@仿宋_GB2312" w:asciiTheme="minorEastAsia" w:hAnsiTheme="minorEastAsia" w:eastAsiaTheme="minorEastAsia"/>
                <w:color w:val="auto"/>
                <w:kern w:val="2"/>
                <w:sz w:val="24"/>
                <w:szCs w:val="28"/>
                <w:highlight w:val="none"/>
              </w:rPr>
              <w:t>全部</w:t>
            </w:r>
            <w:r>
              <w:rPr>
                <w:rFonts w:hint="eastAsia" w:cs="@仿宋_GB2312" w:asciiTheme="minorEastAsia" w:hAnsiTheme="minorEastAsia" w:eastAsiaTheme="minorEastAsia"/>
                <w:color w:val="auto"/>
                <w:kern w:val="2"/>
                <w:sz w:val="24"/>
                <w:szCs w:val="28"/>
                <w:highlight w:val="none"/>
                <w:lang w:val="en-US" w:eastAsia="zh-CN"/>
              </w:rPr>
              <w:t xml:space="preserve"> </w:t>
            </w:r>
          </w:p>
        </w:tc>
      </w:tr>
      <w:tr w14:paraId="4686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5F56A187">
            <w:pPr>
              <w:spacing w:line="360" w:lineRule="auto"/>
              <w:jc w:val="center"/>
              <w:rPr>
                <w:rFonts w:cs="@仿宋_GB2312"/>
                <w:b/>
                <w:color w:val="auto"/>
                <w:kern w:val="2"/>
                <w:sz w:val="24"/>
                <w:highlight w:val="none"/>
              </w:rPr>
            </w:pPr>
            <w:r>
              <w:rPr>
                <w:rFonts w:hint="eastAsia" w:cs="@仿宋_GB2312"/>
                <w:b/>
                <w:color w:val="auto"/>
                <w:kern w:val="2"/>
                <w:sz w:val="24"/>
                <w:highlight w:val="none"/>
              </w:rPr>
              <w:t>报价</w:t>
            </w:r>
          </w:p>
          <w:p w14:paraId="1663ED69">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（详见备注说明）</w:t>
            </w:r>
          </w:p>
        </w:tc>
        <w:tc>
          <w:tcPr>
            <w:tcW w:w="3557" w:type="pct"/>
            <w:vAlign w:val="center"/>
          </w:tcPr>
          <w:p w14:paraId="5E3DF47F">
            <w:pPr>
              <w:snapToGrid w:val="0"/>
              <w:spacing w:line="360" w:lineRule="auto"/>
              <w:jc w:val="left"/>
              <w:rPr>
                <w:rFonts w:cs="宋体"/>
                <w:bCs/>
                <w:color w:val="auto"/>
                <w:sz w:val="21"/>
                <w:szCs w:val="21"/>
                <w:highlight w:val="none"/>
                <w:u w:val="single"/>
              </w:rPr>
            </w:pPr>
            <w:r>
              <w:rPr>
                <w:rFonts w:hint="eastAsia" w:cs="宋体"/>
                <w:bCs/>
                <w:color w:val="auto"/>
                <w:sz w:val="21"/>
                <w:szCs w:val="21"/>
                <w:highlight w:val="none"/>
              </w:rPr>
              <w:t>大写：</w:t>
            </w:r>
            <w:r>
              <w:rPr>
                <w:rFonts w:hint="eastAsia" w:cs="宋体"/>
                <w:bCs/>
                <w:color w:val="auto"/>
                <w:sz w:val="21"/>
                <w:szCs w:val="21"/>
                <w:highlight w:val="none"/>
                <w:u w:val="single"/>
              </w:rPr>
              <w:t xml:space="preserve">                     </w:t>
            </w:r>
          </w:p>
          <w:p w14:paraId="5E596D19">
            <w:pPr>
              <w:snapToGrid w:val="0"/>
              <w:rPr>
                <w:rFonts w:cs="宋体" w:asciiTheme="minorEastAsia" w:hAnsiTheme="minorEastAsia" w:eastAsiaTheme="minorEastAsia"/>
                <w:b/>
                <w:color w:val="auto"/>
                <w:kern w:val="2"/>
                <w:sz w:val="24"/>
                <w:szCs w:val="24"/>
                <w:highlight w:val="none"/>
              </w:rPr>
            </w:pPr>
            <w:r>
              <w:rPr>
                <w:rFonts w:hint="eastAsia" w:cs="宋体"/>
                <w:bCs/>
                <w:color w:val="auto"/>
                <w:sz w:val="21"/>
                <w:szCs w:val="21"/>
                <w:highlight w:val="none"/>
              </w:rPr>
              <w:t>小写：</w:t>
            </w:r>
            <w:r>
              <w:rPr>
                <w:rFonts w:hint="eastAsia" w:cs="宋体"/>
                <w:bCs/>
                <w:color w:val="auto"/>
                <w:sz w:val="21"/>
                <w:szCs w:val="21"/>
                <w:highlight w:val="none"/>
                <w:u w:val="single"/>
              </w:rPr>
              <w:t xml:space="preserve">                     </w:t>
            </w:r>
          </w:p>
        </w:tc>
      </w:tr>
      <w:tr w14:paraId="3E99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65E6DB14">
            <w:pPr>
              <w:snapToGrid w:val="0"/>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质量标准</w:t>
            </w:r>
          </w:p>
        </w:tc>
        <w:tc>
          <w:tcPr>
            <w:tcW w:w="3557" w:type="pct"/>
            <w:vAlign w:val="center"/>
          </w:tcPr>
          <w:p w14:paraId="610495C9">
            <w:pPr>
              <w:snapToGrid w:val="0"/>
              <w:rPr>
                <w:rFonts w:cs="宋体" w:asciiTheme="minorEastAsia" w:hAnsiTheme="minorEastAsia" w:eastAsiaTheme="minorEastAsia"/>
                <w:b/>
                <w:color w:val="auto"/>
                <w:kern w:val="2"/>
                <w:sz w:val="24"/>
                <w:szCs w:val="24"/>
                <w:highlight w:val="none"/>
              </w:rPr>
            </w:pPr>
          </w:p>
        </w:tc>
      </w:tr>
      <w:tr w14:paraId="03748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0FF8C37F">
            <w:pPr>
              <w:snapToGrid w:val="0"/>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工    期</w:t>
            </w:r>
          </w:p>
        </w:tc>
        <w:tc>
          <w:tcPr>
            <w:tcW w:w="3557" w:type="pct"/>
            <w:vAlign w:val="center"/>
          </w:tcPr>
          <w:p w14:paraId="63AD63E3">
            <w:pPr>
              <w:snapToGrid w:val="0"/>
              <w:rPr>
                <w:rFonts w:hint="eastAsia" w:cs="宋体" w:asciiTheme="minorEastAsia" w:hAnsiTheme="minorEastAsia" w:eastAsiaTheme="minorEastAsia"/>
                <w:b/>
                <w:color w:val="auto"/>
                <w:kern w:val="2"/>
                <w:sz w:val="24"/>
                <w:szCs w:val="24"/>
                <w:highlight w:val="none"/>
                <w:lang w:eastAsia="zh-CN"/>
              </w:rPr>
            </w:pPr>
            <w:r>
              <w:rPr>
                <w:rFonts w:hint="eastAsia" w:cs="宋体" w:asciiTheme="minorEastAsia" w:hAnsiTheme="minorEastAsia" w:eastAsiaTheme="minorEastAsia"/>
                <w:bCs/>
                <w:color w:val="auto"/>
                <w:kern w:val="2"/>
                <w:sz w:val="24"/>
                <w:szCs w:val="24"/>
                <w:highlight w:val="none"/>
              </w:rPr>
              <w:t>接开工令后</w:t>
            </w:r>
            <w:r>
              <w:rPr>
                <w:rFonts w:hint="eastAsia" w:cs="宋体" w:asciiTheme="minorEastAsia" w:hAnsiTheme="minorEastAsia" w:eastAsiaTheme="minorEastAsia"/>
                <w:bCs/>
                <w:color w:val="auto"/>
                <w:kern w:val="2"/>
                <w:sz w:val="24"/>
                <w:szCs w:val="24"/>
                <w:highlight w:val="none"/>
                <w:u w:val="single"/>
                <w:lang w:val="en-US" w:eastAsia="zh-CN"/>
              </w:rPr>
              <w:t xml:space="preserve">     </w:t>
            </w:r>
            <w:r>
              <w:rPr>
                <w:rFonts w:hint="eastAsia" w:cs="宋体" w:asciiTheme="minorEastAsia" w:hAnsiTheme="minorEastAsia" w:eastAsiaTheme="minorEastAsia"/>
                <w:bCs/>
                <w:color w:val="auto"/>
                <w:kern w:val="2"/>
                <w:sz w:val="24"/>
                <w:szCs w:val="24"/>
                <w:highlight w:val="none"/>
              </w:rPr>
              <w:t>日历天完工</w:t>
            </w:r>
            <w:r>
              <w:rPr>
                <w:rFonts w:hint="eastAsia" w:cs="宋体" w:asciiTheme="minorEastAsia" w:hAnsiTheme="minorEastAsia" w:eastAsiaTheme="minorEastAsia"/>
                <w:bCs/>
                <w:color w:val="auto"/>
                <w:kern w:val="2"/>
                <w:sz w:val="24"/>
                <w:szCs w:val="24"/>
                <w:highlight w:val="none"/>
                <w:lang w:eastAsia="zh-CN"/>
              </w:rPr>
              <w:t>。供应商自报的承诺工期为考核标准。因供应商原因造成的工期延误，每推迟一天，按合同价款（扣除暂估价和暂列金）万分之二处以违约金。</w:t>
            </w:r>
          </w:p>
        </w:tc>
      </w:tr>
      <w:tr w14:paraId="3E795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7DDCEB2F">
            <w:pPr>
              <w:snapToGrid w:val="0"/>
              <w:jc w:val="center"/>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是否响应付款方式</w:t>
            </w:r>
          </w:p>
        </w:tc>
        <w:tc>
          <w:tcPr>
            <w:tcW w:w="3557" w:type="pct"/>
            <w:vAlign w:val="center"/>
          </w:tcPr>
          <w:p w14:paraId="57FFEF46">
            <w:pPr>
              <w:snapToGrid w:val="0"/>
              <w:rPr>
                <w:rFonts w:cs="宋体" w:asciiTheme="minorEastAsia" w:hAnsiTheme="minorEastAsia" w:eastAsiaTheme="minorEastAsia"/>
                <w:bCs/>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是□    否□   （划√）</w:t>
            </w:r>
          </w:p>
        </w:tc>
      </w:tr>
      <w:tr w14:paraId="37B5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3" w:type="pct"/>
            <w:vAlign w:val="center"/>
          </w:tcPr>
          <w:p w14:paraId="5D4B7F4B">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备注说明</w:t>
            </w:r>
          </w:p>
        </w:tc>
        <w:tc>
          <w:tcPr>
            <w:tcW w:w="3557" w:type="pct"/>
          </w:tcPr>
          <w:p w14:paraId="785EC1EC">
            <w:pPr>
              <w:rPr>
                <w:rFonts w:cs="宋体" w:asciiTheme="minorEastAsia" w:hAnsiTheme="minorEastAsia" w:eastAsiaTheme="minorEastAsia"/>
                <w:b/>
                <w:color w:val="auto"/>
                <w:kern w:val="2"/>
                <w:sz w:val="24"/>
                <w:szCs w:val="24"/>
                <w:highlight w:val="none"/>
              </w:rPr>
            </w:pPr>
          </w:p>
        </w:tc>
      </w:tr>
    </w:tbl>
    <w:p w14:paraId="58150BF2">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供应商电子签章：</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66EBC4A5">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2205DAEC">
      <w:pPr>
        <w:adjustRightInd w:val="0"/>
        <w:snapToGrid w:val="0"/>
        <w:spacing w:line="360" w:lineRule="auto"/>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注：</w:t>
      </w:r>
    </w:p>
    <w:p w14:paraId="519FDF2A">
      <w:pPr>
        <w:adjustRightInd w:val="0"/>
        <w:snapToGrid w:val="0"/>
        <w:spacing w:line="360" w:lineRule="auto"/>
        <w:ind w:firstLine="482"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1.本表内容根据谈判文件要求包括了谈判文件要求提供的全部内容的所有费用。</w:t>
      </w:r>
    </w:p>
    <w:p w14:paraId="2067C888">
      <w:pPr>
        <w:adjustRightInd w:val="0"/>
        <w:snapToGrid w:val="0"/>
        <w:spacing w:line="360" w:lineRule="auto"/>
        <w:ind w:firstLine="482" w:firstLineChars="200"/>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2.特殊事项在备注中注明。</w:t>
      </w:r>
    </w:p>
    <w:p w14:paraId="0ACA4F21">
      <w:pPr>
        <w:adjustRightInd w:val="0"/>
        <w:snapToGrid w:val="0"/>
        <w:spacing w:line="360" w:lineRule="auto"/>
        <w:ind w:firstLine="482" w:firstLineChars="200"/>
        <w:rPr>
          <w:rFonts w:cs="@仿宋_GB2312" w:asciiTheme="minorEastAsia" w:hAnsiTheme="minorEastAsia" w:eastAsiaTheme="minorEastAsia"/>
          <w:b/>
          <w:bCs/>
          <w:color w:val="auto"/>
          <w:kern w:val="2"/>
          <w:sz w:val="24"/>
          <w:szCs w:val="24"/>
          <w:highlight w:val="none"/>
        </w:rPr>
      </w:pPr>
      <w:r>
        <w:rPr>
          <w:rFonts w:hint="eastAsia" w:cs="@仿宋_GB2312" w:asciiTheme="minorEastAsia" w:hAnsiTheme="minorEastAsia" w:eastAsiaTheme="minorEastAsia"/>
          <w:b/>
          <w:bCs/>
          <w:color w:val="auto"/>
          <w:kern w:val="2"/>
          <w:sz w:val="24"/>
          <w:szCs w:val="24"/>
          <w:highlight w:val="none"/>
          <w:lang w:val="en-US" w:eastAsia="zh-CN"/>
        </w:rPr>
        <w:t>3</w:t>
      </w:r>
      <w:r>
        <w:rPr>
          <w:rFonts w:hint="eastAsia" w:cs="@仿宋_GB2312" w:asciiTheme="minorEastAsia" w:hAnsiTheme="minorEastAsia" w:eastAsiaTheme="minorEastAsia"/>
          <w:b/>
          <w:bCs/>
          <w:color w:val="auto"/>
          <w:kern w:val="2"/>
          <w:sz w:val="24"/>
          <w:szCs w:val="24"/>
          <w:highlight w:val="none"/>
        </w:rPr>
        <w:t>.表中大写金额与小写金额不一致的，以大写金额为准。</w:t>
      </w:r>
    </w:p>
    <w:p w14:paraId="2239892D">
      <w:pPr>
        <w:adjustRightInd w:val="0"/>
        <w:snapToGrid w:val="0"/>
        <w:spacing w:line="360" w:lineRule="auto"/>
        <w:ind w:firstLine="482" w:firstLineChars="200"/>
        <w:rPr>
          <w:rFonts w:cs="宋体" w:asciiTheme="minorEastAsia" w:hAnsiTheme="minorEastAsia" w:eastAsiaTheme="minorEastAsia"/>
          <w:b/>
          <w:bCs/>
          <w:color w:val="auto"/>
          <w:kern w:val="2"/>
          <w:sz w:val="24"/>
          <w:szCs w:val="24"/>
          <w:highlight w:val="none"/>
        </w:rPr>
      </w:pPr>
      <w:r>
        <w:rPr>
          <w:rFonts w:cs="宋体" w:asciiTheme="minorEastAsia" w:hAnsiTheme="minorEastAsia" w:eastAsiaTheme="minorEastAsia"/>
          <w:b/>
          <w:bCs/>
          <w:color w:val="auto"/>
          <w:kern w:val="2"/>
          <w:sz w:val="24"/>
          <w:szCs w:val="24"/>
          <w:highlight w:val="none"/>
        </w:rPr>
        <w:br w:type="page"/>
      </w:r>
    </w:p>
    <w:p w14:paraId="03A113E6">
      <w:pPr>
        <w:adjustRightInd w:val="0"/>
        <w:snapToGrid w:val="0"/>
        <w:spacing w:line="360" w:lineRule="auto"/>
        <w:outlineLvl w:val="2"/>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1-2 工程量清单报价书</w:t>
      </w:r>
    </w:p>
    <w:p w14:paraId="737AE301">
      <w:pPr>
        <w:autoSpaceDE w:val="0"/>
        <w:autoSpaceDN w:val="0"/>
        <w:adjustRightInd w:val="0"/>
        <w:spacing w:before="20" w:after="20" w:line="360" w:lineRule="auto"/>
        <w:jc w:val="center"/>
        <w:rPr>
          <w:rFonts w:cs="宋体" w:asciiTheme="minorEastAsia" w:hAnsiTheme="minorEastAsia" w:eastAsiaTheme="minorEastAsia"/>
          <w:b/>
          <w:color w:val="auto"/>
          <w:sz w:val="24"/>
          <w:szCs w:val="24"/>
          <w:highlight w:val="none"/>
        </w:rPr>
      </w:pPr>
    </w:p>
    <w:p w14:paraId="2DB3EF68">
      <w:pPr>
        <w:autoSpaceDE w:val="0"/>
        <w:autoSpaceDN w:val="0"/>
        <w:adjustRightInd w:val="0"/>
        <w:spacing w:before="20" w:after="20" w:line="360" w:lineRule="auto"/>
        <w:jc w:val="center"/>
        <w:outlineLvl w:val="2"/>
        <w:rPr>
          <w:rFonts w:cs="宋体" w:asciiTheme="minorEastAsia" w:hAnsiTheme="minorEastAsia" w:eastAsiaTheme="minorEastAsia"/>
          <w:b/>
          <w:color w:val="auto"/>
          <w:sz w:val="24"/>
          <w:szCs w:val="24"/>
          <w:highlight w:val="none"/>
        </w:rPr>
      </w:pPr>
      <w:bookmarkStart w:id="640" w:name="_Toc30688"/>
      <w:r>
        <w:rPr>
          <w:rFonts w:hint="eastAsia" w:cs="宋体" w:asciiTheme="minorEastAsia" w:hAnsiTheme="minorEastAsia" w:eastAsiaTheme="minorEastAsia"/>
          <w:b/>
          <w:color w:val="auto"/>
          <w:sz w:val="24"/>
          <w:szCs w:val="24"/>
          <w:highlight w:val="none"/>
        </w:rPr>
        <w:t>工程量清单报价书</w:t>
      </w:r>
      <w:bookmarkEnd w:id="640"/>
    </w:p>
    <w:p w14:paraId="242676ED">
      <w:pPr>
        <w:adjustRightInd w:val="0"/>
        <w:snapToGrid w:val="0"/>
        <w:spacing w:line="360" w:lineRule="auto"/>
        <w:ind w:firstLine="422" w:firstLineChars="200"/>
        <w:jc w:val="center"/>
        <w:rPr>
          <w:b/>
          <w:bCs/>
          <w:color w:val="auto"/>
          <w:sz w:val="24"/>
          <w:szCs w:val="28"/>
          <w:highlight w:val="none"/>
        </w:rPr>
      </w:pPr>
      <w:r>
        <w:rPr>
          <w:rFonts w:hint="eastAsia" w:cs="宋体" w:asciiTheme="minorEastAsia" w:hAnsiTheme="minorEastAsia" w:eastAsiaTheme="minorEastAsia"/>
          <w:b/>
          <w:color w:val="auto"/>
          <w:kern w:val="2"/>
          <w:sz w:val="21"/>
          <w:szCs w:val="24"/>
          <w:highlight w:val="none"/>
        </w:rPr>
        <w:t>（格式详见工程量清单）</w:t>
      </w:r>
    </w:p>
    <w:p w14:paraId="021623F4">
      <w:pPr>
        <w:jc w:val="center"/>
        <w:rPr>
          <w:rFonts w:ascii="Calibri" w:hAnsi="Calibri"/>
          <w:b/>
          <w:color w:val="auto"/>
          <w:sz w:val="24"/>
          <w:szCs w:val="24"/>
          <w:highlight w:val="none"/>
        </w:rPr>
      </w:pPr>
      <w:r>
        <w:rPr>
          <w:b/>
          <w:bCs/>
          <w:color w:val="auto"/>
          <w:sz w:val="24"/>
          <w:szCs w:val="28"/>
          <w:highlight w:val="none"/>
        </w:rPr>
        <w:br w:type="page"/>
      </w:r>
      <w:r>
        <w:rPr>
          <w:rFonts w:hint="eastAsia" w:ascii="FangSong_GB2312" w:hAnsi="Calibri" w:eastAsia="FangSong_GB2312"/>
          <w:b/>
          <w:color w:val="auto"/>
          <w:sz w:val="24"/>
          <w:szCs w:val="24"/>
          <w:highlight w:val="none"/>
        </w:rPr>
        <w:t>①</w:t>
      </w:r>
      <w:r>
        <w:rPr>
          <w:rFonts w:hint="eastAsia" w:ascii="Calibri" w:hAnsi="Calibri"/>
          <w:b/>
          <w:color w:val="auto"/>
          <w:sz w:val="24"/>
          <w:szCs w:val="24"/>
          <w:highlight w:val="none"/>
        </w:rPr>
        <w:t>工程量清单报价书（封面）</w:t>
      </w:r>
    </w:p>
    <w:p w14:paraId="472C8161">
      <w:pPr>
        <w:ind w:firstLine="482" w:firstLineChars="200"/>
        <w:jc w:val="center"/>
        <w:rPr>
          <w:rFonts w:hint="default" w:ascii="Calibri" w:hAnsi="Calibri"/>
          <w:b/>
          <w:color w:val="auto"/>
          <w:sz w:val="24"/>
          <w:szCs w:val="24"/>
          <w:highlight w:val="none"/>
        </w:rPr>
      </w:pPr>
    </w:p>
    <w:p w14:paraId="1248603F">
      <w:pPr>
        <w:ind w:firstLine="482" w:firstLineChars="200"/>
        <w:jc w:val="center"/>
        <w:rPr>
          <w:rFonts w:ascii="Calibri" w:hAnsi="Calibri"/>
          <w:b/>
          <w:color w:val="auto"/>
          <w:sz w:val="24"/>
          <w:szCs w:val="24"/>
          <w:highlight w:val="none"/>
        </w:rPr>
      </w:pPr>
      <w:r>
        <w:rPr>
          <w:rFonts w:hint="default" w:ascii="Calibri" w:hAnsi="Calibri"/>
          <w:b/>
          <w:color w:val="auto"/>
          <w:sz w:val="24"/>
          <w:szCs w:val="24"/>
          <w:highlight w:val="none"/>
        </w:rPr>
        <w:t>响应</w:t>
      </w:r>
      <w:r>
        <w:rPr>
          <w:rFonts w:hint="eastAsia" w:ascii="Calibri" w:hAnsi="Calibri"/>
          <w:b/>
          <w:color w:val="auto"/>
          <w:sz w:val="24"/>
          <w:szCs w:val="24"/>
          <w:highlight w:val="none"/>
        </w:rPr>
        <w:t>总价</w:t>
      </w:r>
    </w:p>
    <w:p w14:paraId="1EE9C76A">
      <w:pPr>
        <w:spacing w:line="800" w:lineRule="exact"/>
        <w:ind w:firstLine="480" w:firstLineChars="200"/>
        <w:rPr>
          <w:rFonts w:ascii="Calibri" w:hAnsi="Calibri"/>
          <w:color w:val="auto"/>
          <w:sz w:val="24"/>
          <w:szCs w:val="24"/>
          <w:highlight w:val="none"/>
          <w:u w:val="single"/>
        </w:rPr>
      </w:pPr>
      <w:r>
        <w:rPr>
          <w:rFonts w:hint="default" w:ascii="Calibri" w:hAnsi="Calibri"/>
          <w:color w:val="auto"/>
          <w:sz w:val="24"/>
          <w:szCs w:val="24"/>
          <w:highlight w:val="none"/>
        </w:rPr>
        <w:t>采购人</w:t>
      </w:r>
      <w:r>
        <w:rPr>
          <w:rFonts w:hint="eastAsia" w:ascii="Calibri" w:hAnsi="Calibri"/>
          <w:color w:val="auto"/>
          <w:sz w:val="24"/>
          <w:szCs w:val="24"/>
          <w:highlight w:val="none"/>
        </w:rPr>
        <w:t>：</w:t>
      </w:r>
      <w:r>
        <w:rPr>
          <w:rFonts w:hint="eastAsia" w:ascii="Calibri" w:hAnsi="Calibri"/>
          <w:color w:val="auto"/>
          <w:sz w:val="24"/>
          <w:szCs w:val="24"/>
          <w:highlight w:val="none"/>
          <w:u w:val="single"/>
        </w:rPr>
        <w:t xml:space="preserve">                                                 </w:t>
      </w:r>
    </w:p>
    <w:p w14:paraId="4691CEC7">
      <w:pPr>
        <w:spacing w:line="800" w:lineRule="exact"/>
        <w:ind w:firstLine="480" w:firstLineChars="200"/>
        <w:rPr>
          <w:rFonts w:ascii="Calibri" w:hAnsi="Calibri"/>
          <w:color w:val="auto"/>
          <w:sz w:val="24"/>
          <w:szCs w:val="24"/>
          <w:highlight w:val="none"/>
        </w:rPr>
      </w:pPr>
      <w:r>
        <w:rPr>
          <w:rFonts w:hint="eastAsia" w:ascii="Calibri" w:hAnsi="Calibri"/>
          <w:color w:val="auto"/>
          <w:sz w:val="24"/>
          <w:szCs w:val="24"/>
          <w:highlight w:val="none"/>
        </w:rPr>
        <w:t>工程名称：</w:t>
      </w:r>
      <w:r>
        <w:rPr>
          <w:rFonts w:hint="eastAsia" w:ascii="Calibri" w:hAnsi="Calibri"/>
          <w:color w:val="auto"/>
          <w:sz w:val="24"/>
          <w:szCs w:val="24"/>
          <w:highlight w:val="none"/>
          <w:u w:val="single"/>
        </w:rPr>
        <w:t xml:space="preserve">                                               </w:t>
      </w:r>
    </w:p>
    <w:p w14:paraId="3CFB90A2">
      <w:pPr>
        <w:spacing w:line="800" w:lineRule="exact"/>
        <w:ind w:firstLine="480" w:firstLineChars="200"/>
        <w:rPr>
          <w:rFonts w:ascii="Calibri" w:hAnsi="Calibri"/>
          <w:color w:val="auto"/>
          <w:sz w:val="24"/>
          <w:szCs w:val="24"/>
          <w:highlight w:val="none"/>
          <w:u w:val="single"/>
        </w:rPr>
      </w:pPr>
      <w:r>
        <w:rPr>
          <w:rFonts w:hint="default" w:ascii="Calibri" w:hAnsi="Calibri"/>
          <w:color w:val="auto"/>
          <w:sz w:val="24"/>
          <w:szCs w:val="24"/>
          <w:highlight w:val="none"/>
        </w:rPr>
        <w:t>响应</w:t>
      </w:r>
      <w:r>
        <w:rPr>
          <w:rFonts w:hint="eastAsia" w:ascii="Calibri" w:hAnsi="Calibri"/>
          <w:color w:val="auto"/>
          <w:sz w:val="24"/>
          <w:szCs w:val="24"/>
          <w:highlight w:val="none"/>
        </w:rPr>
        <w:t>总价（小写）：</w:t>
      </w:r>
      <w:r>
        <w:rPr>
          <w:rFonts w:hint="eastAsia" w:ascii="Calibri" w:hAnsi="Calibri"/>
          <w:color w:val="auto"/>
          <w:sz w:val="24"/>
          <w:szCs w:val="24"/>
          <w:highlight w:val="none"/>
          <w:u w:val="single"/>
        </w:rPr>
        <w:t xml:space="preserve">                                       </w:t>
      </w:r>
    </w:p>
    <w:p w14:paraId="481F7312">
      <w:pPr>
        <w:spacing w:line="800" w:lineRule="exact"/>
        <w:ind w:firstLine="1440" w:firstLineChars="600"/>
        <w:rPr>
          <w:rFonts w:ascii="Calibri" w:hAnsi="Calibri"/>
          <w:color w:val="auto"/>
          <w:sz w:val="24"/>
          <w:szCs w:val="24"/>
          <w:highlight w:val="none"/>
        </w:rPr>
      </w:pPr>
      <w:r>
        <w:rPr>
          <w:rFonts w:hint="eastAsia" w:ascii="Calibri" w:hAnsi="Calibri"/>
          <w:color w:val="auto"/>
          <w:sz w:val="24"/>
          <w:szCs w:val="24"/>
          <w:highlight w:val="none"/>
        </w:rPr>
        <w:t>（大写）：</w:t>
      </w:r>
      <w:r>
        <w:rPr>
          <w:rFonts w:hint="eastAsia" w:ascii="Calibri" w:hAnsi="Calibri"/>
          <w:color w:val="auto"/>
          <w:sz w:val="24"/>
          <w:szCs w:val="24"/>
          <w:highlight w:val="none"/>
          <w:u w:val="single"/>
        </w:rPr>
        <w:t xml:space="preserve">                                       </w:t>
      </w:r>
    </w:p>
    <w:p w14:paraId="7E259BA3">
      <w:pPr>
        <w:spacing w:line="800" w:lineRule="exact"/>
        <w:ind w:firstLine="480" w:firstLineChars="200"/>
        <w:rPr>
          <w:rFonts w:ascii="Calibri" w:hAnsi="Calibri"/>
          <w:color w:val="auto"/>
          <w:sz w:val="24"/>
          <w:szCs w:val="24"/>
          <w:highlight w:val="none"/>
        </w:rPr>
      </w:pPr>
    </w:p>
    <w:p w14:paraId="12A6F9C9">
      <w:pPr>
        <w:spacing w:line="800" w:lineRule="exact"/>
        <w:ind w:firstLine="480" w:firstLineChars="200"/>
        <w:rPr>
          <w:rFonts w:ascii="Calibri" w:hAnsi="Calibri"/>
          <w:color w:val="auto"/>
          <w:sz w:val="24"/>
          <w:szCs w:val="24"/>
          <w:highlight w:val="none"/>
        </w:rPr>
      </w:pPr>
      <w:r>
        <w:rPr>
          <w:rFonts w:hint="default" w:ascii="Calibri" w:hAnsi="Calibri"/>
          <w:color w:val="auto"/>
          <w:sz w:val="24"/>
          <w:szCs w:val="24"/>
          <w:highlight w:val="none"/>
        </w:rPr>
        <w:t>供应商</w:t>
      </w:r>
      <w:r>
        <w:rPr>
          <w:rFonts w:hint="eastAsia" w:ascii="Calibri" w:hAnsi="Calibri"/>
          <w:color w:val="auto"/>
          <w:sz w:val="24"/>
          <w:szCs w:val="24"/>
          <w:highlight w:val="none"/>
        </w:rPr>
        <w:t>：</w:t>
      </w:r>
      <w:r>
        <w:rPr>
          <w:rFonts w:hint="eastAsia" w:ascii="Calibri" w:hAnsi="Calibri"/>
          <w:color w:val="auto"/>
          <w:sz w:val="24"/>
          <w:szCs w:val="24"/>
          <w:highlight w:val="none"/>
          <w:u w:val="single"/>
        </w:rPr>
        <w:t xml:space="preserve">                           </w:t>
      </w:r>
      <w:r>
        <w:rPr>
          <w:rFonts w:hint="eastAsia" w:ascii="Calibri" w:hAnsi="Calibri"/>
          <w:color w:val="auto"/>
          <w:sz w:val="24"/>
          <w:szCs w:val="24"/>
          <w:highlight w:val="none"/>
        </w:rPr>
        <w:t xml:space="preserve"> (单位盖章)</w:t>
      </w:r>
    </w:p>
    <w:p w14:paraId="1EB8FB38">
      <w:pPr>
        <w:spacing w:line="800" w:lineRule="exact"/>
        <w:ind w:firstLine="480" w:firstLineChars="200"/>
        <w:rPr>
          <w:rFonts w:ascii="Calibri" w:hAnsi="Calibri"/>
          <w:color w:val="auto"/>
          <w:sz w:val="24"/>
          <w:szCs w:val="24"/>
          <w:highlight w:val="none"/>
        </w:rPr>
      </w:pPr>
      <w:r>
        <w:rPr>
          <w:rFonts w:hint="eastAsia" w:ascii="Calibri" w:hAnsi="Calibri"/>
          <w:color w:val="auto"/>
          <w:sz w:val="24"/>
          <w:szCs w:val="24"/>
          <w:highlight w:val="none"/>
        </w:rPr>
        <w:t>法定代表人：</w:t>
      </w:r>
      <w:r>
        <w:rPr>
          <w:rFonts w:hint="eastAsia" w:ascii="Calibri" w:hAnsi="Calibri"/>
          <w:color w:val="auto"/>
          <w:sz w:val="24"/>
          <w:szCs w:val="24"/>
          <w:highlight w:val="none"/>
          <w:u w:val="single"/>
        </w:rPr>
        <w:t xml:space="preserve">                        </w:t>
      </w:r>
      <w:r>
        <w:rPr>
          <w:rFonts w:hint="eastAsia" w:ascii="Calibri" w:hAnsi="Calibri"/>
          <w:color w:val="auto"/>
          <w:sz w:val="24"/>
          <w:szCs w:val="24"/>
          <w:highlight w:val="none"/>
        </w:rPr>
        <w:t xml:space="preserve"> (签字或盖章)</w:t>
      </w:r>
    </w:p>
    <w:p w14:paraId="42C3B796">
      <w:pPr>
        <w:spacing w:line="800" w:lineRule="exact"/>
        <w:ind w:firstLine="480" w:firstLineChars="200"/>
        <w:rPr>
          <w:rFonts w:ascii="Calibri" w:hAnsi="Calibri"/>
          <w:color w:val="auto"/>
          <w:sz w:val="24"/>
          <w:szCs w:val="24"/>
          <w:highlight w:val="none"/>
          <w:u w:val="single"/>
        </w:rPr>
      </w:pPr>
      <w:r>
        <w:rPr>
          <w:rFonts w:hint="eastAsia" w:ascii="Calibri" w:hAnsi="Calibri"/>
          <w:color w:val="auto"/>
          <w:sz w:val="24"/>
          <w:szCs w:val="24"/>
          <w:highlight w:val="none"/>
        </w:rPr>
        <w:t>编制人：</w:t>
      </w:r>
      <w:r>
        <w:rPr>
          <w:rFonts w:hint="eastAsia" w:ascii="Calibri" w:hAnsi="Calibri"/>
          <w:color w:val="auto"/>
          <w:sz w:val="24"/>
          <w:szCs w:val="24"/>
          <w:highlight w:val="none"/>
          <w:u w:val="single"/>
        </w:rPr>
        <w:t xml:space="preserve">                                                 </w:t>
      </w:r>
    </w:p>
    <w:p w14:paraId="1377208E">
      <w:pPr>
        <w:spacing w:line="800" w:lineRule="exact"/>
        <w:ind w:firstLine="2040" w:firstLineChars="850"/>
        <w:rPr>
          <w:rFonts w:ascii="Calibri" w:hAnsi="Calibri"/>
          <w:color w:val="auto"/>
          <w:sz w:val="24"/>
          <w:szCs w:val="24"/>
          <w:highlight w:val="none"/>
        </w:rPr>
      </w:pPr>
      <w:r>
        <w:rPr>
          <w:rFonts w:hint="eastAsia" w:ascii="Calibri" w:hAnsi="Calibri"/>
          <w:color w:val="auto"/>
          <w:sz w:val="24"/>
          <w:szCs w:val="24"/>
          <w:highlight w:val="none"/>
        </w:rPr>
        <w:t xml:space="preserve"> (注册造价工程师签字并盖执业专用章)</w:t>
      </w:r>
    </w:p>
    <w:p w14:paraId="696AD495">
      <w:pPr>
        <w:spacing w:line="800" w:lineRule="exact"/>
        <w:ind w:firstLine="480" w:firstLineChars="200"/>
        <w:rPr>
          <w:rFonts w:ascii="Calibri" w:hAnsi="Calibri"/>
          <w:color w:val="auto"/>
          <w:sz w:val="24"/>
          <w:szCs w:val="24"/>
          <w:highlight w:val="none"/>
        </w:rPr>
      </w:pPr>
      <w:r>
        <w:rPr>
          <w:rFonts w:hint="eastAsia" w:ascii="Calibri" w:hAnsi="Calibri"/>
          <w:color w:val="auto"/>
          <w:sz w:val="24"/>
          <w:szCs w:val="24"/>
          <w:highlight w:val="none"/>
        </w:rPr>
        <w:t>编制时间：</w:t>
      </w:r>
      <w:r>
        <w:rPr>
          <w:rFonts w:hint="eastAsia" w:ascii="Calibri" w:hAnsi="Calibri"/>
          <w:color w:val="auto"/>
          <w:sz w:val="24"/>
          <w:szCs w:val="24"/>
          <w:highlight w:val="none"/>
          <w:u w:val="single"/>
        </w:rPr>
        <w:t xml:space="preserve">          </w:t>
      </w:r>
      <w:r>
        <w:rPr>
          <w:rFonts w:hint="eastAsia" w:ascii="Calibri" w:hAnsi="Calibri"/>
          <w:color w:val="auto"/>
          <w:sz w:val="24"/>
          <w:szCs w:val="24"/>
          <w:highlight w:val="none"/>
        </w:rPr>
        <w:t>年</w:t>
      </w:r>
      <w:r>
        <w:rPr>
          <w:rFonts w:hint="eastAsia" w:ascii="Calibri" w:hAnsi="Calibri"/>
          <w:color w:val="auto"/>
          <w:sz w:val="24"/>
          <w:szCs w:val="24"/>
          <w:highlight w:val="none"/>
          <w:u w:val="single"/>
        </w:rPr>
        <w:t xml:space="preserve">          </w:t>
      </w:r>
      <w:r>
        <w:rPr>
          <w:rFonts w:hint="eastAsia" w:ascii="Calibri" w:hAnsi="Calibri"/>
          <w:color w:val="auto"/>
          <w:sz w:val="24"/>
          <w:szCs w:val="24"/>
          <w:highlight w:val="none"/>
        </w:rPr>
        <w:t>月</w:t>
      </w:r>
      <w:r>
        <w:rPr>
          <w:rFonts w:hint="eastAsia" w:ascii="Calibri" w:hAnsi="Calibri"/>
          <w:color w:val="auto"/>
          <w:sz w:val="24"/>
          <w:szCs w:val="24"/>
          <w:highlight w:val="none"/>
          <w:u w:val="single"/>
        </w:rPr>
        <w:t xml:space="preserve">          </w:t>
      </w:r>
      <w:r>
        <w:rPr>
          <w:rFonts w:hint="eastAsia" w:ascii="Calibri" w:hAnsi="Calibri"/>
          <w:color w:val="auto"/>
          <w:sz w:val="24"/>
          <w:szCs w:val="24"/>
          <w:highlight w:val="none"/>
        </w:rPr>
        <w:t>日</w:t>
      </w:r>
    </w:p>
    <w:p w14:paraId="10C5E3D9">
      <w:pPr>
        <w:rPr>
          <w:rFonts w:ascii="Calibri" w:hAnsi="Calibri"/>
          <w:color w:val="auto"/>
          <w:sz w:val="32"/>
          <w:szCs w:val="32"/>
          <w:highlight w:val="none"/>
        </w:rPr>
      </w:pPr>
    </w:p>
    <w:p w14:paraId="71B71412">
      <w:pPr>
        <w:widowControl/>
        <w:jc w:val="left"/>
        <w:rPr>
          <w:b/>
          <w:bCs/>
          <w:color w:val="auto"/>
          <w:sz w:val="24"/>
          <w:szCs w:val="28"/>
          <w:highlight w:val="none"/>
        </w:rPr>
      </w:pPr>
    </w:p>
    <w:p w14:paraId="00ADB4F6">
      <w:pPr>
        <w:spacing w:line="360" w:lineRule="auto"/>
        <w:jc w:val="center"/>
        <w:outlineLvl w:val="1"/>
        <w:rPr>
          <w:rFonts w:hint="eastAsia" w:asciiTheme="minorEastAsia" w:hAnsiTheme="minorEastAsia" w:eastAsiaTheme="minorEastAsia"/>
          <w:b/>
          <w:color w:val="auto"/>
          <w:sz w:val="24"/>
          <w:highlight w:val="none"/>
        </w:rPr>
      </w:pPr>
      <w:bookmarkStart w:id="641" w:name="_Toc461053087"/>
      <w:bookmarkStart w:id="642" w:name="_Toc461056632"/>
      <w:bookmarkStart w:id="643" w:name="_Toc28658"/>
      <w:bookmarkStart w:id="644" w:name="_Toc520983588"/>
      <w:bookmarkStart w:id="645" w:name="_Toc19576"/>
    </w:p>
    <w:p w14:paraId="01A5D6A1">
      <w:pPr>
        <w:spacing w:line="360" w:lineRule="auto"/>
        <w:jc w:val="center"/>
        <w:outlineLvl w:val="1"/>
        <w:rPr>
          <w:rFonts w:hint="eastAsia" w:asciiTheme="minorEastAsia" w:hAnsiTheme="minorEastAsia" w:eastAsiaTheme="minorEastAsia"/>
          <w:b/>
          <w:color w:val="auto"/>
          <w:sz w:val="24"/>
          <w:highlight w:val="none"/>
        </w:rPr>
      </w:pPr>
    </w:p>
    <w:p w14:paraId="09BBB7F5">
      <w:pPr>
        <w:spacing w:line="360" w:lineRule="auto"/>
        <w:jc w:val="center"/>
        <w:outlineLvl w:val="1"/>
        <w:rPr>
          <w:rFonts w:hint="eastAsia" w:asciiTheme="minorEastAsia" w:hAnsiTheme="minorEastAsia" w:eastAsiaTheme="minorEastAsia"/>
          <w:b/>
          <w:color w:val="auto"/>
          <w:sz w:val="24"/>
          <w:highlight w:val="none"/>
        </w:rPr>
      </w:pPr>
    </w:p>
    <w:p w14:paraId="5DCBF83A">
      <w:pPr>
        <w:spacing w:line="360" w:lineRule="auto"/>
        <w:jc w:val="center"/>
        <w:outlineLvl w:val="1"/>
        <w:rPr>
          <w:rFonts w:hint="eastAsia" w:asciiTheme="minorEastAsia" w:hAnsiTheme="minorEastAsia" w:eastAsiaTheme="minorEastAsia"/>
          <w:b/>
          <w:color w:val="auto"/>
          <w:sz w:val="24"/>
          <w:highlight w:val="none"/>
        </w:rPr>
      </w:pPr>
    </w:p>
    <w:p w14:paraId="70506F0D">
      <w:pPr>
        <w:spacing w:line="360" w:lineRule="auto"/>
        <w:jc w:val="center"/>
        <w:outlineLvl w:val="1"/>
        <w:rPr>
          <w:rFonts w:hint="eastAsia" w:asciiTheme="minorEastAsia" w:hAnsiTheme="minorEastAsia" w:eastAsiaTheme="minorEastAsia"/>
          <w:b/>
          <w:color w:val="auto"/>
          <w:sz w:val="24"/>
          <w:highlight w:val="none"/>
        </w:rPr>
      </w:pPr>
    </w:p>
    <w:p w14:paraId="0C552C58">
      <w:pPr>
        <w:spacing w:line="360" w:lineRule="auto"/>
        <w:jc w:val="center"/>
        <w:outlineLvl w:val="1"/>
        <w:rPr>
          <w:rFonts w:hint="eastAsia" w:asciiTheme="minorEastAsia" w:hAnsiTheme="minorEastAsia" w:eastAsiaTheme="minorEastAsia"/>
          <w:b/>
          <w:color w:val="auto"/>
          <w:sz w:val="24"/>
          <w:highlight w:val="none"/>
        </w:rPr>
      </w:pPr>
    </w:p>
    <w:p w14:paraId="21E606E0">
      <w:pPr>
        <w:spacing w:line="360" w:lineRule="auto"/>
        <w:jc w:val="center"/>
        <w:outlineLvl w:val="1"/>
        <w:rPr>
          <w:rFonts w:hint="eastAsia" w:asciiTheme="minorEastAsia" w:hAnsiTheme="minorEastAsia" w:eastAsiaTheme="minorEastAsia"/>
          <w:b/>
          <w:color w:val="auto"/>
          <w:sz w:val="24"/>
          <w:highlight w:val="none"/>
        </w:rPr>
      </w:pPr>
    </w:p>
    <w:p w14:paraId="67656AF1">
      <w:pPr>
        <w:spacing w:line="360" w:lineRule="auto"/>
        <w:jc w:val="center"/>
        <w:outlineLvl w:val="1"/>
        <w:rPr>
          <w:rFonts w:hint="eastAsia" w:asciiTheme="minorEastAsia" w:hAnsiTheme="minorEastAsia" w:eastAsiaTheme="minorEastAsia"/>
          <w:b/>
          <w:color w:val="auto"/>
          <w:sz w:val="24"/>
          <w:highlight w:val="none"/>
        </w:rPr>
      </w:pPr>
    </w:p>
    <w:p w14:paraId="038F2D66">
      <w:pPr>
        <w:spacing w:line="360" w:lineRule="auto"/>
        <w:jc w:val="center"/>
        <w:outlineLvl w:val="1"/>
        <w:rPr>
          <w:rFonts w:asciiTheme="minorEastAsia" w:hAnsiTheme="minorEastAsia" w:eastAsiaTheme="minorEastAsia"/>
          <w:b/>
          <w:color w:val="auto"/>
          <w:sz w:val="24"/>
          <w:highlight w:val="none"/>
        </w:rPr>
      </w:pPr>
      <w:bookmarkStart w:id="646" w:name="_Toc23707"/>
      <w:r>
        <w:rPr>
          <w:rFonts w:hint="eastAsia" w:asciiTheme="minorEastAsia" w:hAnsiTheme="minorEastAsia" w:eastAsiaTheme="minorEastAsia"/>
          <w:b/>
          <w:color w:val="auto"/>
          <w:sz w:val="24"/>
          <w:highlight w:val="none"/>
        </w:rPr>
        <w:t>二</w:t>
      </w:r>
      <w:bookmarkEnd w:id="641"/>
      <w:bookmarkEnd w:id="642"/>
      <w:r>
        <w:rPr>
          <w:rFonts w:hint="eastAsia" w:asciiTheme="minorEastAsia" w:hAnsiTheme="minorEastAsia" w:eastAsiaTheme="minorEastAsia"/>
          <w:b/>
          <w:color w:val="auto"/>
          <w:sz w:val="24"/>
          <w:highlight w:val="none"/>
        </w:rPr>
        <w:t>、最后承诺报价表</w:t>
      </w:r>
      <w:bookmarkEnd w:id="643"/>
      <w:bookmarkEnd w:id="644"/>
      <w:bookmarkEnd w:id="645"/>
      <w:bookmarkEnd w:id="646"/>
    </w:p>
    <w:p w14:paraId="2A6FCFDC">
      <w:pPr>
        <w:spacing w:before="156" w:beforeLines="50" w:after="156" w:afterLines="50" w:line="360" w:lineRule="auto"/>
        <w:ind w:firstLine="236" w:firstLineChars="98"/>
        <w:jc w:val="center"/>
        <w:outlineLvl w:val="9"/>
        <w:rPr>
          <w:b/>
          <w:color w:val="auto"/>
          <w:sz w:val="24"/>
          <w:szCs w:val="28"/>
          <w:highlight w:val="none"/>
        </w:rPr>
      </w:pPr>
      <w:bookmarkStart w:id="647" w:name="_Toc16156"/>
      <w:r>
        <w:rPr>
          <w:rFonts w:hint="eastAsia"/>
          <w:b/>
          <w:color w:val="auto"/>
          <w:sz w:val="24"/>
          <w:szCs w:val="28"/>
          <w:highlight w:val="none"/>
        </w:rPr>
        <w:t>（第</w:t>
      </w:r>
      <w:r>
        <w:rPr>
          <w:rFonts w:hint="eastAsia"/>
          <w:b/>
          <w:color w:val="auto"/>
          <w:sz w:val="24"/>
          <w:szCs w:val="28"/>
          <w:highlight w:val="none"/>
          <w:u w:val="single"/>
        </w:rPr>
        <w:t xml:space="preserve">   </w:t>
      </w:r>
      <w:r>
        <w:rPr>
          <w:rFonts w:hint="eastAsia"/>
          <w:b/>
          <w:color w:val="auto"/>
          <w:sz w:val="24"/>
          <w:szCs w:val="28"/>
          <w:highlight w:val="none"/>
        </w:rPr>
        <w:t>次报价书）</w:t>
      </w:r>
      <w:bookmarkEnd w:id="647"/>
    </w:p>
    <w:p w14:paraId="35B3F594">
      <w:pPr>
        <w:snapToGrid w:val="0"/>
        <w:spacing w:line="360" w:lineRule="auto"/>
        <w:jc w:val="left"/>
        <w:rPr>
          <w:rFonts w:hint="default" w:cs="宋体" w:asciiTheme="minorEastAsia" w:hAnsiTheme="minorEastAsia" w:eastAsiaTheme="minorEastAsia"/>
          <w:b/>
          <w:color w:val="auto"/>
          <w:kern w:val="2"/>
          <w:sz w:val="24"/>
          <w:szCs w:val="24"/>
          <w:highlight w:val="none"/>
          <w:lang w:val="en-US" w:eastAsia="zh-CN"/>
        </w:rPr>
      </w:pPr>
      <w:r>
        <w:rPr>
          <w:rFonts w:hint="eastAsia" w:cs="宋体" w:asciiTheme="minorEastAsia" w:hAnsiTheme="minorEastAsia" w:eastAsiaTheme="minorEastAsia"/>
          <w:b/>
          <w:color w:val="auto"/>
          <w:kern w:val="2"/>
          <w:sz w:val="24"/>
          <w:szCs w:val="24"/>
          <w:highlight w:val="none"/>
        </w:rPr>
        <w:t>项目名称：</w:t>
      </w:r>
      <w:r>
        <w:rPr>
          <w:rFonts w:hint="eastAsia" w:cs="宋体" w:asciiTheme="minorEastAsia" w:hAnsiTheme="minorEastAsia" w:eastAsiaTheme="minorEastAsia"/>
          <w:b/>
          <w:color w:val="auto"/>
          <w:kern w:val="2"/>
          <w:sz w:val="24"/>
          <w:szCs w:val="24"/>
          <w:highlight w:val="none"/>
          <w:u w:val="single"/>
        </w:rPr>
        <w:t xml:space="preserve"> </w:t>
      </w:r>
      <w:r>
        <w:rPr>
          <w:rFonts w:hint="eastAsia" w:cs="宋体" w:asciiTheme="minorEastAsia" w:hAnsiTheme="minorEastAsia" w:eastAsiaTheme="minorEastAsia"/>
          <w:b/>
          <w:color w:val="auto"/>
          <w:kern w:val="2"/>
          <w:sz w:val="24"/>
          <w:szCs w:val="24"/>
          <w:highlight w:val="none"/>
          <w:u w:val="single"/>
          <w:lang w:eastAsia="zh-CN"/>
        </w:rPr>
        <w:t>2025年公园游园亭廊栈道等设施维修项目</w:t>
      </w:r>
      <w:r>
        <w:rPr>
          <w:rFonts w:hint="eastAsia" w:cs="宋体" w:asciiTheme="minorEastAsia" w:hAnsiTheme="minorEastAsia" w:eastAsiaTheme="minorEastAsia"/>
          <w:b/>
          <w:color w:val="auto"/>
          <w:kern w:val="2"/>
          <w:sz w:val="24"/>
          <w:szCs w:val="24"/>
          <w:highlight w:val="none"/>
          <w:u w:val="single"/>
        </w:rPr>
        <w:t xml:space="preserve"> </w:t>
      </w:r>
      <w:r>
        <w:rPr>
          <w:rFonts w:hint="eastAsia" w:cs="宋体" w:asciiTheme="minorEastAsia" w:hAnsiTheme="minorEastAsia" w:eastAsiaTheme="minorEastAsia"/>
          <w:b/>
          <w:color w:val="auto"/>
          <w:kern w:val="2"/>
          <w:sz w:val="24"/>
          <w:szCs w:val="24"/>
          <w:highlight w:val="none"/>
          <w:u w:val="single"/>
          <w:lang w:val="en-US" w:eastAsia="zh-CN"/>
        </w:rPr>
        <w:t xml:space="preserve">   </w:t>
      </w:r>
    </w:p>
    <w:p w14:paraId="4F7EEE0D">
      <w:pPr>
        <w:snapToGrid w:val="0"/>
        <w:spacing w:after="156" w:afterLines="50" w:line="360" w:lineRule="auto"/>
        <w:jc w:val="left"/>
        <w:rPr>
          <w:rFonts w:hint="default" w:cs="宋体" w:asciiTheme="minorEastAsia" w:hAnsiTheme="minorEastAsia" w:eastAsiaTheme="minorEastAsia"/>
          <w:b/>
          <w:bCs/>
          <w:color w:val="auto"/>
          <w:kern w:val="2"/>
          <w:sz w:val="24"/>
          <w:szCs w:val="24"/>
          <w:highlight w:val="none"/>
          <w:u w:val="single"/>
          <w:lang w:val="en-US" w:eastAsia="zh-CN"/>
        </w:rPr>
      </w:pPr>
      <w:r>
        <w:rPr>
          <w:rFonts w:hint="eastAsia" w:cs="宋体" w:asciiTheme="minorEastAsia" w:hAnsiTheme="minorEastAsia" w:eastAsiaTheme="minorEastAsia"/>
          <w:b/>
          <w:color w:val="auto"/>
          <w:kern w:val="2"/>
          <w:sz w:val="24"/>
          <w:szCs w:val="24"/>
          <w:highlight w:val="none"/>
        </w:rPr>
        <w:t>项目编号：</w:t>
      </w:r>
      <w:r>
        <w:rPr>
          <w:rFonts w:hint="eastAsia" w:cs="宋体" w:asciiTheme="minorEastAsia" w:hAnsiTheme="minorEastAsia" w:eastAsiaTheme="minorEastAsia"/>
          <w:b/>
          <w:color w:val="auto"/>
          <w:kern w:val="2"/>
          <w:sz w:val="24"/>
          <w:szCs w:val="24"/>
          <w:highlight w:val="none"/>
          <w:u w:val="single"/>
          <w:lang w:val="en-US" w:eastAsia="zh-CN"/>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14:paraId="41577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0CB4D197">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供应商名称</w:t>
            </w:r>
          </w:p>
        </w:tc>
        <w:tc>
          <w:tcPr>
            <w:tcW w:w="3491" w:type="pct"/>
            <w:tcBorders>
              <w:left w:val="single" w:color="auto" w:sz="4" w:space="0"/>
            </w:tcBorders>
          </w:tcPr>
          <w:p w14:paraId="39805B02">
            <w:pPr>
              <w:rPr>
                <w:rFonts w:cs="宋体" w:asciiTheme="minorEastAsia" w:hAnsiTheme="minorEastAsia" w:eastAsiaTheme="minorEastAsia"/>
                <w:b/>
                <w:color w:val="auto"/>
                <w:kern w:val="2"/>
                <w:sz w:val="24"/>
                <w:szCs w:val="24"/>
                <w:highlight w:val="none"/>
              </w:rPr>
            </w:pPr>
          </w:p>
        </w:tc>
      </w:tr>
      <w:tr w14:paraId="39129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0ED352EE">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谈判</w:t>
            </w:r>
            <w:r>
              <w:rPr>
                <w:rFonts w:hint="eastAsia" w:cs="宋体" w:asciiTheme="minorEastAsia" w:hAnsiTheme="minorEastAsia" w:eastAsiaTheme="minorEastAsia"/>
                <w:b/>
                <w:color w:val="auto"/>
                <w:kern w:val="2"/>
                <w:sz w:val="24"/>
                <w:szCs w:val="24"/>
                <w:highlight w:val="none"/>
              </w:rPr>
              <w:t>范围</w:t>
            </w:r>
          </w:p>
        </w:tc>
        <w:tc>
          <w:tcPr>
            <w:tcW w:w="3491" w:type="pct"/>
            <w:tcBorders>
              <w:left w:val="single" w:color="auto" w:sz="4" w:space="0"/>
            </w:tcBorders>
            <w:vAlign w:val="center"/>
          </w:tcPr>
          <w:p w14:paraId="7C61EF01">
            <w:pPr>
              <w:widowControl/>
              <w:rPr>
                <w:rFonts w:hint="eastAsia" w:cs="宋体" w:asciiTheme="minorEastAsia" w:hAnsiTheme="minorEastAsia" w:eastAsiaTheme="minorEastAsia"/>
                <w:b/>
                <w:color w:val="auto"/>
                <w:kern w:val="2"/>
                <w:sz w:val="24"/>
                <w:szCs w:val="24"/>
                <w:highlight w:val="none"/>
                <w:lang w:eastAsia="zh-CN"/>
              </w:rPr>
            </w:pPr>
            <w:r>
              <w:rPr>
                <w:rFonts w:hint="eastAsia" w:cs="@仿宋_GB2312" w:asciiTheme="minorEastAsia" w:hAnsiTheme="minorEastAsia" w:eastAsiaTheme="minorEastAsia"/>
                <w:color w:val="auto"/>
                <w:kern w:val="2"/>
                <w:sz w:val="24"/>
                <w:szCs w:val="28"/>
                <w:highlight w:val="none"/>
              </w:rPr>
              <w:t xml:space="preserve">全部 </w:t>
            </w:r>
            <w:r>
              <w:rPr>
                <w:rFonts w:hint="eastAsia" w:cs="@仿宋_GB2312" w:asciiTheme="minorEastAsia" w:hAnsiTheme="minorEastAsia" w:eastAsiaTheme="minorEastAsia"/>
                <w:color w:val="auto"/>
                <w:kern w:val="2"/>
                <w:sz w:val="24"/>
                <w:szCs w:val="28"/>
                <w:highlight w:val="none"/>
                <w:lang w:val="en-US" w:eastAsia="zh-CN"/>
              </w:rPr>
              <w:t xml:space="preserve"> </w:t>
            </w:r>
          </w:p>
        </w:tc>
      </w:tr>
      <w:tr w14:paraId="0582C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509" w:type="pct"/>
            <w:tcBorders>
              <w:top w:val="single" w:color="auto" w:sz="4" w:space="0"/>
            </w:tcBorders>
            <w:vAlign w:val="center"/>
          </w:tcPr>
          <w:p w14:paraId="329C2606">
            <w:pPr>
              <w:spacing w:line="360" w:lineRule="auto"/>
              <w:jc w:val="center"/>
              <w:rPr>
                <w:rFonts w:cs="@仿宋_GB2312"/>
                <w:b/>
                <w:color w:val="auto"/>
                <w:kern w:val="2"/>
                <w:sz w:val="24"/>
                <w:highlight w:val="none"/>
              </w:rPr>
            </w:pPr>
            <w:r>
              <w:rPr>
                <w:rFonts w:hint="eastAsia" w:cs="@仿宋_GB2312"/>
                <w:b/>
                <w:bCs/>
                <w:color w:val="auto"/>
                <w:kern w:val="2"/>
                <w:sz w:val="24"/>
                <w:szCs w:val="28"/>
                <w:highlight w:val="none"/>
              </w:rPr>
              <w:t>最后报价</w:t>
            </w:r>
          </w:p>
          <w:p w14:paraId="56A9C404">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（详见备注说明）</w:t>
            </w:r>
          </w:p>
        </w:tc>
        <w:tc>
          <w:tcPr>
            <w:tcW w:w="3491" w:type="pct"/>
            <w:vAlign w:val="center"/>
          </w:tcPr>
          <w:p w14:paraId="7F75B226">
            <w:pPr>
              <w:snapToGrid w:val="0"/>
              <w:spacing w:line="360" w:lineRule="auto"/>
              <w:jc w:val="left"/>
              <w:rPr>
                <w:rFonts w:cs="宋体"/>
                <w:bCs/>
                <w:color w:val="auto"/>
                <w:sz w:val="21"/>
                <w:szCs w:val="21"/>
                <w:highlight w:val="none"/>
                <w:u w:val="single"/>
              </w:rPr>
            </w:pPr>
            <w:r>
              <w:rPr>
                <w:rFonts w:hint="eastAsia" w:cs="宋体"/>
                <w:bCs/>
                <w:color w:val="auto"/>
                <w:sz w:val="21"/>
                <w:szCs w:val="21"/>
                <w:highlight w:val="none"/>
              </w:rPr>
              <w:t>大写：</w:t>
            </w:r>
            <w:r>
              <w:rPr>
                <w:rFonts w:hint="eastAsia" w:cs="宋体"/>
                <w:bCs/>
                <w:color w:val="auto"/>
                <w:sz w:val="21"/>
                <w:szCs w:val="21"/>
                <w:highlight w:val="none"/>
                <w:u w:val="single"/>
              </w:rPr>
              <w:t xml:space="preserve">                     </w:t>
            </w:r>
          </w:p>
          <w:p w14:paraId="0D8C92E9">
            <w:pPr>
              <w:snapToGrid w:val="0"/>
              <w:rPr>
                <w:rFonts w:cs="宋体" w:asciiTheme="minorEastAsia" w:hAnsiTheme="minorEastAsia" w:eastAsiaTheme="minorEastAsia"/>
                <w:b/>
                <w:color w:val="auto"/>
                <w:kern w:val="2"/>
                <w:sz w:val="24"/>
                <w:szCs w:val="24"/>
                <w:highlight w:val="none"/>
              </w:rPr>
            </w:pPr>
            <w:r>
              <w:rPr>
                <w:rFonts w:hint="eastAsia" w:cs="宋体"/>
                <w:bCs/>
                <w:color w:val="auto"/>
                <w:sz w:val="21"/>
                <w:szCs w:val="21"/>
                <w:highlight w:val="none"/>
              </w:rPr>
              <w:t>小写：</w:t>
            </w:r>
            <w:r>
              <w:rPr>
                <w:rFonts w:hint="eastAsia" w:cs="宋体"/>
                <w:bCs/>
                <w:color w:val="auto"/>
                <w:sz w:val="21"/>
                <w:szCs w:val="21"/>
                <w:highlight w:val="none"/>
                <w:u w:val="single"/>
              </w:rPr>
              <w:t xml:space="preserve">                     </w:t>
            </w:r>
          </w:p>
        </w:tc>
      </w:tr>
      <w:tr w14:paraId="63D98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7F3D4E67">
            <w:pPr>
              <w:snapToGrid w:val="0"/>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质量标准</w:t>
            </w:r>
          </w:p>
        </w:tc>
        <w:tc>
          <w:tcPr>
            <w:tcW w:w="3491" w:type="pct"/>
            <w:vAlign w:val="center"/>
          </w:tcPr>
          <w:p w14:paraId="48ED6EA6">
            <w:pPr>
              <w:snapToGrid w:val="0"/>
              <w:rPr>
                <w:rFonts w:cs="宋体" w:asciiTheme="minorEastAsia" w:hAnsiTheme="minorEastAsia" w:eastAsiaTheme="minorEastAsia"/>
                <w:b/>
                <w:color w:val="auto"/>
                <w:kern w:val="2"/>
                <w:sz w:val="24"/>
                <w:szCs w:val="24"/>
                <w:highlight w:val="none"/>
              </w:rPr>
            </w:pPr>
          </w:p>
        </w:tc>
      </w:tr>
      <w:tr w14:paraId="559D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3131594B">
            <w:pPr>
              <w:snapToGrid w:val="0"/>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工    期</w:t>
            </w:r>
          </w:p>
        </w:tc>
        <w:tc>
          <w:tcPr>
            <w:tcW w:w="3491" w:type="pct"/>
            <w:vAlign w:val="center"/>
          </w:tcPr>
          <w:p w14:paraId="2E6CF1D7">
            <w:pPr>
              <w:snapToGrid w:val="0"/>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Cs/>
                <w:color w:val="auto"/>
                <w:kern w:val="2"/>
                <w:sz w:val="24"/>
                <w:szCs w:val="24"/>
                <w:highlight w:val="none"/>
              </w:rPr>
              <w:t>接开工令后</w:t>
            </w:r>
            <w:r>
              <w:rPr>
                <w:rFonts w:hint="eastAsia" w:cs="宋体" w:asciiTheme="minorEastAsia" w:hAnsiTheme="minorEastAsia" w:eastAsiaTheme="minorEastAsia"/>
                <w:bCs/>
                <w:color w:val="auto"/>
                <w:kern w:val="2"/>
                <w:sz w:val="24"/>
                <w:szCs w:val="24"/>
                <w:highlight w:val="none"/>
                <w:u w:val="single"/>
                <w:lang w:val="en-US" w:eastAsia="zh-CN"/>
              </w:rPr>
              <w:t xml:space="preserve">   </w:t>
            </w:r>
            <w:r>
              <w:rPr>
                <w:rFonts w:hint="eastAsia" w:cs="宋体" w:asciiTheme="minorEastAsia" w:hAnsiTheme="minorEastAsia" w:eastAsiaTheme="minorEastAsia"/>
                <w:bCs/>
                <w:color w:val="auto"/>
                <w:kern w:val="2"/>
                <w:sz w:val="24"/>
                <w:szCs w:val="24"/>
                <w:highlight w:val="none"/>
              </w:rPr>
              <w:t>日历天完工</w:t>
            </w:r>
            <w:r>
              <w:rPr>
                <w:rFonts w:hint="eastAsia" w:cs="宋体" w:asciiTheme="minorEastAsia" w:hAnsiTheme="minorEastAsia" w:eastAsiaTheme="minorEastAsia"/>
                <w:bCs/>
                <w:color w:val="auto"/>
                <w:kern w:val="2"/>
                <w:sz w:val="24"/>
                <w:szCs w:val="24"/>
                <w:highlight w:val="none"/>
                <w:lang w:eastAsia="zh-CN"/>
              </w:rPr>
              <w:t>。供应商自报的承诺工期为考核标准。因供应商原因造成的工期延误，每推迟一天，按合同价款（扣除暂估价和暂列金）万分之二处以违约金。</w:t>
            </w:r>
          </w:p>
        </w:tc>
      </w:tr>
      <w:tr w14:paraId="118A9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52715C53">
            <w:pPr>
              <w:snapToGrid w:val="0"/>
              <w:jc w:val="center"/>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是否响应付款方式</w:t>
            </w:r>
          </w:p>
        </w:tc>
        <w:tc>
          <w:tcPr>
            <w:tcW w:w="3491" w:type="pct"/>
            <w:vAlign w:val="center"/>
          </w:tcPr>
          <w:p w14:paraId="647F1CA3">
            <w:pPr>
              <w:snapToGrid w:val="0"/>
              <w:rPr>
                <w:rFonts w:cs="宋体" w:asciiTheme="minorEastAsia" w:hAnsiTheme="minorEastAsia" w:eastAsiaTheme="minorEastAsia"/>
                <w:bCs/>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是□    否□   （划√）</w:t>
            </w:r>
          </w:p>
        </w:tc>
      </w:tr>
      <w:tr w14:paraId="1A19E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14:paraId="5D10E4C2">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备注说明</w:t>
            </w:r>
          </w:p>
        </w:tc>
        <w:tc>
          <w:tcPr>
            <w:tcW w:w="3491" w:type="pct"/>
          </w:tcPr>
          <w:p w14:paraId="2E2FBF35">
            <w:pP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i/>
                <w:color w:val="auto"/>
                <w:kern w:val="2"/>
                <w:sz w:val="24"/>
                <w:szCs w:val="24"/>
                <w:highlight w:val="none"/>
              </w:rPr>
              <w:t>（此处可补充谈判小组根据与供应商谈判情况变动的谈判文件的内容，包括采购需求中的技术、服务要求以及合同草案条款。）</w:t>
            </w:r>
          </w:p>
        </w:tc>
      </w:tr>
      <w:tr w14:paraId="0B24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509" w:type="pct"/>
            <w:vAlign w:val="center"/>
          </w:tcPr>
          <w:p w14:paraId="15B9346A">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谈判小组签字</w:t>
            </w:r>
          </w:p>
        </w:tc>
        <w:tc>
          <w:tcPr>
            <w:tcW w:w="3491" w:type="pct"/>
          </w:tcPr>
          <w:p w14:paraId="4BD7C20A">
            <w:pPr>
              <w:rPr>
                <w:rFonts w:cs="宋体" w:asciiTheme="minorEastAsia" w:hAnsiTheme="minorEastAsia" w:eastAsiaTheme="minorEastAsia"/>
                <w:b/>
                <w:color w:val="auto"/>
                <w:kern w:val="2"/>
                <w:sz w:val="24"/>
                <w:szCs w:val="24"/>
                <w:highlight w:val="none"/>
              </w:rPr>
            </w:pPr>
          </w:p>
        </w:tc>
      </w:tr>
    </w:tbl>
    <w:p w14:paraId="689F1EC3">
      <w:pPr>
        <w:spacing w:line="440" w:lineRule="exact"/>
        <w:ind w:firstLine="3600" w:firstLineChars="1500"/>
        <w:rPr>
          <w:rFonts w:cs="@仿宋_GB2312"/>
          <w:color w:val="auto"/>
          <w:kern w:val="2"/>
          <w:sz w:val="24"/>
          <w:szCs w:val="24"/>
          <w:highlight w:val="none"/>
          <w:u w:val="single"/>
        </w:rPr>
      </w:pPr>
      <w:r>
        <w:rPr>
          <w:rFonts w:hint="eastAsia" w:cs="@仿宋_GB2312"/>
          <w:color w:val="auto"/>
          <w:kern w:val="2"/>
          <w:sz w:val="24"/>
          <w:szCs w:val="24"/>
          <w:highlight w:val="none"/>
        </w:rPr>
        <w:t>供应商公章或授权代表签字：</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2CDBB557">
      <w:pPr>
        <w:spacing w:line="440" w:lineRule="exact"/>
        <w:ind w:firstLine="4800" w:firstLineChars="2000"/>
        <w:rPr>
          <w:rFonts w:cs="宋体" w:asciiTheme="minorEastAsia" w:hAnsiTheme="minorEastAsia" w:eastAsiaTheme="minorEastAsia"/>
          <w:b/>
          <w:bCs/>
          <w:color w:val="auto"/>
          <w:kern w:val="2"/>
          <w:sz w:val="24"/>
          <w:szCs w:val="24"/>
          <w:highlight w:val="non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0EB34D0E">
      <w:pPr>
        <w:spacing w:line="360" w:lineRule="auto"/>
        <w:jc w:val="left"/>
        <w:rPr>
          <w:rFonts w:hint="eastAsia"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注：</w:t>
      </w:r>
    </w:p>
    <w:p w14:paraId="1075BDB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cs="宋体" w:asciiTheme="minorEastAsia" w:hAnsiTheme="minorEastAsia" w:eastAsiaTheme="minorEastAsia"/>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1.</w:t>
      </w:r>
      <w:r>
        <w:rPr>
          <w:rFonts w:hint="eastAsia" w:cs="@仿宋_GB2312"/>
          <w:b/>
          <w:bCs/>
          <w:color w:val="auto"/>
          <w:kern w:val="2"/>
          <w:sz w:val="24"/>
          <w:highlight w:val="none"/>
        </w:rPr>
        <w:t>本页《报价表》由供应商在接到报价通知后依据谈判情况填写,并在规定时间内提交。</w:t>
      </w:r>
      <w:r>
        <w:rPr>
          <w:rFonts w:hint="eastAsia" w:cs="宋体" w:asciiTheme="minorEastAsia" w:hAnsiTheme="minorEastAsia" w:eastAsiaTheme="minorEastAsia"/>
          <w:color w:val="auto"/>
          <w:kern w:val="2"/>
          <w:sz w:val="24"/>
          <w:szCs w:val="24"/>
          <w:highlight w:val="none"/>
        </w:rPr>
        <w:t>考虑谈判报价的方便，供应商在填写最后承诺报价后，（第一次报价-最后承诺报价）除以第一次报价后得出的优惠率视同为清单中全部分项工程量的优惠浮动值（特定分项优惠除外），而不考虑措施项目清单和规费税金清单的金额改变。</w:t>
      </w:r>
      <w:r>
        <w:rPr>
          <w:rFonts w:hint="eastAsia" w:cs="宋体" w:asciiTheme="minorEastAsia" w:hAnsiTheme="minorEastAsia" w:eastAsiaTheme="minorEastAsia"/>
          <w:bCs/>
          <w:color w:val="auto"/>
          <w:kern w:val="2"/>
          <w:sz w:val="24"/>
          <w:szCs w:val="24"/>
          <w:highlight w:val="none"/>
        </w:rPr>
        <w:t>此优惠率调整原则适用于合同内价格的计算及项目增减、变更时价格的计算。</w:t>
      </w:r>
    </w:p>
    <w:p w14:paraId="54010CE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2.表中大写金额与小写金额不一致的，以大写金额为准。</w:t>
      </w:r>
    </w:p>
    <w:p w14:paraId="11331209">
      <w:pPr>
        <w:keepNext w:val="0"/>
        <w:keepLines w:val="0"/>
        <w:pageBreakBefore/>
        <w:widowControl/>
        <w:kinsoku/>
        <w:wordWrap/>
        <w:overflowPunct/>
        <w:topLinePunct w:val="0"/>
        <w:autoSpaceDE/>
        <w:autoSpaceDN/>
        <w:bidi w:val="0"/>
        <w:adjustRightInd/>
        <w:snapToGrid/>
        <w:jc w:val="center"/>
        <w:textAlignment w:val="auto"/>
        <w:rPr>
          <w:rFonts w:cs="@仿宋_GB2312" w:asciiTheme="minorEastAsia" w:hAnsiTheme="minorEastAsia" w:eastAsiaTheme="minorEastAsia"/>
          <w:b/>
          <w:bCs/>
          <w:color w:val="auto"/>
          <w:kern w:val="2"/>
          <w:sz w:val="24"/>
          <w:szCs w:val="24"/>
          <w:highlight w:val="none"/>
        </w:rPr>
      </w:pPr>
      <w:bookmarkStart w:id="648" w:name="_Toc15150"/>
      <w:bookmarkStart w:id="649" w:name="_Toc1235"/>
      <w:bookmarkStart w:id="650" w:name="_Toc520983591"/>
      <w:r>
        <w:rPr>
          <w:rFonts w:hint="eastAsia" w:cs="@仿宋_GB2312" w:asciiTheme="minorEastAsia" w:hAnsiTheme="minorEastAsia" w:eastAsiaTheme="minorEastAsia"/>
          <w:b/>
          <w:bCs/>
          <w:color w:val="auto"/>
          <w:kern w:val="2"/>
          <w:sz w:val="24"/>
          <w:szCs w:val="24"/>
          <w:highlight w:val="none"/>
        </w:rPr>
        <w:t>三、供应商综合情况简介</w:t>
      </w:r>
      <w:bookmarkEnd w:id="648"/>
      <w:bookmarkEnd w:id="649"/>
    </w:p>
    <w:p w14:paraId="186DFE16">
      <w:pPr>
        <w:spacing w:before="156" w:beforeLines="50" w:after="156" w:afterLines="50" w:line="360" w:lineRule="auto"/>
        <w:ind w:firstLine="235" w:firstLineChars="98"/>
        <w:jc w:val="center"/>
        <w:rPr>
          <w:color w:val="auto"/>
          <w:sz w:val="24"/>
          <w:szCs w:val="28"/>
          <w:highlight w:val="none"/>
        </w:rPr>
      </w:pPr>
      <w:r>
        <w:rPr>
          <w:rFonts w:hint="eastAsia"/>
          <w:color w:val="auto"/>
          <w:sz w:val="24"/>
          <w:szCs w:val="28"/>
          <w:highlight w:val="none"/>
        </w:rPr>
        <w:t>（供应商可自行制作格式）</w:t>
      </w:r>
    </w:p>
    <w:p w14:paraId="081A08A2">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1F2DC15C">
      <w:pPr>
        <w:spacing w:line="360" w:lineRule="auto"/>
        <w:jc w:val="center"/>
        <w:outlineLvl w:val="1"/>
        <w:rPr>
          <w:rFonts w:asciiTheme="minorEastAsia" w:hAnsiTheme="minorEastAsia" w:eastAsiaTheme="minorEastAsia"/>
          <w:b/>
          <w:color w:val="auto"/>
          <w:sz w:val="24"/>
          <w:highlight w:val="none"/>
        </w:rPr>
      </w:pPr>
      <w:bookmarkStart w:id="651" w:name="_Toc6032"/>
      <w:bookmarkStart w:id="652" w:name="_Toc6969"/>
      <w:bookmarkStart w:id="653" w:name="_Toc22215"/>
      <w:r>
        <w:rPr>
          <w:rFonts w:hint="eastAsia" w:asciiTheme="minorEastAsia" w:hAnsiTheme="minorEastAsia" w:eastAsiaTheme="minorEastAsia"/>
          <w:b/>
          <w:color w:val="auto"/>
          <w:sz w:val="24"/>
          <w:highlight w:val="none"/>
        </w:rPr>
        <w:t>四、谈判响应函</w:t>
      </w:r>
      <w:bookmarkEnd w:id="650"/>
      <w:bookmarkEnd w:id="651"/>
      <w:bookmarkEnd w:id="652"/>
      <w:bookmarkEnd w:id="653"/>
    </w:p>
    <w:p w14:paraId="4432B503">
      <w:pPr>
        <w:spacing w:line="360" w:lineRule="auto"/>
        <w:rPr>
          <w:rFonts w:hint="eastAsia" w:cs="宋体" w:asciiTheme="minorEastAsia" w:hAnsiTheme="minorEastAsia" w:eastAsiaTheme="minorEastAsia"/>
          <w:b/>
          <w:color w:val="auto"/>
          <w:kern w:val="2"/>
          <w:sz w:val="24"/>
          <w:szCs w:val="24"/>
          <w:highlight w:val="none"/>
          <w:u w:val="single"/>
          <w:lang w:eastAsia="zh-CN"/>
        </w:rPr>
      </w:pPr>
      <w:r>
        <w:rPr>
          <w:rFonts w:hint="eastAsia" w:cs="宋体" w:asciiTheme="minorEastAsia" w:hAnsiTheme="minorEastAsia" w:eastAsiaTheme="minorEastAsia"/>
          <w:b/>
          <w:color w:val="auto"/>
          <w:kern w:val="2"/>
          <w:sz w:val="24"/>
          <w:szCs w:val="24"/>
          <w:highlight w:val="none"/>
        </w:rPr>
        <w:t>致：</w:t>
      </w:r>
      <w:r>
        <w:rPr>
          <w:rFonts w:hint="eastAsia" w:cs="宋体" w:asciiTheme="minorEastAsia" w:hAnsiTheme="minorEastAsia" w:eastAsiaTheme="minorEastAsia"/>
          <w:b/>
          <w:color w:val="auto"/>
          <w:kern w:val="2"/>
          <w:sz w:val="24"/>
          <w:szCs w:val="24"/>
          <w:highlight w:val="none"/>
          <w:u w:val="single"/>
          <w:lang w:eastAsia="zh-CN"/>
        </w:rPr>
        <w:t>采购人</w:t>
      </w:r>
    </w:p>
    <w:p w14:paraId="4E5E4E97">
      <w:pPr>
        <w:spacing w:line="360" w:lineRule="auto"/>
        <w:ind w:firstLine="480"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根据贵方的竞争性谈判公告和谈判邀请，我方兹宣布同意如下：</w:t>
      </w:r>
    </w:p>
    <w:p w14:paraId="3818D8F4">
      <w:pPr>
        <w:spacing w:line="360" w:lineRule="auto"/>
        <w:ind w:firstLine="480" w:firstLineChars="200"/>
        <w:rPr>
          <w:rFonts w:cs="宋体" w:asciiTheme="minorEastAsia" w:hAnsiTheme="minorEastAsia" w:eastAsiaTheme="minorEastAsia"/>
          <w:color w:val="auto"/>
          <w:kern w:val="2"/>
          <w:sz w:val="24"/>
          <w:szCs w:val="24"/>
          <w:highlight w:val="none"/>
          <w:u w:val="single"/>
        </w:rPr>
      </w:pPr>
      <w:r>
        <w:rPr>
          <w:rFonts w:hint="eastAsia" w:cs="宋体" w:asciiTheme="minorEastAsia" w:hAnsiTheme="minorEastAsia" w:eastAsiaTheme="minorEastAsia"/>
          <w:color w:val="auto"/>
          <w:kern w:val="2"/>
          <w:sz w:val="24"/>
          <w:szCs w:val="24"/>
          <w:highlight w:val="none"/>
        </w:rPr>
        <w:t>1.经踏勘项目现场和研究上述谈判文件的谈判须知、合同条款、图纸和工程建设技术标准及其他有关文件后，我方接受上述文件要求，并对工程量清单及最高投标限价无异议。我方</w:t>
      </w:r>
      <w:r>
        <w:rPr>
          <w:rFonts w:hint="eastAsia" w:cs="宋体" w:asciiTheme="minorEastAsia" w:hAnsiTheme="minorEastAsia" w:eastAsiaTheme="minorEastAsia"/>
          <w:bCs/>
          <w:color w:val="auto"/>
          <w:kern w:val="2"/>
          <w:sz w:val="24"/>
          <w:szCs w:val="24"/>
          <w:highlight w:val="none"/>
        </w:rPr>
        <w:t>承诺按本谈判文件、施工图纸、合同条款和工程建设技术标准的条件、</w:t>
      </w:r>
      <w:r>
        <w:rPr>
          <w:rFonts w:hint="eastAsia" w:cs="宋体" w:asciiTheme="minorEastAsia" w:hAnsiTheme="minorEastAsia" w:eastAsiaTheme="minorEastAsia"/>
          <w:color w:val="auto"/>
          <w:kern w:val="2"/>
          <w:sz w:val="24"/>
          <w:szCs w:val="24"/>
          <w:highlight w:val="none"/>
        </w:rPr>
        <w:t>承担</w:t>
      </w:r>
      <w:r>
        <w:rPr>
          <w:rFonts w:hint="eastAsia" w:cs="宋体" w:asciiTheme="minorEastAsia" w:hAnsiTheme="minorEastAsia" w:eastAsiaTheme="minorEastAsia"/>
          <w:bCs/>
          <w:color w:val="auto"/>
          <w:kern w:val="2"/>
          <w:sz w:val="24"/>
          <w:szCs w:val="24"/>
          <w:highlight w:val="none"/>
        </w:rPr>
        <w:t>上述工程的施工、竣工，并承担任何质量缺陷保修责任。</w:t>
      </w:r>
    </w:p>
    <w:p w14:paraId="151DF958">
      <w:pPr>
        <w:spacing w:line="360" w:lineRule="auto"/>
        <w:ind w:firstLine="480"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2.我方已详细审核并确认全部谈判文件及有关附件，充分理解谈判价格不得低于企业个别成本有关规定。我方经成本核算，所填报的谈判报价不低于企业个别成本。</w:t>
      </w:r>
    </w:p>
    <w:p w14:paraId="180D128A">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eastAsia="宋体" w:cs="宋体"/>
          <w:color w:val="auto"/>
          <w:sz w:val="24"/>
          <w:szCs w:val="24"/>
          <w:highlight w:val="none"/>
        </w:rPr>
        <w:t>我方保证按</w:t>
      </w:r>
      <w:r>
        <w:rPr>
          <w:rFonts w:hint="eastAsia" w:cs="宋体"/>
          <w:color w:val="auto"/>
          <w:sz w:val="24"/>
          <w:szCs w:val="24"/>
          <w:highlight w:val="none"/>
          <w:lang w:eastAsia="zh-CN"/>
        </w:rPr>
        <w:t>谈判文件</w:t>
      </w:r>
      <w:r>
        <w:rPr>
          <w:rFonts w:hint="eastAsia" w:ascii="宋体" w:hAnsi="宋体" w:eastAsia="宋体" w:cs="宋体"/>
          <w:color w:val="auto"/>
          <w:sz w:val="24"/>
          <w:szCs w:val="24"/>
          <w:highlight w:val="none"/>
        </w:rPr>
        <w:t>约定的工期和</w:t>
      </w:r>
      <w:r>
        <w:rPr>
          <w:rFonts w:hint="eastAsia" w:cs="宋体"/>
          <w:color w:val="auto"/>
          <w:sz w:val="24"/>
          <w:szCs w:val="24"/>
          <w:highlight w:val="none"/>
          <w:lang w:eastAsia="zh-CN"/>
        </w:rPr>
        <w:t>谈判文件</w:t>
      </w:r>
      <w:r>
        <w:rPr>
          <w:rFonts w:hint="eastAsia" w:ascii="宋体" w:hAnsi="宋体" w:eastAsia="宋体" w:cs="宋体"/>
          <w:color w:val="auto"/>
          <w:sz w:val="24"/>
          <w:szCs w:val="24"/>
          <w:highlight w:val="none"/>
        </w:rPr>
        <w:t>或业主开工令的要求如期开工、工程质量达到合格标准、如期竣工并移交整个工程。</w:t>
      </w:r>
    </w:p>
    <w:p w14:paraId="3D9981E2">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.我方同意所提交的响应文件在</w:t>
      </w:r>
      <w:r>
        <w:rPr>
          <w:rFonts w:hint="eastAsia" w:cs="宋体"/>
          <w:color w:val="auto"/>
          <w:kern w:val="2"/>
          <w:sz w:val="24"/>
          <w:szCs w:val="24"/>
          <w:highlight w:val="none"/>
          <w:lang w:eastAsia="zh-CN"/>
        </w:rPr>
        <w:t>谈判文件</w:t>
      </w:r>
      <w:r>
        <w:rPr>
          <w:rFonts w:hint="eastAsia" w:ascii="宋体" w:hAnsi="宋体" w:eastAsia="宋体" w:cs="宋体"/>
          <w:color w:val="auto"/>
          <w:kern w:val="2"/>
          <w:sz w:val="24"/>
          <w:szCs w:val="24"/>
          <w:highlight w:val="none"/>
        </w:rPr>
        <w:t>规定的</w:t>
      </w:r>
      <w:r>
        <w:rPr>
          <w:rFonts w:hint="eastAsia" w:cs="宋体"/>
          <w:color w:val="auto"/>
          <w:kern w:val="2"/>
          <w:sz w:val="24"/>
          <w:szCs w:val="24"/>
          <w:highlight w:val="none"/>
          <w:lang w:eastAsia="zh-CN"/>
        </w:rPr>
        <w:t>谈判有效期</w:t>
      </w:r>
      <w:r>
        <w:rPr>
          <w:rFonts w:hint="eastAsia" w:ascii="宋体" w:hAnsi="宋体" w:eastAsia="宋体" w:cs="宋体"/>
          <w:color w:val="auto"/>
          <w:kern w:val="2"/>
          <w:sz w:val="24"/>
          <w:szCs w:val="24"/>
          <w:highlight w:val="none"/>
        </w:rPr>
        <w:t>内有效，在此期间内如果成交，我方将受此约束。</w:t>
      </w:r>
    </w:p>
    <w:p w14:paraId="7D39329F">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.除非另外达成协议并生效，你方的成交通知书和本响应文件以及</w:t>
      </w:r>
      <w:r>
        <w:rPr>
          <w:rFonts w:hint="eastAsia" w:cs="宋体"/>
          <w:color w:val="auto"/>
          <w:kern w:val="2"/>
          <w:sz w:val="24"/>
          <w:szCs w:val="24"/>
          <w:highlight w:val="none"/>
          <w:lang w:eastAsia="zh-CN"/>
        </w:rPr>
        <w:t>谈判文件</w:t>
      </w:r>
      <w:r>
        <w:rPr>
          <w:rFonts w:hint="eastAsia" w:ascii="宋体" w:hAnsi="宋体" w:eastAsia="宋体" w:cs="宋体"/>
          <w:color w:val="auto"/>
          <w:kern w:val="2"/>
          <w:sz w:val="24"/>
          <w:szCs w:val="24"/>
          <w:highlight w:val="none"/>
        </w:rPr>
        <w:t>、</w:t>
      </w:r>
      <w:r>
        <w:rPr>
          <w:rFonts w:hint="eastAsia" w:cs="宋体"/>
          <w:color w:val="auto"/>
          <w:kern w:val="2"/>
          <w:sz w:val="24"/>
          <w:szCs w:val="24"/>
          <w:highlight w:val="none"/>
          <w:lang w:eastAsia="zh-CN"/>
        </w:rPr>
        <w:t>谈判文件</w:t>
      </w:r>
      <w:r>
        <w:rPr>
          <w:rFonts w:hint="eastAsia" w:ascii="宋体" w:hAnsi="宋体" w:eastAsia="宋体" w:cs="宋体"/>
          <w:color w:val="auto"/>
          <w:kern w:val="2"/>
          <w:sz w:val="24"/>
          <w:szCs w:val="24"/>
          <w:highlight w:val="none"/>
        </w:rPr>
        <w:t>澄清、修改、补充将成为约束双方的合同文件的组成部分。</w:t>
      </w:r>
    </w:p>
    <w:p w14:paraId="7D902A9B">
      <w:pPr>
        <w:spacing w:line="360" w:lineRule="auto"/>
        <w:ind w:firstLine="480" w:firstLineChars="200"/>
        <w:rPr>
          <w:rFonts w:cs="宋体" w:asciiTheme="minorEastAsia" w:hAnsiTheme="minorEastAsia" w:eastAsiaTheme="minorEastAsia"/>
          <w:color w:val="auto"/>
          <w:kern w:val="2"/>
          <w:sz w:val="24"/>
          <w:szCs w:val="24"/>
          <w:highlight w:val="none"/>
          <w:u w:val="single"/>
        </w:rPr>
      </w:pPr>
      <w:r>
        <w:rPr>
          <w:rFonts w:hint="eastAsia"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.其他补充说明</w:t>
      </w:r>
      <w:r>
        <w:rPr>
          <w:rFonts w:hint="eastAsia" w:cs="宋体" w:asciiTheme="minorEastAsia" w:hAnsiTheme="minorEastAsia" w:eastAsiaTheme="minorEastAsia"/>
          <w:color w:val="auto"/>
          <w:kern w:val="2"/>
          <w:sz w:val="24"/>
          <w:szCs w:val="24"/>
          <w:highlight w:val="none"/>
        </w:rPr>
        <w:t>：</w:t>
      </w:r>
      <w:r>
        <w:rPr>
          <w:rFonts w:hint="eastAsia" w:cs="宋体" w:asciiTheme="minorEastAsia" w:hAnsiTheme="minorEastAsia" w:eastAsiaTheme="minorEastAsia"/>
          <w:color w:val="auto"/>
          <w:kern w:val="2"/>
          <w:sz w:val="24"/>
          <w:szCs w:val="24"/>
          <w:highlight w:val="none"/>
          <w:u w:val="single"/>
        </w:rPr>
        <w:t xml:space="preserve">  （</w:t>
      </w:r>
      <w:r>
        <w:rPr>
          <w:rFonts w:hint="eastAsia" w:cs="宋体" w:asciiTheme="minorEastAsia" w:hAnsiTheme="minorEastAsia" w:eastAsiaTheme="minorEastAsia"/>
          <w:i/>
          <w:iCs/>
          <w:color w:val="auto"/>
          <w:kern w:val="2"/>
          <w:sz w:val="24"/>
          <w:szCs w:val="24"/>
          <w:highlight w:val="none"/>
          <w:u w:val="single"/>
        </w:rPr>
        <w:t>如有</w:t>
      </w:r>
      <w:r>
        <w:rPr>
          <w:rFonts w:hint="eastAsia" w:cs="宋体" w:asciiTheme="minorEastAsia" w:hAnsiTheme="minorEastAsia" w:eastAsiaTheme="minorEastAsia"/>
          <w:color w:val="auto"/>
          <w:kern w:val="2"/>
          <w:sz w:val="24"/>
          <w:szCs w:val="24"/>
          <w:highlight w:val="none"/>
          <w:u w:val="single"/>
        </w:rPr>
        <w:t xml:space="preserve">）       </w:t>
      </w:r>
    </w:p>
    <w:p w14:paraId="0E056EB9">
      <w:pPr>
        <w:spacing w:line="360" w:lineRule="auto"/>
        <w:ind w:firstLine="3600" w:firstLineChars="1500"/>
        <w:rPr>
          <w:rFonts w:cs="@仿宋_GB2312"/>
          <w:color w:val="auto"/>
          <w:kern w:val="2"/>
          <w:sz w:val="24"/>
          <w:highlight w:val="none"/>
        </w:rPr>
      </w:pPr>
    </w:p>
    <w:p w14:paraId="5FDEE6F2">
      <w:pPr>
        <w:spacing w:line="360" w:lineRule="auto"/>
        <w:ind w:firstLine="3600" w:firstLineChars="1500"/>
        <w:rPr>
          <w:rFonts w:cs="@仿宋_GB2312"/>
          <w:color w:val="auto"/>
          <w:kern w:val="2"/>
          <w:sz w:val="24"/>
          <w:highlight w:val="none"/>
        </w:rPr>
      </w:pPr>
      <w:r>
        <w:rPr>
          <w:rFonts w:hint="eastAsia" w:cs="@仿宋_GB2312"/>
          <w:color w:val="auto"/>
          <w:kern w:val="2"/>
          <w:sz w:val="24"/>
          <w:highlight w:val="none"/>
        </w:rPr>
        <w:t>供应商电子签章：</w:t>
      </w:r>
      <w:r>
        <w:rPr>
          <w:rFonts w:hint="eastAsia" w:cs="@仿宋_GB2312"/>
          <w:color w:val="auto"/>
          <w:kern w:val="2"/>
          <w:sz w:val="24"/>
          <w:highlight w:val="none"/>
          <w:u w:val="single"/>
        </w:rPr>
        <w:t xml:space="preserve">                      </w:t>
      </w:r>
    </w:p>
    <w:p w14:paraId="26979E8E">
      <w:pPr>
        <w:spacing w:line="360" w:lineRule="auto"/>
        <w:ind w:firstLine="3600" w:firstLineChars="1500"/>
        <w:rPr>
          <w:rFonts w:cs="@仿宋_GB2312"/>
          <w:color w:val="auto"/>
          <w:kern w:val="2"/>
          <w:sz w:val="24"/>
          <w:highlight w:val="none"/>
          <w:u w:val="single"/>
        </w:rPr>
      </w:pPr>
      <w:r>
        <w:rPr>
          <w:rFonts w:hint="eastAsia" w:cs="@仿宋_GB2312"/>
          <w:color w:val="auto"/>
          <w:kern w:val="2"/>
          <w:sz w:val="24"/>
          <w:highlight w:val="none"/>
        </w:rPr>
        <w:t>日          期：</w:t>
      </w:r>
      <w:r>
        <w:rPr>
          <w:rFonts w:hint="eastAsia" w:cs="@仿宋_GB2312"/>
          <w:color w:val="auto"/>
          <w:kern w:val="2"/>
          <w:sz w:val="24"/>
          <w:highlight w:val="none"/>
          <w:u w:val="single"/>
        </w:rPr>
        <w:t xml:space="preserve">                      </w:t>
      </w:r>
    </w:p>
    <w:p w14:paraId="6CED607C">
      <w:pPr>
        <w:widowControl/>
        <w:jc w:val="left"/>
        <w:rPr>
          <w:color w:val="auto"/>
          <w:sz w:val="24"/>
          <w:highlight w:val="none"/>
        </w:rPr>
      </w:pPr>
      <w:r>
        <w:rPr>
          <w:color w:val="auto"/>
          <w:sz w:val="24"/>
          <w:highlight w:val="none"/>
        </w:rPr>
        <w:br w:type="page"/>
      </w:r>
    </w:p>
    <w:p w14:paraId="0EC635C1">
      <w:pPr>
        <w:spacing w:line="360" w:lineRule="auto"/>
        <w:jc w:val="center"/>
        <w:outlineLvl w:val="1"/>
        <w:rPr>
          <w:b/>
          <w:i/>
          <w:color w:val="auto"/>
          <w:sz w:val="24"/>
          <w:highlight w:val="none"/>
        </w:rPr>
      </w:pPr>
      <w:bookmarkStart w:id="654" w:name="_Toc2947"/>
      <w:bookmarkStart w:id="655" w:name="_Toc2077"/>
      <w:bookmarkStart w:id="656" w:name="_Toc16222"/>
      <w:r>
        <w:rPr>
          <w:rFonts w:hint="eastAsia" w:asciiTheme="minorEastAsia" w:hAnsiTheme="minorEastAsia" w:eastAsiaTheme="minorEastAsia"/>
          <w:b/>
          <w:color w:val="auto"/>
          <w:sz w:val="24"/>
          <w:highlight w:val="none"/>
        </w:rPr>
        <w:t>五、</w:t>
      </w:r>
      <w:bookmarkEnd w:id="654"/>
      <w:bookmarkStart w:id="657" w:name="_Toc8658"/>
      <w:r>
        <w:rPr>
          <w:rFonts w:hint="eastAsia" w:asciiTheme="minorEastAsia" w:hAnsiTheme="minorEastAsia" w:eastAsiaTheme="minorEastAsia"/>
          <w:b/>
          <w:color w:val="auto"/>
          <w:sz w:val="24"/>
          <w:highlight w:val="none"/>
          <w:lang w:val="en-US" w:eastAsia="zh-CN"/>
        </w:rPr>
        <w:t>供应商资格声明书</w:t>
      </w:r>
      <w:bookmarkEnd w:id="655"/>
      <w:bookmarkEnd w:id="656"/>
      <w:r>
        <w:rPr>
          <w:rFonts w:hint="eastAsia" w:asciiTheme="minorEastAsia" w:hAnsiTheme="minorEastAsia" w:eastAsiaTheme="minorEastAsia"/>
          <w:b/>
          <w:color w:val="auto"/>
          <w:sz w:val="24"/>
          <w:highlight w:val="none"/>
          <w:lang w:val="en-US" w:eastAsia="zh-CN"/>
        </w:rPr>
        <w:t xml:space="preserve"> </w:t>
      </w:r>
    </w:p>
    <w:p w14:paraId="40134F07">
      <w:pPr>
        <w:pStyle w:val="31"/>
        <w:spacing w:line="360" w:lineRule="auto"/>
        <w:outlineLvl w:val="9"/>
        <w:rPr>
          <w:rFonts w:hint="eastAsia" w:eastAsia="宋体" w:asciiTheme="minorEastAsia" w:hAnsiTheme="minorEastAsia" w:cstheme="minorEastAsia"/>
          <w:color w:val="auto"/>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6327A49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在参与本次项目磋商中，我单位承诺：</w:t>
      </w:r>
    </w:p>
    <w:p w14:paraId="63E8D03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（一）具有良好的商业信誉和健全的财务会计制度；</w:t>
      </w:r>
    </w:p>
    <w:p w14:paraId="2B4F349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（二）具有履行合同所必需的设备和专业技术能力；</w:t>
      </w:r>
    </w:p>
    <w:p w14:paraId="2D0266E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（三）有依法缴纳税收和社会保障资金的良好记录；</w:t>
      </w:r>
    </w:p>
    <w:p w14:paraId="06939C4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F3B8FE3">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五</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近三年内，未发生重大质量事故和重大安全事故（以有关行政管理部门的行政处罚决定或司法机关出具的有关法律文书为准），前述行政处罚已完成信用修复的，但自行政处罚作出机关或信用修复主管部门同意修复之日起满一年的，不受三年期限限制；</w:t>
      </w:r>
    </w:p>
    <w:p w14:paraId="49BB22EB">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六</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在本项目</w:t>
      </w:r>
      <w:r>
        <w:rPr>
          <w:rFonts w:hint="eastAsia"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rPr>
        <w:t>有效期内，在本项目所在区域未存在因质量事故、安全事故等被限期承包工程或市场不良行为等被限制磋商资格行为，且处于处罚期内的情况；</w:t>
      </w:r>
    </w:p>
    <w:p w14:paraId="4AA6BB07">
      <w:pPr>
        <w:spacing w:line="360" w:lineRule="auto"/>
        <w:rPr>
          <w:rFonts w:hint="eastAsia"/>
          <w:color w:val="auto"/>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七</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sz w:val="24"/>
          <w:szCs w:val="24"/>
          <w:highlight w:val="none"/>
        </w:rPr>
        <w:t>未被“信用中国”网站列入拖欠农民工工资失信联合惩戒对象名单</w:t>
      </w:r>
      <w:r>
        <w:rPr>
          <w:rFonts w:hint="eastAsia" w:ascii="宋体" w:hAnsi="宋体" w:eastAsia="宋体" w:cs="宋体"/>
          <w:color w:val="auto"/>
          <w:kern w:val="2"/>
          <w:sz w:val="24"/>
          <w:szCs w:val="24"/>
          <w:highlight w:val="none"/>
        </w:rPr>
        <w:t>；</w:t>
      </w:r>
    </w:p>
    <w:p w14:paraId="52C48C0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eastAsia="zh-CN" w:bidi="ar"/>
        </w:rPr>
        <w:t>（八）我单位</w:t>
      </w:r>
      <w:r>
        <w:rPr>
          <w:rFonts w:hint="eastAsia" w:ascii="宋体" w:hAnsi="宋体" w:eastAsia="宋体" w:cs="宋体"/>
          <w:color w:val="auto"/>
          <w:kern w:val="0"/>
          <w:sz w:val="24"/>
          <w:szCs w:val="24"/>
          <w:highlight w:val="none"/>
          <w:lang w:val="en-US" w:eastAsia="zh-CN" w:bidi="ar"/>
        </w:rPr>
        <w:t>没有下列情形： 1、</w:t>
      </w:r>
      <w:r>
        <w:rPr>
          <w:rFonts w:hint="eastAsia" w:ascii="宋体" w:hAnsi="宋体" w:eastAsia="宋体" w:cs="宋体"/>
          <w:color w:val="auto"/>
          <w:sz w:val="24"/>
          <w:szCs w:val="24"/>
          <w:highlight w:val="none"/>
        </w:rPr>
        <w:t>供应商被人民法院列入失信被执行人的</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sz w:val="24"/>
          <w:szCs w:val="24"/>
          <w:highlight w:val="none"/>
        </w:rPr>
        <w:t>供应商或其法定代表人或拟派项目经理（项目负责人）前三年有行贿犯罪行为的</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sz w:val="24"/>
          <w:szCs w:val="24"/>
          <w:highlight w:val="none"/>
        </w:rPr>
        <w:t>供应商被市场监督管理部门列入经营异常名录或者严重违法企业名单，且未被移除的</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shd w:val="clear" w:color="auto" w:fill="FFFFFF"/>
        </w:rPr>
        <w:t>被税务部门列入重大税收违法案件当事人的</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sz w:val="24"/>
          <w:szCs w:val="24"/>
          <w:highlight w:val="none"/>
        </w:rPr>
        <w:t>供应商被政府采购监管部门列入政府采购严重违法失信行为记录名单的</w:t>
      </w:r>
      <w:r>
        <w:rPr>
          <w:rFonts w:hint="eastAsia" w:ascii="宋体" w:hAnsi="宋体" w:eastAsia="宋体" w:cs="宋体"/>
          <w:color w:val="auto"/>
          <w:kern w:val="0"/>
          <w:sz w:val="24"/>
          <w:szCs w:val="24"/>
          <w:highlight w:val="none"/>
          <w:lang w:val="en-US" w:eastAsia="zh-CN" w:bidi="ar"/>
        </w:rPr>
        <w:t>；6、</w:t>
      </w:r>
      <w:r>
        <w:rPr>
          <w:rFonts w:hint="eastAsia" w:ascii="宋体" w:hAnsi="宋体" w:eastAsia="宋体" w:cs="宋体"/>
          <w:color w:val="auto"/>
          <w:sz w:val="24"/>
          <w:szCs w:val="24"/>
          <w:highlight w:val="none"/>
          <w:shd w:val="clear" w:color="auto" w:fill="FFFFFF"/>
        </w:rPr>
        <w:t>在“信用中国”网站上披露仍在公示期的严重失信行为的</w:t>
      </w:r>
      <w:r>
        <w:rPr>
          <w:rFonts w:hint="eastAsia" w:ascii="宋体" w:hAnsi="宋体" w:eastAsia="宋体" w:cs="宋体"/>
          <w:color w:val="auto"/>
          <w:kern w:val="0"/>
          <w:sz w:val="24"/>
          <w:szCs w:val="24"/>
          <w:highlight w:val="none"/>
          <w:lang w:val="en-US" w:eastAsia="zh-CN" w:bidi="ar"/>
        </w:rPr>
        <w:t>。（若招标文件对投标人所属分公司、办事处等分支机构有上述1-6项信誉要求，在此一并承诺我公司所属分公司、办事处等分支机构没有上述1-6项情形）</w:t>
      </w:r>
    </w:p>
    <w:p w14:paraId="286C8D2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（九）我单位不存在为采购项目提供整体设计、规范编制或者项目管理、监理、检测等服务后，再参加该采购项目的其他采购活动的情形（单一来源采购项目除外）；</w:t>
      </w:r>
    </w:p>
    <w:p w14:paraId="50B6899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（十）与我单位存在单位负责人为同一人或者存在直接控股、管理关系的其他法人单位信息如下（如有，不论其是否参加同一合同项下的政府采购活动均须填写）：</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2DF4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4AAC413F">
            <w:pPr>
              <w:keepNext w:val="0"/>
              <w:keepLines w:val="0"/>
              <w:pageBreakBefore w:val="0"/>
              <w:widowControl/>
              <w:suppressLineNumbers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序号</w:t>
            </w:r>
          </w:p>
        </w:tc>
        <w:tc>
          <w:tcPr>
            <w:tcW w:w="2841" w:type="dxa"/>
            <w:noWrap w:val="0"/>
            <w:vAlign w:val="top"/>
          </w:tcPr>
          <w:p w14:paraId="2CFF1E9C">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单位名称</w:t>
            </w:r>
          </w:p>
        </w:tc>
        <w:tc>
          <w:tcPr>
            <w:tcW w:w="2841" w:type="dxa"/>
            <w:noWrap w:val="0"/>
            <w:vAlign w:val="top"/>
          </w:tcPr>
          <w:p w14:paraId="62C1DA79">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相互关系</w:t>
            </w:r>
          </w:p>
        </w:tc>
      </w:tr>
      <w:tr w14:paraId="7723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0F2E2019">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1</w:t>
            </w:r>
          </w:p>
        </w:tc>
        <w:tc>
          <w:tcPr>
            <w:tcW w:w="2841" w:type="dxa"/>
            <w:noWrap w:val="0"/>
            <w:vAlign w:val="top"/>
          </w:tcPr>
          <w:p w14:paraId="24B44E94">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bidi="ar"/>
              </w:rPr>
            </w:pPr>
          </w:p>
        </w:tc>
        <w:tc>
          <w:tcPr>
            <w:tcW w:w="2841" w:type="dxa"/>
            <w:noWrap w:val="0"/>
            <w:vAlign w:val="top"/>
          </w:tcPr>
          <w:p w14:paraId="182288DA">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bidi="ar"/>
              </w:rPr>
            </w:pPr>
          </w:p>
        </w:tc>
      </w:tr>
      <w:tr w14:paraId="1133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57A7BD26">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2</w:t>
            </w:r>
          </w:p>
        </w:tc>
        <w:tc>
          <w:tcPr>
            <w:tcW w:w="2841" w:type="dxa"/>
            <w:noWrap w:val="0"/>
            <w:vAlign w:val="top"/>
          </w:tcPr>
          <w:p w14:paraId="5B0B9B43">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bidi="ar"/>
              </w:rPr>
            </w:pPr>
          </w:p>
        </w:tc>
        <w:tc>
          <w:tcPr>
            <w:tcW w:w="2841" w:type="dxa"/>
            <w:noWrap w:val="0"/>
            <w:vAlign w:val="top"/>
          </w:tcPr>
          <w:p w14:paraId="136E7194">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bidi="ar"/>
              </w:rPr>
            </w:pPr>
          </w:p>
        </w:tc>
      </w:tr>
    </w:tbl>
    <w:p w14:paraId="04787BF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本单位对上述声明的真实性负责。如有虚假，将依法承担相应责任。</w:t>
      </w:r>
    </w:p>
    <w:p w14:paraId="01198582">
      <w:pPr>
        <w:spacing w:line="360" w:lineRule="auto"/>
        <w:ind w:firstLine="4800" w:firstLineChars="2000"/>
        <w:rPr>
          <w:rFonts w:ascii="宋体" w:hAnsi="宋体" w:eastAsia="宋体"/>
          <w:color w:val="auto"/>
          <w:sz w:val="24"/>
          <w:highlight w:val="none"/>
          <w:u w:val="single"/>
        </w:rPr>
      </w:pPr>
      <w:r>
        <w:rPr>
          <w:rFonts w:hint="eastAsia"/>
          <w:color w:val="auto"/>
          <w:sz w:val="24"/>
          <w:highlight w:val="none"/>
          <w:lang w:val="en-US"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4765401F">
      <w:pPr>
        <w:spacing w:line="360" w:lineRule="auto"/>
        <w:jc w:val="center"/>
        <w:outlineLvl w:val="9"/>
        <w:rPr>
          <w:b/>
          <w:i/>
          <w:color w:val="auto"/>
          <w:sz w:val="24"/>
          <w:highlight w:val="none"/>
        </w:rPr>
      </w:pPr>
      <w:r>
        <w:rPr>
          <w:rFonts w:hint="eastAsia"/>
          <w:color w:val="auto"/>
          <w:sz w:val="24"/>
          <w:highlight w:val="none"/>
          <w:lang w:val="en-US" w:eastAsia="zh-CN"/>
        </w:rPr>
        <w:t xml:space="preserve">                           </w:t>
      </w: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 xml:space="preserve">         </w:t>
      </w:r>
    </w:p>
    <w:bookmarkEnd w:id="657"/>
    <w:p w14:paraId="5A97C736">
      <w:pPr>
        <w:spacing w:line="360" w:lineRule="auto"/>
        <w:jc w:val="center"/>
        <w:outlineLvl w:val="1"/>
        <w:rPr>
          <w:rFonts w:hint="eastAsia" w:asciiTheme="minorEastAsia" w:hAnsiTheme="minorEastAsia" w:eastAsiaTheme="minorEastAsia"/>
          <w:b/>
          <w:color w:val="auto"/>
          <w:sz w:val="24"/>
          <w:highlight w:val="none"/>
        </w:rPr>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pPr>
      <w:bookmarkStart w:id="658" w:name="_Toc516969106"/>
      <w:bookmarkStart w:id="659" w:name="_Toc520983594"/>
      <w:bookmarkStart w:id="660" w:name="_Toc204594911"/>
      <w:bookmarkStart w:id="661" w:name="_Toc121626298"/>
      <w:bookmarkStart w:id="662" w:name="_Toc8203"/>
    </w:p>
    <w:p w14:paraId="363F5C4E">
      <w:pPr>
        <w:spacing w:line="360" w:lineRule="auto"/>
        <w:jc w:val="center"/>
        <w:outlineLvl w:val="1"/>
        <w:rPr>
          <w:rFonts w:asciiTheme="minorEastAsia" w:hAnsiTheme="minorEastAsia" w:eastAsiaTheme="minorEastAsia"/>
          <w:b/>
          <w:color w:val="auto"/>
          <w:sz w:val="24"/>
          <w:highlight w:val="none"/>
        </w:rPr>
      </w:pPr>
      <w:bookmarkStart w:id="663" w:name="_Toc11666"/>
      <w:bookmarkStart w:id="664" w:name="_Toc29185"/>
      <w:r>
        <w:rPr>
          <w:rFonts w:hint="eastAsia" w:asciiTheme="minorEastAsia" w:hAnsiTheme="minorEastAsia" w:eastAsiaTheme="minorEastAsia"/>
          <w:b/>
          <w:color w:val="auto"/>
          <w:sz w:val="24"/>
          <w:highlight w:val="none"/>
        </w:rPr>
        <w:t>六、授权书</w:t>
      </w:r>
      <w:bookmarkEnd w:id="658"/>
      <w:bookmarkEnd w:id="659"/>
      <w:bookmarkEnd w:id="660"/>
      <w:bookmarkEnd w:id="661"/>
      <w:bookmarkEnd w:id="662"/>
      <w:bookmarkEnd w:id="663"/>
      <w:bookmarkEnd w:id="664"/>
    </w:p>
    <w:p w14:paraId="3A6DCE07">
      <w:pPr>
        <w:spacing w:line="360" w:lineRule="auto"/>
        <w:jc w:val="center"/>
        <w:rPr>
          <w:rFonts w:asciiTheme="minorEastAsia" w:hAnsiTheme="minorEastAsia" w:eastAsiaTheme="minorEastAsia"/>
          <w:b/>
          <w:color w:val="auto"/>
          <w:sz w:val="24"/>
          <w:highlight w:val="none"/>
        </w:rPr>
      </w:pPr>
    </w:p>
    <w:p w14:paraId="5340C71A">
      <w:pPr>
        <w:pStyle w:val="29"/>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谈判过程的一切事宜，包括但不限于：提交响应文件、参与谈判、签约等。供应商授权代表在采购活动过程中所签署的一切文件和处理与之有关的一切事务，本公司均予以认可并对此承担责任。供应商授权代表无转委托权。特此授权。</w:t>
      </w:r>
    </w:p>
    <w:p w14:paraId="45422573">
      <w:pPr>
        <w:pStyle w:val="29"/>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69F6A2FC">
      <w:pPr>
        <w:pStyle w:val="29"/>
        <w:snapToGrid w:val="0"/>
        <w:spacing w:line="360" w:lineRule="auto"/>
        <w:ind w:firstLine="480" w:firstLineChars="200"/>
        <w:jc w:val="left"/>
        <w:rPr>
          <w:rFonts w:hAnsi="宋体" w:eastAsia="宋体"/>
          <w:color w:val="auto"/>
          <w:sz w:val="24"/>
          <w:highlight w:val="none"/>
        </w:rPr>
      </w:pPr>
      <w:r>
        <w:rPr>
          <w:rFonts w:hint="eastAsia" w:hAnsi="宋体" w:eastAsia="宋体"/>
          <w:color w:val="auto"/>
          <w:sz w:val="24"/>
          <w:szCs w:val="28"/>
          <w:highlight w:val="none"/>
        </w:rPr>
        <w:t>授权代表</w:t>
      </w:r>
      <w:r>
        <w:rPr>
          <w:rFonts w:hint="eastAsia" w:hAnsi="宋体" w:eastAsia="宋体"/>
          <w:color w:val="auto"/>
          <w:sz w:val="24"/>
          <w:highlight w:val="none"/>
        </w:rPr>
        <w:t>身份证明扫描件：</w:t>
      </w:r>
    </w:p>
    <w:p w14:paraId="55331141">
      <w:pPr>
        <w:pStyle w:val="29"/>
        <w:snapToGrid w:val="0"/>
        <w:spacing w:line="360" w:lineRule="auto"/>
        <w:ind w:firstLine="480" w:firstLineChars="200"/>
        <w:jc w:val="left"/>
        <w:rPr>
          <w:rFonts w:hAnsi="宋体" w:eastAsia="宋体"/>
          <w:color w:val="auto"/>
          <w:sz w:val="24"/>
          <w:highlight w:val="none"/>
        </w:rPr>
      </w:pPr>
    </w:p>
    <w:p w14:paraId="449D03F3">
      <w:pPr>
        <w:pStyle w:val="29"/>
        <w:snapToGrid w:val="0"/>
        <w:spacing w:line="360" w:lineRule="auto"/>
        <w:ind w:firstLine="480" w:firstLineChars="200"/>
        <w:jc w:val="left"/>
        <w:rPr>
          <w:rFonts w:hAnsi="宋体" w:eastAsia="宋体"/>
          <w:color w:val="auto"/>
          <w:sz w:val="24"/>
          <w:highlight w:val="none"/>
        </w:rPr>
      </w:pPr>
    </w:p>
    <w:p w14:paraId="139D15F5">
      <w:pPr>
        <w:pStyle w:val="29"/>
        <w:snapToGrid w:val="0"/>
        <w:spacing w:line="360" w:lineRule="auto"/>
        <w:ind w:firstLine="480" w:firstLineChars="200"/>
        <w:jc w:val="left"/>
        <w:rPr>
          <w:rFonts w:hAnsi="宋体" w:eastAsia="宋体"/>
          <w:color w:val="auto"/>
          <w:sz w:val="24"/>
          <w:highlight w:val="none"/>
        </w:rPr>
      </w:pPr>
    </w:p>
    <w:p w14:paraId="16663AFC">
      <w:pPr>
        <w:pStyle w:val="29"/>
        <w:snapToGrid w:val="0"/>
        <w:spacing w:line="360" w:lineRule="auto"/>
        <w:ind w:firstLine="480" w:firstLineChars="200"/>
        <w:jc w:val="left"/>
        <w:rPr>
          <w:rFonts w:hAnsi="宋体" w:eastAsia="宋体"/>
          <w:color w:val="auto"/>
          <w:sz w:val="24"/>
          <w:highlight w:val="none"/>
        </w:rPr>
      </w:pPr>
    </w:p>
    <w:p w14:paraId="4A4E04E1">
      <w:pPr>
        <w:pStyle w:val="29"/>
        <w:snapToGrid w:val="0"/>
        <w:spacing w:line="360" w:lineRule="auto"/>
        <w:ind w:firstLine="480" w:firstLineChars="200"/>
        <w:jc w:val="left"/>
        <w:rPr>
          <w:rFonts w:hAnsi="宋体" w:eastAsia="宋体"/>
          <w:color w:val="auto"/>
          <w:sz w:val="24"/>
          <w:szCs w:val="28"/>
          <w:highlight w:val="none"/>
          <w:u w:val="single"/>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6EB3B380">
      <w:pPr>
        <w:pStyle w:val="29"/>
        <w:snapToGrid w:val="0"/>
        <w:spacing w:line="360" w:lineRule="auto"/>
        <w:ind w:firstLine="480" w:firstLineChars="200"/>
        <w:jc w:val="left"/>
        <w:rPr>
          <w:rFonts w:hAnsi="宋体" w:eastAsia="宋体"/>
          <w:color w:val="auto"/>
          <w:sz w:val="24"/>
          <w:szCs w:val="28"/>
          <w:highlight w:val="none"/>
        </w:rPr>
      </w:pPr>
    </w:p>
    <w:p w14:paraId="0253B126">
      <w:pPr>
        <w:spacing w:line="360" w:lineRule="auto"/>
        <w:ind w:firstLine="360" w:firstLineChars="150"/>
        <w:rPr>
          <w:color w:val="auto"/>
          <w:sz w:val="24"/>
          <w:szCs w:val="28"/>
          <w:highlight w:val="none"/>
        </w:rPr>
      </w:pPr>
      <w:r>
        <w:rPr>
          <w:rFonts w:hint="eastAsia"/>
          <w:color w:val="auto"/>
          <w:sz w:val="24"/>
          <w:szCs w:val="28"/>
          <w:highlight w:val="none"/>
        </w:rPr>
        <w:t>特此声明。</w:t>
      </w:r>
    </w:p>
    <w:p w14:paraId="6BFB8561">
      <w:pPr>
        <w:spacing w:line="360" w:lineRule="auto"/>
        <w:rPr>
          <w:color w:val="auto"/>
          <w:sz w:val="24"/>
          <w:szCs w:val="28"/>
          <w:highlight w:val="none"/>
        </w:rPr>
      </w:pPr>
    </w:p>
    <w:p w14:paraId="2B4EB0FB">
      <w:pPr>
        <w:spacing w:line="360" w:lineRule="auto"/>
        <w:jc w:val="center"/>
        <w:rPr>
          <w:bCs/>
          <w:color w:val="auto"/>
          <w:sz w:val="24"/>
          <w:szCs w:val="28"/>
          <w:highlight w:val="none"/>
        </w:rPr>
      </w:pPr>
      <w:r>
        <w:rPr>
          <w:rFonts w:hint="eastAsia"/>
          <w:bCs/>
          <w:color w:val="auto"/>
          <w:sz w:val="24"/>
          <w:szCs w:val="28"/>
          <w:highlight w:val="none"/>
          <w:lang w:val="en-US" w:eastAsia="zh-CN"/>
        </w:rPr>
        <w:t xml:space="preserve">                        </w:t>
      </w:r>
      <w:r>
        <w:rPr>
          <w:rFonts w:hint="eastAsia"/>
          <w:bCs/>
          <w:color w:val="auto"/>
          <w:sz w:val="24"/>
          <w:szCs w:val="28"/>
          <w:highlight w:val="none"/>
        </w:rPr>
        <w:t>供应商电子签章：</w:t>
      </w:r>
      <w:r>
        <w:rPr>
          <w:rFonts w:hint="eastAsia"/>
          <w:bCs/>
          <w:color w:val="auto"/>
          <w:sz w:val="24"/>
          <w:szCs w:val="28"/>
          <w:highlight w:val="none"/>
          <w:u w:val="single"/>
        </w:rPr>
        <w:t xml:space="preserve">                    </w:t>
      </w:r>
    </w:p>
    <w:p w14:paraId="718267D7">
      <w:pPr>
        <w:spacing w:line="360" w:lineRule="auto"/>
        <w:jc w:val="center"/>
        <w:rPr>
          <w:color w:val="auto"/>
          <w:sz w:val="24"/>
          <w:szCs w:val="28"/>
          <w:highlight w:val="none"/>
        </w:rPr>
      </w:pPr>
      <w:r>
        <w:rPr>
          <w:rFonts w:hint="eastAsia"/>
          <w:color w:val="auto"/>
          <w:sz w:val="24"/>
          <w:szCs w:val="28"/>
          <w:highlight w:val="none"/>
          <w:lang w:val="en-US" w:eastAsia="zh-CN"/>
        </w:rPr>
        <w:t xml:space="preserve">                        </w:t>
      </w:r>
      <w:r>
        <w:rPr>
          <w:rFonts w:hint="eastAsia"/>
          <w:color w:val="auto"/>
          <w:sz w:val="24"/>
          <w:szCs w:val="28"/>
          <w:highlight w:val="none"/>
        </w:rPr>
        <w:t>日          期：</w:t>
      </w:r>
      <w:r>
        <w:rPr>
          <w:rFonts w:hint="eastAsia"/>
          <w:color w:val="auto"/>
          <w:sz w:val="24"/>
          <w:szCs w:val="28"/>
          <w:highlight w:val="none"/>
          <w:u w:val="single"/>
        </w:rPr>
        <w:t xml:space="preserve">                    </w:t>
      </w:r>
    </w:p>
    <w:p w14:paraId="1C98D45F">
      <w:pPr>
        <w:spacing w:line="360" w:lineRule="auto"/>
        <w:rPr>
          <w:color w:val="auto"/>
          <w:sz w:val="24"/>
          <w:szCs w:val="28"/>
          <w:highlight w:val="none"/>
        </w:rPr>
      </w:pPr>
    </w:p>
    <w:p w14:paraId="7F0BA56F">
      <w:pPr>
        <w:spacing w:line="360" w:lineRule="auto"/>
        <w:rPr>
          <w:color w:val="auto"/>
          <w:sz w:val="24"/>
          <w:szCs w:val="28"/>
          <w:highlight w:val="none"/>
        </w:rPr>
      </w:pPr>
    </w:p>
    <w:p w14:paraId="27C95A2D">
      <w:pPr>
        <w:pStyle w:val="29"/>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注：</w:t>
      </w:r>
    </w:p>
    <w:p w14:paraId="4EEEB5B9">
      <w:pPr>
        <w:pStyle w:val="29"/>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1.本项目只允许有唯一的供应商授权代表，提供身份证明扫描件；</w:t>
      </w:r>
    </w:p>
    <w:p w14:paraId="0EE7CDF8">
      <w:pPr>
        <w:spacing w:line="360" w:lineRule="auto"/>
        <w:jc w:val="left"/>
        <w:rPr>
          <w:color w:val="auto"/>
          <w:sz w:val="24"/>
          <w:highlight w:val="none"/>
        </w:rPr>
      </w:pPr>
      <w:r>
        <w:rPr>
          <w:rFonts w:hint="eastAsia"/>
          <w:color w:val="auto"/>
          <w:sz w:val="24"/>
          <w:highlight w:val="none"/>
        </w:rPr>
        <w:t>2.法定代表人参加谈判的无需提供授权书，仅提供身份证明扫描件。</w:t>
      </w:r>
    </w:p>
    <w:p w14:paraId="6E94F299">
      <w:pPr>
        <w:widowControl/>
        <w:jc w:val="left"/>
        <w:rPr>
          <w:color w:val="auto"/>
          <w:sz w:val="24"/>
          <w:highlight w:val="none"/>
        </w:rPr>
      </w:pPr>
      <w:r>
        <w:rPr>
          <w:color w:val="auto"/>
          <w:sz w:val="24"/>
          <w:highlight w:val="none"/>
        </w:rPr>
        <w:br w:type="page"/>
      </w:r>
    </w:p>
    <w:p w14:paraId="4990BD04">
      <w:pPr>
        <w:keepNext/>
        <w:keepLines/>
        <w:spacing w:before="260" w:after="260" w:line="416" w:lineRule="auto"/>
        <w:jc w:val="center"/>
        <w:outlineLvl w:val="1"/>
        <w:rPr>
          <w:rFonts w:cs="@仿宋_GB2312" w:asciiTheme="minorEastAsia" w:hAnsiTheme="minorEastAsia" w:eastAsiaTheme="minorEastAsia"/>
          <w:b/>
          <w:bCs/>
          <w:color w:val="auto"/>
          <w:kern w:val="2"/>
          <w:sz w:val="24"/>
          <w:szCs w:val="24"/>
          <w:highlight w:val="none"/>
        </w:rPr>
      </w:pPr>
      <w:bookmarkStart w:id="665" w:name="_Toc15839"/>
      <w:bookmarkStart w:id="666" w:name="_Toc24843"/>
      <w:bookmarkStart w:id="667" w:name="_Toc25170"/>
      <w:r>
        <w:rPr>
          <w:rFonts w:hint="eastAsia" w:cs="@仿宋_GB2312" w:asciiTheme="minorEastAsia" w:hAnsiTheme="minorEastAsia" w:eastAsiaTheme="minorEastAsia"/>
          <w:b/>
          <w:bCs/>
          <w:color w:val="auto"/>
          <w:kern w:val="2"/>
          <w:sz w:val="24"/>
          <w:szCs w:val="24"/>
          <w:highlight w:val="none"/>
        </w:rPr>
        <w:t>七、法定代表人身份证明书</w:t>
      </w:r>
      <w:bookmarkEnd w:id="665"/>
      <w:bookmarkEnd w:id="666"/>
      <w:bookmarkEnd w:id="667"/>
    </w:p>
    <w:p w14:paraId="3CCB0674">
      <w:pPr>
        <w:autoSpaceDE w:val="0"/>
        <w:autoSpaceDN w:val="0"/>
        <w:adjustRightInd w:val="0"/>
        <w:spacing w:line="360" w:lineRule="auto"/>
        <w:jc w:val="center"/>
        <w:rPr>
          <w:rFonts w:ascii="@仿宋_GB2312" w:eastAsia="@仿宋_GB2312" w:cs="宋体"/>
          <w:b/>
          <w:color w:val="auto"/>
          <w:kern w:val="2"/>
          <w:sz w:val="21"/>
          <w:szCs w:val="24"/>
          <w:highlight w:val="none"/>
          <w:lang w:val="zh-CN"/>
        </w:rPr>
      </w:pPr>
    </w:p>
    <w:p w14:paraId="25FDC4DD">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单位名称：</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p>
    <w:p w14:paraId="08E6651F">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单位性质：</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p>
    <w:p w14:paraId="27AE196F">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地    址：</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p>
    <w:p w14:paraId="36669FD0">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成立时间：</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年</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月</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日</w:t>
      </w:r>
    </w:p>
    <w:p w14:paraId="2B856669">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经营期限：</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p>
    <w:p w14:paraId="07F34E87">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姓    名：</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 xml:space="preserve"> 性 </w:t>
      </w:r>
      <w:r>
        <w:rPr>
          <w:rFonts w:ascii="Calibri" w:hAnsi="Calibri" w:cs="Times New Roman"/>
          <w:color w:val="auto"/>
          <w:kern w:val="2"/>
          <w:sz w:val="24"/>
          <w:szCs w:val="28"/>
          <w:highlight w:val="none"/>
        </w:rPr>
        <w:t xml:space="preserve">  </w:t>
      </w:r>
      <w:r>
        <w:rPr>
          <w:rFonts w:hint="eastAsia" w:ascii="Calibri" w:hAnsi="Calibri" w:cs="Times New Roman"/>
          <w:color w:val="auto"/>
          <w:kern w:val="2"/>
          <w:sz w:val="24"/>
          <w:szCs w:val="28"/>
          <w:highlight w:val="none"/>
        </w:rPr>
        <w:t xml:space="preserve"> 别：</w:t>
      </w:r>
      <w:r>
        <w:rPr>
          <w:rFonts w:hint="eastAsia" w:ascii="Calibri" w:hAnsi="Calibri" w:cs="Times New Roman"/>
          <w:color w:val="auto"/>
          <w:kern w:val="2"/>
          <w:sz w:val="24"/>
          <w:szCs w:val="28"/>
          <w:highlight w:val="none"/>
          <w:u w:val="single"/>
        </w:rPr>
        <w:t xml:space="preserve">             </w:t>
      </w:r>
    </w:p>
    <w:p w14:paraId="1A371A48">
      <w:pPr>
        <w:snapToGrid w:val="0"/>
        <w:spacing w:line="360" w:lineRule="auto"/>
        <w:ind w:firstLine="480" w:firstLineChars="200"/>
        <w:jc w:val="left"/>
        <w:rPr>
          <w:rFonts w:ascii="Calibri" w:hAnsi="Calibri" w:cs="Times New Roman"/>
          <w:color w:val="auto"/>
          <w:kern w:val="2"/>
          <w:sz w:val="24"/>
          <w:szCs w:val="28"/>
          <w:highlight w:val="none"/>
          <w:u w:val="single"/>
        </w:rPr>
      </w:pPr>
      <w:r>
        <w:rPr>
          <w:rFonts w:hint="eastAsia" w:ascii="Calibri" w:hAnsi="Calibri" w:cs="Times New Roman"/>
          <w:color w:val="auto"/>
          <w:kern w:val="2"/>
          <w:sz w:val="24"/>
          <w:szCs w:val="28"/>
          <w:highlight w:val="none"/>
        </w:rPr>
        <w:t>年    龄：</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 xml:space="preserve"> 职    务：</w:t>
      </w:r>
      <w:r>
        <w:rPr>
          <w:rFonts w:hint="eastAsia" w:ascii="Calibri" w:hAnsi="Calibri" w:cs="Times New Roman"/>
          <w:color w:val="auto"/>
          <w:kern w:val="2"/>
          <w:sz w:val="24"/>
          <w:szCs w:val="28"/>
          <w:highlight w:val="none"/>
          <w:u w:val="single"/>
        </w:rPr>
        <w:t xml:space="preserve">             </w:t>
      </w:r>
    </w:p>
    <w:p w14:paraId="170225C1">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联系</w:t>
      </w:r>
      <w:r>
        <w:rPr>
          <w:rFonts w:ascii="Calibri" w:hAnsi="Calibri" w:cs="Times New Roman"/>
          <w:color w:val="auto"/>
          <w:kern w:val="2"/>
          <w:sz w:val="24"/>
          <w:szCs w:val="28"/>
          <w:highlight w:val="none"/>
        </w:rPr>
        <w:t>电话</w:t>
      </w:r>
      <w:r>
        <w:rPr>
          <w:rFonts w:hint="eastAsia" w:ascii="Calibri" w:hAnsi="Calibri" w:cs="Times New Roman"/>
          <w:color w:val="auto"/>
          <w:kern w:val="2"/>
          <w:sz w:val="24"/>
          <w:szCs w:val="28"/>
          <w:highlight w:val="none"/>
        </w:rPr>
        <w:t>：</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 xml:space="preserve"> 手机号码：</w:t>
      </w:r>
      <w:r>
        <w:rPr>
          <w:rFonts w:hint="eastAsia" w:ascii="Calibri" w:hAnsi="Calibri" w:cs="Times New Roman"/>
          <w:color w:val="auto"/>
          <w:kern w:val="2"/>
          <w:sz w:val="24"/>
          <w:szCs w:val="28"/>
          <w:highlight w:val="none"/>
          <w:u w:val="single"/>
        </w:rPr>
        <w:t xml:space="preserve">             </w:t>
      </w:r>
    </w:p>
    <w:p w14:paraId="2C81E795">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 xml:space="preserve">系  </w:t>
      </w:r>
      <w:r>
        <w:rPr>
          <w:rFonts w:hint="eastAsia" w:ascii="Calibri" w:hAnsi="Calibri" w:cs="Times New Roman"/>
          <w:color w:val="auto"/>
          <w:kern w:val="2"/>
          <w:sz w:val="24"/>
          <w:szCs w:val="28"/>
          <w:highlight w:val="none"/>
          <w:u w:val="single"/>
        </w:rPr>
        <w:t xml:space="preserve">   （供应商单位名称）       </w:t>
      </w:r>
      <w:r>
        <w:rPr>
          <w:rFonts w:hint="eastAsia" w:ascii="Calibri" w:hAnsi="Calibri" w:cs="Times New Roman"/>
          <w:color w:val="auto"/>
          <w:kern w:val="2"/>
          <w:sz w:val="24"/>
          <w:szCs w:val="28"/>
          <w:highlight w:val="none"/>
        </w:rPr>
        <w:t>的法定代表人。</w:t>
      </w:r>
    </w:p>
    <w:p w14:paraId="67D68BDF">
      <w:pPr>
        <w:spacing w:before="62" w:beforeLines="20" w:after="62" w:afterLines="20" w:line="540" w:lineRule="exact"/>
        <w:ind w:firstLine="610"/>
        <w:rPr>
          <w:rFonts w:ascii="@仿宋_GB2312" w:hAnsi="Calibri" w:eastAsia="@仿宋_GB2312" w:cs="宋体"/>
          <w:color w:val="auto"/>
          <w:kern w:val="2"/>
          <w:sz w:val="24"/>
          <w:szCs w:val="24"/>
          <w:highlight w:val="none"/>
        </w:rPr>
      </w:pPr>
    </w:p>
    <w:p w14:paraId="57420E2A">
      <w:pPr>
        <w:spacing w:before="62" w:beforeLines="20" w:after="62" w:afterLines="20" w:line="540" w:lineRule="exact"/>
        <w:ind w:left="400" w:leftChars="200" w:firstLine="240" w:firstLineChars="1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特此证明。</w:t>
      </w:r>
    </w:p>
    <w:p w14:paraId="0CCFEA65">
      <w:pPr>
        <w:tabs>
          <w:tab w:val="left" w:pos="720"/>
          <w:tab w:val="left" w:pos="900"/>
        </w:tabs>
        <w:spacing w:before="62" w:beforeLines="20" w:after="62" w:afterLines="20" w:line="540" w:lineRule="exact"/>
        <w:ind w:firstLine="480" w:firstLineChars="2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附：法定代表人身份证扫描件</w:t>
      </w:r>
    </w:p>
    <w:p w14:paraId="612AD535">
      <w:pPr>
        <w:tabs>
          <w:tab w:val="left" w:pos="720"/>
          <w:tab w:val="left" w:pos="900"/>
        </w:tabs>
        <w:spacing w:before="62" w:beforeLines="20" w:after="62" w:afterLines="20" w:line="540" w:lineRule="exact"/>
        <w:ind w:firstLine="480" w:firstLineChars="200"/>
        <w:rPr>
          <w:rFonts w:ascii="@仿宋_GB2312" w:hAnsi="Calibri" w:eastAsia="@仿宋_GB2312" w:cs="宋体"/>
          <w:color w:val="auto"/>
          <w:kern w:val="2"/>
          <w:sz w:val="24"/>
          <w:szCs w:val="24"/>
          <w:highlight w:val="none"/>
        </w:rPr>
      </w:pPr>
    </w:p>
    <w:p w14:paraId="05FC8A9F">
      <w:pPr>
        <w:tabs>
          <w:tab w:val="left" w:pos="720"/>
          <w:tab w:val="left" w:pos="900"/>
        </w:tabs>
        <w:spacing w:before="62" w:beforeLines="20" w:after="62" w:afterLines="20" w:line="540" w:lineRule="exact"/>
        <w:ind w:firstLine="4560" w:firstLineChars="1900"/>
        <w:rPr>
          <w:rFonts w:ascii="@仿宋_GB2312" w:hAnsi="Calibri" w:eastAsia="@仿宋_GB2312" w:cs="宋体"/>
          <w:color w:val="auto"/>
          <w:kern w:val="2"/>
          <w:sz w:val="24"/>
          <w:szCs w:val="24"/>
          <w:highlight w:val="none"/>
        </w:rPr>
      </w:pPr>
    </w:p>
    <w:p w14:paraId="420C0313">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供应商电子签章：</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702C256F">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日</w:t>
      </w:r>
      <w:r>
        <w:rPr>
          <w:rFonts w:cs="宋体"/>
          <w:color w:val="auto"/>
          <w:kern w:val="2"/>
          <w:sz w:val="24"/>
          <w:szCs w:val="24"/>
          <w:highlight w:val="none"/>
        </w:rPr>
        <w:t xml:space="preserve">   </w:t>
      </w:r>
      <w:r>
        <w:rPr>
          <w:rFonts w:hint="eastAsia" w:cs="宋体"/>
          <w:color w:val="auto"/>
          <w:kern w:val="2"/>
          <w:sz w:val="24"/>
          <w:szCs w:val="24"/>
          <w:highlight w:val="none"/>
        </w:rPr>
        <w:t xml:space="preserve">    </w:t>
      </w:r>
      <w:r>
        <w:rPr>
          <w:rFonts w:cs="宋体"/>
          <w:color w:val="auto"/>
          <w:kern w:val="2"/>
          <w:sz w:val="24"/>
          <w:szCs w:val="24"/>
          <w:highlight w:val="none"/>
        </w:rPr>
        <w:t xml:space="preserve">   </w:t>
      </w:r>
      <w:r>
        <w:rPr>
          <w:rFonts w:hint="eastAsia" w:cs="宋体"/>
          <w:color w:val="auto"/>
          <w:kern w:val="2"/>
          <w:sz w:val="24"/>
          <w:szCs w:val="24"/>
          <w:highlight w:val="none"/>
        </w:rPr>
        <w:t>期：</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0E8485A4">
      <w:pPr>
        <w:widowControl/>
        <w:jc w:val="left"/>
        <w:rPr>
          <w:rFonts w:cs="@仿宋_GB2312" w:asciiTheme="minorEastAsia" w:hAnsiTheme="minorEastAsia" w:eastAsiaTheme="minorEastAsia"/>
          <w:b/>
          <w:bCs/>
          <w:color w:val="auto"/>
          <w:kern w:val="2"/>
          <w:sz w:val="24"/>
          <w:szCs w:val="24"/>
          <w:highlight w:val="none"/>
        </w:rPr>
      </w:pPr>
      <w:r>
        <w:rPr>
          <w:rFonts w:cs="@仿宋_GB2312" w:asciiTheme="minorEastAsia" w:hAnsiTheme="minorEastAsia" w:eastAsiaTheme="minorEastAsia"/>
          <w:color w:val="auto"/>
          <w:kern w:val="2"/>
          <w:sz w:val="24"/>
          <w:szCs w:val="24"/>
          <w:highlight w:val="none"/>
        </w:rPr>
        <w:br w:type="page"/>
      </w:r>
    </w:p>
    <w:p w14:paraId="0F1CA277">
      <w:pPr>
        <w:keepNext/>
        <w:keepLines/>
        <w:spacing w:before="260" w:after="260" w:line="416" w:lineRule="auto"/>
        <w:jc w:val="center"/>
        <w:outlineLvl w:val="1"/>
        <w:rPr>
          <w:rFonts w:hint="eastAsia" w:cs="@仿宋_GB2312" w:asciiTheme="minorEastAsia" w:hAnsiTheme="minorEastAsia" w:eastAsiaTheme="minorEastAsia"/>
          <w:b/>
          <w:bCs/>
          <w:color w:val="auto"/>
          <w:kern w:val="2"/>
          <w:sz w:val="24"/>
          <w:szCs w:val="24"/>
          <w:highlight w:val="none"/>
        </w:rPr>
      </w:pPr>
      <w:bookmarkStart w:id="668" w:name="_Toc32663"/>
      <w:bookmarkStart w:id="669" w:name="_Toc4373"/>
      <w:bookmarkStart w:id="670" w:name="_Toc20565"/>
      <w:r>
        <w:rPr>
          <w:rFonts w:hint="eastAsia" w:cs="@仿宋_GB2312" w:asciiTheme="minorEastAsia" w:hAnsiTheme="minorEastAsia" w:eastAsiaTheme="minorEastAsia"/>
          <w:b/>
          <w:bCs/>
          <w:color w:val="auto"/>
          <w:kern w:val="2"/>
          <w:sz w:val="24"/>
          <w:szCs w:val="24"/>
          <w:highlight w:val="none"/>
          <w:lang w:val="en-US" w:eastAsia="zh-CN"/>
        </w:rPr>
        <w:t>八</w:t>
      </w:r>
      <w:r>
        <w:rPr>
          <w:rFonts w:hint="eastAsia" w:cs="@仿宋_GB2312" w:asciiTheme="minorEastAsia" w:hAnsiTheme="minorEastAsia" w:eastAsiaTheme="minorEastAsia"/>
          <w:b/>
          <w:bCs/>
          <w:color w:val="auto"/>
          <w:kern w:val="2"/>
          <w:sz w:val="24"/>
          <w:szCs w:val="24"/>
          <w:highlight w:val="none"/>
        </w:rPr>
        <w:t>、项目经理承诺书</w:t>
      </w:r>
      <w:bookmarkEnd w:id="668"/>
      <w:bookmarkEnd w:id="669"/>
      <w:bookmarkEnd w:id="670"/>
    </w:p>
    <w:p w14:paraId="2EFC6EBC">
      <w:pPr>
        <w:spacing w:line="360" w:lineRule="auto"/>
        <w:rPr>
          <w:rFonts w:hint="eastAsia" w:cs="宋体" w:asciiTheme="minorEastAsia" w:hAnsiTheme="minorEastAsia" w:eastAsiaTheme="minorEastAsia"/>
          <w:color w:val="auto"/>
          <w:kern w:val="2"/>
          <w:sz w:val="24"/>
          <w:szCs w:val="24"/>
          <w:highlight w:val="none"/>
          <w:lang w:eastAsia="zh-CN"/>
        </w:rPr>
      </w:pPr>
      <w:r>
        <w:rPr>
          <w:rFonts w:hint="eastAsia" w:cs="宋体" w:asciiTheme="minorEastAsia" w:hAnsiTheme="minorEastAsia" w:eastAsiaTheme="minorEastAsia"/>
          <w:b/>
          <w:color w:val="auto"/>
          <w:kern w:val="2"/>
          <w:sz w:val="24"/>
          <w:szCs w:val="24"/>
          <w:highlight w:val="none"/>
        </w:rPr>
        <w:t>致：</w:t>
      </w:r>
      <w:r>
        <w:rPr>
          <w:rFonts w:hint="eastAsia" w:cs="宋体" w:asciiTheme="minorEastAsia" w:hAnsiTheme="minorEastAsia" w:eastAsiaTheme="minorEastAsia"/>
          <w:b/>
          <w:color w:val="auto"/>
          <w:kern w:val="2"/>
          <w:sz w:val="24"/>
          <w:szCs w:val="24"/>
          <w:highlight w:val="none"/>
          <w:u w:val="none"/>
          <w:lang w:eastAsia="zh-CN"/>
        </w:rPr>
        <w:t>采购人</w:t>
      </w:r>
    </w:p>
    <w:p w14:paraId="1B0C8B62">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本人作为我单位在本项目</w:t>
      </w:r>
      <w:r>
        <w:rPr>
          <w:rFonts w:hint="eastAsia" w:cs="宋体"/>
          <w:color w:val="auto"/>
          <w:kern w:val="2"/>
          <w:sz w:val="24"/>
          <w:szCs w:val="24"/>
          <w:highlight w:val="none"/>
          <w:lang w:eastAsia="zh-CN"/>
        </w:rPr>
        <w:t>谈判</w:t>
      </w:r>
      <w:r>
        <w:rPr>
          <w:rFonts w:hint="eastAsia" w:cs="宋体"/>
          <w:color w:val="auto"/>
          <w:kern w:val="2"/>
          <w:sz w:val="24"/>
          <w:szCs w:val="24"/>
          <w:highlight w:val="none"/>
        </w:rPr>
        <w:t>担任的项目经理，郑重承诺：</w:t>
      </w:r>
    </w:p>
    <w:p w14:paraId="43BF4718">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一、本项目提供的项目经理业绩已经本人核实，工程实施过程中项目经理确为本人，合同（或竣工相关资料证明）的本人签字均为该工程实施时段所签，真实无误，不存在虚假和挂靠现象，也不存在为</w:t>
      </w:r>
      <w:r>
        <w:rPr>
          <w:rFonts w:hint="eastAsia" w:cs="宋体"/>
          <w:color w:val="auto"/>
          <w:kern w:val="2"/>
          <w:sz w:val="24"/>
          <w:szCs w:val="24"/>
          <w:highlight w:val="none"/>
          <w:lang w:eastAsia="zh-CN"/>
        </w:rPr>
        <w:t>谈判</w:t>
      </w:r>
      <w:r>
        <w:rPr>
          <w:rFonts w:hint="eastAsia" w:cs="宋体"/>
          <w:color w:val="auto"/>
          <w:kern w:val="2"/>
          <w:sz w:val="24"/>
          <w:szCs w:val="24"/>
          <w:highlight w:val="none"/>
        </w:rPr>
        <w:t>而造假的行为。</w:t>
      </w:r>
    </w:p>
    <w:p w14:paraId="3F0AEFD4">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lang w:val="en-US" w:eastAsia="zh-CN"/>
        </w:rPr>
        <w:t>二</w:t>
      </w:r>
      <w:r>
        <w:rPr>
          <w:rFonts w:hint="eastAsia" w:cs="宋体"/>
          <w:color w:val="auto"/>
          <w:kern w:val="2"/>
          <w:sz w:val="24"/>
          <w:szCs w:val="24"/>
          <w:highlight w:val="none"/>
        </w:rPr>
        <w:t>、本人承诺，一旦成交，将严格按照</w:t>
      </w:r>
      <w:r>
        <w:rPr>
          <w:rFonts w:hint="eastAsia" w:cs="宋体"/>
          <w:color w:val="auto"/>
          <w:kern w:val="2"/>
          <w:sz w:val="24"/>
          <w:szCs w:val="24"/>
          <w:highlight w:val="none"/>
          <w:lang w:val="en-US" w:eastAsia="zh-CN"/>
        </w:rPr>
        <w:t>谈判</w:t>
      </w:r>
      <w:r>
        <w:rPr>
          <w:rFonts w:hint="eastAsia" w:cs="宋体"/>
          <w:color w:val="auto"/>
          <w:kern w:val="2"/>
          <w:sz w:val="24"/>
          <w:szCs w:val="24"/>
          <w:highlight w:val="none"/>
        </w:rPr>
        <w:t>文件规定履约。</w:t>
      </w:r>
    </w:p>
    <w:p w14:paraId="55FEC2AC">
      <w:pPr>
        <w:spacing w:line="360" w:lineRule="auto"/>
        <w:ind w:firstLine="480" w:firstLineChars="200"/>
        <w:rPr>
          <w:rFonts w:hint="eastAsia" w:cs="宋体"/>
          <w:color w:val="auto"/>
          <w:kern w:val="2"/>
          <w:sz w:val="24"/>
          <w:szCs w:val="24"/>
          <w:highlight w:val="none"/>
        </w:rPr>
      </w:pPr>
      <w:r>
        <w:rPr>
          <w:rFonts w:hint="eastAsia" w:cs="宋体"/>
          <w:color w:val="auto"/>
          <w:kern w:val="2"/>
          <w:sz w:val="24"/>
          <w:szCs w:val="24"/>
          <w:highlight w:val="none"/>
          <w:lang w:val="en-US" w:eastAsia="zh-CN"/>
        </w:rPr>
        <w:t>三</w:t>
      </w:r>
      <w:r>
        <w:rPr>
          <w:rFonts w:hint="eastAsia" w:cs="宋体"/>
          <w:color w:val="auto"/>
          <w:kern w:val="2"/>
          <w:sz w:val="24"/>
          <w:szCs w:val="24"/>
          <w:highlight w:val="none"/>
        </w:rPr>
        <w:t>、本人声明，对以上承诺，一旦发现虚假现象，本人愿意承担相应法律责任，并随时无条件配合监管部门调查取证。</w:t>
      </w:r>
    </w:p>
    <w:p w14:paraId="2DCE1475">
      <w:pPr>
        <w:spacing w:line="360" w:lineRule="auto"/>
        <w:ind w:firstLine="480" w:firstLineChars="200"/>
        <w:rPr>
          <w:rFonts w:hint="eastAsia" w:cs="宋体"/>
          <w:color w:val="auto"/>
          <w:kern w:val="2"/>
          <w:sz w:val="24"/>
          <w:szCs w:val="24"/>
          <w:highlight w:val="none"/>
          <w:lang w:val="en-US" w:eastAsia="zh-CN"/>
        </w:rPr>
      </w:pPr>
      <w:r>
        <w:rPr>
          <w:rFonts w:hint="eastAsia" w:cs="宋体"/>
          <w:color w:val="auto"/>
          <w:kern w:val="2"/>
          <w:sz w:val="24"/>
          <w:szCs w:val="24"/>
          <w:highlight w:val="none"/>
          <w:lang w:val="en-US" w:eastAsia="zh-CN"/>
        </w:rPr>
        <w:t>四、</w:t>
      </w:r>
      <w:r>
        <w:rPr>
          <w:rFonts w:hint="eastAsia" w:cs="宋体"/>
          <w:color w:val="auto"/>
          <w:kern w:val="2"/>
          <w:sz w:val="24"/>
          <w:szCs w:val="24"/>
          <w:highlight w:val="none"/>
          <w:u w:val="single"/>
        </w:rPr>
        <w:t xml:space="preserve">                   </w:t>
      </w:r>
    </w:p>
    <w:p w14:paraId="4B6C78F3">
      <w:pPr>
        <w:spacing w:line="360" w:lineRule="auto"/>
        <w:ind w:firstLine="480" w:firstLineChars="200"/>
        <w:rPr>
          <w:rFonts w:cs="宋体"/>
          <w:color w:val="auto"/>
          <w:kern w:val="2"/>
          <w:sz w:val="24"/>
          <w:szCs w:val="24"/>
          <w:highlight w:val="none"/>
        </w:rPr>
      </w:pPr>
    </w:p>
    <w:p w14:paraId="6C937A4F">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项目经理签字：</w:t>
      </w:r>
      <w:r>
        <w:rPr>
          <w:rFonts w:hint="eastAsia" w:cs="宋体"/>
          <w:color w:val="auto"/>
          <w:kern w:val="2"/>
          <w:sz w:val="24"/>
          <w:szCs w:val="24"/>
          <w:highlight w:val="none"/>
          <w:u w:val="single"/>
        </w:rPr>
        <w:t xml:space="preserve">                   </w:t>
      </w:r>
    </w:p>
    <w:p w14:paraId="0B752AAA">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身份证号：</w:t>
      </w:r>
      <w:r>
        <w:rPr>
          <w:rFonts w:hint="eastAsia" w:cs="宋体"/>
          <w:color w:val="auto"/>
          <w:kern w:val="2"/>
          <w:sz w:val="24"/>
          <w:szCs w:val="24"/>
          <w:highlight w:val="none"/>
          <w:u w:val="single"/>
        </w:rPr>
        <w:t xml:space="preserve">                       </w:t>
      </w:r>
    </w:p>
    <w:p w14:paraId="5539A262">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日    期：</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p>
    <w:p w14:paraId="3CC652B0">
      <w:pPr>
        <w:spacing w:line="360" w:lineRule="auto"/>
        <w:ind w:firstLine="480" w:firstLineChars="200"/>
        <w:rPr>
          <w:rFonts w:cs="宋体"/>
          <w:color w:val="auto"/>
          <w:kern w:val="2"/>
          <w:sz w:val="24"/>
          <w:szCs w:val="24"/>
          <w:highlight w:val="none"/>
        </w:rPr>
      </w:pPr>
    </w:p>
    <w:p w14:paraId="255FB3E0">
      <w:pPr>
        <w:spacing w:line="360" w:lineRule="auto"/>
        <w:ind w:firstLine="480" w:firstLineChars="200"/>
        <w:rPr>
          <w:rFonts w:cs="宋体" w:asciiTheme="minorEastAsia" w:hAnsiTheme="minorEastAsia" w:eastAsiaTheme="minorEastAsia"/>
          <w:color w:val="auto"/>
          <w:kern w:val="2"/>
          <w:sz w:val="24"/>
          <w:szCs w:val="24"/>
          <w:highlight w:val="none"/>
        </w:rPr>
      </w:pPr>
      <w:r>
        <w:rPr>
          <w:rFonts w:hint="eastAsia" w:cs="宋体"/>
          <w:color w:val="auto"/>
          <w:kern w:val="2"/>
          <w:sz w:val="24"/>
          <w:szCs w:val="24"/>
          <w:highlight w:val="none"/>
        </w:rPr>
        <w:t>注：本页后附项目经理身份证明扫描件。</w:t>
      </w:r>
    </w:p>
    <w:p w14:paraId="550079B0">
      <w:pPr>
        <w:spacing w:line="360" w:lineRule="auto"/>
        <w:ind w:firstLine="4200" w:firstLineChars="1750"/>
        <w:rPr>
          <w:rFonts w:ascii="@仿宋_GB2312" w:eastAsia="@仿宋_GB2312" w:cs="宋体"/>
          <w:color w:val="auto"/>
          <w:kern w:val="2"/>
          <w:sz w:val="24"/>
          <w:szCs w:val="24"/>
          <w:highlight w:val="none"/>
          <w:lang w:val="zh-CN"/>
        </w:rPr>
      </w:pPr>
      <w:r>
        <w:rPr>
          <w:rFonts w:hint="eastAsia" w:ascii="@仿宋_GB2312" w:cs="@仿宋_GB2312"/>
          <w:color w:val="auto"/>
          <w:kern w:val="2"/>
          <w:sz w:val="24"/>
          <w:szCs w:val="28"/>
          <w:highlight w:val="none"/>
        </w:rPr>
        <w:br w:type="page"/>
      </w:r>
    </w:p>
    <w:p w14:paraId="7E334660">
      <w:pPr>
        <w:widowControl/>
        <w:jc w:val="left"/>
        <w:rPr>
          <w:rFonts w:asciiTheme="minorEastAsia" w:hAnsiTheme="minorEastAsia" w:eastAsiaTheme="minorEastAsia"/>
          <w:b/>
          <w:color w:val="auto"/>
          <w:sz w:val="24"/>
          <w:highlight w:val="none"/>
        </w:rPr>
      </w:pPr>
    </w:p>
    <w:p w14:paraId="2135B97B">
      <w:pPr>
        <w:spacing w:line="360" w:lineRule="auto"/>
        <w:jc w:val="center"/>
        <w:outlineLvl w:val="1"/>
        <w:rPr>
          <w:rFonts w:asciiTheme="minorEastAsia" w:hAnsiTheme="minorEastAsia" w:eastAsiaTheme="minorEastAsia"/>
          <w:b/>
          <w:color w:val="auto"/>
          <w:sz w:val="24"/>
          <w:highlight w:val="none"/>
        </w:rPr>
      </w:pPr>
      <w:bookmarkStart w:id="671" w:name="_Toc30344"/>
      <w:bookmarkStart w:id="672" w:name="_Toc30935"/>
      <w:bookmarkStart w:id="673" w:name="_Toc11925"/>
      <w:r>
        <w:rPr>
          <w:rFonts w:hint="eastAsia" w:asciiTheme="minorEastAsia" w:hAnsiTheme="minorEastAsia" w:eastAsiaTheme="minorEastAsia"/>
          <w:b/>
          <w:color w:val="auto"/>
          <w:sz w:val="24"/>
          <w:highlight w:val="none"/>
          <w:lang w:val="en-US" w:eastAsia="zh-CN"/>
        </w:rPr>
        <w:t>九</w:t>
      </w:r>
      <w:r>
        <w:rPr>
          <w:rFonts w:hint="eastAsia" w:asciiTheme="minorEastAsia" w:hAnsiTheme="minorEastAsia" w:eastAsiaTheme="minorEastAsia"/>
          <w:b/>
          <w:color w:val="auto"/>
          <w:sz w:val="24"/>
          <w:highlight w:val="none"/>
        </w:rPr>
        <w:t>、中小企业声明函</w:t>
      </w:r>
      <w:bookmarkEnd w:id="671"/>
      <w:bookmarkEnd w:id="672"/>
      <w:bookmarkEnd w:id="673"/>
    </w:p>
    <w:p w14:paraId="43D9FFD1">
      <w:pPr>
        <w:rPr>
          <w:rFonts w:asciiTheme="minorEastAsia" w:hAnsiTheme="minorEastAsia" w:eastAsiaTheme="minorEastAsia"/>
          <w:color w:val="auto"/>
          <w:sz w:val="24"/>
          <w:szCs w:val="24"/>
          <w:highlight w:val="none"/>
        </w:rPr>
      </w:pPr>
    </w:p>
    <w:p w14:paraId="2AF55EED">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本公司（联合体）郑重声明，根据《政府采购促进中小企业发展管理办法》（财库﹝2020﹞46号）的规定，本公司（联合体）参加</w:t>
      </w:r>
      <w:r>
        <w:rPr>
          <w:rFonts w:hint="eastAsia" w:cs="@仿宋_GB2312"/>
          <w:color w:val="auto"/>
          <w:kern w:val="2"/>
          <w:sz w:val="24"/>
          <w:szCs w:val="24"/>
          <w:highlight w:val="none"/>
          <w:u w:val="single"/>
          <w:lang w:val="zh-CN"/>
        </w:rPr>
        <w:t>（单位</w:t>
      </w:r>
      <w:r>
        <w:rPr>
          <w:rFonts w:hint="eastAsia" w:cs="@仿宋_GB2312"/>
          <w:color w:val="auto"/>
          <w:kern w:val="2"/>
          <w:sz w:val="24"/>
          <w:szCs w:val="24"/>
          <w:highlight w:val="none"/>
          <w:u w:val="single"/>
          <w:lang w:val="en-US" w:eastAsia="zh-CN"/>
        </w:rPr>
        <w:t>名称</w:t>
      </w:r>
      <w:r>
        <w:rPr>
          <w:rFonts w:hint="eastAsia" w:cs="@仿宋_GB2312"/>
          <w:color w:val="auto"/>
          <w:kern w:val="2"/>
          <w:sz w:val="24"/>
          <w:szCs w:val="24"/>
          <w:highlight w:val="none"/>
          <w:u w:val="single"/>
          <w:lang w:val="zh-CN"/>
        </w:rPr>
        <w:t>）</w:t>
      </w:r>
      <w:r>
        <w:rPr>
          <w:rFonts w:hint="eastAsia" w:cs="@仿宋_GB2312"/>
          <w:color w:val="auto"/>
          <w:kern w:val="2"/>
          <w:sz w:val="24"/>
          <w:szCs w:val="24"/>
          <w:highlight w:val="none"/>
          <w:lang w:val="zh-CN"/>
        </w:rPr>
        <w:t>的</w:t>
      </w:r>
      <w:r>
        <w:rPr>
          <w:rFonts w:hint="eastAsia" w:cs="@仿宋_GB2312"/>
          <w:color w:val="auto"/>
          <w:kern w:val="2"/>
          <w:sz w:val="24"/>
          <w:szCs w:val="24"/>
          <w:highlight w:val="none"/>
          <w:u w:val="single"/>
          <w:lang w:val="zh-CN"/>
        </w:rPr>
        <w:t>（项目</w:t>
      </w:r>
      <w:r>
        <w:rPr>
          <w:rFonts w:hint="eastAsia" w:cs="@仿宋_GB2312"/>
          <w:color w:val="auto"/>
          <w:kern w:val="2"/>
          <w:sz w:val="24"/>
          <w:szCs w:val="24"/>
          <w:highlight w:val="none"/>
          <w:u w:val="single"/>
          <w:lang w:val="en-US" w:eastAsia="zh-CN"/>
        </w:rPr>
        <w:t>名称</w:t>
      </w:r>
      <w:r>
        <w:rPr>
          <w:rFonts w:hint="eastAsia" w:cs="@仿宋_GB2312"/>
          <w:color w:val="auto"/>
          <w:kern w:val="2"/>
          <w:sz w:val="24"/>
          <w:szCs w:val="24"/>
          <w:highlight w:val="none"/>
          <w:u w:val="single"/>
          <w:lang w:val="zh-CN"/>
        </w:rPr>
        <w:t>）</w:t>
      </w:r>
      <w:r>
        <w:rPr>
          <w:rFonts w:hint="eastAsia" w:cs="@仿宋_GB2312"/>
          <w:color w:val="auto"/>
          <w:kern w:val="2"/>
          <w:sz w:val="24"/>
          <w:szCs w:val="24"/>
          <w:highlight w:val="none"/>
          <w:lang w:val="zh-CN"/>
        </w:rPr>
        <w:t xml:space="preserve">采购活动，工程的施工单位全部为符合政策要求的中小企业。相关企业（含联合体中的中小企业、签订分包意向协议的中小企业）的具体情况如下： </w:t>
      </w:r>
    </w:p>
    <w:p w14:paraId="2471E1FA">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1.</w:t>
      </w:r>
      <w:r>
        <w:rPr>
          <w:rFonts w:hint="eastAsia" w:cs="@仿宋_GB2312"/>
          <w:color w:val="auto"/>
          <w:kern w:val="2"/>
          <w:sz w:val="24"/>
          <w:szCs w:val="24"/>
          <w:highlight w:val="none"/>
          <w:u w:val="single"/>
          <w:lang w:val="zh-CN"/>
        </w:rPr>
        <w:t xml:space="preserve"> （标的名称） </w:t>
      </w:r>
      <w:r>
        <w:rPr>
          <w:rFonts w:hint="eastAsia" w:cs="@仿宋_GB2312"/>
          <w:color w:val="auto"/>
          <w:kern w:val="2"/>
          <w:sz w:val="24"/>
          <w:szCs w:val="24"/>
          <w:highlight w:val="none"/>
          <w:lang w:val="zh-CN"/>
        </w:rPr>
        <w:t>，属于</w:t>
      </w:r>
      <w:r>
        <w:rPr>
          <w:rFonts w:hint="eastAsia" w:cs="@仿宋_GB2312"/>
          <w:color w:val="auto"/>
          <w:kern w:val="2"/>
          <w:sz w:val="24"/>
          <w:szCs w:val="24"/>
          <w:highlight w:val="none"/>
          <w:u w:val="single"/>
          <w:lang w:val="zh-CN"/>
        </w:rPr>
        <w:t>（采购文件中明确的所属行业）</w:t>
      </w:r>
      <w:r>
        <w:rPr>
          <w:rFonts w:hint="eastAsia"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zh-CN"/>
        </w:rPr>
        <w:t>（企业名称）</w:t>
      </w:r>
      <w:r>
        <w:rPr>
          <w:rFonts w:hint="eastAsia" w:cs="@仿宋_GB2312"/>
          <w:color w:val="auto"/>
          <w:kern w:val="2"/>
          <w:sz w:val="24"/>
          <w:szCs w:val="24"/>
          <w:highlight w:val="none"/>
          <w:lang w:val="zh-CN"/>
        </w:rPr>
        <w:t>，从业人员</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人，营业收入为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万元，资产总额为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万元，属于</w:t>
      </w:r>
      <w:r>
        <w:rPr>
          <w:rFonts w:hint="eastAsia" w:cs="@仿宋_GB2312"/>
          <w:color w:val="auto"/>
          <w:kern w:val="2"/>
          <w:sz w:val="24"/>
          <w:szCs w:val="24"/>
          <w:highlight w:val="none"/>
          <w:u w:val="single"/>
          <w:lang w:val="zh-CN"/>
        </w:rPr>
        <w:t>（中型企业、小型企业、微型企业）</w:t>
      </w:r>
      <w:r>
        <w:rPr>
          <w:rFonts w:hint="eastAsia" w:cs="@仿宋_GB2312"/>
          <w:color w:val="auto"/>
          <w:kern w:val="2"/>
          <w:sz w:val="24"/>
          <w:szCs w:val="24"/>
          <w:highlight w:val="none"/>
          <w:lang w:val="zh-CN"/>
        </w:rPr>
        <w:t xml:space="preserve">； </w:t>
      </w:r>
    </w:p>
    <w:p w14:paraId="0C22DD2F">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2.</w:t>
      </w:r>
      <w:r>
        <w:rPr>
          <w:rFonts w:hint="eastAsia" w:cs="@仿宋_GB2312"/>
          <w:color w:val="auto"/>
          <w:kern w:val="2"/>
          <w:sz w:val="24"/>
          <w:szCs w:val="24"/>
          <w:highlight w:val="none"/>
          <w:u w:val="single"/>
          <w:lang w:val="zh-CN"/>
        </w:rPr>
        <w:t xml:space="preserve"> （标的名称） </w:t>
      </w:r>
      <w:r>
        <w:rPr>
          <w:rFonts w:hint="eastAsia" w:cs="@仿宋_GB2312"/>
          <w:color w:val="auto"/>
          <w:kern w:val="2"/>
          <w:sz w:val="24"/>
          <w:szCs w:val="24"/>
          <w:highlight w:val="none"/>
          <w:lang w:val="zh-CN"/>
        </w:rPr>
        <w:t>，属于</w:t>
      </w:r>
      <w:r>
        <w:rPr>
          <w:rFonts w:hint="eastAsia" w:cs="@仿宋_GB2312"/>
          <w:color w:val="auto"/>
          <w:kern w:val="2"/>
          <w:sz w:val="24"/>
          <w:szCs w:val="24"/>
          <w:highlight w:val="none"/>
          <w:u w:val="single"/>
          <w:lang w:val="zh-CN"/>
        </w:rPr>
        <w:t>（采购文件中明确的所属行业）</w:t>
      </w:r>
      <w:r>
        <w:rPr>
          <w:rFonts w:hint="eastAsia"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zh-CN"/>
        </w:rPr>
        <w:t>（企业名称）</w:t>
      </w:r>
      <w:r>
        <w:rPr>
          <w:rFonts w:hint="eastAsia" w:cs="@仿宋_GB2312"/>
          <w:color w:val="auto"/>
          <w:kern w:val="2"/>
          <w:sz w:val="24"/>
          <w:szCs w:val="24"/>
          <w:highlight w:val="none"/>
          <w:lang w:val="zh-CN"/>
        </w:rPr>
        <w:t>，从业人员</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人，营业收入为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万元，资产总额为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万元，属于</w:t>
      </w:r>
      <w:r>
        <w:rPr>
          <w:rFonts w:hint="eastAsia" w:cs="@仿宋_GB2312"/>
          <w:color w:val="auto"/>
          <w:kern w:val="2"/>
          <w:sz w:val="24"/>
          <w:szCs w:val="24"/>
          <w:highlight w:val="none"/>
          <w:u w:val="single"/>
          <w:lang w:val="zh-CN"/>
        </w:rPr>
        <w:t>（中型企业、小型企业、微型企业）</w:t>
      </w:r>
      <w:r>
        <w:rPr>
          <w:rFonts w:hint="eastAsia" w:cs="@仿宋_GB2312"/>
          <w:color w:val="auto"/>
          <w:kern w:val="2"/>
          <w:sz w:val="24"/>
          <w:szCs w:val="24"/>
          <w:highlight w:val="none"/>
          <w:lang w:val="zh-CN"/>
        </w:rPr>
        <w:t xml:space="preserve">； </w:t>
      </w:r>
    </w:p>
    <w:p w14:paraId="5B934269">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w:t>
      </w:r>
    </w:p>
    <w:p w14:paraId="76A0C3CA">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以上企业，不属于大企业的分支机构，不存在控股股东为大企业的情形，也不存在与大企业的负责人为同一人的情形。</w:t>
      </w:r>
    </w:p>
    <w:p w14:paraId="36472B7D">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 xml:space="preserve">本企业对上述声明内容的真实性负责。如有虚假，将依法承担相应责任。 </w:t>
      </w:r>
    </w:p>
    <w:p w14:paraId="3968876E">
      <w:pPr>
        <w:spacing w:line="360" w:lineRule="auto"/>
        <w:ind w:firstLine="435"/>
        <w:rPr>
          <w:rFonts w:cs="@仿宋_GB2312" w:asciiTheme="minorEastAsia" w:hAnsiTheme="minorEastAsia" w:eastAsiaTheme="minorEastAsia"/>
          <w:color w:val="auto"/>
          <w:kern w:val="2"/>
          <w:sz w:val="24"/>
          <w:szCs w:val="24"/>
          <w:highlight w:val="none"/>
        </w:rPr>
      </w:pPr>
    </w:p>
    <w:p w14:paraId="11CA3A0A">
      <w:pPr>
        <w:spacing w:line="360" w:lineRule="auto"/>
        <w:ind w:firstLine="435"/>
        <w:rPr>
          <w:rFonts w:cs="@仿宋_GB2312" w:asciiTheme="minorEastAsia" w:hAnsiTheme="minorEastAsia" w:eastAsiaTheme="minorEastAsia"/>
          <w:color w:val="auto"/>
          <w:kern w:val="2"/>
          <w:sz w:val="24"/>
          <w:szCs w:val="24"/>
          <w:highlight w:val="none"/>
        </w:rPr>
      </w:pPr>
    </w:p>
    <w:p w14:paraId="2125B26E">
      <w:pPr>
        <w:spacing w:line="360" w:lineRule="auto"/>
        <w:ind w:firstLine="4228" w:firstLineChars="1762"/>
        <w:rPr>
          <w:rFonts w:cs="@仿宋_GB2312" w:asciiTheme="minorEastAsia" w:hAnsiTheme="minorEastAsia" w:eastAsiaTheme="minorEastAsia"/>
          <w:color w:val="auto"/>
          <w:kern w:val="2"/>
          <w:sz w:val="24"/>
          <w:szCs w:val="24"/>
          <w:highlight w:val="none"/>
          <w:u w:val="single"/>
        </w:rPr>
      </w:pPr>
      <w:r>
        <w:rPr>
          <w:rFonts w:hint="eastAsia" w:cs="@仿宋_GB2312" w:asciiTheme="minorEastAsia" w:hAnsiTheme="minorEastAsia" w:eastAsiaTheme="minorEastAsia"/>
          <w:color w:val="auto"/>
          <w:kern w:val="2"/>
          <w:sz w:val="24"/>
          <w:szCs w:val="24"/>
          <w:highlight w:val="none"/>
        </w:rPr>
        <w:t>供应商</w:t>
      </w:r>
      <w:r>
        <w:rPr>
          <w:rFonts w:cs="@仿宋_GB2312" w:asciiTheme="minorEastAsia" w:hAnsiTheme="minorEastAsia" w:eastAsiaTheme="minorEastAsia"/>
          <w:color w:val="auto"/>
          <w:kern w:val="2"/>
          <w:sz w:val="24"/>
          <w:szCs w:val="24"/>
          <w:highlight w:val="none"/>
        </w:rPr>
        <w:t>电子签章</w:t>
      </w:r>
      <w:r>
        <w:rPr>
          <w:rFonts w:hint="eastAsia" w:cs="@仿宋_GB2312" w:asciiTheme="minorEastAsia" w:hAnsiTheme="minorEastAsia" w:eastAsiaTheme="minorEastAsia"/>
          <w:color w:val="auto"/>
          <w:kern w:val="2"/>
          <w:sz w:val="24"/>
          <w:szCs w:val="24"/>
          <w:highlight w:val="none"/>
        </w:rPr>
        <w:t>：</w:t>
      </w:r>
      <w:r>
        <w:rPr>
          <w:rFonts w:cs="@仿宋_GB2312" w:asciiTheme="minorEastAsia" w:hAnsiTheme="minorEastAsia" w:eastAsiaTheme="minorEastAsia"/>
          <w:color w:val="auto"/>
          <w:kern w:val="2"/>
          <w:sz w:val="24"/>
          <w:szCs w:val="24"/>
          <w:highlight w:val="none"/>
          <w:u w:val="single"/>
        </w:rPr>
        <w:t xml:space="preserve">             </w:t>
      </w:r>
    </w:p>
    <w:p w14:paraId="3C9F19E4">
      <w:pPr>
        <w:tabs>
          <w:tab w:val="left" w:pos="4620"/>
        </w:tabs>
        <w:spacing w:line="360" w:lineRule="auto"/>
        <w:ind w:firstLine="4252" w:firstLineChars="1772"/>
        <w:rPr>
          <w:rFonts w:cs="@仿宋_GB2312" w:asciiTheme="minorEastAsia" w:hAnsiTheme="minorEastAsia" w:eastAsiaTheme="minorEastAsia"/>
          <w:color w:val="auto"/>
          <w:kern w:val="2"/>
          <w:sz w:val="24"/>
          <w:szCs w:val="24"/>
          <w:highlight w:val="none"/>
          <w:u w:val="single"/>
        </w:rPr>
      </w:pPr>
      <w:r>
        <w:rPr>
          <w:rFonts w:hint="eastAsia" w:cs="@仿宋_GB2312" w:asciiTheme="minorEastAsia" w:hAnsiTheme="minorEastAsia" w:eastAsiaTheme="minorEastAsia"/>
          <w:color w:val="auto"/>
          <w:kern w:val="2"/>
          <w:sz w:val="24"/>
          <w:szCs w:val="24"/>
          <w:highlight w:val="none"/>
        </w:rPr>
        <w:t>日</w:t>
      </w:r>
      <w:r>
        <w:rPr>
          <w:rFonts w:cs="@仿宋_GB2312" w:asciiTheme="minorEastAsia" w:hAnsiTheme="minorEastAsia" w:eastAsiaTheme="minorEastAsia"/>
          <w:color w:val="auto"/>
          <w:kern w:val="2"/>
          <w:sz w:val="24"/>
          <w:szCs w:val="24"/>
          <w:highlight w:val="none"/>
        </w:rPr>
        <w:t xml:space="preserve">      </w:t>
      </w:r>
      <w:r>
        <w:rPr>
          <w:rFonts w:hint="eastAsia" w:cs="@仿宋_GB2312" w:asciiTheme="minorEastAsia" w:hAnsiTheme="minorEastAsia" w:eastAsiaTheme="minorEastAsia"/>
          <w:color w:val="auto"/>
          <w:kern w:val="2"/>
          <w:sz w:val="24"/>
          <w:szCs w:val="24"/>
          <w:highlight w:val="none"/>
        </w:rPr>
        <w:t xml:space="preserve">    期：</w:t>
      </w:r>
      <w:r>
        <w:rPr>
          <w:rFonts w:cs="@仿宋_GB2312" w:asciiTheme="minorEastAsia" w:hAnsiTheme="minorEastAsia" w:eastAsiaTheme="minorEastAsia"/>
          <w:color w:val="auto"/>
          <w:kern w:val="2"/>
          <w:sz w:val="24"/>
          <w:szCs w:val="24"/>
          <w:highlight w:val="none"/>
          <w:u w:val="single"/>
        </w:rPr>
        <w:t xml:space="preserve">             </w:t>
      </w:r>
    </w:p>
    <w:p w14:paraId="7DB97D9C">
      <w:pPr>
        <w:tabs>
          <w:tab w:val="left" w:pos="4620"/>
        </w:tabs>
        <w:spacing w:line="360" w:lineRule="auto"/>
        <w:jc w:val="left"/>
        <w:rPr>
          <w:rFonts w:cs="@仿宋_GB2312" w:asciiTheme="minorEastAsia" w:hAnsiTheme="minorEastAsia" w:eastAsiaTheme="minorEastAsia"/>
          <w:color w:val="auto"/>
          <w:kern w:val="2"/>
          <w:sz w:val="24"/>
          <w:szCs w:val="24"/>
          <w:highlight w:val="none"/>
        </w:rPr>
      </w:pPr>
    </w:p>
    <w:p w14:paraId="6BAC0B72">
      <w:pPr>
        <w:tabs>
          <w:tab w:val="left" w:pos="4620"/>
        </w:tabs>
        <w:spacing w:line="360" w:lineRule="auto"/>
        <w:jc w:val="left"/>
        <w:rPr>
          <w:rFonts w:cs="@仿宋_GB2312" w:asciiTheme="minorEastAsia" w:hAnsiTheme="minorEastAsia" w:eastAsiaTheme="minorEastAsia"/>
          <w:color w:val="auto"/>
          <w:kern w:val="2"/>
          <w:sz w:val="24"/>
          <w:szCs w:val="24"/>
          <w:highlight w:val="none"/>
        </w:rPr>
      </w:pPr>
    </w:p>
    <w:p w14:paraId="520D4010">
      <w:pPr>
        <w:tabs>
          <w:tab w:val="left" w:pos="4620"/>
        </w:tabs>
        <w:spacing w:line="360" w:lineRule="auto"/>
        <w:jc w:val="left"/>
        <w:rPr>
          <w:rFonts w:cs="@仿宋_GB2312" w:asciiTheme="minorEastAsia" w:hAnsiTheme="minorEastAsia" w:eastAsiaTheme="minorEastAsia"/>
          <w:color w:val="auto"/>
          <w:kern w:val="2"/>
          <w:sz w:val="24"/>
          <w:szCs w:val="24"/>
          <w:highlight w:val="none"/>
        </w:rPr>
      </w:pPr>
    </w:p>
    <w:p w14:paraId="7F9E57F3">
      <w:pPr>
        <w:tabs>
          <w:tab w:val="left" w:pos="4620"/>
        </w:tabs>
        <w:spacing w:line="360" w:lineRule="auto"/>
        <w:jc w:val="left"/>
        <w:rPr>
          <w:rFonts w:cs="@仿宋_GB2312" w:asciiTheme="minorEastAsia" w:hAnsiTheme="minorEastAsia" w:eastAsiaTheme="minorEastAsia"/>
          <w:color w:val="auto"/>
          <w:kern w:val="2"/>
          <w:sz w:val="24"/>
          <w:szCs w:val="24"/>
          <w:highlight w:val="none"/>
        </w:rPr>
      </w:pPr>
    </w:p>
    <w:p w14:paraId="3A396165">
      <w:pPr>
        <w:tabs>
          <w:tab w:val="left" w:pos="4620"/>
        </w:tabs>
        <w:spacing w:line="360" w:lineRule="auto"/>
        <w:jc w:val="left"/>
        <w:rPr>
          <w:rFonts w:hint="eastAsia" w:cs="@仿宋_GB2312" w:asciiTheme="minorEastAsia" w:hAnsiTheme="minorEastAsia" w:eastAsiaTheme="minorEastAsia"/>
          <w:b/>
          <w:color w:val="auto"/>
          <w:kern w:val="2"/>
          <w:sz w:val="21"/>
          <w:szCs w:val="24"/>
          <w:highlight w:val="none"/>
          <w:lang w:eastAsia="zh-CN"/>
        </w:rPr>
      </w:pPr>
      <w:r>
        <w:rPr>
          <w:rFonts w:hint="eastAsia" w:cs="@仿宋_GB2312" w:asciiTheme="minorEastAsia" w:hAnsiTheme="minorEastAsia" w:eastAsiaTheme="minorEastAsia"/>
          <w:b/>
          <w:color w:val="auto"/>
          <w:kern w:val="2"/>
          <w:sz w:val="21"/>
          <w:szCs w:val="24"/>
          <w:highlight w:val="none"/>
          <w:lang w:eastAsia="zh-CN"/>
        </w:rPr>
        <w:t>注：</w:t>
      </w:r>
    </w:p>
    <w:p w14:paraId="4A830387">
      <w:pPr>
        <w:tabs>
          <w:tab w:val="left" w:pos="4620"/>
        </w:tabs>
        <w:spacing w:line="360" w:lineRule="auto"/>
        <w:jc w:val="left"/>
        <w:rPr>
          <w:rFonts w:cs="@仿宋_GB2312" w:asciiTheme="minorEastAsia" w:hAnsiTheme="minorEastAsia" w:eastAsiaTheme="minorEastAsia"/>
          <w:color w:val="auto"/>
          <w:kern w:val="2"/>
          <w:sz w:val="21"/>
          <w:szCs w:val="24"/>
          <w:highlight w:val="none"/>
        </w:rPr>
      </w:pPr>
      <w:r>
        <w:rPr>
          <w:rFonts w:cs="@仿宋_GB2312" w:asciiTheme="minorEastAsia" w:hAnsiTheme="minorEastAsia" w:eastAsiaTheme="minorEastAsia"/>
          <w:color w:val="auto"/>
          <w:kern w:val="2"/>
          <w:sz w:val="21"/>
          <w:szCs w:val="24"/>
          <w:highlight w:val="none"/>
        </w:rPr>
        <w:t>1.从业人员、营业收入、资产总额填报上一年数据，无上一年数据的新成立企业可不填报。</w:t>
      </w:r>
    </w:p>
    <w:p w14:paraId="3AADC2BD">
      <w:pPr>
        <w:tabs>
          <w:tab w:val="left" w:pos="4620"/>
        </w:tabs>
        <w:spacing w:line="360" w:lineRule="auto"/>
        <w:jc w:val="left"/>
        <w:rPr>
          <w:rFonts w:cs="宋体"/>
          <w:b/>
          <w:bCs/>
          <w:color w:val="auto"/>
          <w:kern w:val="2"/>
          <w:sz w:val="21"/>
          <w:szCs w:val="21"/>
          <w:highlight w:val="none"/>
        </w:rPr>
      </w:pPr>
      <w:r>
        <w:rPr>
          <w:rFonts w:hint="eastAsia" w:cs="宋体"/>
          <w:b/>
          <w:bCs/>
          <w:color w:val="auto"/>
          <w:sz w:val="21"/>
          <w:szCs w:val="21"/>
          <w:highlight w:val="none"/>
        </w:rPr>
        <w:t>2.</w:t>
      </w:r>
      <w:r>
        <w:rPr>
          <w:rFonts w:hint="eastAsia" w:cs="宋体"/>
          <w:b/>
          <w:bCs/>
          <w:color w:val="auto"/>
          <w:kern w:val="2"/>
          <w:sz w:val="21"/>
          <w:szCs w:val="21"/>
          <w:highlight w:val="none"/>
        </w:rPr>
        <w:t>供应商应根据《政府采购促进中小企业发展管理办法》（财库﹝2020﹞46号）和《关于印发中小企业划型标准规定的通知》(工信部联企业〔2011〕300号)相关规定，如实填写中小企业声明函。</w:t>
      </w:r>
      <w:r>
        <w:rPr>
          <w:rFonts w:hint="eastAsia" w:cs="宋体"/>
          <w:b/>
          <w:bCs/>
          <w:color w:val="auto"/>
          <w:kern w:val="2"/>
          <w:sz w:val="21"/>
          <w:szCs w:val="21"/>
          <w:highlight w:val="none"/>
          <w:lang w:val="zh-CN"/>
        </w:rPr>
        <w:t>如有虚假，将依法承担相应责任。</w:t>
      </w:r>
      <w:r>
        <w:rPr>
          <w:rFonts w:hint="eastAsia" w:cs="宋体"/>
          <w:b/>
          <w:bCs/>
          <w:color w:val="auto"/>
          <w:kern w:val="2"/>
          <w:sz w:val="21"/>
          <w:szCs w:val="21"/>
          <w:highlight w:val="none"/>
        </w:rPr>
        <w:t>供应商自行登录工业和信息化部官网进行中小企业规模类型自测（查询网址https://www.miit.gov.cn/）。</w:t>
      </w:r>
    </w:p>
    <w:p w14:paraId="3C2B0575">
      <w:pPr>
        <w:tabs>
          <w:tab w:val="left" w:pos="4620"/>
        </w:tabs>
        <w:spacing w:line="360" w:lineRule="auto"/>
        <w:jc w:val="left"/>
        <w:rPr>
          <w:rFonts w:cs="宋体"/>
          <w:b/>
          <w:bCs/>
          <w:color w:val="auto"/>
          <w:kern w:val="2"/>
          <w:sz w:val="21"/>
          <w:szCs w:val="21"/>
          <w:highlight w:val="none"/>
        </w:rPr>
      </w:pPr>
      <w:r>
        <w:rPr>
          <w:rFonts w:hint="eastAsia" w:cs="宋体"/>
          <w:b/>
          <w:bCs/>
          <w:color w:val="auto"/>
          <w:kern w:val="2"/>
          <w:sz w:val="21"/>
          <w:szCs w:val="21"/>
          <w:highlight w:val="none"/>
        </w:rPr>
        <w:t>3.上述“</w:t>
      </w:r>
      <w:r>
        <w:rPr>
          <w:rFonts w:hint="eastAsia" w:cs="宋体"/>
          <w:b/>
          <w:bCs/>
          <w:color w:val="auto"/>
          <w:kern w:val="2"/>
          <w:sz w:val="21"/>
          <w:szCs w:val="21"/>
          <w:highlight w:val="none"/>
          <w:u w:val="single"/>
          <w:lang w:val="zh-CN"/>
        </w:rPr>
        <w:t>标的名称</w:t>
      </w:r>
      <w:r>
        <w:rPr>
          <w:rFonts w:hint="eastAsia" w:cs="宋体"/>
          <w:b/>
          <w:bCs/>
          <w:color w:val="auto"/>
          <w:kern w:val="2"/>
          <w:sz w:val="21"/>
          <w:szCs w:val="21"/>
          <w:highlight w:val="none"/>
        </w:rPr>
        <w:t>”，详见第三章采购需求前附表中明确的“标的名称”。</w:t>
      </w:r>
    </w:p>
    <w:p w14:paraId="6FDBBFAC">
      <w:pPr>
        <w:tabs>
          <w:tab w:val="left" w:pos="4620"/>
        </w:tabs>
        <w:spacing w:line="360" w:lineRule="auto"/>
        <w:jc w:val="left"/>
        <w:rPr>
          <w:rFonts w:cs="宋体"/>
          <w:b/>
          <w:bCs/>
          <w:color w:val="auto"/>
          <w:kern w:val="2"/>
          <w:sz w:val="21"/>
          <w:szCs w:val="21"/>
          <w:highlight w:val="none"/>
        </w:rPr>
      </w:pPr>
      <w:r>
        <w:rPr>
          <w:rFonts w:hint="eastAsia" w:cs="宋体"/>
          <w:b/>
          <w:bCs/>
          <w:color w:val="auto"/>
          <w:kern w:val="2"/>
          <w:sz w:val="21"/>
          <w:szCs w:val="21"/>
          <w:highlight w:val="none"/>
        </w:rPr>
        <w:t>4.上述“</w:t>
      </w:r>
      <w:r>
        <w:rPr>
          <w:rFonts w:hint="eastAsia" w:cs="宋体"/>
          <w:b/>
          <w:bCs/>
          <w:color w:val="auto"/>
          <w:kern w:val="2"/>
          <w:sz w:val="21"/>
          <w:szCs w:val="21"/>
          <w:highlight w:val="none"/>
          <w:u w:val="single"/>
        </w:rPr>
        <w:t>采购文件中明确的所属行业</w:t>
      </w:r>
      <w:r>
        <w:rPr>
          <w:rFonts w:hint="eastAsia" w:cs="宋体"/>
          <w:b/>
          <w:bCs/>
          <w:color w:val="auto"/>
          <w:kern w:val="2"/>
          <w:sz w:val="21"/>
          <w:szCs w:val="21"/>
          <w:highlight w:val="none"/>
        </w:rPr>
        <w:t>”，详见第三章采购需求前附表中明确的“所属行业”。</w:t>
      </w:r>
    </w:p>
    <w:p w14:paraId="3AD73E63">
      <w:pPr>
        <w:tabs>
          <w:tab w:val="left" w:pos="4620"/>
        </w:tabs>
        <w:spacing w:line="360" w:lineRule="auto"/>
        <w:jc w:val="left"/>
        <w:rPr>
          <w:rFonts w:cs="宋体"/>
          <w:b/>
          <w:bCs/>
          <w:color w:val="auto"/>
          <w:kern w:val="2"/>
          <w:sz w:val="21"/>
          <w:szCs w:val="21"/>
          <w:highlight w:val="none"/>
        </w:rPr>
      </w:pPr>
      <w:r>
        <w:rPr>
          <w:rFonts w:hint="eastAsia" w:cs="宋体"/>
          <w:b/>
          <w:bCs/>
          <w:color w:val="auto"/>
          <w:kern w:val="2"/>
          <w:sz w:val="21"/>
          <w:szCs w:val="21"/>
          <w:highlight w:val="none"/>
        </w:rPr>
        <w:t>5．填写示例：</w:t>
      </w:r>
      <w:r>
        <w:rPr>
          <w:rFonts w:hint="eastAsia" w:cs="宋体"/>
          <w:b/>
          <w:bCs/>
          <w:color w:val="auto"/>
          <w:kern w:val="2"/>
          <w:sz w:val="21"/>
          <w:szCs w:val="21"/>
          <w:highlight w:val="none"/>
          <w:u w:val="single"/>
        </w:rPr>
        <w:t>某标的名称</w:t>
      </w:r>
      <w:r>
        <w:rPr>
          <w:rFonts w:hint="eastAsia" w:cs="宋体"/>
          <w:b/>
          <w:bCs/>
          <w:color w:val="auto"/>
          <w:kern w:val="2"/>
          <w:sz w:val="21"/>
          <w:szCs w:val="21"/>
          <w:highlight w:val="none"/>
        </w:rPr>
        <w:t>（</w:t>
      </w:r>
      <w:r>
        <w:rPr>
          <w:rFonts w:hint="eastAsia" w:cs="宋体"/>
          <w:b/>
          <w:bCs/>
          <w:color w:val="auto"/>
          <w:kern w:val="2"/>
          <w:sz w:val="21"/>
          <w:szCs w:val="21"/>
          <w:highlight w:val="none"/>
          <w:u w:val="single"/>
        </w:rPr>
        <w:t>填写第三章采购需求前附表中明确的“标的名称”</w:t>
      </w:r>
      <w:r>
        <w:rPr>
          <w:rFonts w:hint="eastAsia" w:cs="宋体"/>
          <w:b/>
          <w:bCs/>
          <w:color w:val="auto"/>
          <w:kern w:val="2"/>
          <w:sz w:val="21"/>
          <w:szCs w:val="21"/>
          <w:highlight w:val="none"/>
        </w:rPr>
        <w:t>），属于</w:t>
      </w:r>
      <w:r>
        <w:rPr>
          <w:rFonts w:hint="eastAsia" w:cs="宋体"/>
          <w:b/>
          <w:bCs/>
          <w:color w:val="auto"/>
          <w:kern w:val="2"/>
          <w:sz w:val="21"/>
          <w:szCs w:val="21"/>
          <w:highlight w:val="none"/>
          <w:u w:val="single"/>
        </w:rPr>
        <w:t>（填写第三章采购需求前附表中明确的“所属行业”，如建筑业）</w:t>
      </w:r>
      <w:r>
        <w:rPr>
          <w:rFonts w:hint="eastAsia" w:cs="宋体"/>
          <w:b/>
          <w:bCs/>
          <w:color w:val="auto"/>
          <w:kern w:val="2"/>
          <w:sz w:val="21"/>
          <w:szCs w:val="21"/>
          <w:highlight w:val="none"/>
        </w:rPr>
        <w:t>行业；承接企业为</w:t>
      </w:r>
      <w:r>
        <w:rPr>
          <w:rFonts w:hint="eastAsia" w:cs="宋体"/>
          <w:b/>
          <w:bCs/>
          <w:color w:val="auto"/>
          <w:kern w:val="2"/>
          <w:sz w:val="21"/>
          <w:szCs w:val="21"/>
          <w:highlight w:val="none"/>
          <w:u w:val="single"/>
          <w:lang w:val="zh-CN"/>
        </w:rPr>
        <w:t>某公司</w:t>
      </w:r>
      <w:r>
        <w:rPr>
          <w:rFonts w:hint="eastAsia" w:cs="宋体"/>
          <w:b/>
          <w:bCs/>
          <w:color w:val="auto"/>
          <w:kern w:val="2"/>
          <w:sz w:val="21"/>
          <w:szCs w:val="21"/>
          <w:highlight w:val="none"/>
        </w:rPr>
        <w:t>，</w:t>
      </w:r>
      <w:r>
        <w:rPr>
          <w:rFonts w:hint="eastAsia" w:cs="宋体"/>
          <w:b/>
          <w:bCs/>
          <w:color w:val="auto"/>
          <w:kern w:val="2"/>
          <w:sz w:val="21"/>
          <w:szCs w:val="21"/>
          <w:highlight w:val="none"/>
          <w:lang w:val="zh-CN"/>
        </w:rPr>
        <w:t>从业人员</w:t>
      </w:r>
      <w:r>
        <w:rPr>
          <w:rFonts w:hint="eastAsia" w:cs="宋体"/>
          <w:b/>
          <w:bCs/>
          <w:color w:val="auto"/>
          <w:kern w:val="2"/>
          <w:sz w:val="21"/>
          <w:szCs w:val="21"/>
          <w:highlight w:val="none"/>
          <w:u w:val="single"/>
        </w:rPr>
        <w:t>100</w:t>
      </w:r>
      <w:r>
        <w:rPr>
          <w:rFonts w:hint="eastAsia" w:cs="宋体"/>
          <w:b/>
          <w:bCs/>
          <w:color w:val="auto"/>
          <w:kern w:val="2"/>
          <w:sz w:val="21"/>
          <w:szCs w:val="21"/>
          <w:highlight w:val="none"/>
          <w:lang w:val="zh-CN"/>
        </w:rPr>
        <w:t>人</w:t>
      </w:r>
      <w:r>
        <w:rPr>
          <w:rFonts w:hint="eastAsia" w:cs="宋体"/>
          <w:b/>
          <w:bCs/>
          <w:color w:val="auto"/>
          <w:kern w:val="2"/>
          <w:sz w:val="21"/>
          <w:szCs w:val="21"/>
          <w:highlight w:val="none"/>
        </w:rPr>
        <w:t>，</w:t>
      </w:r>
      <w:r>
        <w:rPr>
          <w:rFonts w:hint="eastAsia" w:cs="宋体"/>
          <w:b/>
          <w:bCs/>
          <w:color w:val="auto"/>
          <w:kern w:val="2"/>
          <w:sz w:val="21"/>
          <w:szCs w:val="21"/>
          <w:highlight w:val="none"/>
          <w:lang w:val="zh-CN"/>
        </w:rPr>
        <w:t>营业收入为</w:t>
      </w:r>
      <w:r>
        <w:rPr>
          <w:rFonts w:hint="eastAsia" w:cs="宋体"/>
          <w:b/>
          <w:bCs/>
          <w:color w:val="auto"/>
          <w:kern w:val="2"/>
          <w:sz w:val="21"/>
          <w:szCs w:val="21"/>
          <w:highlight w:val="none"/>
          <w:u w:val="single"/>
        </w:rPr>
        <w:t>10000</w:t>
      </w:r>
      <w:r>
        <w:rPr>
          <w:rFonts w:hint="eastAsia" w:cs="宋体"/>
          <w:b/>
          <w:bCs/>
          <w:color w:val="auto"/>
          <w:kern w:val="2"/>
          <w:sz w:val="21"/>
          <w:szCs w:val="21"/>
          <w:highlight w:val="none"/>
          <w:lang w:val="zh-CN"/>
        </w:rPr>
        <w:t>万元</w:t>
      </w:r>
      <w:r>
        <w:rPr>
          <w:rFonts w:hint="eastAsia" w:cs="宋体"/>
          <w:b/>
          <w:bCs/>
          <w:color w:val="auto"/>
          <w:kern w:val="2"/>
          <w:sz w:val="21"/>
          <w:szCs w:val="21"/>
          <w:highlight w:val="none"/>
        </w:rPr>
        <w:t>，</w:t>
      </w:r>
      <w:r>
        <w:rPr>
          <w:rFonts w:hint="eastAsia" w:cs="宋体"/>
          <w:b/>
          <w:bCs/>
          <w:color w:val="auto"/>
          <w:kern w:val="2"/>
          <w:sz w:val="21"/>
          <w:szCs w:val="21"/>
          <w:highlight w:val="none"/>
          <w:lang w:val="zh-CN"/>
        </w:rPr>
        <w:t>资产总额为</w:t>
      </w:r>
      <w:r>
        <w:rPr>
          <w:rFonts w:hint="eastAsia" w:cs="宋体"/>
          <w:b/>
          <w:bCs/>
          <w:color w:val="auto"/>
          <w:kern w:val="2"/>
          <w:sz w:val="21"/>
          <w:szCs w:val="21"/>
          <w:highlight w:val="none"/>
          <w:u w:val="single"/>
        </w:rPr>
        <w:t>5000</w:t>
      </w:r>
      <w:r>
        <w:rPr>
          <w:rFonts w:hint="eastAsia" w:cs="宋体"/>
          <w:b/>
          <w:bCs/>
          <w:color w:val="auto"/>
          <w:kern w:val="2"/>
          <w:sz w:val="21"/>
          <w:szCs w:val="21"/>
          <w:highlight w:val="none"/>
          <w:lang w:val="zh-CN"/>
        </w:rPr>
        <w:t>万元</w:t>
      </w:r>
      <w:r>
        <w:rPr>
          <w:rFonts w:hint="eastAsia" w:cs="宋体"/>
          <w:b/>
          <w:bCs/>
          <w:color w:val="auto"/>
          <w:kern w:val="2"/>
          <w:sz w:val="21"/>
          <w:szCs w:val="21"/>
          <w:highlight w:val="none"/>
        </w:rPr>
        <w:t>，</w:t>
      </w:r>
      <w:r>
        <w:rPr>
          <w:rFonts w:hint="eastAsia" w:cs="宋体"/>
          <w:b/>
          <w:bCs/>
          <w:color w:val="auto"/>
          <w:kern w:val="2"/>
          <w:sz w:val="21"/>
          <w:szCs w:val="21"/>
          <w:highlight w:val="none"/>
          <w:lang w:val="zh-CN"/>
        </w:rPr>
        <w:t>属于</w:t>
      </w:r>
      <w:r>
        <w:rPr>
          <w:rFonts w:hint="eastAsia" w:cs="宋体"/>
          <w:b/>
          <w:bCs/>
          <w:color w:val="auto"/>
          <w:kern w:val="2"/>
          <w:sz w:val="21"/>
          <w:szCs w:val="21"/>
          <w:highlight w:val="none"/>
        </w:rPr>
        <w:t>中</w:t>
      </w:r>
      <w:r>
        <w:rPr>
          <w:rFonts w:hint="eastAsia" w:cs="宋体"/>
          <w:b/>
          <w:bCs/>
          <w:color w:val="auto"/>
          <w:kern w:val="2"/>
          <w:sz w:val="21"/>
          <w:szCs w:val="21"/>
          <w:highlight w:val="none"/>
          <w:u w:val="single"/>
          <w:lang w:val="zh-CN"/>
        </w:rPr>
        <w:t>型</w:t>
      </w:r>
      <w:r>
        <w:rPr>
          <w:rFonts w:hint="eastAsia" w:cs="宋体"/>
          <w:b/>
          <w:bCs/>
          <w:color w:val="auto"/>
          <w:kern w:val="2"/>
          <w:sz w:val="21"/>
          <w:szCs w:val="21"/>
          <w:highlight w:val="none"/>
          <w:lang w:val="zh-CN"/>
        </w:rPr>
        <w:t>企业</w:t>
      </w:r>
      <w:r>
        <w:rPr>
          <w:rFonts w:hint="eastAsia" w:cs="宋体"/>
          <w:b/>
          <w:bCs/>
          <w:color w:val="auto"/>
          <w:kern w:val="2"/>
          <w:sz w:val="21"/>
          <w:szCs w:val="21"/>
          <w:highlight w:val="none"/>
        </w:rPr>
        <w:t>[</w:t>
      </w:r>
      <w:r>
        <w:rPr>
          <w:rFonts w:hint="eastAsia" w:cs="宋体"/>
          <w:b/>
          <w:bCs/>
          <w:color w:val="auto"/>
          <w:kern w:val="2"/>
          <w:sz w:val="21"/>
          <w:szCs w:val="21"/>
          <w:highlight w:val="none"/>
          <w:lang w:val="en-US" w:eastAsia="zh-CN"/>
        </w:rPr>
        <w:t>供应商</w:t>
      </w:r>
      <w:r>
        <w:rPr>
          <w:rFonts w:hint="eastAsia" w:cs="宋体"/>
          <w:b/>
          <w:bCs/>
          <w:color w:val="auto"/>
          <w:kern w:val="2"/>
          <w:sz w:val="21"/>
          <w:szCs w:val="21"/>
          <w:highlight w:val="none"/>
        </w:rPr>
        <w:t>自行登录工业和信息化部官网进行中小企业规模类型自测（查询网址https://www.miit.gov.cn/）]。</w:t>
      </w:r>
    </w:p>
    <w:p w14:paraId="474F25D4">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7D12989E">
      <w:pPr>
        <w:spacing w:line="360" w:lineRule="auto"/>
        <w:jc w:val="center"/>
        <w:outlineLvl w:val="1"/>
        <w:rPr>
          <w:rFonts w:asciiTheme="minorEastAsia" w:hAnsiTheme="minorEastAsia" w:eastAsiaTheme="minorEastAsia"/>
          <w:b/>
          <w:color w:val="auto"/>
          <w:sz w:val="24"/>
          <w:highlight w:val="none"/>
        </w:rPr>
      </w:pPr>
      <w:bookmarkStart w:id="674" w:name="_Toc28558"/>
      <w:bookmarkStart w:id="675" w:name="_Toc11115"/>
      <w:bookmarkStart w:id="676" w:name="_Toc12123"/>
      <w:r>
        <w:rPr>
          <w:rFonts w:hint="eastAsia" w:asciiTheme="minorEastAsia" w:hAnsiTheme="minorEastAsia" w:eastAsiaTheme="minorEastAsia"/>
          <w:b/>
          <w:color w:val="auto"/>
          <w:sz w:val="24"/>
          <w:highlight w:val="none"/>
        </w:rPr>
        <w:t>十、残疾人福利性单位声明函</w:t>
      </w:r>
      <w:bookmarkEnd w:id="674"/>
      <w:bookmarkEnd w:id="675"/>
      <w:bookmarkEnd w:id="676"/>
    </w:p>
    <w:p w14:paraId="13A48664">
      <w:pPr>
        <w:spacing w:line="360" w:lineRule="auto"/>
        <w:rPr>
          <w:rFonts w:cs="Times New Roman"/>
          <w:color w:val="auto"/>
          <w:spacing w:val="6"/>
          <w:kern w:val="2"/>
          <w:sz w:val="24"/>
          <w:szCs w:val="24"/>
          <w:highlight w:val="none"/>
        </w:rPr>
      </w:pPr>
    </w:p>
    <w:p w14:paraId="1EFC6BD3">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w:t>
      </w:r>
      <w:r>
        <w:rPr>
          <w:rFonts w:hint="eastAsia" w:asciiTheme="minorEastAsia" w:hAnsiTheme="minorEastAsia" w:eastAsiaTheme="minorEastAsia"/>
          <w:color w:val="auto"/>
          <w:sz w:val="24"/>
          <w:highlight w:val="none"/>
        </w:rPr>
        <w:t>郑重</w:t>
      </w:r>
      <w:r>
        <w:rPr>
          <w:rFonts w:hint="eastAsia" w:asciiTheme="minorEastAsia" w:hAnsiTheme="minorEastAsia" w:eastAsiaTheme="minorEastAsia"/>
          <w:color w:val="auto"/>
          <w:spacing w:val="6"/>
          <w:sz w:val="24"/>
          <w:szCs w:val="24"/>
          <w:highlight w:val="none"/>
        </w:rPr>
        <w:t>声明，根据《财政部 民政部 中国残疾人联合会关于促进残疾人就业政府采购政策的通知》（财库</w:t>
      </w:r>
      <w:r>
        <w:rPr>
          <w:rFonts w:hint="eastAsia" w:asciiTheme="minorEastAsia" w:hAnsiTheme="minorEastAsia" w:eastAsiaTheme="minorEastAsia"/>
          <w:color w:val="auto"/>
          <w:sz w:val="24"/>
          <w:szCs w:val="24"/>
          <w:highlight w:val="none"/>
        </w:rPr>
        <w:t>〔2017〕141</w:t>
      </w:r>
      <w:r>
        <w:rPr>
          <w:rFonts w:hint="eastAsia" w:asciiTheme="minorEastAsia" w:hAnsiTheme="minorEastAsia" w:eastAsiaTheme="minorEastAsia"/>
          <w:color w:val="auto"/>
          <w:spacing w:val="6"/>
          <w:sz w:val="24"/>
          <w:szCs w:val="24"/>
          <w:highlight w:val="none"/>
        </w:rPr>
        <w:t>号）的规定，本单位为</w:t>
      </w:r>
      <w:r>
        <w:rPr>
          <w:rFonts w:hint="eastAsia" w:asciiTheme="minorEastAsia" w:hAnsiTheme="minorEastAsia" w:eastAsiaTheme="minorEastAsia"/>
          <w:bCs/>
          <w:color w:val="auto"/>
          <w:sz w:val="24"/>
          <w:szCs w:val="24"/>
          <w:highlight w:val="none"/>
        </w:rPr>
        <w:t>符合</w:t>
      </w:r>
      <w:r>
        <w:rPr>
          <w:rFonts w:hint="eastAsia" w:asciiTheme="minorEastAsia" w:hAnsiTheme="minorEastAsia" w:eastAsiaTheme="minorEastAsia"/>
          <w:color w:val="auto"/>
          <w:spacing w:val="6"/>
          <w:sz w:val="24"/>
          <w:szCs w:val="24"/>
          <w:highlight w:val="none"/>
        </w:rPr>
        <w:t>条件的残疾人福利性单位，且本单位参加</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单位的</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项目采购活动提供本单位制造的货物</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lang w:val="en-US" w:eastAsia="zh-CN"/>
        </w:rPr>
        <w:t>由本单位承担工程/提供服务</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rPr>
        <w:t>，或者提供其他残疾人福利性单位制造的货物（不包括使用非残疾人福利性单位注册商标的货物）。</w:t>
      </w:r>
    </w:p>
    <w:p w14:paraId="6AED2C2A">
      <w:pPr>
        <w:spacing w:line="360" w:lineRule="auto"/>
        <w:ind w:firstLine="435"/>
        <w:rPr>
          <w:rFonts w:cs="Times New Roman"/>
          <w:color w:val="auto"/>
          <w:spacing w:val="6"/>
          <w:kern w:val="2"/>
          <w:sz w:val="24"/>
          <w:szCs w:val="24"/>
          <w:highlight w:val="none"/>
        </w:rPr>
      </w:pPr>
      <w:r>
        <w:rPr>
          <w:rFonts w:hint="eastAsia" w:cs="Times New Roman"/>
          <w:color w:val="auto"/>
          <w:spacing w:val="6"/>
          <w:kern w:val="2"/>
          <w:sz w:val="24"/>
          <w:szCs w:val="24"/>
          <w:highlight w:val="none"/>
        </w:rPr>
        <w:t>本单位对上述声明的真实性负责。如有虚假，将依法承担相应责任。</w:t>
      </w:r>
    </w:p>
    <w:p w14:paraId="45A0A5C9">
      <w:pPr>
        <w:spacing w:line="360" w:lineRule="auto"/>
        <w:ind w:firstLine="4228" w:firstLineChars="1762"/>
        <w:rPr>
          <w:rFonts w:cs="Times New Roman"/>
          <w:color w:val="auto"/>
          <w:kern w:val="2"/>
          <w:sz w:val="24"/>
          <w:szCs w:val="24"/>
          <w:highlight w:val="none"/>
        </w:rPr>
      </w:pPr>
    </w:p>
    <w:p w14:paraId="1D7BB907">
      <w:pPr>
        <w:spacing w:line="360" w:lineRule="auto"/>
        <w:ind w:firstLine="4228" w:firstLineChars="1762"/>
        <w:rPr>
          <w:rFonts w:cs="Times New Roman"/>
          <w:color w:val="auto"/>
          <w:kern w:val="2"/>
          <w:sz w:val="24"/>
          <w:szCs w:val="24"/>
          <w:highlight w:val="none"/>
        </w:rPr>
      </w:pPr>
    </w:p>
    <w:p w14:paraId="6F298646">
      <w:pPr>
        <w:spacing w:line="360" w:lineRule="auto"/>
        <w:ind w:firstLine="4228" w:firstLineChars="1762"/>
        <w:rPr>
          <w:rFonts w:cs="Times New Roman"/>
          <w:color w:val="auto"/>
          <w:kern w:val="2"/>
          <w:sz w:val="24"/>
          <w:szCs w:val="24"/>
          <w:highlight w:val="none"/>
          <w:u w:val="single"/>
        </w:rPr>
      </w:pPr>
      <w:r>
        <w:rPr>
          <w:rFonts w:hint="eastAsia" w:cs="Times New Roman"/>
          <w:color w:val="auto"/>
          <w:kern w:val="2"/>
          <w:sz w:val="24"/>
          <w:szCs w:val="24"/>
          <w:highlight w:val="none"/>
        </w:rPr>
        <w:t>供应商</w:t>
      </w:r>
      <w:r>
        <w:rPr>
          <w:rFonts w:cs="Times New Roman"/>
          <w:color w:val="auto"/>
          <w:kern w:val="2"/>
          <w:sz w:val="24"/>
          <w:szCs w:val="24"/>
          <w:highlight w:val="none"/>
        </w:rPr>
        <w:t>电子签章</w:t>
      </w:r>
      <w:r>
        <w:rPr>
          <w:rFonts w:hint="eastAsia" w:cs="Times New Roman"/>
          <w:color w:val="auto"/>
          <w:kern w:val="2"/>
          <w:sz w:val="24"/>
          <w:szCs w:val="24"/>
          <w:highlight w:val="none"/>
        </w:rPr>
        <w:t>：</w:t>
      </w:r>
      <w:r>
        <w:rPr>
          <w:rFonts w:cs="Times New Roman"/>
          <w:color w:val="auto"/>
          <w:kern w:val="2"/>
          <w:sz w:val="24"/>
          <w:szCs w:val="24"/>
          <w:highlight w:val="none"/>
          <w:u w:val="single"/>
        </w:rPr>
        <w:t xml:space="preserve">             </w:t>
      </w:r>
    </w:p>
    <w:p w14:paraId="5972C098">
      <w:pPr>
        <w:tabs>
          <w:tab w:val="left" w:pos="4620"/>
        </w:tabs>
        <w:spacing w:line="360" w:lineRule="auto"/>
        <w:ind w:firstLine="4252" w:firstLineChars="1772"/>
        <w:rPr>
          <w:rFonts w:cs="Times New Roman"/>
          <w:color w:val="auto"/>
          <w:kern w:val="2"/>
          <w:sz w:val="24"/>
          <w:szCs w:val="24"/>
          <w:highlight w:val="none"/>
          <w:u w:val="single"/>
        </w:rPr>
      </w:pPr>
      <w:r>
        <w:rPr>
          <w:rFonts w:hint="eastAsia" w:cs="Times New Roman"/>
          <w:color w:val="auto"/>
          <w:kern w:val="2"/>
          <w:sz w:val="24"/>
          <w:szCs w:val="24"/>
          <w:highlight w:val="none"/>
        </w:rPr>
        <w:t>日</w:t>
      </w:r>
      <w:r>
        <w:rPr>
          <w:rFonts w:cs="Times New Roman"/>
          <w:color w:val="auto"/>
          <w:kern w:val="2"/>
          <w:sz w:val="24"/>
          <w:szCs w:val="24"/>
          <w:highlight w:val="none"/>
        </w:rPr>
        <w:t xml:space="preserve">      </w:t>
      </w:r>
      <w:r>
        <w:rPr>
          <w:rFonts w:hint="eastAsia" w:cs="Times New Roman"/>
          <w:color w:val="auto"/>
          <w:kern w:val="2"/>
          <w:sz w:val="24"/>
          <w:szCs w:val="24"/>
          <w:highlight w:val="none"/>
        </w:rPr>
        <w:t xml:space="preserve">    期：</w:t>
      </w:r>
      <w:r>
        <w:rPr>
          <w:rFonts w:cs="Times New Roman"/>
          <w:color w:val="auto"/>
          <w:kern w:val="2"/>
          <w:sz w:val="24"/>
          <w:szCs w:val="24"/>
          <w:highlight w:val="none"/>
          <w:u w:val="single"/>
        </w:rPr>
        <w:t xml:space="preserve">             </w:t>
      </w:r>
    </w:p>
    <w:p w14:paraId="1D4850B8">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0A510F32">
      <w:pPr>
        <w:spacing w:line="360" w:lineRule="auto"/>
        <w:jc w:val="center"/>
        <w:outlineLvl w:val="1"/>
        <w:rPr>
          <w:rFonts w:asciiTheme="minorEastAsia" w:hAnsiTheme="minorEastAsia" w:eastAsiaTheme="minorEastAsia"/>
          <w:b/>
          <w:color w:val="auto"/>
          <w:sz w:val="24"/>
          <w:highlight w:val="none"/>
        </w:rPr>
      </w:pPr>
      <w:bookmarkStart w:id="677" w:name="_Toc31964"/>
      <w:bookmarkStart w:id="678" w:name="_Toc15906"/>
      <w:bookmarkStart w:id="679" w:name="_Toc16830"/>
      <w:bookmarkStart w:id="680" w:name="_Hlk44283088"/>
      <w:r>
        <w:rPr>
          <w:rFonts w:hint="eastAsia"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一</w:t>
      </w:r>
      <w:r>
        <w:rPr>
          <w:rFonts w:hint="eastAsia" w:asciiTheme="minorEastAsia" w:hAnsiTheme="minorEastAsia" w:eastAsiaTheme="minorEastAsia"/>
          <w:b/>
          <w:color w:val="auto"/>
          <w:sz w:val="24"/>
          <w:highlight w:val="none"/>
        </w:rPr>
        <w:t>、诚信履约承诺函</w:t>
      </w:r>
      <w:bookmarkEnd w:id="677"/>
      <w:bookmarkEnd w:id="678"/>
      <w:bookmarkEnd w:id="679"/>
    </w:p>
    <w:p w14:paraId="7003F044">
      <w:pPr>
        <w:spacing w:line="360" w:lineRule="auto"/>
        <w:rPr>
          <w:rFonts w:cs="@仿宋_GB2312" w:asciiTheme="minorEastAsia" w:hAnsiTheme="minorEastAsia" w:eastAsiaTheme="minorEastAsia"/>
          <w:b/>
          <w:bCs/>
          <w:color w:val="auto"/>
          <w:kern w:val="2"/>
          <w:sz w:val="24"/>
          <w:highlight w:val="none"/>
        </w:rPr>
      </w:pPr>
    </w:p>
    <w:p w14:paraId="5FCE5B67">
      <w:pPr>
        <w:spacing w:line="360" w:lineRule="auto"/>
        <w:rPr>
          <w:rFonts w:hint="eastAsia" w:cs="@仿宋_GB2312" w:asciiTheme="minorEastAsia" w:hAnsiTheme="minorEastAsia" w:eastAsiaTheme="minorEastAsia"/>
          <w:b/>
          <w:bCs/>
          <w:color w:val="auto"/>
          <w:kern w:val="2"/>
          <w:sz w:val="24"/>
          <w:highlight w:val="none"/>
          <w:u w:val="single"/>
          <w:lang w:eastAsia="zh-CN"/>
        </w:rPr>
      </w:pPr>
      <w:r>
        <w:rPr>
          <w:rFonts w:hint="eastAsia" w:cs="@仿宋_GB2312" w:asciiTheme="minorEastAsia" w:hAnsiTheme="minorEastAsia" w:eastAsiaTheme="minorEastAsia"/>
          <w:b/>
          <w:bCs/>
          <w:color w:val="auto"/>
          <w:kern w:val="2"/>
          <w:sz w:val="24"/>
          <w:highlight w:val="none"/>
        </w:rPr>
        <w:t>致：</w:t>
      </w:r>
      <w:r>
        <w:rPr>
          <w:rFonts w:hint="eastAsia" w:cs="@仿宋_GB2312" w:asciiTheme="minorEastAsia" w:hAnsiTheme="minorEastAsia" w:eastAsiaTheme="minorEastAsia"/>
          <w:b/>
          <w:bCs/>
          <w:color w:val="auto"/>
          <w:kern w:val="2"/>
          <w:sz w:val="24"/>
          <w:highlight w:val="none"/>
          <w:u w:val="none"/>
          <w:lang w:eastAsia="zh-CN"/>
        </w:rPr>
        <w:t>采购人</w:t>
      </w:r>
    </w:p>
    <w:p w14:paraId="2F84BBB8">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5CA4873C">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（1）中标或者成交后无正当理由拒不与采购人签订政府采购合同；</w:t>
      </w:r>
    </w:p>
    <w:p w14:paraId="3EAA3E43">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（2）未按照采购文件确定的事项签订政府采购合同；</w:t>
      </w:r>
    </w:p>
    <w:p w14:paraId="519DBF42">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（3）将政府采购合同转包；</w:t>
      </w:r>
    </w:p>
    <w:p w14:paraId="14675BF8">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（4）提供假冒伪劣产品；</w:t>
      </w:r>
    </w:p>
    <w:p w14:paraId="22624B48">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（5）擅自变更、中止或者终止政府采购合同。</w:t>
      </w:r>
    </w:p>
    <w:p w14:paraId="7897C638">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DC760CC">
      <w:pPr>
        <w:spacing w:line="360" w:lineRule="auto"/>
        <w:rPr>
          <w:rFonts w:cs="@仿宋_GB2312" w:asciiTheme="minorEastAsia" w:hAnsiTheme="minorEastAsia" w:eastAsiaTheme="minorEastAsia"/>
          <w:bCs/>
          <w:color w:val="auto"/>
          <w:kern w:val="2"/>
          <w:sz w:val="24"/>
          <w:highlight w:val="none"/>
        </w:rPr>
      </w:pPr>
    </w:p>
    <w:p w14:paraId="6E404AB7">
      <w:pPr>
        <w:spacing w:line="360" w:lineRule="auto"/>
        <w:rPr>
          <w:rFonts w:cs="@仿宋_GB2312" w:asciiTheme="minorEastAsia" w:hAnsiTheme="minorEastAsia" w:eastAsiaTheme="minorEastAsia"/>
          <w:bCs/>
          <w:color w:val="auto"/>
          <w:kern w:val="2"/>
          <w:sz w:val="24"/>
          <w:highlight w:val="none"/>
        </w:rPr>
      </w:pPr>
    </w:p>
    <w:p w14:paraId="317BF023">
      <w:pPr>
        <w:spacing w:line="360" w:lineRule="auto"/>
        <w:ind w:firstLine="4320" w:firstLineChars="1800"/>
        <w:rPr>
          <w:rFonts w:cs="@仿宋_GB2312" w:asciiTheme="minorEastAsia" w:hAnsiTheme="minorEastAsia" w:eastAsiaTheme="minorEastAsia"/>
          <w:bCs/>
          <w:color w:val="auto"/>
          <w:kern w:val="2"/>
          <w:sz w:val="24"/>
          <w:highlight w:val="none"/>
          <w:u w:val="single"/>
        </w:rPr>
      </w:pPr>
      <w:r>
        <w:rPr>
          <w:rFonts w:hint="eastAsia" w:cs="@仿宋_GB2312" w:asciiTheme="minorEastAsia" w:hAnsiTheme="minorEastAsia" w:eastAsiaTheme="minorEastAsia"/>
          <w:bCs/>
          <w:color w:val="auto"/>
          <w:kern w:val="2"/>
          <w:sz w:val="24"/>
          <w:highlight w:val="none"/>
        </w:rPr>
        <w:t>供应商电子签章：</w:t>
      </w:r>
      <w:r>
        <w:rPr>
          <w:rFonts w:hint="eastAsia" w:cs="@仿宋_GB2312" w:asciiTheme="minorEastAsia" w:hAnsiTheme="minorEastAsia" w:eastAsiaTheme="minorEastAsia"/>
          <w:bCs/>
          <w:color w:val="auto"/>
          <w:kern w:val="2"/>
          <w:sz w:val="24"/>
          <w:highlight w:val="none"/>
          <w:u w:val="single"/>
        </w:rPr>
        <w:t xml:space="preserve">     </w:t>
      </w:r>
      <w:r>
        <w:rPr>
          <w:rFonts w:cs="@仿宋_GB2312" w:asciiTheme="minorEastAsia" w:hAnsiTheme="minorEastAsia" w:eastAsiaTheme="minorEastAsia"/>
          <w:bCs/>
          <w:color w:val="auto"/>
          <w:kern w:val="2"/>
          <w:sz w:val="24"/>
          <w:highlight w:val="none"/>
          <w:u w:val="single"/>
        </w:rPr>
        <w:t xml:space="preserve">    </w:t>
      </w:r>
      <w:r>
        <w:rPr>
          <w:rFonts w:hint="eastAsia" w:cs="@仿宋_GB2312" w:asciiTheme="minorEastAsia" w:hAnsiTheme="minorEastAsia" w:eastAsiaTheme="minorEastAsia"/>
          <w:bCs/>
          <w:color w:val="auto"/>
          <w:kern w:val="2"/>
          <w:sz w:val="24"/>
          <w:highlight w:val="none"/>
          <w:u w:val="single"/>
        </w:rPr>
        <w:t xml:space="preserve">    </w:t>
      </w:r>
    </w:p>
    <w:p w14:paraId="06CC7116">
      <w:pPr>
        <w:spacing w:line="360" w:lineRule="auto"/>
        <w:ind w:firstLine="4320" w:firstLineChars="1800"/>
        <w:rPr>
          <w:rFonts w:asciiTheme="minorEastAsia" w:hAnsiTheme="minorEastAsia" w:eastAsiaTheme="minorEastAsia"/>
          <w:b/>
          <w:color w:val="auto"/>
          <w:sz w:val="24"/>
          <w:highlight w:val="none"/>
        </w:rPr>
      </w:pPr>
      <w:r>
        <w:rPr>
          <w:rFonts w:hint="eastAsia" w:cs="@仿宋_GB2312" w:asciiTheme="minorEastAsia" w:hAnsiTheme="minorEastAsia" w:eastAsiaTheme="minorEastAsia"/>
          <w:bCs/>
          <w:color w:val="auto"/>
          <w:kern w:val="2"/>
          <w:sz w:val="24"/>
          <w:highlight w:val="none"/>
        </w:rPr>
        <w:t>日          期：</w:t>
      </w:r>
      <w:r>
        <w:rPr>
          <w:rFonts w:hint="eastAsia" w:cs="@仿宋_GB2312" w:asciiTheme="minorEastAsia" w:hAnsiTheme="minorEastAsia" w:eastAsiaTheme="minorEastAsia"/>
          <w:bCs/>
          <w:color w:val="auto"/>
          <w:kern w:val="2"/>
          <w:sz w:val="24"/>
          <w:highlight w:val="none"/>
          <w:u w:val="single"/>
        </w:rPr>
        <w:t xml:space="preserve">             </w:t>
      </w:r>
    </w:p>
    <w:p w14:paraId="68760D08">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bookmarkEnd w:id="680"/>
    <w:p w14:paraId="7B4D6929">
      <w:pPr>
        <w:rPr>
          <w:rFonts w:hint="eastAsia"/>
          <w:color w:val="auto"/>
          <w:highlight w:val="none"/>
          <w:lang w:val="en-US" w:eastAsia="zh-CN"/>
        </w:rPr>
      </w:pPr>
      <w:bookmarkStart w:id="681" w:name="_Toc13419"/>
      <w:bookmarkStart w:id="682" w:name="_Toc6061"/>
    </w:p>
    <w:p w14:paraId="7ACAA2CF">
      <w:pPr>
        <w:spacing w:line="360" w:lineRule="auto"/>
        <w:jc w:val="center"/>
        <w:outlineLvl w:val="1"/>
        <w:rPr>
          <w:rFonts w:asciiTheme="minorEastAsia" w:hAnsiTheme="minorEastAsia" w:eastAsiaTheme="minorEastAsia"/>
          <w:b/>
          <w:color w:val="auto"/>
          <w:sz w:val="24"/>
          <w:highlight w:val="none"/>
        </w:rPr>
      </w:pPr>
      <w:bookmarkStart w:id="683" w:name="_Toc17566"/>
      <w:r>
        <w:rPr>
          <w:rFonts w:hint="eastAsia"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二</w:t>
      </w:r>
      <w:r>
        <w:rPr>
          <w:rFonts w:hint="eastAsia" w:asciiTheme="minorEastAsia" w:hAnsiTheme="minorEastAsia" w:eastAsiaTheme="minorEastAsia"/>
          <w:b/>
          <w:color w:val="auto"/>
          <w:sz w:val="24"/>
          <w:highlight w:val="none"/>
        </w:rPr>
        <w:t>、其他相关证明材料</w:t>
      </w:r>
      <w:bookmarkEnd w:id="681"/>
      <w:bookmarkEnd w:id="682"/>
      <w:bookmarkEnd w:id="683"/>
    </w:p>
    <w:p w14:paraId="0EC04F2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提供符合</w:t>
      </w:r>
      <w:r>
        <w:rPr>
          <w:rFonts w:hint="eastAsia" w:asciiTheme="minorEastAsia" w:hAnsiTheme="minorEastAsia" w:eastAsiaTheme="minorEastAsia"/>
          <w:color w:val="auto"/>
          <w:sz w:val="24"/>
          <w:highlight w:val="none"/>
          <w:lang w:val="en-US" w:eastAsia="zh-CN"/>
        </w:rPr>
        <w:t>谈判</w:t>
      </w:r>
      <w:r>
        <w:rPr>
          <w:rFonts w:hint="eastAsia" w:asciiTheme="minorEastAsia" w:hAnsiTheme="minorEastAsia" w:eastAsiaTheme="minorEastAsia"/>
          <w:color w:val="auto"/>
          <w:sz w:val="24"/>
          <w:highlight w:val="none"/>
        </w:rPr>
        <w:t>邀请、采购需求及评标方法和标准规定的相关证明文件。</w:t>
      </w:r>
    </w:p>
    <w:p w14:paraId="68C89DB8">
      <w:pPr>
        <w:spacing w:line="360" w:lineRule="auto"/>
        <w:ind w:firstLine="480" w:firstLineChars="200"/>
        <w:rPr>
          <w:rFonts w:asciiTheme="minorEastAsia" w:hAnsiTheme="minorEastAsia" w:eastAsiaTheme="minorEastAsia"/>
          <w:color w:val="auto"/>
          <w:sz w:val="24"/>
          <w:highlight w:val="none"/>
        </w:rPr>
      </w:pPr>
    </w:p>
    <w:p w14:paraId="2F39336F">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4954D73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供应商在响应文件制作时可在此栏内上传</w:t>
      </w:r>
      <w:r>
        <w:rPr>
          <w:rFonts w:hint="eastAsia" w:asciiTheme="minorEastAsia" w:hAnsiTheme="minorEastAsia" w:eastAsiaTheme="minorEastAsia"/>
          <w:color w:val="auto"/>
          <w:sz w:val="24"/>
          <w:highlight w:val="none"/>
          <w:lang w:val="en-US" w:eastAsia="zh-CN"/>
        </w:rPr>
        <w:t>谈判</w:t>
      </w:r>
      <w:r>
        <w:rPr>
          <w:rFonts w:hint="eastAsia" w:asciiTheme="minorEastAsia" w:hAnsiTheme="minorEastAsia" w:eastAsiaTheme="minorEastAsia"/>
          <w:color w:val="auto"/>
          <w:sz w:val="24"/>
          <w:highlight w:val="none"/>
        </w:rPr>
        <w:t>文件</w:t>
      </w:r>
      <w:r>
        <w:rPr>
          <w:rFonts w:asciiTheme="minorEastAsia" w:hAnsiTheme="minorEastAsia" w:eastAsiaTheme="minorEastAsia"/>
          <w:color w:val="auto"/>
          <w:sz w:val="24"/>
          <w:highlight w:val="none"/>
        </w:rPr>
        <w:t>要求上传的证明资料</w:t>
      </w:r>
      <w:r>
        <w:rPr>
          <w:rFonts w:hint="eastAsia" w:asciiTheme="minorEastAsia" w:hAnsiTheme="minorEastAsia" w:eastAsiaTheme="minorEastAsia"/>
          <w:color w:val="auto"/>
          <w:sz w:val="24"/>
          <w:highlight w:val="none"/>
        </w:rPr>
        <w:t>，如营业执照、证书</w:t>
      </w:r>
      <w:r>
        <w:rPr>
          <w:rFonts w:asciiTheme="minorEastAsia" w:hAnsiTheme="minorEastAsia" w:eastAsiaTheme="minorEastAsia"/>
          <w:color w:val="auto"/>
          <w:sz w:val="24"/>
          <w:highlight w:val="none"/>
        </w:rPr>
        <w:t>等，应将上述证明材料制作成扫描件上传。</w:t>
      </w:r>
    </w:p>
    <w:p w14:paraId="6C63746D">
      <w:pPr>
        <w:pStyle w:val="51"/>
        <w:spacing w:before="0" w:beforeAutospacing="0" w:after="0" w:afterAutospacing="0" w:line="360" w:lineRule="auto"/>
        <w:ind w:firstLine="640"/>
        <w:jc w:val="both"/>
        <w:rPr>
          <w:color w:val="auto"/>
          <w:highlight w:val="none"/>
        </w:rPr>
      </w:pPr>
      <w:r>
        <w:rPr>
          <w:rFonts w:asciiTheme="minorEastAsia" w:hAnsiTheme="minorEastAsia" w:eastAsiaTheme="minorEastAsia"/>
          <w:color w:val="auto"/>
          <w:sz w:val="24"/>
          <w:highlight w:val="none"/>
        </w:rPr>
        <w:br w:type="page"/>
      </w:r>
    </w:p>
    <w:p w14:paraId="1EF7281C">
      <w:pPr>
        <w:spacing w:line="360" w:lineRule="auto"/>
        <w:jc w:val="center"/>
        <w:outlineLvl w:val="0"/>
        <w:rPr>
          <w:b/>
          <w:bCs/>
          <w:color w:val="auto"/>
          <w:sz w:val="28"/>
          <w:highlight w:val="none"/>
        </w:rPr>
      </w:pPr>
      <w:bookmarkStart w:id="684" w:name="_Toc15694"/>
      <w:bookmarkStart w:id="685" w:name="_Toc95223548"/>
      <w:bookmarkStart w:id="686" w:name="_Toc921"/>
      <w:r>
        <w:rPr>
          <w:rFonts w:hint="eastAsia"/>
          <w:b/>
          <w:bCs/>
          <w:color w:val="auto"/>
          <w:sz w:val="28"/>
          <w:highlight w:val="none"/>
        </w:rPr>
        <w:t>第</w:t>
      </w:r>
      <w:r>
        <w:rPr>
          <w:rFonts w:hint="eastAsia"/>
          <w:b/>
          <w:bCs/>
          <w:color w:val="auto"/>
          <w:sz w:val="28"/>
          <w:highlight w:val="none"/>
          <w:lang w:val="en-US" w:eastAsia="zh-CN"/>
        </w:rPr>
        <w:t>七</w:t>
      </w:r>
      <w:r>
        <w:rPr>
          <w:rFonts w:hint="eastAsia"/>
          <w:b/>
          <w:bCs/>
          <w:color w:val="auto"/>
          <w:sz w:val="28"/>
          <w:highlight w:val="none"/>
        </w:rPr>
        <w:t>章  政府采购</w:t>
      </w:r>
      <w:r>
        <w:rPr>
          <w:rFonts w:hint="eastAsia" w:asciiTheme="minorEastAsia" w:hAnsiTheme="minorEastAsia" w:eastAsiaTheme="minorEastAsia"/>
          <w:b/>
          <w:color w:val="auto"/>
          <w:sz w:val="28"/>
          <w:highlight w:val="none"/>
        </w:rPr>
        <w:t>供应</w:t>
      </w:r>
      <w:r>
        <w:rPr>
          <w:rFonts w:hint="eastAsia"/>
          <w:b/>
          <w:bCs/>
          <w:color w:val="auto"/>
          <w:sz w:val="28"/>
          <w:highlight w:val="none"/>
        </w:rPr>
        <w:t>商询问函和质疑函范本</w:t>
      </w:r>
      <w:bookmarkEnd w:id="684"/>
    </w:p>
    <w:p w14:paraId="74E25422">
      <w:pPr>
        <w:spacing w:line="360" w:lineRule="auto"/>
        <w:jc w:val="center"/>
        <w:outlineLvl w:val="1"/>
        <w:rPr>
          <w:rFonts w:ascii="仿宋" w:hAnsi="仿宋" w:eastAsia="仿宋" w:cs="仿宋"/>
          <w:b/>
          <w:bCs/>
          <w:color w:val="auto"/>
          <w:sz w:val="32"/>
          <w:szCs w:val="44"/>
          <w:highlight w:val="none"/>
        </w:rPr>
      </w:pPr>
      <w:bookmarkStart w:id="687" w:name="_Toc7450"/>
      <w:bookmarkStart w:id="688" w:name="_Toc30776"/>
      <w:bookmarkStart w:id="689" w:name="_Toc5835"/>
      <w:r>
        <w:rPr>
          <w:rFonts w:hint="eastAsia" w:ascii="仿宋" w:hAnsi="仿宋" w:eastAsia="仿宋" w:cs="仿宋"/>
          <w:b/>
          <w:bCs/>
          <w:color w:val="auto"/>
          <w:sz w:val="32"/>
          <w:szCs w:val="44"/>
          <w:highlight w:val="none"/>
        </w:rPr>
        <w:t>询问函范本</w:t>
      </w:r>
      <w:bookmarkEnd w:id="687"/>
      <w:bookmarkEnd w:id="688"/>
      <w:bookmarkEnd w:id="689"/>
    </w:p>
    <w:p w14:paraId="50A80E65">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6416DDC2">
      <w:pPr>
        <w:adjustRightInd w:val="0"/>
        <w:snapToGrid w:val="0"/>
        <w:spacing w:line="360" w:lineRule="auto"/>
        <w:rPr>
          <w:rFonts w:hint="eastAsia"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z w:val="24"/>
          <w:szCs w:val="24"/>
          <w:highlight w:val="none"/>
          <w:lang w:val="en-US" w:eastAsia="zh-CN"/>
        </w:rPr>
        <w:t>致：</w:t>
      </w:r>
      <w:r>
        <w:rPr>
          <w:rFonts w:hint="eastAsia" w:cs="仿宋" w:asciiTheme="minorEastAsia" w:hAnsiTheme="minorEastAsia" w:eastAsiaTheme="minorEastAsia"/>
          <w:color w:val="auto"/>
          <w:sz w:val="24"/>
          <w:szCs w:val="24"/>
          <w:highlight w:val="none"/>
          <w:lang w:eastAsia="zh-CN"/>
        </w:rPr>
        <w:t>采购人</w:t>
      </w:r>
    </w:p>
    <w:p w14:paraId="25A1D26E">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lang w:val="en-US" w:eastAsia="zh-CN"/>
        </w:rPr>
        <w:t xml:space="preserve">           </w:t>
      </w:r>
      <w:r>
        <w:rPr>
          <w:rFonts w:hint="eastAsia" w:cs="仿宋" w:asciiTheme="minorEastAsia" w:hAnsiTheme="minorEastAsia" w:eastAsiaTheme="minorEastAsia"/>
          <w:color w:val="auto"/>
          <w:sz w:val="24"/>
          <w:szCs w:val="24"/>
          <w:highlight w:val="none"/>
          <w:u w:val="none"/>
          <w:lang w:val="en-US" w:eastAsia="zh-CN"/>
        </w:rPr>
        <w:t>（</w:t>
      </w:r>
      <w:r>
        <w:rPr>
          <w:rFonts w:hint="eastAsia" w:cs="仿宋" w:asciiTheme="minorEastAsia" w:hAnsiTheme="minorEastAsia" w:eastAsiaTheme="minorEastAsia"/>
          <w:i/>
          <w:iCs/>
          <w:color w:val="auto"/>
          <w:sz w:val="24"/>
          <w:szCs w:val="24"/>
          <w:highlight w:val="none"/>
          <w:u w:val="none"/>
          <w:lang w:val="en-US" w:eastAsia="zh-CN"/>
        </w:rPr>
        <w:t>项目名称、编号</w:t>
      </w:r>
      <w:r>
        <w:rPr>
          <w:rFonts w:hint="eastAsia" w:cs="仿宋" w:asciiTheme="minorEastAsia" w:hAnsiTheme="minorEastAsia" w:eastAsiaTheme="minorEastAsia"/>
          <w:color w:val="auto"/>
          <w:sz w:val="24"/>
          <w:szCs w:val="24"/>
          <w:highlight w:val="none"/>
          <w:u w:val="none"/>
          <w:lang w:val="en-US" w:eastAsia="zh-CN"/>
        </w:rPr>
        <w:t>）</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3B310A15">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bookmarkStart w:id="690" w:name="_Toc13620"/>
      <w:r>
        <w:rPr>
          <w:rFonts w:hint="eastAsia" w:cs="仿宋" w:asciiTheme="minorEastAsia" w:hAnsiTheme="minorEastAsia" w:eastAsiaTheme="minorEastAsia"/>
          <w:color w:val="auto"/>
          <w:sz w:val="24"/>
          <w:szCs w:val="24"/>
          <w:highlight w:val="none"/>
        </w:rPr>
        <w:t>一、(事项一)</w:t>
      </w:r>
      <w:bookmarkEnd w:id="690"/>
    </w:p>
    <w:p w14:paraId="5E6831AB">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541D555F">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7404A111">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3FBA4807">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bookmarkStart w:id="691" w:name="_Toc14277"/>
      <w:r>
        <w:rPr>
          <w:rFonts w:hint="eastAsia" w:cs="仿宋" w:asciiTheme="minorEastAsia" w:hAnsiTheme="minorEastAsia" w:eastAsiaTheme="minorEastAsia"/>
          <w:color w:val="auto"/>
          <w:sz w:val="24"/>
          <w:szCs w:val="24"/>
          <w:highlight w:val="none"/>
        </w:rPr>
        <w:t>二、(事项二)</w:t>
      </w:r>
      <w:bookmarkEnd w:id="691"/>
    </w:p>
    <w:p w14:paraId="7C8505CF">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5F74B87F">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69BA3ABE">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33AD50B4">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0C9C7281">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47E24FEA">
      <w:pPr>
        <w:rPr>
          <w:rFonts w:asciiTheme="minorEastAsia" w:hAnsiTheme="minorEastAsia" w:eastAsiaTheme="minorEastAsia"/>
          <w:b/>
          <w:color w:val="auto"/>
          <w:sz w:val="52"/>
          <w:highlight w:val="none"/>
        </w:rPr>
      </w:pPr>
      <w:r>
        <w:rPr>
          <w:rFonts w:hint="eastAsia" w:ascii="仿宋" w:hAnsi="仿宋" w:eastAsia="仿宋" w:cs="仿宋"/>
          <w:b/>
          <w:bCs/>
          <w:color w:val="auto"/>
          <w:sz w:val="32"/>
          <w:szCs w:val="44"/>
          <w:highlight w:val="none"/>
        </w:rPr>
        <w:br w:type="page"/>
      </w:r>
    </w:p>
    <w:p w14:paraId="1032B1D2">
      <w:pPr>
        <w:jc w:val="center"/>
        <w:outlineLvl w:val="1"/>
        <w:rPr>
          <w:rFonts w:ascii="仿宋" w:hAnsi="仿宋" w:eastAsia="仿宋" w:cs="仿宋"/>
          <w:b/>
          <w:bCs/>
          <w:color w:val="auto"/>
          <w:sz w:val="32"/>
          <w:szCs w:val="44"/>
          <w:highlight w:val="none"/>
        </w:rPr>
      </w:pPr>
      <w:bookmarkStart w:id="692" w:name="_Toc16939"/>
      <w:bookmarkStart w:id="693" w:name="_Toc25947"/>
      <w:bookmarkStart w:id="694" w:name="_Toc28125"/>
      <w:r>
        <w:rPr>
          <w:rFonts w:hint="eastAsia" w:ascii="仿宋" w:hAnsi="仿宋" w:eastAsia="仿宋" w:cs="仿宋"/>
          <w:b/>
          <w:bCs/>
          <w:color w:val="auto"/>
          <w:sz w:val="32"/>
          <w:szCs w:val="44"/>
          <w:highlight w:val="none"/>
        </w:rPr>
        <w:t>质疑函范本</w:t>
      </w:r>
      <w:bookmarkEnd w:id="692"/>
      <w:bookmarkEnd w:id="693"/>
      <w:bookmarkEnd w:id="694"/>
    </w:p>
    <w:p w14:paraId="1B6B8E4E">
      <w:pPr>
        <w:adjustRightInd w:val="0"/>
        <w:snapToGrid w:val="0"/>
        <w:spacing w:before="312" w:beforeLines="100" w:line="360" w:lineRule="auto"/>
        <w:outlineLvl w:val="9"/>
        <w:rPr>
          <w:rFonts w:cs="仿宋" w:asciiTheme="minorEastAsia" w:hAnsiTheme="minorEastAsia" w:eastAsiaTheme="minorEastAsia"/>
          <w:b/>
          <w:bCs/>
          <w:color w:val="auto"/>
          <w:sz w:val="24"/>
          <w:szCs w:val="24"/>
          <w:highlight w:val="none"/>
        </w:rPr>
      </w:pPr>
      <w:bookmarkStart w:id="695" w:name="_Toc21660"/>
      <w:r>
        <w:rPr>
          <w:rFonts w:hint="eastAsia" w:cs="仿宋" w:asciiTheme="minorEastAsia" w:hAnsiTheme="minorEastAsia" w:eastAsiaTheme="minorEastAsia"/>
          <w:b/>
          <w:bCs/>
          <w:color w:val="auto"/>
          <w:sz w:val="24"/>
          <w:szCs w:val="24"/>
          <w:highlight w:val="none"/>
        </w:rPr>
        <w:t>一、质疑供应商基本信息</w:t>
      </w:r>
      <w:bookmarkEnd w:id="695"/>
    </w:p>
    <w:p w14:paraId="4A8B0B3E">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71999AC3">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34AE429F">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3AE30595">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6B698D51">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5DBEEE53">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31E8D030">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696" w:name="_Toc4238"/>
      <w:r>
        <w:rPr>
          <w:rFonts w:hint="eastAsia" w:cs="仿宋" w:asciiTheme="minorEastAsia" w:hAnsiTheme="minorEastAsia" w:eastAsiaTheme="minorEastAsia"/>
          <w:b/>
          <w:bCs/>
          <w:color w:val="auto"/>
          <w:sz w:val="24"/>
          <w:szCs w:val="24"/>
          <w:highlight w:val="none"/>
        </w:rPr>
        <w:t>二、质疑项目基本情况</w:t>
      </w:r>
      <w:bookmarkEnd w:id="696"/>
    </w:p>
    <w:p w14:paraId="1B0CCAD6">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5E90480C">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0E2AA813">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55DEE011">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335BE5A5">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697" w:name="_Toc10846"/>
      <w:r>
        <w:rPr>
          <w:rFonts w:hint="eastAsia" w:cs="仿宋" w:asciiTheme="minorEastAsia" w:hAnsiTheme="minorEastAsia" w:eastAsiaTheme="minorEastAsia"/>
          <w:b/>
          <w:bCs/>
          <w:color w:val="auto"/>
          <w:sz w:val="24"/>
          <w:szCs w:val="24"/>
          <w:highlight w:val="none"/>
        </w:rPr>
        <w:t>三、质疑事项具体内容</w:t>
      </w:r>
      <w:bookmarkEnd w:id="697"/>
    </w:p>
    <w:p w14:paraId="244F4BCA">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4032D017">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629C1E77">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5BF6AC82">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6109BADA">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0A28CC71">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7C1E09B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7C6CEFF3">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698" w:name="_Toc15784"/>
      <w:r>
        <w:rPr>
          <w:rFonts w:hint="eastAsia" w:cs="仿宋" w:asciiTheme="minorEastAsia" w:hAnsiTheme="minorEastAsia" w:eastAsiaTheme="minorEastAsia"/>
          <w:b/>
          <w:bCs/>
          <w:color w:val="auto"/>
          <w:sz w:val="24"/>
          <w:szCs w:val="24"/>
          <w:highlight w:val="none"/>
        </w:rPr>
        <w:t>四、与质疑事项相关的质疑请求</w:t>
      </w:r>
      <w:bookmarkEnd w:id="698"/>
    </w:p>
    <w:p w14:paraId="0ADD8AC1">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7AE3DF1F">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577C1AAF">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19130434">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0778C5DA">
      <w:pPr>
        <w:outlineLvl w:val="0"/>
        <w:rPr>
          <w:rFonts w:asciiTheme="minorEastAsia" w:hAnsiTheme="minorEastAsia" w:eastAsiaTheme="minorEastAsia"/>
          <w:b/>
          <w:color w:val="auto"/>
          <w:sz w:val="28"/>
          <w:szCs w:val="32"/>
          <w:highlight w:val="none"/>
        </w:rPr>
      </w:pPr>
      <w:bookmarkStart w:id="699" w:name="_Toc14212"/>
      <w:bookmarkStart w:id="700" w:name="_Toc23661"/>
      <w:bookmarkStart w:id="701" w:name="_Toc17542"/>
      <w:r>
        <w:rPr>
          <w:rFonts w:hint="eastAsia" w:asciiTheme="minorEastAsia" w:hAnsiTheme="minorEastAsia" w:eastAsiaTheme="minorEastAsia"/>
          <w:b/>
          <w:color w:val="auto"/>
          <w:sz w:val="28"/>
          <w:szCs w:val="32"/>
          <w:highlight w:val="none"/>
        </w:rPr>
        <w:t>质疑函制作说明：</w:t>
      </w:r>
      <w:bookmarkEnd w:id="699"/>
      <w:bookmarkEnd w:id="700"/>
      <w:bookmarkEnd w:id="701"/>
    </w:p>
    <w:p w14:paraId="2BAC758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03AAA0F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102AF7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36D9943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6E02854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384CBF5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6B97D4A9">
      <w:pPr>
        <w:pStyle w:val="2"/>
        <w:spacing w:before="200" w:after="200" w:line="600" w:lineRule="exact"/>
        <w:rPr>
          <w:rFonts w:hint="eastAsia" w:ascii="黑体" w:hAnsi="黑体" w:eastAsia="黑体"/>
          <w:color w:val="000000"/>
          <w:sz w:val="28"/>
          <w:szCs w:val="28"/>
        </w:rPr>
      </w:pPr>
    </w:p>
    <w:p w14:paraId="7C6C2AEC">
      <w:pPr>
        <w:pStyle w:val="2"/>
        <w:spacing w:before="200" w:after="200" w:line="600" w:lineRule="exact"/>
        <w:rPr>
          <w:rFonts w:hint="eastAsia" w:ascii="黑体" w:hAnsi="黑体" w:eastAsia="黑体"/>
          <w:color w:val="000000"/>
          <w:sz w:val="28"/>
          <w:szCs w:val="28"/>
        </w:rPr>
      </w:pPr>
    </w:p>
    <w:p w14:paraId="7B8F642A">
      <w:pPr>
        <w:pStyle w:val="2"/>
        <w:spacing w:before="200" w:after="200" w:line="600" w:lineRule="exact"/>
        <w:rPr>
          <w:rFonts w:hint="eastAsia" w:ascii="黑体" w:hAnsi="黑体" w:eastAsia="黑体"/>
          <w:color w:val="000000"/>
          <w:sz w:val="28"/>
          <w:szCs w:val="28"/>
        </w:rPr>
      </w:pPr>
    </w:p>
    <w:p w14:paraId="0BE3B8E0">
      <w:pPr>
        <w:pStyle w:val="2"/>
        <w:spacing w:before="200" w:after="200" w:line="600" w:lineRule="exact"/>
        <w:rPr>
          <w:rFonts w:hint="eastAsia" w:ascii="黑体" w:hAnsi="黑体" w:eastAsia="黑体"/>
          <w:color w:val="000000"/>
          <w:sz w:val="28"/>
          <w:szCs w:val="28"/>
        </w:rPr>
      </w:pPr>
    </w:p>
    <w:p w14:paraId="56E4838B">
      <w:pPr>
        <w:rPr>
          <w:rFonts w:hint="eastAsia" w:ascii="黑体" w:hAnsi="黑体" w:eastAsia="黑体"/>
          <w:color w:val="000000"/>
          <w:sz w:val="28"/>
          <w:szCs w:val="28"/>
        </w:rPr>
      </w:pPr>
    </w:p>
    <w:p w14:paraId="7261093C">
      <w:pPr>
        <w:rPr>
          <w:rFonts w:hint="eastAsia" w:ascii="黑体" w:hAnsi="黑体" w:eastAsia="黑体"/>
          <w:color w:val="000000"/>
          <w:sz w:val="28"/>
          <w:szCs w:val="28"/>
        </w:rPr>
      </w:pPr>
    </w:p>
    <w:p w14:paraId="38332D66">
      <w:pPr>
        <w:rPr>
          <w:rFonts w:hint="eastAsia" w:ascii="黑体" w:hAnsi="黑体" w:eastAsia="黑体"/>
          <w:color w:val="000000"/>
          <w:sz w:val="28"/>
          <w:szCs w:val="28"/>
        </w:rPr>
      </w:pPr>
    </w:p>
    <w:p w14:paraId="627F8822">
      <w:pPr>
        <w:rPr>
          <w:rFonts w:hint="eastAsia" w:ascii="黑体" w:hAnsi="黑体" w:eastAsia="黑体"/>
          <w:color w:val="000000"/>
          <w:sz w:val="28"/>
          <w:szCs w:val="28"/>
        </w:rPr>
      </w:pPr>
    </w:p>
    <w:p w14:paraId="0BA15F20">
      <w:pPr>
        <w:rPr>
          <w:rFonts w:hint="eastAsia" w:ascii="黑体" w:hAnsi="黑体" w:eastAsia="黑体"/>
          <w:color w:val="000000"/>
          <w:sz w:val="28"/>
          <w:szCs w:val="28"/>
        </w:rPr>
      </w:pPr>
    </w:p>
    <w:p w14:paraId="0B942723">
      <w:pPr>
        <w:rPr>
          <w:rFonts w:hint="eastAsia" w:ascii="黑体" w:hAnsi="黑体" w:eastAsia="黑体"/>
          <w:color w:val="000000"/>
          <w:sz w:val="28"/>
          <w:szCs w:val="28"/>
        </w:rPr>
      </w:pPr>
    </w:p>
    <w:p w14:paraId="3B598D53">
      <w:pPr>
        <w:rPr>
          <w:rFonts w:hint="eastAsia" w:ascii="黑体" w:hAnsi="黑体" w:eastAsia="黑体"/>
          <w:color w:val="000000"/>
          <w:sz w:val="28"/>
          <w:szCs w:val="28"/>
        </w:rPr>
      </w:pPr>
    </w:p>
    <w:bookmarkEnd w:id="685"/>
    <w:p w14:paraId="182429CF">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auto"/>
          <w:kern w:val="0"/>
          <w:sz w:val="28"/>
          <w:szCs w:val="28"/>
          <w:highlight w:val="none"/>
          <w:lang w:val="en-US" w:eastAsia="zh-CN" w:bidi="ar"/>
        </w:rPr>
      </w:pPr>
    </w:p>
    <w:p w14:paraId="4C1C51F3">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8"/>
          <w:szCs w:val="28"/>
          <w:highlight w:val="none"/>
        </w:rPr>
      </w:pPr>
      <w:r>
        <w:rPr>
          <w:rFonts w:hint="eastAsia" w:ascii="宋体" w:hAnsi="宋体" w:eastAsia="宋体" w:cs="宋体"/>
          <w:b/>
          <w:bCs w:val="0"/>
          <w:color w:val="auto"/>
          <w:kern w:val="0"/>
          <w:sz w:val="28"/>
          <w:szCs w:val="28"/>
          <w:highlight w:val="none"/>
          <w:lang w:val="en-US" w:eastAsia="zh-CN" w:bidi="ar"/>
        </w:rPr>
        <w:t>附件</w:t>
      </w:r>
      <w:r>
        <w:rPr>
          <w:rFonts w:hint="default" w:ascii="Times New Roman" w:hAnsi="Times New Roman" w:eastAsia="宋体" w:cs="Times New Roman"/>
          <w:b/>
          <w:bCs w:val="0"/>
          <w:color w:val="auto"/>
          <w:kern w:val="0"/>
          <w:sz w:val="28"/>
          <w:szCs w:val="28"/>
          <w:highlight w:val="none"/>
          <w:lang w:val="en-US" w:eastAsia="zh-CN" w:bidi="ar"/>
        </w:rPr>
        <w:t>1</w:t>
      </w:r>
    </w:p>
    <w:p w14:paraId="1D85365C">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kern w:val="0"/>
          <w:sz w:val="28"/>
          <w:szCs w:val="28"/>
          <w:highlight w:val="none"/>
          <w:lang w:val="en-US" w:eastAsia="zh-CN" w:bidi="ar"/>
        </w:rPr>
        <w:t>关于联合惩戒失信行为加强信用查询管理的通知</w:t>
      </w:r>
    </w:p>
    <w:p w14:paraId="7BF0D337">
      <w:pPr>
        <w:keepNext w:val="0"/>
        <w:keepLines w:val="0"/>
        <w:widowControl w:val="0"/>
        <w:suppressLineNumbers w:val="0"/>
        <w:adjustRightInd w:val="0"/>
        <w:snapToGrid w:val="0"/>
        <w:spacing w:before="0" w:beforeAutospacing="0" w:after="0" w:afterAutospacing="0" w:line="560" w:lineRule="exact"/>
        <w:ind w:left="0" w:right="0" w:firstLine="482" w:firstLineChars="200"/>
        <w:jc w:val="both"/>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一、失信行为联合惩戒的范围和查询渠道</w:t>
      </w:r>
    </w:p>
    <w:p w14:paraId="5F9CD5D9">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在我市公共资源交易活动中对存在下列失信行为的投标人、法定代表人及其项目经理（建造师）实施联合惩戒，禁止参与我市公共资源交易活动。</w:t>
      </w:r>
    </w:p>
    <w:p w14:paraId="64903552">
      <w:pPr>
        <w:keepNext w:val="0"/>
        <w:keepLines w:val="0"/>
        <w:widowControl w:val="0"/>
        <w:suppressLineNumbers w:val="0"/>
        <w:adjustRightInd w:val="0"/>
        <w:snapToGrid w:val="0"/>
        <w:spacing w:before="0" w:beforeAutospacing="0" w:after="0" w:afterAutospacing="0" w:line="560" w:lineRule="exact"/>
        <w:ind w:left="0" w:right="0" w:firstLine="482" w:firstLineChars="200"/>
        <w:jc w:val="both"/>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（一）工程建设项目</w:t>
      </w:r>
    </w:p>
    <w:p w14:paraId="3897A55F">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1、“信用中国”网站（www.creditchina.gov.cn）查询投标人、法定代表人及其项目经理(建造师)以下失信行为：</w:t>
      </w:r>
    </w:p>
    <w:p w14:paraId="78F3C8B7">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①被列入“失信被执行人”的;</w:t>
      </w:r>
    </w:p>
    <w:p w14:paraId="7091B465">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②被列入“重大税收违法失信主体”的；</w:t>
      </w:r>
    </w:p>
    <w:p w14:paraId="1C3AD8DE">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③被列入“拖欠农民工工资失信联合惩戒对象名单”的；</w:t>
      </w:r>
    </w:p>
    <w:p w14:paraId="46255ABE">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④被列入 “严重失信主体名单”的；</w:t>
      </w:r>
    </w:p>
    <w:p w14:paraId="15BAD6B9">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⑤在“信用中国”网站上披露的仍在公示期的严重失信行为(具体行为类别及判定依据见附件2)的。</w:t>
      </w:r>
    </w:p>
    <w:p w14:paraId="006CF106">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2、国家企业信用信息公示系统网站（</w:t>
      </w:r>
      <w:r>
        <w:rPr>
          <w:rFonts w:hint="eastAsia" w:ascii="宋体" w:hAnsi="宋体" w:eastAsia="宋体" w:cs="Times New Roman"/>
          <w:color w:val="auto"/>
          <w:kern w:val="0"/>
          <w:sz w:val="24"/>
          <w:szCs w:val="24"/>
          <w:highlight w:val="none"/>
          <w:lang w:val="en-US" w:eastAsia="zh-CN" w:bidi="ar"/>
        </w:rPr>
        <w:fldChar w:fldCharType="begin"/>
      </w:r>
      <w:r>
        <w:rPr>
          <w:rFonts w:hint="eastAsia" w:ascii="宋体" w:hAnsi="宋体" w:eastAsia="宋体" w:cs="Times New Roman"/>
          <w:color w:val="auto"/>
          <w:kern w:val="0"/>
          <w:sz w:val="24"/>
          <w:szCs w:val="24"/>
          <w:highlight w:val="none"/>
          <w:lang w:val="en-US" w:eastAsia="zh-CN" w:bidi="ar"/>
        </w:rPr>
        <w:instrText xml:space="preserve"> HYPERLINK "http://www.gsxt.gov.cn）查询" </w:instrText>
      </w:r>
      <w:r>
        <w:rPr>
          <w:rFonts w:hint="eastAsia" w:ascii="宋体" w:hAnsi="宋体" w:eastAsia="宋体" w:cs="Times New Roman"/>
          <w:color w:val="auto"/>
          <w:kern w:val="0"/>
          <w:sz w:val="24"/>
          <w:szCs w:val="24"/>
          <w:highlight w:val="none"/>
          <w:lang w:val="en-US" w:eastAsia="zh-CN" w:bidi="ar"/>
        </w:rPr>
        <w:fldChar w:fldCharType="separate"/>
      </w:r>
      <w:r>
        <w:rPr>
          <w:rStyle w:val="66"/>
          <w:rFonts w:hint="eastAsia" w:ascii="宋体" w:hAnsi="宋体" w:eastAsia="宋体" w:cs="宋体"/>
          <w:color w:val="auto"/>
          <w:sz w:val="24"/>
          <w:szCs w:val="24"/>
          <w:highlight w:val="none"/>
          <w:u w:val="single"/>
        </w:rPr>
        <w:t>www.gsxt.gov.cn）</w:t>
      </w:r>
      <w:r>
        <w:rPr>
          <w:rFonts w:hint="eastAsia" w:ascii="宋体" w:hAnsi="宋体" w:eastAsia="宋体" w:cs="Times New Roman"/>
          <w:color w:val="auto"/>
          <w:kern w:val="0"/>
          <w:sz w:val="24"/>
          <w:szCs w:val="24"/>
          <w:highlight w:val="none"/>
          <w:lang w:val="en-US" w:eastAsia="zh-CN" w:bidi="ar"/>
        </w:rPr>
        <w:fldChar w:fldCharType="end"/>
      </w:r>
      <w:r>
        <w:rPr>
          <w:rFonts w:hint="eastAsia" w:ascii="宋体" w:hAnsi="宋体" w:eastAsia="宋体" w:cs="宋体"/>
          <w:color w:val="auto"/>
          <w:kern w:val="0"/>
          <w:sz w:val="24"/>
          <w:szCs w:val="24"/>
          <w:highlight w:val="none"/>
          <w:lang w:val="en-US" w:eastAsia="zh-CN" w:bidi="ar"/>
        </w:rPr>
        <w:t>查询投标人以下失信行为：</w:t>
      </w:r>
    </w:p>
    <w:p w14:paraId="461124C7">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①被列入“经营异常名录”或者“严重违法失信名单”的。</w:t>
      </w:r>
    </w:p>
    <w:p w14:paraId="1F4AB912">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3、由投标人、法定代表人及其项目经理(建造师)进行承诺，不进行现场网上信用查询的失信行为：</w:t>
      </w:r>
    </w:p>
    <w:p w14:paraId="482B0DD1">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①前三年有行贿犯罪行为的单位和个人；</w:t>
      </w:r>
    </w:p>
    <w:p w14:paraId="6A05B055">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②被滁州市县两级公管部门取消在一定期限内的投标资格且在取消期限内的；</w:t>
      </w:r>
    </w:p>
    <w:p w14:paraId="38E18D00">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③被滁州市县两级各行业主管部门取消在一定期限内的投标资格且在取消期限内的；</w:t>
      </w:r>
    </w:p>
    <w:p w14:paraId="5D2FBB6B">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④因拖欠农民工工资被县级及以上有关行政主管部门限制投标资格且在限制期限内的；</w:t>
      </w:r>
    </w:p>
    <w:p w14:paraId="16663A3F">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72311375">
      <w:pPr>
        <w:keepNext w:val="0"/>
        <w:keepLines w:val="0"/>
        <w:widowControl w:val="0"/>
        <w:suppressLineNumbers w:val="0"/>
        <w:adjustRightInd w:val="0"/>
        <w:snapToGrid w:val="0"/>
        <w:spacing w:before="0" w:beforeAutospacing="0" w:after="0" w:afterAutospacing="0" w:line="560" w:lineRule="exact"/>
        <w:ind w:left="0" w:right="0" w:firstLine="482" w:firstLineChars="200"/>
        <w:jc w:val="both"/>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（二）政府采购项目</w:t>
      </w:r>
    </w:p>
    <w:p w14:paraId="759C2F0A">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1、“信用中国”网站（</w:t>
      </w:r>
      <w:r>
        <w:rPr>
          <w:rStyle w:val="287"/>
          <w:rFonts w:hint="eastAsia" w:ascii="宋体" w:hAnsi="宋体" w:eastAsia="宋体" w:cs="宋体"/>
          <w:color w:val="auto"/>
          <w:sz w:val="24"/>
          <w:szCs w:val="24"/>
          <w:highlight w:val="none"/>
          <w:u w:val="single"/>
          <w:lang w:val="en-US" w:eastAsia="zh-CN" w:bidi="ar"/>
        </w:rPr>
        <w:t>www.creditchina.gov.cn</w:t>
      </w:r>
      <w:r>
        <w:rPr>
          <w:rFonts w:hint="eastAsia" w:ascii="宋体" w:hAnsi="宋体" w:eastAsia="宋体" w:cs="宋体"/>
          <w:color w:val="auto"/>
          <w:kern w:val="0"/>
          <w:sz w:val="24"/>
          <w:szCs w:val="24"/>
          <w:highlight w:val="none"/>
          <w:lang w:val="en-US" w:eastAsia="zh-CN" w:bidi="ar"/>
        </w:rPr>
        <w:t>）查询供应商、法定代表人及其项目负责人以下失信行为：</w:t>
      </w:r>
    </w:p>
    <w:p w14:paraId="5E650651">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①被列入“失信被执行人”的;</w:t>
      </w:r>
    </w:p>
    <w:p w14:paraId="417A8D93">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②被列入“重大税收违法失信主体”的；</w:t>
      </w:r>
    </w:p>
    <w:p w14:paraId="17862806">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③被列入 “严重失信主体名单”的；</w:t>
      </w:r>
    </w:p>
    <w:p w14:paraId="6489FCDA">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④在“信用中国”网站上披露的仍在公示期的严重失信行为(具体行为类别及判定依据见附件2)的。</w:t>
      </w:r>
    </w:p>
    <w:p w14:paraId="233A7822">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2、国家企业信用信息公示系统网站（</w:t>
      </w:r>
      <w:r>
        <w:rPr>
          <w:rFonts w:hint="eastAsia" w:ascii="宋体" w:hAnsi="宋体" w:eastAsia="宋体" w:cs="Times New Roman"/>
          <w:color w:val="auto"/>
          <w:kern w:val="0"/>
          <w:sz w:val="24"/>
          <w:szCs w:val="24"/>
          <w:highlight w:val="none"/>
          <w:lang w:val="en-US" w:eastAsia="zh-CN" w:bidi="ar"/>
        </w:rPr>
        <w:fldChar w:fldCharType="begin"/>
      </w:r>
      <w:r>
        <w:rPr>
          <w:rFonts w:hint="eastAsia" w:ascii="宋体" w:hAnsi="宋体" w:eastAsia="宋体" w:cs="Times New Roman"/>
          <w:color w:val="auto"/>
          <w:kern w:val="0"/>
          <w:sz w:val="24"/>
          <w:szCs w:val="24"/>
          <w:highlight w:val="none"/>
          <w:lang w:val="en-US" w:eastAsia="zh-CN" w:bidi="ar"/>
        </w:rPr>
        <w:instrText xml:space="preserve"> HYPERLINK "http://www.gsxt.gov.cn）查询" </w:instrText>
      </w:r>
      <w:r>
        <w:rPr>
          <w:rFonts w:hint="eastAsia" w:ascii="宋体" w:hAnsi="宋体" w:eastAsia="宋体" w:cs="Times New Roman"/>
          <w:color w:val="auto"/>
          <w:kern w:val="0"/>
          <w:sz w:val="24"/>
          <w:szCs w:val="24"/>
          <w:highlight w:val="none"/>
          <w:lang w:val="en-US" w:eastAsia="zh-CN" w:bidi="ar"/>
        </w:rPr>
        <w:fldChar w:fldCharType="separate"/>
      </w:r>
      <w:r>
        <w:rPr>
          <w:rStyle w:val="66"/>
          <w:rFonts w:hint="eastAsia" w:ascii="宋体" w:hAnsi="宋体" w:eastAsia="宋体" w:cs="宋体"/>
          <w:color w:val="auto"/>
          <w:sz w:val="24"/>
          <w:szCs w:val="24"/>
          <w:highlight w:val="none"/>
        </w:rPr>
        <w:t>www.gsxt.gov.cn）</w:t>
      </w:r>
      <w:r>
        <w:rPr>
          <w:rFonts w:hint="eastAsia" w:ascii="宋体" w:hAnsi="宋体" w:eastAsia="宋体" w:cs="Times New Roman"/>
          <w:color w:val="auto"/>
          <w:kern w:val="0"/>
          <w:sz w:val="24"/>
          <w:szCs w:val="24"/>
          <w:highlight w:val="none"/>
          <w:lang w:val="en-US" w:eastAsia="zh-CN" w:bidi="ar"/>
        </w:rPr>
        <w:fldChar w:fldCharType="end"/>
      </w:r>
      <w:r>
        <w:rPr>
          <w:rFonts w:hint="eastAsia" w:ascii="宋体" w:hAnsi="宋体" w:eastAsia="宋体" w:cs="宋体"/>
          <w:color w:val="auto"/>
          <w:kern w:val="0"/>
          <w:sz w:val="24"/>
          <w:szCs w:val="24"/>
          <w:highlight w:val="none"/>
          <w:lang w:val="en-US" w:eastAsia="zh-CN" w:bidi="ar"/>
        </w:rPr>
        <w:t>查询供应商以下失信行为：</w:t>
      </w:r>
    </w:p>
    <w:p w14:paraId="3CCA3EFA">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①被列入“经营异常名录”或者“严重违法失信名单”的。</w:t>
      </w:r>
    </w:p>
    <w:p w14:paraId="240101EE">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3、中国政府采购网站（</w:t>
      </w:r>
      <w:r>
        <w:rPr>
          <w:rFonts w:hint="eastAsia" w:ascii="宋体" w:hAnsi="宋体" w:eastAsia="宋体" w:cs="Times New Roman"/>
          <w:color w:val="auto"/>
          <w:kern w:val="0"/>
          <w:sz w:val="24"/>
          <w:szCs w:val="24"/>
          <w:highlight w:val="none"/>
          <w:lang w:val="en-US" w:eastAsia="zh-CN" w:bidi="ar"/>
        </w:rPr>
        <w:fldChar w:fldCharType="begin"/>
      </w:r>
      <w:r>
        <w:rPr>
          <w:rFonts w:hint="eastAsia" w:ascii="宋体" w:hAnsi="宋体" w:eastAsia="宋体" w:cs="Times New Roman"/>
          <w:color w:val="auto"/>
          <w:kern w:val="0"/>
          <w:sz w:val="24"/>
          <w:szCs w:val="24"/>
          <w:highlight w:val="none"/>
          <w:lang w:val="en-US" w:eastAsia="zh-CN" w:bidi="ar"/>
        </w:rPr>
        <w:instrText xml:space="preserve"> HYPERLINK "http://www.ccgp.gov.cn" </w:instrText>
      </w:r>
      <w:r>
        <w:rPr>
          <w:rFonts w:hint="eastAsia" w:ascii="宋体" w:hAnsi="宋体" w:eastAsia="宋体" w:cs="Times New Roman"/>
          <w:color w:val="auto"/>
          <w:kern w:val="0"/>
          <w:sz w:val="24"/>
          <w:szCs w:val="24"/>
          <w:highlight w:val="none"/>
          <w:lang w:val="en-US" w:eastAsia="zh-CN" w:bidi="ar"/>
        </w:rPr>
        <w:fldChar w:fldCharType="separate"/>
      </w:r>
      <w:r>
        <w:rPr>
          <w:rStyle w:val="66"/>
          <w:rFonts w:hint="eastAsia" w:ascii="宋体" w:hAnsi="宋体" w:eastAsia="宋体" w:cs="宋体"/>
          <w:color w:val="auto"/>
          <w:sz w:val="24"/>
          <w:szCs w:val="24"/>
          <w:highlight w:val="none"/>
        </w:rPr>
        <w:t>www.ccgp.gov.cn</w:t>
      </w:r>
      <w:r>
        <w:rPr>
          <w:rFonts w:hint="eastAsia" w:ascii="宋体" w:hAnsi="宋体" w:eastAsia="宋体" w:cs="Times New Roman"/>
          <w:color w:val="auto"/>
          <w:kern w:val="0"/>
          <w:sz w:val="24"/>
          <w:szCs w:val="24"/>
          <w:highlight w:val="none"/>
          <w:lang w:val="en-US" w:eastAsia="zh-CN" w:bidi="ar"/>
        </w:rPr>
        <w:fldChar w:fldCharType="end"/>
      </w:r>
      <w:r>
        <w:rPr>
          <w:rFonts w:hint="eastAsia" w:ascii="宋体" w:hAnsi="宋体" w:eastAsia="宋体" w:cs="宋体"/>
          <w:color w:val="auto"/>
          <w:kern w:val="0"/>
          <w:sz w:val="24"/>
          <w:szCs w:val="24"/>
          <w:highlight w:val="none"/>
          <w:lang w:val="en-US" w:eastAsia="zh-CN" w:bidi="ar"/>
        </w:rPr>
        <w:t>）查询以下失信行为：</w:t>
      </w:r>
    </w:p>
    <w:p w14:paraId="55A704FB">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①被列入“政府采购严重违法失信行为信息记录”的。</w:t>
      </w:r>
    </w:p>
    <w:p w14:paraId="559108BC">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4、由竞争主体进行承诺，不进行现场网上信用查询的失信行为：</w:t>
      </w:r>
    </w:p>
    <w:p w14:paraId="070B76CC">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①前三年有行贿犯罪行为的单位和个人。</w:t>
      </w:r>
    </w:p>
    <w:p w14:paraId="6F0B2327">
      <w:pPr>
        <w:keepNext w:val="0"/>
        <w:keepLines w:val="0"/>
        <w:widowControl w:val="0"/>
        <w:suppressLineNumbers w:val="0"/>
        <w:adjustRightInd w:val="0"/>
        <w:snapToGrid w:val="0"/>
        <w:spacing w:before="0" w:beforeAutospacing="0" w:after="0" w:afterAutospacing="0" w:line="560" w:lineRule="exact"/>
        <w:ind w:left="0" w:right="0" w:firstLine="482" w:firstLineChars="200"/>
        <w:jc w:val="both"/>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二、在开评标活动中的查询程序</w:t>
      </w:r>
    </w:p>
    <w:p w14:paraId="5AF06207">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6D48F8F9">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4A0C1366">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3、项目单位及其委托的代理机构应当做好信用查询结果截图和记录留存。</w:t>
      </w:r>
    </w:p>
    <w:p w14:paraId="54EE4214">
      <w:pPr>
        <w:keepNext w:val="0"/>
        <w:keepLines w:val="0"/>
        <w:widowControl w:val="0"/>
        <w:suppressLineNumbers w:val="0"/>
        <w:adjustRightInd w:val="0"/>
        <w:snapToGrid w:val="0"/>
        <w:spacing w:before="0" w:beforeAutospacing="0" w:after="0" w:afterAutospacing="0" w:line="560" w:lineRule="exact"/>
        <w:ind w:left="0" w:right="0" w:firstLine="482" w:firstLineChars="200"/>
        <w:jc w:val="both"/>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三、相关要求</w:t>
      </w:r>
    </w:p>
    <w:p w14:paraId="123AC1DD">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1、参与公共资源交易活动的竞争主体根据上述范围查询的内容进行自查并承诺，出具《诚信投标承诺书》（诚信投标承诺书包括但不限于上述自查并承诺内容）并注明承诺日期（投标截止时间前5日内）。</w:t>
      </w:r>
    </w:p>
    <w:p w14:paraId="1E7AFE6B">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06D7E007">
      <w:pPr>
        <w:keepNext w:val="0"/>
        <w:keepLines w:val="0"/>
        <w:widowControl w:val="0"/>
        <w:suppressLineNumbers w:val="0"/>
        <w:wordWrap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rPr>
          <w:rFonts w:hint="eastAsia" w:ascii="宋体" w:hAnsi="宋体" w:eastAsia="宋体" w:cs="宋体"/>
          <w:color w:val="auto"/>
          <w:sz w:val="24"/>
          <w:szCs w:val="24"/>
          <w:highlight w:val="none"/>
          <w:u w:val="none"/>
        </w:rPr>
        <w:t>https://credit.ah.gov.cn/xinyong-fuwu/xvbahv/index.html</w:t>
      </w:r>
      <w:r>
        <w:rPr>
          <w:rFonts w:hint="eastAsia" w:ascii="宋体" w:hAnsi="宋体" w:eastAsia="宋体" w:cs="宋体"/>
          <w:color w:val="auto"/>
          <w:kern w:val="0"/>
          <w:sz w:val="24"/>
          <w:szCs w:val="24"/>
          <w:highlight w:val="none"/>
          <w:lang w:val="en-US" w:eastAsia="zh-CN" w:bidi="ar"/>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53FF2497">
      <w:pPr>
        <w:keepNext w:val="0"/>
        <w:keepLines w:val="0"/>
        <w:widowControl w:val="0"/>
        <w:suppressLineNumbers w:val="0"/>
        <w:adjustRightInd w:val="0"/>
        <w:snapToGrid w:val="0"/>
        <w:spacing w:before="0" w:beforeAutospacing="0" w:after="0" w:afterAutospacing="0" w:line="560" w:lineRule="exact"/>
        <w:ind w:left="0" w:right="0" w:firstLine="482" w:firstLineChars="200"/>
        <w:jc w:val="both"/>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2、“信用中国”查询的严重失信行为判定依据为各行业主管部门下发的联合惩戒文件中规定的行为（按附件2执行）。</w:t>
      </w:r>
    </w:p>
    <w:p w14:paraId="06CC9180">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3、资格预审的项目以递交资格预审申请文件截止时间查询为准；资格后审的项目以递交投标文件截止时间查询为准。 </w:t>
      </w:r>
    </w:p>
    <w:p w14:paraId="0906A8F1">
      <w:pPr>
        <w:pStyle w:val="51"/>
        <w:keepNext w:val="0"/>
        <w:keepLines w:val="0"/>
        <w:widowControl w:val="0"/>
        <w:suppressLineNumbers w:val="0"/>
        <w:spacing w:before="0" w:beforeAutospacing="1" w:after="120" w:afterAutospacing="0" w:line="360" w:lineRule="auto"/>
        <w:ind w:left="400" w:leftChars="200" w:right="0" w:firstLine="420" w:firstLineChars="200"/>
        <w:jc w:val="both"/>
        <w:rPr>
          <w:rFonts w:hint="eastAsia" w:ascii="宋体" w:hAnsi="Calibri" w:eastAsia="宋体" w:cs="Times New Roman"/>
          <w:color w:val="auto"/>
          <w:kern w:val="2"/>
          <w:sz w:val="21"/>
          <w:szCs w:val="21"/>
          <w:highlight w:val="none"/>
        </w:rPr>
      </w:pPr>
      <w:r>
        <w:rPr>
          <w:rFonts w:hint="eastAsia" w:ascii="宋体" w:hAnsi="Calibri" w:eastAsia="宋体" w:cs="Times New Roman"/>
          <w:color w:val="auto"/>
          <w:kern w:val="2"/>
          <w:sz w:val="21"/>
          <w:szCs w:val="21"/>
          <w:highlight w:val="none"/>
          <w:lang w:val="en-US" w:eastAsia="zh-CN" w:bidi="ar"/>
        </w:rPr>
        <w:t xml:space="preserve"> </w:t>
      </w:r>
    </w:p>
    <w:p w14:paraId="75D418F0">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br w:type="page"/>
      </w:r>
      <w:r>
        <w:rPr>
          <w:rFonts w:hint="eastAsia" w:ascii="宋体" w:hAnsi="宋体" w:eastAsia="宋体" w:cs="宋体"/>
          <w:b/>
          <w:bCs w:val="0"/>
          <w:color w:val="auto"/>
          <w:kern w:val="0"/>
          <w:sz w:val="24"/>
          <w:szCs w:val="24"/>
          <w:highlight w:val="none"/>
          <w:lang w:val="en-US" w:eastAsia="zh-CN" w:bidi="ar"/>
        </w:rPr>
        <w:t>附件</w:t>
      </w:r>
      <w:r>
        <w:rPr>
          <w:rFonts w:hint="default" w:ascii="Times New Roman" w:hAnsi="Times New Roman" w:eastAsia="宋体" w:cs="Times New Roman"/>
          <w:b/>
          <w:bCs w:val="0"/>
          <w:color w:val="auto"/>
          <w:kern w:val="0"/>
          <w:sz w:val="24"/>
          <w:szCs w:val="24"/>
          <w:highlight w:val="none"/>
          <w:lang w:val="en-US" w:eastAsia="zh-CN" w:bidi="ar"/>
        </w:rPr>
        <w:t>2</w:t>
      </w:r>
    </w:p>
    <w:p w14:paraId="48D2942F">
      <w:pPr>
        <w:keepNext w:val="0"/>
        <w:keepLines w:val="0"/>
        <w:widowControl w:val="0"/>
        <w:suppressLineNumbers w:val="0"/>
        <w:adjustRightInd w:val="0"/>
        <w:snapToGrid w:val="0"/>
        <w:spacing w:before="0" w:beforeAutospacing="0" w:after="0" w:afterAutospacing="0" w:line="560" w:lineRule="exact"/>
        <w:ind w:left="0" w:right="0" w:firstLine="645"/>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“信用中国”查询的严重失信行为类别及判定依据</w:t>
      </w:r>
    </w:p>
    <w:p w14:paraId="37924A5B">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“信用中国”查询的严重失信行为判定依据为各行业主管部门下发的联合惩戒文件中规定的行为。下面将部分类别的严重失信行为列举如下：</w:t>
      </w:r>
    </w:p>
    <w:p w14:paraId="0E1BD6E1">
      <w:pPr>
        <w:keepNext w:val="0"/>
        <w:keepLines w:val="0"/>
        <w:widowControl w:val="0"/>
        <w:suppressLineNumbers w:val="0"/>
        <w:autoSpaceDE w:val="0"/>
        <w:autoSpaceDN/>
        <w:adjustRightInd w:val="0"/>
        <w:snapToGrid w:val="0"/>
        <w:spacing w:before="0" w:beforeAutospacing="0" w:after="0" w:afterAutospacing="0" w:line="560" w:lineRule="exact"/>
        <w:ind w:left="0" w:right="0" w:firstLine="482" w:firstLineChars="20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一、安全生产领域严重失信行为：</w:t>
      </w:r>
    </w:p>
    <w:p w14:paraId="604C5B8C">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（一）下列发生生产安全事故的生产经营单位及其有关人员应当列入严重失信主体名单：</w:t>
      </w:r>
    </w:p>
    <w:p w14:paraId="68113632">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1、发生特别重大、重大生产安全事故的生产经营单位及其主要负责人，以及经调查认定对该事故发生负有责任，应当列入名单的其他单位和人员；</w:t>
      </w:r>
    </w:p>
    <w:p w14:paraId="3E666900">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2、12个月内累计发生2起以上较大生产安全事故的生产经营单位及其主要负责人；</w:t>
      </w:r>
    </w:p>
    <w:p w14:paraId="5B6609DE">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3、发生生产安全事故，情节特别严重、影响特别恶劣，依照《中华人民共和国安全生产法》第一百一十四条的规定被处以罚款数额2倍以上5倍以下罚款的生产经营单位及其主要负责人；</w:t>
      </w:r>
    </w:p>
    <w:p w14:paraId="36DD3BD9">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4、瞒报、谎报生产安全事故的生产经营单位及其有关责任人员；</w:t>
      </w:r>
    </w:p>
    <w:p w14:paraId="65E07401">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5、发生生产安全事故后，不立即组织抢救或者在事故调查处理期间擅离职守或者逃匿的生产经营单位主要负责人。</w:t>
      </w:r>
    </w:p>
    <w:p w14:paraId="57326D09">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（二）下列未发生生产安全事故，但因安全生产违法行为，受到行政处罚的生产经营单位或者机构及其有关人员，应当列入严重失信主体名单：</w:t>
      </w:r>
    </w:p>
    <w:p w14:paraId="4DCD8963">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1、未依法取得安全生产相关许可或者许可被暂扣、吊销期间从事相关生产经营活动的生产经营单位及其主要负责人；</w:t>
      </w:r>
    </w:p>
    <w:p w14:paraId="71B66582">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2、承担安全评价、认证、检测、检验职责的机构及其直接责任人员租借资质、挂靠、出具虚假报告或者证书的；</w:t>
      </w:r>
    </w:p>
    <w:p w14:paraId="1482F2DF">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3、在应急管理部门作出行政处罚后，有执行能力拒不执行或者逃避执行的生产经营单位及其主要负责人；</w:t>
      </w:r>
    </w:p>
    <w:p w14:paraId="7CC0B222">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4、其他违反安全生产法律法规受到行政处罚，且性质恶劣、情节严重的。</w:t>
      </w:r>
    </w:p>
    <w:p w14:paraId="24E45B7C">
      <w:pPr>
        <w:keepNext w:val="0"/>
        <w:keepLines w:val="0"/>
        <w:widowControl w:val="0"/>
        <w:suppressLineNumbers w:val="0"/>
        <w:autoSpaceDE w:val="0"/>
        <w:autoSpaceDN/>
        <w:adjustRightInd w:val="0"/>
        <w:snapToGrid w:val="0"/>
        <w:spacing w:before="0" w:beforeAutospacing="0" w:after="0" w:afterAutospacing="0" w:line="560" w:lineRule="exact"/>
        <w:ind w:left="0" w:right="0" w:firstLine="482" w:firstLineChars="20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依据：《安全生产严重失信主体名单管理办法》（2023年8月8日应急管理部令第11号）</w:t>
      </w:r>
    </w:p>
    <w:p w14:paraId="0CD7999B">
      <w:pPr>
        <w:keepNext w:val="0"/>
        <w:keepLines w:val="0"/>
        <w:widowControl w:val="0"/>
        <w:suppressLineNumbers w:val="0"/>
        <w:autoSpaceDE w:val="0"/>
        <w:autoSpaceDN/>
        <w:adjustRightInd w:val="0"/>
        <w:snapToGrid w:val="0"/>
        <w:spacing w:before="0" w:beforeAutospacing="0" w:after="0" w:afterAutospacing="0" w:line="560" w:lineRule="exact"/>
        <w:ind w:left="0" w:right="0" w:firstLine="482" w:firstLineChars="20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二、环境保护领域严重失信行为：</w:t>
      </w:r>
    </w:p>
    <w:p w14:paraId="3A947D70">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（一）因为环境违法构成</w:t>
      </w:r>
      <w:r>
        <w:rPr>
          <w:rFonts w:hint="eastAsia" w:ascii="宋体" w:hAnsi="宋体" w:eastAsia="宋体" w:cs="宋体"/>
          <w:color w:val="auto"/>
          <w:sz w:val="24"/>
          <w:szCs w:val="24"/>
          <w:highlight w:val="none"/>
          <w:u w:val="none"/>
        </w:rPr>
        <w:t>环境犯罪</w:t>
      </w:r>
      <w:r>
        <w:rPr>
          <w:rFonts w:hint="eastAsia" w:ascii="宋体" w:hAnsi="宋体" w:eastAsia="宋体" w:cs="宋体"/>
          <w:color w:val="auto"/>
          <w:kern w:val="0"/>
          <w:sz w:val="24"/>
          <w:szCs w:val="24"/>
          <w:highlight w:val="none"/>
          <w:lang w:val="en-US" w:eastAsia="zh-CN" w:bidi="ar"/>
        </w:rPr>
        <w:t>的；</w:t>
      </w:r>
    </w:p>
    <w:p w14:paraId="62A9E4DE">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（二）</w:t>
      </w:r>
      <w:r>
        <w:rPr>
          <w:rFonts w:hint="eastAsia" w:ascii="宋体" w:hAnsi="宋体" w:eastAsia="宋体" w:cs="宋体"/>
          <w:color w:val="auto"/>
          <w:sz w:val="24"/>
          <w:szCs w:val="24"/>
          <w:highlight w:val="none"/>
          <w:u w:val="none"/>
        </w:rPr>
        <w:t>建设项目环境影响评价</w:t>
      </w:r>
      <w:r>
        <w:rPr>
          <w:rFonts w:hint="eastAsia" w:ascii="宋体" w:hAnsi="宋体" w:eastAsia="宋体" w:cs="宋体"/>
          <w:color w:val="auto"/>
          <w:kern w:val="0"/>
          <w:sz w:val="24"/>
          <w:szCs w:val="24"/>
          <w:highlight w:val="none"/>
          <w:lang w:val="en-US" w:eastAsia="zh-CN" w:bidi="ar"/>
        </w:rPr>
        <w:t>文件未按规定通过审批，擅自开工建设的；</w:t>
      </w:r>
    </w:p>
    <w:p w14:paraId="06CFB7C1">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（三）建设项目环保设施未建成、环保措施未落实、未通过</w:t>
      </w:r>
      <w:r>
        <w:rPr>
          <w:rFonts w:hint="eastAsia" w:ascii="宋体" w:hAnsi="宋体" w:eastAsia="宋体" w:cs="宋体"/>
          <w:color w:val="auto"/>
          <w:sz w:val="24"/>
          <w:szCs w:val="24"/>
          <w:highlight w:val="none"/>
          <w:u w:val="none"/>
        </w:rPr>
        <w:t>竣工环保验收</w:t>
      </w:r>
      <w:r>
        <w:rPr>
          <w:rFonts w:hint="eastAsia" w:ascii="宋体" w:hAnsi="宋体" w:eastAsia="宋体" w:cs="宋体"/>
          <w:color w:val="auto"/>
          <w:kern w:val="0"/>
          <w:sz w:val="24"/>
          <w:szCs w:val="24"/>
          <w:highlight w:val="none"/>
          <w:lang w:val="en-US" w:eastAsia="zh-CN" w:bidi="ar"/>
        </w:rPr>
        <w:t>或者验收不合格，主体工程正式投入生产或者使用的；</w:t>
      </w:r>
    </w:p>
    <w:p w14:paraId="18F0E56A">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（四）建设项目性质、规模、地点、采用的生产工艺或者防治污染、防止生态破坏的措施发生重大变动，未重新报批环境影响评价文件，擅自投入生产或者使用的；</w:t>
      </w:r>
    </w:p>
    <w:p w14:paraId="1B16FBC9">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（五）主要污染物排放总量超过控制指标的；</w:t>
      </w:r>
    </w:p>
    <w:p w14:paraId="46986F84">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（六）私设暗管或者利用</w:t>
      </w:r>
      <w:r>
        <w:rPr>
          <w:rFonts w:hint="eastAsia" w:ascii="宋体" w:hAnsi="宋体" w:eastAsia="宋体" w:cs="宋体"/>
          <w:color w:val="auto"/>
          <w:sz w:val="24"/>
          <w:szCs w:val="24"/>
          <w:highlight w:val="none"/>
          <w:u w:val="none"/>
        </w:rPr>
        <w:t>渗井</w:t>
      </w:r>
      <w:r>
        <w:rPr>
          <w:rFonts w:hint="eastAsia" w:ascii="宋体" w:hAnsi="宋体" w:eastAsia="宋体" w:cs="宋体"/>
          <w:color w:val="auto"/>
          <w:kern w:val="0"/>
          <w:sz w:val="24"/>
          <w:szCs w:val="24"/>
          <w:highlight w:val="none"/>
          <w:lang w:val="en-US" w:eastAsia="zh-CN" w:bidi="ar"/>
        </w:rPr>
        <w:t>、渗坑、裂隙、溶洞等排放、倾倒、处置水污染物，或者通过私设旁路排放</w:t>
      </w:r>
      <w:r>
        <w:rPr>
          <w:rFonts w:hint="eastAsia" w:ascii="宋体" w:hAnsi="宋体" w:eastAsia="宋体" w:cs="宋体"/>
          <w:color w:val="auto"/>
          <w:sz w:val="24"/>
          <w:szCs w:val="24"/>
          <w:highlight w:val="none"/>
          <w:u w:val="none"/>
        </w:rPr>
        <w:t>大气污染物</w:t>
      </w:r>
      <w:r>
        <w:rPr>
          <w:rFonts w:hint="eastAsia" w:ascii="宋体" w:hAnsi="宋体" w:eastAsia="宋体" w:cs="宋体"/>
          <w:color w:val="auto"/>
          <w:kern w:val="0"/>
          <w:sz w:val="24"/>
          <w:szCs w:val="24"/>
          <w:highlight w:val="none"/>
          <w:lang w:val="en-US" w:eastAsia="zh-CN" w:bidi="ar"/>
        </w:rPr>
        <w:t>的；</w:t>
      </w:r>
    </w:p>
    <w:p w14:paraId="70AD8909">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（七）非法排放、倾倒、处置危险废物，或者向无</w:t>
      </w:r>
      <w:r>
        <w:rPr>
          <w:rFonts w:hint="eastAsia" w:ascii="宋体" w:hAnsi="宋体" w:eastAsia="宋体" w:cs="宋体"/>
          <w:color w:val="auto"/>
          <w:sz w:val="24"/>
          <w:szCs w:val="24"/>
          <w:highlight w:val="none"/>
          <w:u w:val="none"/>
        </w:rPr>
        <w:t>经营许可证</w:t>
      </w:r>
      <w:r>
        <w:rPr>
          <w:rFonts w:hint="eastAsia" w:ascii="宋体" w:hAnsi="宋体" w:eastAsia="宋体" w:cs="宋体"/>
          <w:color w:val="auto"/>
          <w:kern w:val="0"/>
          <w:sz w:val="24"/>
          <w:szCs w:val="24"/>
          <w:highlight w:val="none"/>
          <w:lang w:val="en-US" w:eastAsia="zh-CN" w:bidi="ar"/>
        </w:rPr>
        <w:t>或者超出经营许可范围的单位或个人提供或者委托其收集、贮存、利用、处置危险废物的；</w:t>
      </w:r>
    </w:p>
    <w:p w14:paraId="3FF85396">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（八）</w:t>
      </w:r>
      <w:r>
        <w:rPr>
          <w:rFonts w:hint="eastAsia" w:ascii="宋体" w:hAnsi="宋体" w:eastAsia="宋体" w:cs="宋体"/>
          <w:color w:val="auto"/>
          <w:sz w:val="24"/>
          <w:szCs w:val="24"/>
          <w:highlight w:val="none"/>
          <w:u w:val="none"/>
        </w:rPr>
        <w:t>环境违法行为</w:t>
      </w:r>
      <w:r>
        <w:rPr>
          <w:rFonts w:hint="eastAsia" w:ascii="宋体" w:hAnsi="宋体" w:eastAsia="宋体" w:cs="宋体"/>
          <w:color w:val="auto"/>
          <w:kern w:val="0"/>
          <w:sz w:val="24"/>
          <w:szCs w:val="24"/>
          <w:highlight w:val="none"/>
          <w:lang w:val="en-US" w:eastAsia="zh-CN" w:bidi="ar"/>
        </w:rPr>
        <w:t>造成集中式生活饮用水水源取水中断的；</w:t>
      </w:r>
    </w:p>
    <w:p w14:paraId="497E4953">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（九）环境违法行为对生活饮用水水源保护区、自然保护区、</w:t>
      </w:r>
      <w:r>
        <w:rPr>
          <w:rFonts w:hint="eastAsia" w:ascii="宋体" w:hAnsi="宋体" w:eastAsia="宋体" w:cs="宋体"/>
          <w:color w:val="auto"/>
          <w:sz w:val="24"/>
          <w:szCs w:val="24"/>
          <w:highlight w:val="none"/>
          <w:u w:val="none"/>
        </w:rPr>
        <w:t>国家重点生态功能区</w:t>
      </w:r>
      <w:r>
        <w:rPr>
          <w:rFonts w:hint="eastAsia" w:ascii="宋体" w:hAnsi="宋体" w:eastAsia="宋体" w:cs="宋体"/>
          <w:color w:val="auto"/>
          <w:kern w:val="0"/>
          <w:sz w:val="24"/>
          <w:szCs w:val="24"/>
          <w:highlight w:val="none"/>
          <w:lang w:val="en-US" w:eastAsia="zh-CN" w:bidi="ar"/>
        </w:rPr>
        <w:t>、风景名胜区、居住功能区、</w:t>
      </w:r>
      <w:r>
        <w:rPr>
          <w:rFonts w:hint="eastAsia" w:ascii="宋体" w:hAnsi="宋体" w:eastAsia="宋体" w:cs="宋体"/>
          <w:color w:val="auto"/>
          <w:sz w:val="24"/>
          <w:szCs w:val="24"/>
          <w:highlight w:val="none"/>
          <w:u w:val="none"/>
        </w:rPr>
        <w:t>基本农田保护区</w:t>
      </w:r>
      <w:r>
        <w:rPr>
          <w:rFonts w:hint="eastAsia" w:ascii="宋体" w:hAnsi="宋体" w:eastAsia="宋体" w:cs="宋体"/>
          <w:color w:val="auto"/>
          <w:kern w:val="0"/>
          <w:sz w:val="24"/>
          <w:szCs w:val="24"/>
          <w:highlight w:val="none"/>
          <w:lang w:val="en-US" w:eastAsia="zh-CN" w:bidi="ar"/>
        </w:rPr>
        <w:t>等环境敏感区造成重大不利影响的；</w:t>
      </w:r>
    </w:p>
    <w:p w14:paraId="215D9978">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（十）违法从事自然资源开发、交通基础设施建设，以及其他开发建设活动，造成严重生态破坏的；</w:t>
      </w:r>
    </w:p>
    <w:p w14:paraId="266D9DCB">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（十一）发生较大及以上突发环境事件的；</w:t>
      </w:r>
    </w:p>
    <w:p w14:paraId="1F41F4FE">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（十二）被环保部门挂牌督办，整改逾期未完成的；</w:t>
      </w:r>
    </w:p>
    <w:p w14:paraId="41949F97">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（十三）以暴力、威胁等方式拒绝、阻挠环保部门工作人员现场检查的；</w:t>
      </w:r>
    </w:p>
    <w:p w14:paraId="65FF4463">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（十四）违反重污染天气应急预案有关规定，对重污染天气响应不力的。</w:t>
      </w:r>
    </w:p>
    <w:p w14:paraId="4C392689">
      <w:pPr>
        <w:keepNext w:val="0"/>
        <w:keepLines w:val="0"/>
        <w:widowControl w:val="0"/>
        <w:suppressLineNumbers w:val="0"/>
        <w:autoSpaceDE w:val="0"/>
        <w:autoSpaceDN/>
        <w:adjustRightInd w:val="0"/>
        <w:snapToGrid w:val="0"/>
        <w:spacing w:before="0" w:beforeAutospacing="0" w:after="0" w:afterAutospacing="0" w:line="560" w:lineRule="exact"/>
        <w:ind w:left="0" w:right="0" w:firstLine="482" w:firstLineChars="20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依据：《关于对环境保护领域失信生产经营单位及其有关人员开展联合惩戒的合作备忘录》、《企业环境信用评价办法（试行）》（环发〔2013〕150号）</w:t>
      </w:r>
    </w:p>
    <w:p w14:paraId="3683E005">
      <w:pPr>
        <w:keepNext w:val="0"/>
        <w:keepLines w:val="0"/>
        <w:widowControl w:val="0"/>
        <w:suppressLineNumbers w:val="0"/>
        <w:autoSpaceDE w:val="0"/>
        <w:autoSpaceDN/>
        <w:adjustRightInd w:val="0"/>
        <w:snapToGrid w:val="0"/>
        <w:spacing w:before="0" w:beforeAutospacing="0" w:after="0" w:afterAutospacing="0" w:line="560" w:lineRule="exact"/>
        <w:ind w:left="0" w:right="0" w:firstLine="482" w:firstLineChars="20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三、</w:t>
      </w:r>
      <w:r>
        <w:rPr>
          <w:rFonts w:hint="eastAsia" w:ascii="宋体" w:hAnsi="宋体" w:eastAsia="宋体" w:cs="宋体"/>
          <w:b/>
          <w:bCs/>
          <w:color w:val="auto"/>
          <w:kern w:val="0"/>
          <w:sz w:val="24"/>
          <w:szCs w:val="24"/>
          <w:highlight w:val="none"/>
          <w:lang w:val="en-US" w:eastAsia="zh-CN" w:bidi="ar"/>
        </w:rPr>
        <w:t>公共资源交易领域严重失信行为</w:t>
      </w:r>
    </w:p>
    <w:p w14:paraId="03A5AF19">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（一）违反法律规定，必须进行招标的项目而不招标的，将必须进行招标的项目化整为零或者以其他任何方式规避招标的； </w:t>
      </w:r>
    </w:p>
    <w:p w14:paraId="0A451FE9">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（二）招标代理机构违反法律规定，泄露应当保密的与招标投标活动有关的情况和资料的，或者与招标人、投标人串通损害 国家利益、社会公共利益或者他人合法权益的；</w:t>
      </w:r>
    </w:p>
    <w:p w14:paraId="1C98D95C">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（三）招标人以不合理的条件限制或者排斥潜在投标人的，对潜在投标人实行歧视待遇的，强制要求投标人组成联合体共同 投标的，或者限制投标人之间竞争的；</w:t>
      </w:r>
    </w:p>
    <w:p w14:paraId="6E74A9B6">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（四）依法必须进行招标的项目的招标人向他人透露已获取招标文件的潜在投标人的名称、数量或者可能影响公平竞争的有 关招标投标的其他情况的，或者泄露标底的；</w:t>
      </w:r>
    </w:p>
    <w:p w14:paraId="506797ED">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（五）投标人相互串通投标或者与招标人串通投标的，投标人以向招标人或者评标委员会成员行贿的手段谋取中标的； </w:t>
      </w:r>
    </w:p>
    <w:p w14:paraId="12B4C444">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（六）投标人以他人名义投标或者以其他方式弄虚作假，骗取中标的；</w:t>
      </w:r>
    </w:p>
    <w:p w14:paraId="6295A358">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（七）依法必须进行招标的项目，招标人违反法律规定，与投标人就投标价格、投标方案等实质性内容进行谈判的；</w:t>
      </w:r>
    </w:p>
    <w:p w14:paraId="493DF466">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0C4DF3C9">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（九）招标人在评标委员会依法推荐的中标候选人以外确定中标人的，依法必须进行招标的项目在所有投标被评标委员会否 决后自行确定中标人的； </w:t>
      </w:r>
    </w:p>
    <w:p w14:paraId="6AEF987F">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（十）中标人将中标项目转让给他人的，将中标项目肢解后分别转让给他人的，违反法律规定将中标项目的部分主体、关键 性工作分包给他人的，或者分包人再次分包的； </w:t>
      </w:r>
    </w:p>
    <w:p w14:paraId="18458E93">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（十一）招标人与中标人不按照招标文件和中标人的投标文件订立合同的，或者招标人、中标人订立背离合同实质性内容的 协议的； </w:t>
      </w:r>
    </w:p>
    <w:p w14:paraId="23CFD582">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（十二）中标人不按照与招标人订立的合同履行义务，情节严重的； </w:t>
      </w:r>
    </w:p>
    <w:p w14:paraId="41B11A19">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678C0515">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7CDCD0F6">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（十五）采购人对应当实行集中采购的政府采购项目，不委托集中采购机构实行集中采购的； </w:t>
      </w:r>
    </w:p>
    <w:p w14:paraId="4F4691CF">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（十六）采购人、采购代理机构违反法律规定隐匿、销毁应当保存的采购文件或者伪造、变造采购文件的； </w:t>
      </w:r>
    </w:p>
    <w:p w14:paraId="7F16664E">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65E1C9D5">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（十八）疫苗生产企业向县级疾病预防控制机构以外的单位或者个人销售第二类疫苗的； </w:t>
      </w:r>
    </w:p>
    <w:p w14:paraId="26829A53">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（十九）存在其他违反公共资源交易法律法规行为的。</w:t>
      </w:r>
    </w:p>
    <w:p w14:paraId="434FA825">
      <w:pPr>
        <w:keepNext w:val="0"/>
        <w:keepLines w:val="0"/>
        <w:widowControl w:val="0"/>
        <w:suppressLineNumbers w:val="0"/>
        <w:autoSpaceDE w:val="0"/>
        <w:autoSpaceDN/>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依据：《关于对公共资源交易领域严重失信主体开展联合惩戒的备忘录》（发改法规〔2018〕457号）</w:t>
      </w:r>
    </w:p>
    <w:p w14:paraId="4443EBA1">
      <w:pPr>
        <w:keepNext w:val="0"/>
        <w:keepLines w:val="0"/>
        <w:widowControl w:val="0"/>
        <w:suppressLineNumbers w:val="0"/>
        <w:autoSpaceDE w:val="0"/>
        <w:autoSpaceDN/>
        <w:adjustRightInd w:val="0"/>
        <w:snapToGrid w:val="0"/>
        <w:spacing w:before="0" w:beforeAutospacing="0" w:after="0" w:afterAutospacing="0" w:line="560" w:lineRule="exact"/>
        <w:ind w:left="0" w:right="0"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四、</w:t>
      </w:r>
      <w:r>
        <w:rPr>
          <w:rFonts w:hint="eastAsia" w:ascii="宋体" w:hAnsi="宋体" w:eastAsia="宋体" w:cs="宋体"/>
          <w:b/>
          <w:bCs/>
          <w:color w:val="auto"/>
          <w:kern w:val="0"/>
          <w:sz w:val="24"/>
          <w:szCs w:val="24"/>
          <w:highlight w:val="none"/>
          <w:lang w:val="en-US" w:eastAsia="zh-CN" w:bidi="ar"/>
        </w:rPr>
        <w:t>社会保险领域严重失信行为</w:t>
      </w:r>
    </w:p>
    <w:p w14:paraId="7CA5902B">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（一）用人单位未按相关规定参加社会保险且拒不整改的； </w:t>
      </w:r>
    </w:p>
    <w:p w14:paraId="13796A1E">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（二）用人单位未如实申报社会保险缴费基数且拒不整改的； </w:t>
      </w:r>
    </w:p>
    <w:p w14:paraId="71F0A428">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（三）应缴纳社会保险费却拒不缴纳的； </w:t>
      </w:r>
    </w:p>
    <w:p w14:paraId="07F7BDB0">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（四）隐匿、转移、侵占、挪用社会保险费款、基金或者违规投资运营的；</w:t>
      </w:r>
    </w:p>
    <w:p w14:paraId="1C2F4F83">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（五）以欺诈、伪造证明材料或者其他手段参加、申报社会保险和骗取社会保险基金支出或社会保险待遇的； </w:t>
      </w:r>
    </w:p>
    <w:p w14:paraId="1AC3868E">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（六）非法获取、出售或变相交易社会保险个人权益数据的； </w:t>
      </w:r>
    </w:p>
    <w:p w14:paraId="6288359B">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（七）社会保险服务机构违反服务协议或相关规定的； </w:t>
      </w:r>
    </w:p>
    <w:p w14:paraId="48569456">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（八）拒绝协助社会保险行政部门、经办机构对事故和问题进 行调查核实的；拒绝接受或协助税务部门对社会保险实施监督检查， 不如实提供与社会保险相关各项资料的； </w:t>
      </w:r>
    </w:p>
    <w:p w14:paraId="0E975839">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（九）其他违反法律法规规定的。</w:t>
      </w:r>
    </w:p>
    <w:p w14:paraId="7A27F2A2">
      <w:pPr>
        <w:keepNext w:val="0"/>
        <w:keepLines w:val="0"/>
        <w:widowControl w:val="0"/>
        <w:suppressLineNumbers w:val="0"/>
        <w:autoSpaceDE w:val="0"/>
        <w:autoSpaceDN/>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依据：《关于对社会保险领域严重失信企业及其有关人员实施联合惩戒的合作备忘录》（发改财金〔2018〕1704号）</w:t>
      </w:r>
    </w:p>
    <w:p w14:paraId="0BDD3A3D">
      <w:pPr>
        <w:keepNext w:val="0"/>
        <w:keepLines w:val="0"/>
        <w:widowControl w:val="0"/>
        <w:suppressLineNumbers w:val="0"/>
        <w:autoSpaceDE w:val="0"/>
        <w:autoSpaceDN/>
        <w:adjustRightInd w:val="0"/>
        <w:snapToGrid w:val="0"/>
        <w:spacing w:before="0" w:beforeAutospacing="0" w:after="0" w:afterAutospacing="0" w:line="560" w:lineRule="exact"/>
        <w:ind w:left="0" w:right="0"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五、建筑市场领域</w:t>
      </w:r>
      <w:r>
        <w:rPr>
          <w:rFonts w:hint="eastAsia" w:ascii="宋体" w:hAnsi="宋体" w:eastAsia="宋体" w:cs="宋体"/>
          <w:b/>
          <w:bCs/>
          <w:color w:val="auto"/>
          <w:kern w:val="0"/>
          <w:sz w:val="24"/>
          <w:szCs w:val="24"/>
          <w:highlight w:val="none"/>
          <w:lang w:val="en-US" w:eastAsia="zh-CN" w:bidi="ar"/>
        </w:rPr>
        <w:t>严重失信行为</w:t>
      </w:r>
    </w:p>
    <w:p w14:paraId="3C2DD893">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（一）利用虚假材料、以欺骗手段取得企业资质的；</w:t>
      </w:r>
    </w:p>
    <w:p w14:paraId="21F14970">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（二）发生转包、出借资质，受到行政处罚的；</w:t>
      </w:r>
    </w:p>
    <w:p w14:paraId="6EBAC3F1">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（三）发生重大及以上工程质量安全事故，或1年内累计发生2次及以上较大工程质量安全事故，或发生性质恶劣、危害性严重、社会影响大的较大工程质量安全事故，受到行政处罚的；</w:t>
      </w:r>
    </w:p>
    <w:p w14:paraId="6E8E623D">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（四）经法院判决或仲裁机构裁决，认定为拖欠工程款,且拒不履行生效法律文书确定的义务的。</w:t>
      </w:r>
    </w:p>
    <w:p w14:paraId="5CE4E7E4">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各级住房城乡建设主管部门应当参照建筑市场主体“黑名单”，对被人力资源社会保障行政部门列入拖欠农民工工资“黑名单”的建筑市场各方主体加强监管。</w:t>
      </w:r>
    </w:p>
    <w:p w14:paraId="1FD70B1B">
      <w:pPr>
        <w:keepNext w:val="0"/>
        <w:keepLines w:val="0"/>
        <w:widowControl w:val="0"/>
        <w:suppressLineNumbers w:val="0"/>
        <w:autoSpaceDE w:val="0"/>
        <w:autoSpaceDN/>
        <w:spacing w:before="0" w:beforeAutospacing="0" w:after="0" w:afterAutospacing="0"/>
        <w:ind w:left="0" w:right="0" w:firstLine="482" w:firstLineChars="20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依据：《建筑市场信用管理暂行办法》（建市〔2017〕241号）</w:t>
      </w:r>
    </w:p>
    <w:p w14:paraId="4F291541">
      <w:pPr>
        <w:keepNext w:val="0"/>
        <w:keepLines w:val="0"/>
        <w:widowControl w:val="0"/>
        <w:suppressLineNumbers w:val="0"/>
        <w:autoSpaceDE w:val="0"/>
        <w:autoSpaceDN/>
        <w:adjustRightInd w:val="0"/>
        <w:snapToGrid w:val="0"/>
        <w:spacing w:before="0" w:beforeAutospacing="0" w:after="0" w:afterAutospacing="0" w:line="560" w:lineRule="exact"/>
        <w:ind w:left="0" w:right="0" w:firstLine="482" w:firstLineChars="20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六、政府采购严重失信行为</w:t>
      </w:r>
    </w:p>
    <w:p w14:paraId="1C47871B">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供应商、采购代理机构在三年内受到财政部门作出下列情形之一的行政处罚，列入政府采购严重违法失信行为记录名单。</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（一）三万元以上罚款；</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（二）在一至三年内禁止参加政府采购活动（处罚期限届满的除外）；</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（三）在一至三年内禁止代理政府采购业务（处罚期限届满的除外）；</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（四）撤销政府采购代理机构资格（仅针对《政府采购法》第78条修改前作出的处罚决定）。</w:t>
      </w:r>
    </w:p>
    <w:p w14:paraId="2A0EA311">
      <w:pPr>
        <w:keepNext w:val="0"/>
        <w:keepLines w:val="0"/>
        <w:widowControl w:val="0"/>
        <w:suppressLineNumbers w:val="0"/>
        <w:autoSpaceDE w:val="0"/>
        <w:autoSpaceDN/>
        <w:adjustRightInd w:val="0"/>
        <w:snapToGrid w:val="0"/>
        <w:spacing w:before="0" w:beforeAutospacing="0" w:after="0" w:afterAutospacing="0" w:line="560" w:lineRule="exact"/>
        <w:ind w:left="0" w:right="0" w:firstLine="482" w:firstLineChars="20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依据：《关于报送政府采购严重违法失信行为信息记录的通知》（财办库〔2014〕526号）</w:t>
      </w:r>
    </w:p>
    <w:p w14:paraId="3CEC3F78">
      <w:pPr>
        <w:keepNext w:val="0"/>
        <w:keepLines w:val="0"/>
        <w:widowControl w:val="0"/>
        <w:suppressLineNumbers w:val="0"/>
        <w:autoSpaceDE w:val="0"/>
        <w:autoSpaceDN/>
        <w:adjustRightInd w:val="0"/>
        <w:snapToGrid w:val="0"/>
        <w:spacing w:before="0" w:beforeAutospacing="0" w:after="0" w:afterAutospacing="0" w:line="560" w:lineRule="exact"/>
        <w:ind w:left="0" w:right="0" w:firstLine="482" w:firstLineChars="200"/>
        <w:jc w:val="left"/>
        <w:rPr>
          <w:rFonts w:hint="eastAsia" w:ascii="宋体" w:hAnsi="宋体" w:eastAsia="宋体" w:cs="宋体"/>
          <w:b/>
          <w:bCs w:val="0"/>
          <w:color w:val="auto"/>
          <w:kern w:val="0"/>
          <w:sz w:val="24"/>
          <w:szCs w:val="24"/>
          <w:highlight w:val="none"/>
          <w:lang w:val="en-US" w:eastAsia="zh-CN" w:bidi="ar"/>
        </w:rPr>
      </w:pPr>
      <w:r>
        <w:rPr>
          <w:rFonts w:hint="eastAsia" w:ascii="宋体" w:hAnsi="宋体" w:eastAsia="宋体" w:cs="宋体"/>
          <w:b/>
          <w:bCs w:val="0"/>
          <w:color w:val="auto"/>
          <w:kern w:val="0"/>
          <w:sz w:val="24"/>
          <w:szCs w:val="24"/>
          <w:highlight w:val="none"/>
          <w:lang w:val="en-US" w:eastAsia="zh-CN" w:bidi="ar"/>
        </w:rPr>
        <w:t>未列出的其他类别严重失信行为，由招标人（代理机构）根据各类别行业主管部门下发的联合惩戒文件进行判断。</w:t>
      </w:r>
    </w:p>
    <w:p w14:paraId="26FB0987">
      <w:pPr>
        <w:spacing w:line="360" w:lineRule="auto"/>
        <w:ind w:firstLine="435"/>
        <w:rPr>
          <w:rFonts w:hint="eastAsia" w:ascii="宋体" w:hAnsi="宋体" w:eastAsia="宋体"/>
          <w:color w:val="auto"/>
          <w:sz w:val="24"/>
          <w:highlight w:val="none"/>
        </w:rPr>
      </w:pPr>
    </w:p>
    <w:p w14:paraId="3538C9ED">
      <w:pPr>
        <w:spacing w:line="360" w:lineRule="auto"/>
        <w:jc w:val="center"/>
        <w:outlineLvl w:val="0"/>
        <w:rPr>
          <w:rFonts w:hint="eastAsia" w:ascii="宋体" w:hAnsi="宋体" w:eastAsia="宋体" w:cs="宋体"/>
          <w:b/>
          <w:bCs/>
          <w:color w:val="auto"/>
          <w:kern w:val="0"/>
          <w:sz w:val="24"/>
          <w:szCs w:val="24"/>
          <w:highlight w:val="none"/>
          <w:vertAlign w:val="baseline"/>
          <w:lang w:val="en-US" w:eastAsia="zh-CN" w:bidi="ar"/>
        </w:rPr>
      </w:pPr>
    </w:p>
    <w:p w14:paraId="439DF20B">
      <w:pPr>
        <w:spacing w:line="360" w:lineRule="auto"/>
        <w:jc w:val="center"/>
        <w:outlineLvl w:val="0"/>
        <w:rPr>
          <w:rFonts w:hint="eastAsia" w:ascii="宋体" w:hAnsi="宋体" w:eastAsia="宋体" w:cs="宋体"/>
          <w:b/>
          <w:bCs/>
          <w:color w:val="auto"/>
          <w:kern w:val="0"/>
          <w:sz w:val="24"/>
          <w:szCs w:val="24"/>
          <w:highlight w:val="none"/>
          <w:vertAlign w:val="baseline"/>
          <w:lang w:val="en-US" w:eastAsia="zh-CN" w:bidi="ar"/>
        </w:rPr>
      </w:pPr>
    </w:p>
    <w:p w14:paraId="0C19B997">
      <w:pPr>
        <w:spacing w:line="360" w:lineRule="auto"/>
        <w:jc w:val="both"/>
        <w:outlineLvl w:val="0"/>
        <w:rPr>
          <w:rFonts w:hint="eastAsia" w:ascii="宋体" w:hAnsi="宋体" w:eastAsia="宋体" w:cs="宋体"/>
          <w:b/>
          <w:bCs/>
          <w:color w:val="auto"/>
          <w:kern w:val="0"/>
          <w:sz w:val="24"/>
          <w:szCs w:val="24"/>
          <w:highlight w:val="none"/>
          <w:vertAlign w:val="baseline"/>
          <w:lang w:val="en-US" w:eastAsia="zh-CN" w:bidi="ar"/>
        </w:rPr>
      </w:pPr>
    </w:p>
    <w:p w14:paraId="78B98782">
      <w:pPr>
        <w:pStyle w:val="54"/>
        <w:ind w:left="0" w:leftChars="0" w:firstLine="0" w:firstLineChars="0"/>
        <w:rPr>
          <w:rFonts w:hint="eastAsia" w:ascii="宋体" w:hAnsi="宋体" w:eastAsia="宋体" w:cs="宋体"/>
          <w:b/>
          <w:bCs/>
          <w:color w:val="auto"/>
          <w:kern w:val="0"/>
          <w:sz w:val="24"/>
          <w:szCs w:val="24"/>
          <w:highlight w:val="none"/>
          <w:vertAlign w:val="baseline"/>
          <w:lang w:val="en-US" w:eastAsia="zh-CN" w:bidi="ar"/>
        </w:rPr>
      </w:pPr>
    </w:p>
    <w:bookmarkEnd w:id="686"/>
    <w:p w14:paraId="6AA6E33F">
      <w:pPr>
        <w:rPr>
          <w:rFonts w:hint="eastAsia"/>
          <w:lang w:val="en-US" w:eastAsia="zh-CN"/>
        </w:rPr>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FangSong_GB2312">
    <w:altName w:val="仿宋"/>
    <w:panose1 w:val="020106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6B2A4">
    <w:pPr>
      <w:pStyle w:val="3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D0ECB">
    <w:pPr>
      <w:pStyle w:val="34"/>
      <w:rPr>
        <w:rFonts w:asciiTheme="minorEastAsia" w:hAnsiTheme="minorEastAsia" w:eastAsiaTheme="minor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C666D2">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C666D2">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4A7AC">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54A32">
                          <w:pPr>
                            <w:pStyle w:val="34"/>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1954A32">
                    <w:pPr>
                      <w:pStyle w:val="34"/>
                    </w:pPr>
                    <w:r>
                      <w:fldChar w:fldCharType="begin"/>
                    </w:r>
                    <w:r>
                      <w:instrText xml:space="preserve"> PAGE  \* MERGEFORMAT </w:instrText>
                    </w:r>
                    <w:r>
                      <w:fldChar w:fldCharType="separate"/>
                    </w:r>
                    <w:r>
                      <w:t>92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D4685">
    <w:pPr>
      <w:pStyle w:val="35"/>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D3EB6">
    <w:pPr>
      <w:pStyle w:val="35"/>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3C427">
    <w:pPr>
      <w:pStyle w:val="35"/>
      <w:pBdr>
        <w:bottom w:val="none" w:color="auto" w:sz="0"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F563F"/>
    <w:multiLevelType w:val="singleLevel"/>
    <w:tmpl w:val="97BF563F"/>
    <w:lvl w:ilvl="0" w:tentative="0">
      <w:start w:val="1"/>
      <w:numFmt w:val="decimal"/>
      <w:suff w:val="nothing"/>
      <w:lvlText w:val="（%1）"/>
      <w:lvlJc w:val="left"/>
    </w:lvl>
  </w:abstractNum>
  <w:abstractNum w:abstractNumId="1">
    <w:nsid w:val="D59201F4"/>
    <w:multiLevelType w:val="singleLevel"/>
    <w:tmpl w:val="D59201F4"/>
    <w:lvl w:ilvl="0" w:tentative="0">
      <w:start w:val="1"/>
      <w:numFmt w:val="decimal"/>
      <w:lvlText w:val="%1"/>
      <w:lvlJc w:val="left"/>
      <w:pPr>
        <w:tabs>
          <w:tab w:val="left" w:pos="420"/>
        </w:tabs>
        <w:ind w:left="425" w:hanging="425"/>
      </w:pPr>
      <w:rPr>
        <w:rFonts w:hint="default"/>
      </w:rPr>
    </w:lvl>
  </w:abstractNum>
  <w:abstractNum w:abstractNumId="2">
    <w:nsid w:val="7F7E5238"/>
    <w:multiLevelType w:val="multilevel"/>
    <w:tmpl w:val="7F7E5238"/>
    <w:lvl w:ilvl="0" w:tentative="0">
      <w:start w:val="1"/>
      <w:numFmt w:val="none"/>
      <w:pStyle w:val="177"/>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7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9"/>
      <w:lvlText w:val="           "/>
      <w:lvlJc w:val="left"/>
      <w:pPr>
        <w:tabs>
          <w:tab w:val="left" w:pos="1440"/>
        </w:tabs>
        <w:ind w:left="1152" w:hanging="1152"/>
      </w:pPr>
      <w:rPr>
        <w:rFonts w:hint="eastAsia"/>
      </w:rPr>
    </w:lvl>
    <w:lvl w:ilvl="6" w:tentative="0">
      <w:start w:val="1"/>
      <w:numFmt w:val="decimal"/>
      <w:pStyle w:val="181"/>
      <w:lvlText w:val="%1.%2.%3.%4.%5.%6.%7"/>
      <w:lvlJc w:val="left"/>
      <w:pPr>
        <w:tabs>
          <w:tab w:val="left" w:pos="2520"/>
        </w:tabs>
        <w:ind w:left="1296" w:hanging="1296"/>
      </w:pPr>
      <w:rPr>
        <w:rFonts w:hint="eastAsia"/>
      </w:rPr>
    </w:lvl>
    <w:lvl w:ilvl="7" w:tentative="0">
      <w:start w:val="1"/>
      <w:numFmt w:val="decimal"/>
      <w:pStyle w:val="183"/>
      <w:lvlText w:val="%1.%2.%3.%4.%5.%6.%7.%8"/>
      <w:lvlJc w:val="left"/>
      <w:pPr>
        <w:tabs>
          <w:tab w:val="left" w:pos="1440"/>
        </w:tabs>
        <w:ind w:left="1440" w:hanging="1440"/>
      </w:pPr>
      <w:rPr>
        <w:rFonts w:hint="eastAsia"/>
      </w:rPr>
    </w:lvl>
    <w:lvl w:ilvl="8" w:tentative="0">
      <w:start w:val="1"/>
      <w:numFmt w:val="decimal"/>
      <w:pStyle w:val="185"/>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OGJkZDZlMmJiZjgxZThhZWQ4YzE0YWIxYTUyMmQifQ=="/>
  </w:docVars>
  <w:rsids>
    <w:rsidRoot w:val="00276BA1"/>
    <w:rsid w:val="0000043F"/>
    <w:rsid w:val="000037F9"/>
    <w:rsid w:val="000049DA"/>
    <w:rsid w:val="000056B7"/>
    <w:rsid w:val="00005914"/>
    <w:rsid w:val="00007D87"/>
    <w:rsid w:val="000131F7"/>
    <w:rsid w:val="00014039"/>
    <w:rsid w:val="00016B6C"/>
    <w:rsid w:val="00020B57"/>
    <w:rsid w:val="00020B6D"/>
    <w:rsid w:val="00022976"/>
    <w:rsid w:val="000323E2"/>
    <w:rsid w:val="00040C25"/>
    <w:rsid w:val="00042139"/>
    <w:rsid w:val="00042B14"/>
    <w:rsid w:val="00044F49"/>
    <w:rsid w:val="000450C3"/>
    <w:rsid w:val="0005061B"/>
    <w:rsid w:val="00050A3F"/>
    <w:rsid w:val="00054AA3"/>
    <w:rsid w:val="00056ECB"/>
    <w:rsid w:val="00057B40"/>
    <w:rsid w:val="000648D2"/>
    <w:rsid w:val="00066AD7"/>
    <w:rsid w:val="00070E0E"/>
    <w:rsid w:val="0007146E"/>
    <w:rsid w:val="0007385B"/>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068"/>
    <w:rsid w:val="000C1DB1"/>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448"/>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5F64"/>
    <w:rsid w:val="001571EE"/>
    <w:rsid w:val="00157856"/>
    <w:rsid w:val="00157B7B"/>
    <w:rsid w:val="00160729"/>
    <w:rsid w:val="0016455F"/>
    <w:rsid w:val="00165398"/>
    <w:rsid w:val="00166794"/>
    <w:rsid w:val="00166ED8"/>
    <w:rsid w:val="001714C9"/>
    <w:rsid w:val="00171515"/>
    <w:rsid w:val="00172073"/>
    <w:rsid w:val="001721FA"/>
    <w:rsid w:val="00172B93"/>
    <w:rsid w:val="0018119B"/>
    <w:rsid w:val="001844AB"/>
    <w:rsid w:val="001853C7"/>
    <w:rsid w:val="00192879"/>
    <w:rsid w:val="001944B8"/>
    <w:rsid w:val="00196DA3"/>
    <w:rsid w:val="001971E5"/>
    <w:rsid w:val="001974FD"/>
    <w:rsid w:val="001A0C0F"/>
    <w:rsid w:val="001A68E5"/>
    <w:rsid w:val="001B25BE"/>
    <w:rsid w:val="001B2A54"/>
    <w:rsid w:val="001B2BA4"/>
    <w:rsid w:val="001B5014"/>
    <w:rsid w:val="001B7327"/>
    <w:rsid w:val="001C1E34"/>
    <w:rsid w:val="001D22EA"/>
    <w:rsid w:val="001D503E"/>
    <w:rsid w:val="001D53B4"/>
    <w:rsid w:val="001E1835"/>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247F"/>
    <w:rsid w:val="00264F2E"/>
    <w:rsid w:val="00271245"/>
    <w:rsid w:val="00272B17"/>
    <w:rsid w:val="00273F66"/>
    <w:rsid w:val="00274A9E"/>
    <w:rsid w:val="00276BA1"/>
    <w:rsid w:val="00280984"/>
    <w:rsid w:val="002832CF"/>
    <w:rsid w:val="002835E3"/>
    <w:rsid w:val="00284542"/>
    <w:rsid w:val="002856FD"/>
    <w:rsid w:val="002A0EE7"/>
    <w:rsid w:val="002A14D1"/>
    <w:rsid w:val="002A1A1D"/>
    <w:rsid w:val="002A28AD"/>
    <w:rsid w:val="002B04FD"/>
    <w:rsid w:val="002B5318"/>
    <w:rsid w:val="002B6D27"/>
    <w:rsid w:val="002B7A09"/>
    <w:rsid w:val="002C00C4"/>
    <w:rsid w:val="002C060C"/>
    <w:rsid w:val="002C078A"/>
    <w:rsid w:val="002D05DD"/>
    <w:rsid w:val="002D0E4D"/>
    <w:rsid w:val="002D2965"/>
    <w:rsid w:val="002D3D02"/>
    <w:rsid w:val="002D4CB5"/>
    <w:rsid w:val="002D5900"/>
    <w:rsid w:val="002D684B"/>
    <w:rsid w:val="002E003E"/>
    <w:rsid w:val="002E2142"/>
    <w:rsid w:val="002E2D3A"/>
    <w:rsid w:val="002E3B26"/>
    <w:rsid w:val="002E4AB8"/>
    <w:rsid w:val="002E7FC4"/>
    <w:rsid w:val="00310070"/>
    <w:rsid w:val="0031081B"/>
    <w:rsid w:val="003110EC"/>
    <w:rsid w:val="00314289"/>
    <w:rsid w:val="003206A6"/>
    <w:rsid w:val="0032560D"/>
    <w:rsid w:val="00327C92"/>
    <w:rsid w:val="00333292"/>
    <w:rsid w:val="003344E7"/>
    <w:rsid w:val="0033580B"/>
    <w:rsid w:val="003365E7"/>
    <w:rsid w:val="003378D5"/>
    <w:rsid w:val="003473D7"/>
    <w:rsid w:val="00351AC8"/>
    <w:rsid w:val="00353075"/>
    <w:rsid w:val="00363E02"/>
    <w:rsid w:val="00363F8C"/>
    <w:rsid w:val="00370201"/>
    <w:rsid w:val="00373A37"/>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10B9"/>
    <w:rsid w:val="003E259A"/>
    <w:rsid w:val="003E25C6"/>
    <w:rsid w:val="003E46E1"/>
    <w:rsid w:val="003F7528"/>
    <w:rsid w:val="004011AA"/>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D24"/>
    <w:rsid w:val="004951D1"/>
    <w:rsid w:val="004960BB"/>
    <w:rsid w:val="004A1BA3"/>
    <w:rsid w:val="004A27D0"/>
    <w:rsid w:val="004A4D67"/>
    <w:rsid w:val="004B7E79"/>
    <w:rsid w:val="004C13CB"/>
    <w:rsid w:val="004C5B90"/>
    <w:rsid w:val="004D37D7"/>
    <w:rsid w:val="004D3D4B"/>
    <w:rsid w:val="004D4557"/>
    <w:rsid w:val="004D5498"/>
    <w:rsid w:val="004D66A5"/>
    <w:rsid w:val="004D6B00"/>
    <w:rsid w:val="004E1D50"/>
    <w:rsid w:val="004E3266"/>
    <w:rsid w:val="004E38BA"/>
    <w:rsid w:val="004E3EB6"/>
    <w:rsid w:val="004E50CA"/>
    <w:rsid w:val="004F27A0"/>
    <w:rsid w:val="0050027D"/>
    <w:rsid w:val="00501382"/>
    <w:rsid w:val="00502831"/>
    <w:rsid w:val="005048FB"/>
    <w:rsid w:val="00510798"/>
    <w:rsid w:val="005119B5"/>
    <w:rsid w:val="005125F1"/>
    <w:rsid w:val="005150CC"/>
    <w:rsid w:val="00524A11"/>
    <w:rsid w:val="00527768"/>
    <w:rsid w:val="00530EA4"/>
    <w:rsid w:val="005327FB"/>
    <w:rsid w:val="00533251"/>
    <w:rsid w:val="00533FCA"/>
    <w:rsid w:val="005346EF"/>
    <w:rsid w:val="005369F1"/>
    <w:rsid w:val="005470D4"/>
    <w:rsid w:val="0055705E"/>
    <w:rsid w:val="005616B5"/>
    <w:rsid w:val="00566690"/>
    <w:rsid w:val="005679A4"/>
    <w:rsid w:val="00574CE6"/>
    <w:rsid w:val="0059223D"/>
    <w:rsid w:val="0059365B"/>
    <w:rsid w:val="00593ABC"/>
    <w:rsid w:val="00597B15"/>
    <w:rsid w:val="005A044C"/>
    <w:rsid w:val="005A149F"/>
    <w:rsid w:val="005A3A32"/>
    <w:rsid w:val="005B2C9F"/>
    <w:rsid w:val="005B34C9"/>
    <w:rsid w:val="005B3C39"/>
    <w:rsid w:val="005B7D08"/>
    <w:rsid w:val="005C1D52"/>
    <w:rsid w:val="005D0200"/>
    <w:rsid w:val="005D44EF"/>
    <w:rsid w:val="005D5112"/>
    <w:rsid w:val="005D5D67"/>
    <w:rsid w:val="005F34CC"/>
    <w:rsid w:val="005F3914"/>
    <w:rsid w:val="005F3B5A"/>
    <w:rsid w:val="005F6AB4"/>
    <w:rsid w:val="00604549"/>
    <w:rsid w:val="0060572E"/>
    <w:rsid w:val="00606EBA"/>
    <w:rsid w:val="00607471"/>
    <w:rsid w:val="00610A66"/>
    <w:rsid w:val="006119B8"/>
    <w:rsid w:val="00613177"/>
    <w:rsid w:val="00613F7C"/>
    <w:rsid w:val="00614BF2"/>
    <w:rsid w:val="0061557C"/>
    <w:rsid w:val="00623DE2"/>
    <w:rsid w:val="00627601"/>
    <w:rsid w:val="006300D0"/>
    <w:rsid w:val="00632012"/>
    <w:rsid w:val="00634694"/>
    <w:rsid w:val="00634D55"/>
    <w:rsid w:val="00636517"/>
    <w:rsid w:val="00636EE7"/>
    <w:rsid w:val="00637690"/>
    <w:rsid w:val="00637ED5"/>
    <w:rsid w:val="00640E1E"/>
    <w:rsid w:val="00641BA3"/>
    <w:rsid w:val="0064389A"/>
    <w:rsid w:val="0064544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DB1"/>
    <w:rsid w:val="00693404"/>
    <w:rsid w:val="006953D9"/>
    <w:rsid w:val="006A1269"/>
    <w:rsid w:val="006A5803"/>
    <w:rsid w:val="006A65F3"/>
    <w:rsid w:val="006A69C3"/>
    <w:rsid w:val="006A7C15"/>
    <w:rsid w:val="006B1242"/>
    <w:rsid w:val="006B1DBC"/>
    <w:rsid w:val="006B1F84"/>
    <w:rsid w:val="006B3712"/>
    <w:rsid w:val="006B7D9A"/>
    <w:rsid w:val="006C06D9"/>
    <w:rsid w:val="006C3E22"/>
    <w:rsid w:val="006C5716"/>
    <w:rsid w:val="006C64B2"/>
    <w:rsid w:val="006C74A9"/>
    <w:rsid w:val="006D07DE"/>
    <w:rsid w:val="006D361A"/>
    <w:rsid w:val="006D4550"/>
    <w:rsid w:val="006D5B6D"/>
    <w:rsid w:val="006D6A81"/>
    <w:rsid w:val="006D7213"/>
    <w:rsid w:val="006E06D9"/>
    <w:rsid w:val="006E1D40"/>
    <w:rsid w:val="006E2E1F"/>
    <w:rsid w:val="006E5059"/>
    <w:rsid w:val="006F4C5B"/>
    <w:rsid w:val="006F5F03"/>
    <w:rsid w:val="006F5FFF"/>
    <w:rsid w:val="006F7F4C"/>
    <w:rsid w:val="00701431"/>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5E35"/>
    <w:rsid w:val="00830A4E"/>
    <w:rsid w:val="008334F8"/>
    <w:rsid w:val="00834249"/>
    <w:rsid w:val="00835FFD"/>
    <w:rsid w:val="0084381F"/>
    <w:rsid w:val="00843E35"/>
    <w:rsid w:val="008455A8"/>
    <w:rsid w:val="00845F72"/>
    <w:rsid w:val="0084791E"/>
    <w:rsid w:val="00850A91"/>
    <w:rsid w:val="008524CE"/>
    <w:rsid w:val="00857633"/>
    <w:rsid w:val="00862EAF"/>
    <w:rsid w:val="00863491"/>
    <w:rsid w:val="0086440C"/>
    <w:rsid w:val="008674ED"/>
    <w:rsid w:val="00874EE6"/>
    <w:rsid w:val="00876659"/>
    <w:rsid w:val="0087734C"/>
    <w:rsid w:val="00882141"/>
    <w:rsid w:val="00886BD4"/>
    <w:rsid w:val="00886CA2"/>
    <w:rsid w:val="008876EC"/>
    <w:rsid w:val="008922A8"/>
    <w:rsid w:val="00895BD5"/>
    <w:rsid w:val="008A16C4"/>
    <w:rsid w:val="008A4A27"/>
    <w:rsid w:val="008A649F"/>
    <w:rsid w:val="008A6FED"/>
    <w:rsid w:val="008B0945"/>
    <w:rsid w:val="008B39C5"/>
    <w:rsid w:val="008B51AA"/>
    <w:rsid w:val="008C67F2"/>
    <w:rsid w:val="008C7E63"/>
    <w:rsid w:val="008D064A"/>
    <w:rsid w:val="008D2537"/>
    <w:rsid w:val="008D2B0F"/>
    <w:rsid w:val="008D633C"/>
    <w:rsid w:val="008D76DA"/>
    <w:rsid w:val="008D7DB2"/>
    <w:rsid w:val="008E449E"/>
    <w:rsid w:val="008E4BDD"/>
    <w:rsid w:val="008E770C"/>
    <w:rsid w:val="008F00F4"/>
    <w:rsid w:val="008F187F"/>
    <w:rsid w:val="008F402F"/>
    <w:rsid w:val="008F76E8"/>
    <w:rsid w:val="00904508"/>
    <w:rsid w:val="009078A1"/>
    <w:rsid w:val="00911E9C"/>
    <w:rsid w:val="0091345E"/>
    <w:rsid w:val="00917405"/>
    <w:rsid w:val="00920F7C"/>
    <w:rsid w:val="00922718"/>
    <w:rsid w:val="00924743"/>
    <w:rsid w:val="00932A87"/>
    <w:rsid w:val="00932F92"/>
    <w:rsid w:val="00934CAE"/>
    <w:rsid w:val="0093560E"/>
    <w:rsid w:val="0094257D"/>
    <w:rsid w:val="009443B6"/>
    <w:rsid w:val="00946F68"/>
    <w:rsid w:val="0095467C"/>
    <w:rsid w:val="00954A61"/>
    <w:rsid w:val="00955C6F"/>
    <w:rsid w:val="00956789"/>
    <w:rsid w:val="00966C7B"/>
    <w:rsid w:val="009679A2"/>
    <w:rsid w:val="009701DC"/>
    <w:rsid w:val="009715D8"/>
    <w:rsid w:val="009811A8"/>
    <w:rsid w:val="00985C4F"/>
    <w:rsid w:val="00986E3C"/>
    <w:rsid w:val="00991460"/>
    <w:rsid w:val="009932CF"/>
    <w:rsid w:val="009941BF"/>
    <w:rsid w:val="00995BF9"/>
    <w:rsid w:val="009975CC"/>
    <w:rsid w:val="009A0CAF"/>
    <w:rsid w:val="009A2207"/>
    <w:rsid w:val="009B0EDA"/>
    <w:rsid w:val="009B6C42"/>
    <w:rsid w:val="009C3F38"/>
    <w:rsid w:val="009D2998"/>
    <w:rsid w:val="009D31F7"/>
    <w:rsid w:val="009D32C2"/>
    <w:rsid w:val="009D50DB"/>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E86"/>
    <w:rsid w:val="00A75185"/>
    <w:rsid w:val="00A754A0"/>
    <w:rsid w:val="00A757C3"/>
    <w:rsid w:val="00A75E5B"/>
    <w:rsid w:val="00A75F4B"/>
    <w:rsid w:val="00A7684A"/>
    <w:rsid w:val="00A77B8B"/>
    <w:rsid w:val="00A80C58"/>
    <w:rsid w:val="00A83B69"/>
    <w:rsid w:val="00A86533"/>
    <w:rsid w:val="00A91CA2"/>
    <w:rsid w:val="00A9220A"/>
    <w:rsid w:val="00A92FB8"/>
    <w:rsid w:val="00A948F1"/>
    <w:rsid w:val="00AA0BE3"/>
    <w:rsid w:val="00AA18F9"/>
    <w:rsid w:val="00AA1D7D"/>
    <w:rsid w:val="00AA2790"/>
    <w:rsid w:val="00AA3806"/>
    <w:rsid w:val="00AB139D"/>
    <w:rsid w:val="00AB2A35"/>
    <w:rsid w:val="00AB2D05"/>
    <w:rsid w:val="00AB348D"/>
    <w:rsid w:val="00AB3EFB"/>
    <w:rsid w:val="00AC0B05"/>
    <w:rsid w:val="00AC1962"/>
    <w:rsid w:val="00AC7F9D"/>
    <w:rsid w:val="00AD079A"/>
    <w:rsid w:val="00AD1890"/>
    <w:rsid w:val="00AD6588"/>
    <w:rsid w:val="00AD7CCB"/>
    <w:rsid w:val="00AE2149"/>
    <w:rsid w:val="00AE2BF3"/>
    <w:rsid w:val="00AE33AE"/>
    <w:rsid w:val="00AE3F91"/>
    <w:rsid w:val="00AF5B63"/>
    <w:rsid w:val="00B0053D"/>
    <w:rsid w:val="00B039E3"/>
    <w:rsid w:val="00B06D36"/>
    <w:rsid w:val="00B12BC4"/>
    <w:rsid w:val="00B22838"/>
    <w:rsid w:val="00B30C9B"/>
    <w:rsid w:val="00B33E8F"/>
    <w:rsid w:val="00B33E95"/>
    <w:rsid w:val="00B3720B"/>
    <w:rsid w:val="00B372DF"/>
    <w:rsid w:val="00B420C8"/>
    <w:rsid w:val="00B45D0B"/>
    <w:rsid w:val="00B5558A"/>
    <w:rsid w:val="00B56513"/>
    <w:rsid w:val="00B5736B"/>
    <w:rsid w:val="00B576F1"/>
    <w:rsid w:val="00B6167E"/>
    <w:rsid w:val="00B61B64"/>
    <w:rsid w:val="00B64376"/>
    <w:rsid w:val="00B6570C"/>
    <w:rsid w:val="00B7401F"/>
    <w:rsid w:val="00B748E5"/>
    <w:rsid w:val="00B769CF"/>
    <w:rsid w:val="00B806C3"/>
    <w:rsid w:val="00B80D6F"/>
    <w:rsid w:val="00B84FCA"/>
    <w:rsid w:val="00B9089F"/>
    <w:rsid w:val="00B9127B"/>
    <w:rsid w:val="00B91826"/>
    <w:rsid w:val="00B91AEE"/>
    <w:rsid w:val="00B93568"/>
    <w:rsid w:val="00B95F5A"/>
    <w:rsid w:val="00B96EAD"/>
    <w:rsid w:val="00BA4B7C"/>
    <w:rsid w:val="00BA79F5"/>
    <w:rsid w:val="00BA7EA7"/>
    <w:rsid w:val="00BB30B2"/>
    <w:rsid w:val="00BB3AB6"/>
    <w:rsid w:val="00BB766D"/>
    <w:rsid w:val="00BC007B"/>
    <w:rsid w:val="00BC26BA"/>
    <w:rsid w:val="00BC35F8"/>
    <w:rsid w:val="00BC403F"/>
    <w:rsid w:val="00BC481B"/>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13A88"/>
    <w:rsid w:val="00C220FC"/>
    <w:rsid w:val="00C24DFA"/>
    <w:rsid w:val="00C24F9D"/>
    <w:rsid w:val="00C2521C"/>
    <w:rsid w:val="00C30182"/>
    <w:rsid w:val="00C31FC9"/>
    <w:rsid w:val="00C37581"/>
    <w:rsid w:val="00C37A63"/>
    <w:rsid w:val="00C42248"/>
    <w:rsid w:val="00C46A36"/>
    <w:rsid w:val="00C47037"/>
    <w:rsid w:val="00C509E3"/>
    <w:rsid w:val="00C53625"/>
    <w:rsid w:val="00C548BA"/>
    <w:rsid w:val="00C5679D"/>
    <w:rsid w:val="00C57784"/>
    <w:rsid w:val="00C602C1"/>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A4C7F"/>
    <w:rsid w:val="00CA5446"/>
    <w:rsid w:val="00CB123D"/>
    <w:rsid w:val="00CB14E5"/>
    <w:rsid w:val="00CB218D"/>
    <w:rsid w:val="00CB377B"/>
    <w:rsid w:val="00CB5625"/>
    <w:rsid w:val="00CB5797"/>
    <w:rsid w:val="00CC1400"/>
    <w:rsid w:val="00CC1C17"/>
    <w:rsid w:val="00CC4F7F"/>
    <w:rsid w:val="00CD09E1"/>
    <w:rsid w:val="00CE1780"/>
    <w:rsid w:val="00CE4913"/>
    <w:rsid w:val="00CE66BD"/>
    <w:rsid w:val="00CF0671"/>
    <w:rsid w:val="00CF247A"/>
    <w:rsid w:val="00CF44AD"/>
    <w:rsid w:val="00CF4D7C"/>
    <w:rsid w:val="00CF4FC0"/>
    <w:rsid w:val="00CF7486"/>
    <w:rsid w:val="00D1072F"/>
    <w:rsid w:val="00D108A5"/>
    <w:rsid w:val="00D12CF8"/>
    <w:rsid w:val="00D14585"/>
    <w:rsid w:val="00D153C8"/>
    <w:rsid w:val="00D169F2"/>
    <w:rsid w:val="00D20EFF"/>
    <w:rsid w:val="00D236BB"/>
    <w:rsid w:val="00D3019D"/>
    <w:rsid w:val="00D31324"/>
    <w:rsid w:val="00D4386E"/>
    <w:rsid w:val="00D51432"/>
    <w:rsid w:val="00D53ED8"/>
    <w:rsid w:val="00D541A0"/>
    <w:rsid w:val="00D54BB8"/>
    <w:rsid w:val="00D5697F"/>
    <w:rsid w:val="00D64857"/>
    <w:rsid w:val="00D6493A"/>
    <w:rsid w:val="00D649A5"/>
    <w:rsid w:val="00D660EA"/>
    <w:rsid w:val="00D66833"/>
    <w:rsid w:val="00D67875"/>
    <w:rsid w:val="00D71E86"/>
    <w:rsid w:val="00D72F0F"/>
    <w:rsid w:val="00D731C6"/>
    <w:rsid w:val="00D745C5"/>
    <w:rsid w:val="00D75327"/>
    <w:rsid w:val="00D77D6B"/>
    <w:rsid w:val="00D801FE"/>
    <w:rsid w:val="00D80C36"/>
    <w:rsid w:val="00D81A32"/>
    <w:rsid w:val="00D86EE1"/>
    <w:rsid w:val="00D90F82"/>
    <w:rsid w:val="00D945DC"/>
    <w:rsid w:val="00D95E90"/>
    <w:rsid w:val="00D96126"/>
    <w:rsid w:val="00DA2FD5"/>
    <w:rsid w:val="00DB0C86"/>
    <w:rsid w:val="00DB4B1C"/>
    <w:rsid w:val="00DB5085"/>
    <w:rsid w:val="00DB619F"/>
    <w:rsid w:val="00DB7211"/>
    <w:rsid w:val="00DC1062"/>
    <w:rsid w:val="00DC132C"/>
    <w:rsid w:val="00DC181A"/>
    <w:rsid w:val="00DC5727"/>
    <w:rsid w:val="00DD149F"/>
    <w:rsid w:val="00DD43F0"/>
    <w:rsid w:val="00DD44DE"/>
    <w:rsid w:val="00DE09AB"/>
    <w:rsid w:val="00DE352F"/>
    <w:rsid w:val="00DE4A3F"/>
    <w:rsid w:val="00DE5A99"/>
    <w:rsid w:val="00DF4367"/>
    <w:rsid w:val="00DF7291"/>
    <w:rsid w:val="00E03FF0"/>
    <w:rsid w:val="00E0574A"/>
    <w:rsid w:val="00E1243D"/>
    <w:rsid w:val="00E12742"/>
    <w:rsid w:val="00E146D4"/>
    <w:rsid w:val="00E14815"/>
    <w:rsid w:val="00E21D37"/>
    <w:rsid w:val="00E220ED"/>
    <w:rsid w:val="00E22B44"/>
    <w:rsid w:val="00E233AD"/>
    <w:rsid w:val="00E2457D"/>
    <w:rsid w:val="00E26EB1"/>
    <w:rsid w:val="00E30ACD"/>
    <w:rsid w:val="00E32735"/>
    <w:rsid w:val="00E34236"/>
    <w:rsid w:val="00E44B88"/>
    <w:rsid w:val="00E50BFA"/>
    <w:rsid w:val="00E66E36"/>
    <w:rsid w:val="00E702ED"/>
    <w:rsid w:val="00E709A4"/>
    <w:rsid w:val="00E71D4A"/>
    <w:rsid w:val="00E75917"/>
    <w:rsid w:val="00E772DB"/>
    <w:rsid w:val="00E86012"/>
    <w:rsid w:val="00E860CA"/>
    <w:rsid w:val="00E86BAB"/>
    <w:rsid w:val="00E92962"/>
    <w:rsid w:val="00E94E10"/>
    <w:rsid w:val="00E96743"/>
    <w:rsid w:val="00E96A42"/>
    <w:rsid w:val="00E97497"/>
    <w:rsid w:val="00EA046F"/>
    <w:rsid w:val="00EA49C5"/>
    <w:rsid w:val="00EA6279"/>
    <w:rsid w:val="00EB402C"/>
    <w:rsid w:val="00EB5027"/>
    <w:rsid w:val="00EC1836"/>
    <w:rsid w:val="00EC3990"/>
    <w:rsid w:val="00EC484B"/>
    <w:rsid w:val="00EC7E58"/>
    <w:rsid w:val="00ED15FA"/>
    <w:rsid w:val="00ED4BB4"/>
    <w:rsid w:val="00ED5C9F"/>
    <w:rsid w:val="00EE050C"/>
    <w:rsid w:val="00EE2113"/>
    <w:rsid w:val="00EE34D0"/>
    <w:rsid w:val="00EE5730"/>
    <w:rsid w:val="00EE6E9A"/>
    <w:rsid w:val="00EF2AC4"/>
    <w:rsid w:val="00EF397E"/>
    <w:rsid w:val="00F0340C"/>
    <w:rsid w:val="00F04CED"/>
    <w:rsid w:val="00F06F68"/>
    <w:rsid w:val="00F11241"/>
    <w:rsid w:val="00F11D35"/>
    <w:rsid w:val="00F15E9D"/>
    <w:rsid w:val="00F23FA7"/>
    <w:rsid w:val="00F24C2D"/>
    <w:rsid w:val="00F272C4"/>
    <w:rsid w:val="00F27D59"/>
    <w:rsid w:val="00F316E1"/>
    <w:rsid w:val="00F31BE4"/>
    <w:rsid w:val="00F32155"/>
    <w:rsid w:val="00F32A81"/>
    <w:rsid w:val="00F40C82"/>
    <w:rsid w:val="00F4197F"/>
    <w:rsid w:val="00F41F2C"/>
    <w:rsid w:val="00F438EE"/>
    <w:rsid w:val="00F44F2A"/>
    <w:rsid w:val="00F45367"/>
    <w:rsid w:val="00F46998"/>
    <w:rsid w:val="00F5093F"/>
    <w:rsid w:val="00F5382D"/>
    <w:rsid w:val="00F53D9C"/>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B30"/>
    <w:rsid w:val="00F933B9"/>
    <w:rsid w:val="00F94674"/>
    <w:rsid w:val="00F94919"/>
    <w:rsid w:val="00F94A59"/>
    <w:rsid w:val="00FA25B6"/>
    <w:rsid w:val="00FA2FAF"/>
    <w:rsid w:val="00FA54F6"/>
    <w:rsid w:val="00FA64B1"/>
    <w:rsid w:val="00FA70F3"/>
    <w:rsid w:val="00FA71CD"/>
    <w:rsid w:val="00FB0453"/>
    <w:rsid w:val="00FB0C07"/>
    <w:rsid w:val="00FB298D"/>
    <w:rsid w:val="00FB3171"/>
    <w:rsid w:val="00FB444E"/>
    <w:rsid w:val="00FB5DC9"/>
    <w:rsid w:val="00FC1439"/>
    <w:rsid w:val="00FC3F65"/>
    <w:rsid w:val="00FC5007"/>
    <w:rsid w:val="00FC724B"/>
    <w:rsid w:val="00FC7910"/>
    <w:rsid w:val="00FD01E0"/>
    <w:rsid w:val="00FD50FC"/>
    <w:rsid w:val="00FE1627"/>
    <w:rsid w:val="00FE2D4E"/>
    <w:rsid w:val="00FE4C3C"/>
    <w:rsid w:val="00FF092F"/>
    <w:rsid w:val="00FF0DA7"/>
    <w:rsid w:val="00FF2DF6"/>
    <w:rsid w:val="00FF44E0"/>
    <w:rsid w:val="00FF6C72"/>
    <w:rsid w:val="015659DA"/>
    <w:rsid w:val="01CD73CF"/>
    <w:rsid w:val="02486573"/>
    <w:rsid w:val="035F40DD"/>
    <w:rsid w:val="03EC4758"/>
    <w:rsid w:val="03EF075E"/>
    <w:rsid w:val="04643CEC"/>
    <w:rsid w:val="04A46CA4"/>
    <w:rsid w:val="04A70A1C"/>
    <w:rsid w:val="057535C8"/>
    <w:rsid w:val="0588772F"/>
    <w:rsid w:val="05AC0D47"/>
    <w:rsid w:val="06144460"/>
    <w:rsid w:val="062C3E14"/>
    <w:rsid w:val="06CE52A8"/>
    <w:rsid w:val="0726460B"/>
    <w:rsid w:val="074D717F"/>
    <w:rsid w:val="07C16525"/>
    <w:rsid w:val="08DE6875"/>
    <w:rsid w:val="0A6D6A59"/>
    <w:rsid w:val="0AD835BA"/>
    <w:rsid w:val="0AF87D87"/>
    <w:rsid w:val="0B6D7C36"/>
    <w:rsid w:val="0BD115F6"/>
    <w:rsid w:val="0BE33FF4"/>
    <w:rsid w:val="0C6852C9"/>
    <w:rsid w:val="0CBD69D6"/>
    <w:rsid w:val="0E690D7E"/>
    <w:rsid w:val="0F4946D0"/>
    <w:rsid w:val="0F960BD1"/>
    <w:rsid w:val="100E078E"/>
    <w:rsid w:val="1033197B"/>
    <w:rsid w:val="103D2038"/>
    <w:rsid w:val="1056270F"/>
    <w:rsid w:val="10A9647A"/>
    <w:rsid w:val="11947EEF"/>
    <w:rsid w:val="11956312"/>
    <w:rsid w:val="11E87828"/>
    <w:rsid w:val="12067E67"/>
    <w:rsid w:val="12FC1310"/>
    <w:rsid w:val="13F4213A"/>
    <w:rsid w:val="14257B28"/>
    <w:rsid w:val="14442136"/>
    <w:rsid w:val="17750F09"/>
    <w:rsid w:val="1784011D"/>
    <w:rsid w:val="18F5648F"/>
    <w:rsid w:val="19E155F7"/>
    <w:rsid w:val="1CC149E8"/>
    <w:rsid w:val="1CE343B6"/>
    <w:rsid w:val="1DE52AD1"/>
    <w:rsid w:val="1E711203"/>
    <w:rsid w:val="1EDF7D1E"/>
    <w:rsid w:val="1EF44488"/>
    <w:rsid w:val="1F2F3244"/>
    <w:rsid w:val="1F3276F4"/>
    <w:rsid w:val="1FEE0D9C"/>
    <w:rsid w:val="20C11F53"/>
    <w:rsid w:val="221072CF"/>
    <w:rsid w:val="2278584C"/>
    <w:rsid w:val="23907598"/>
    <w:rsid w:val="23E06A22"/>
    <w:rsid w:val="242C3F8C"/>
    <w:rsid w:val="2449262D"/>
    <w:rsid w:val="24673AC7"/>
    <w:rsid w:val="246F40D7"/>
    <w:rsid w:val="24774A18"/>
    <w:rsid w:val="24A06DFA"/>
    <w:rsid w:val="25B10902"/>
    <w:rsid w:val="26C3470E"/>
    <w:rsid w:val="26D97A21"/>
    <w:rsid w:val="278A787E"/>
    <w:rsid w:val="278D397D"/>
    <w:rsid w:val="27AA76B5"/>
    <w:rsid w:val="27E85AF1"/>
    <w:rsid w:val="28090FC9"/>
    <w:rsid w:val="296333CC"/>
    <w:rsid w:val="297406FE"/>
    <w:rsid w:val="29B368CB"/>
    <w:rsid w:val="2ADA0B26"/>
    <w:rsid w:val="2B806CA3"/>
    <w:rsid w:val="2B9B0870"/>
    <w:rsid w:val="2BED6E09"/>
    <w:rsid w:val="2D1633EB"/>
    <w:rsid w:val="2DFA27F2"/>
    <w:rsid w:val="2E3D3BD6"/>
    <w:rsid w:val="2EDA6C9B"/>
    <w:rsid w:val="2F2B701F"/>
    <w:rsid w:val="2FF66F4B"/>
    <w:rsid w:val="302E5052"/>
    <w:rsid w:val="30522E72"/>
    <w:rsid w:val="30D700B6"/>
    <w:rsid w:val="322070BA"/>
    <w:rsid w:val="32A45F3D"/>
    <w:rsid w:val="32D94B0D"/>
    <w:rsid w:val="3321791E"/>
    <w:rsid w:val="335631BA"/>
    <w:rsid w:val="33E95ACA"/>
    <w:rsid w:val="350E7D08"/>
    <w:rsid w:val="357065AB"/>
    <w:rsid w:val="35AF35CE"/>
    <w:rsid w:val="35CD523E"/>
    <w:rsid w:val="36051910"/>
    <w:rsid w:val="361D268E"/>
    <w:rsid w:val="377E398B"/>
    <w:rsid w:val="37A37610"/>
    <w:rsid w:val="389D038F"/>
    <w:rsid w:val="38AF2CB3"/>
    <w:rsid w:val="3A190B5C"/>
    <w:rsid w:val="3A824DB6"/>
    <w:rsid w:val="3B92336A"/>
    <w:rsid w:val="3D464925"/>
    <w:rsid w:val="3E654273"/>
    <w:rsid w:val="3E8E1868"/>
    <w:rsid w:val="3EC84671"/>
    <w:rsid w:val="3F3426F2"/>
    <w:rsid w:val="3F8F0431"/>
    <w:rsid w:val="40254DC4"/>
    <w:rsid w:val="407B7BAD"/>
    <w:rsid w:val="42842924"/>
    <w:rsid w:val="42AC48D8"/>
    <w:rsid w:val="43660B70"/>
    <w:rsid w:val="44270DAF"/>
    <w:rsid w:val="44F21F74"/>
    <w:rsid w:val="465C4C5A"/>
    <w:rsid w:val="469E3992"/>
    <w:rsid w:val="47FA40E1"/>
    <w:rsid w:val="485E6108"/>
    <w:rsid w:val="48665B32"/>
    <w:rsid w:val="48743B3D"/>
    <w:rsid w:val="49242B97"/>
    <w:rsid w:val="49B276EA"/>
    <w:rsid w:val="49BF2A4F"/>
    <w:rsid w:val="4BBC7D76"/>
    <w:rsid w:val="4C6B472C"/>
    <w:rsid w:val="4CCB12D0"/>
    <w:rsid w:val="4D4759EB"/>
    <w:rsid w:val="4D545FE5"/>
    <w:rsid w:val="4E50267E"/>
    <w:rsid w:val="4EA15069"/>
    <w:rsid w:val="4FC350DF"/>
    <w:rsid w:val="500718A1"/>
    <w:rsid w:val="50666188"/>
    <w:rsid w:val="51417555"/>
    <w:rsid w:val="51973BEE"/>
    <w:rsid w:val="5198578A"/>
    <w:rsid w:val="51DA5080"/>
    <w:rsid w:val="522119B0"/>
    <w:rsid w:val="52CB277F"/>
    <w:rsid w:val="53210278"/>
    <w:rsid w:val="53DE2832"/>
    <w:rsid w:val="54BB15CE"/>
    <w:rsid w:val="54CD3304"/>
    <w:rsid w:val="55131DDA"/>
    <w:rsid w:val="556C28C7"/>
    <w:rsid w:val="564B323D"/>
    <w:rsid w:val="565B309E"/>
    <w:rsid w:val="56C66210"/>
    <w:rsid w:val="57B539FC"/>
    <w:rsid w:val="5809250B"/>
    <w:rsid w:val="58170ED4"/>
    <w:rsid w:val="58AC4CBD"/>
    <w:rsid w:val="59D46859"/>
    <w:rsid w:val="5A596ABB"/>
    <w:rsid w:val="5A8B6F17"/>
    <w:rsid w:val="5C391541"/>
    <w:rsid w:val="5C7C0226"/>
    <w:rsid w:val="5CA01A5A"/>
    <w:rsid w:val="5D1350D5"/>
    <w:rsid w:val="5DF97B87"/>
    <w:rsid w:val="5E9241C4"/>
    <w:rsid w:val="5F722862"/>
    <w:rsid w:val="5FC77254"/>
    <w:rsid w:val="5FEC696B"/>
    <w:rsid w:val="6014175D"/>
    <w:rsid w:val="60665609"/>
    <w:rsid w:val="60705C16"/>
    <w:rsid w:val="627604AD"/>
    <w:rsid w:val="6295006F"/>
    <w:rsid w:val="62CF2FBC"/>
    <w:rsid w:val="63147CC6"/>
    <w:rsid w:val="63A728E8"/>
    <w:rsid w:val="64EA414E"/>
    <w:rsid w:val="6517106F"/>
    <w:rsid w:val="66A009FE"/>
    <w:rsid w:val="68E44950"/>
    <w:rsid w:val="68FE6526"/>
    <w:rsid w:val="692F6511"/>
    <w:rsid w:val="6A3B3D97"/>
    <w:rsid w:val="6A7F703F"/>
    <w:rsid w:val="6A9C6F1F"/>
    <w:rsid w:val="6B0F2FA0"/>
    <w:rsid w:val="6BA95B9A"/>
    <w:rsid w:val="6D674868"/>
    <w:rsid w:val="6D6904D2"/>
    <w:rsid w:val="6E087F44"/>
    <w:rsid w:val="6E19570A"/>
    <w:rsid w:val="6E51205A"/>
    <w:rsid w:val="6E672132"/>
    <w:rsid w:val="6F7E3948"/>
    <w:rsid w:val="718034D2"/>
    <w:rsid w:val="72743DB7"/>
    <w:rsid w:val="727447D3"/>
    <w:rsid w:val="72C62AF2"/>
    <w:rsid w:val="730A0F49"/>
    <w:rsid w:val="736E72E6"/>
    <w:rsid w:val="73C963C3"/>
    <w:rsid w:val="743326A2"/>
    <w:rsid w:val="74AE38FD"/>
    <w:rsid w:val="74BA03E8"/>
    <w:rsid w:val="74FC2405"/>
    <w:rsid w:val="753F634B"/>
    <w:rsid w:val="75CB19AE"/>
    <w:rsid w:val="763E43A1"/>
    <w:rsid w:val="76797C2F"/>
    <w:rsid w:val="76FC1307"/>
    <w:rsid w:val="775678A3"/>
    <w:rsid w:val="775C031A"/>
    <w:rsid w:val="77AE2A02"/>
    <w:rsid w:val="78516F9E"/>
    <w:rsid w:val="79252690"/>
    <w:rsid w:val="795F2373"/>
    <w:rsid w:val="799B26EC"/>
    <w:rsid w:val="79FA090D"/>
    <w:rsid w:val="7AA41F96"/>
    <w:rsid w:val="7AC779AC"/>
    <w:rsid w:val="7AFD5272"/>
    <w:rsid w:val="7B021ACD"/>
    <w:rsid w:val="7B1E7CC8"/>
    <w:rsid w:val="7C312D2E"/>
    <w:rsid w:val="7D3B4910"/>
    <w:rsid w:val="7E690FD7"/>
    <w:rsid w:val="7E7713DD"/>
    <w:rsid w:val="7F285D26"/>
    <w:rsid w:val="7FBA7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nhideWhenUsed="0" w:uiPriority="0" w:semiHidden="0" w:name="HTML Sample"/>
    <w:lsdException w:qFormat="1"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heme="minorBidi"/>
      <w:lang w:val="en-US" w:eastAsia="zh-CN" w:bidi="ar-SA"/>
    </w:rPr>
  </w:style>
  <w:style w:type="paragraph" w:styleId="2">
    <w:name w:val="heading 1"/>
    <w:basedOn w:val="1"/>
    <w:next w:val="1"/>
    <w:link w:val="9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04"/>
    <w:autoRedefine/>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4">
    <w:name w:val="heading 3"/>
    <w:basedOn w:val="1"/>
    <w:next w:val="1"/>
    <w:link w:val="93"/>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98"/>
    <w:autoRedefine/>
    <w:qFormat/>
    <w:uiPriority w:val="0"/>
    <w:pPr>
      <w:keepNext/>
      <w:keepLines/>
      <w:spacing w:before="280" w:after="290" w:line="376" w:lineRule="auto"/>
      <w:outlineLvl w:val="3"/>
    </w:pPr>
    <w:rPr>
      <w:b/>
      <w:bCs/>
      <w:sz w:val="28"/>
      <w:szCs w:val="28"/>
    </w:rPr>
  </w:style>
  <w:style w:type="paragraph" w:styleId="6">
    <w:name w:val="heading 5"/>
    <w:basedOn w:val="1"/>
    <w:next w:val="1"/>
    <w:link w:val="105"/>
    <w:autoRedefine/>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6"/>
    <w:next w:val="1"/>
    <w:link w:val="106"/>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7"/>
    <w:autoRedefine/>
    <w:qFormat/>
    <w:uiPriority w:val="0"/>
    <w:pPr>
      <w:tabs>
        <w:tab w:val="left" w:pos="1800"/>
        <w:tab w:val="clear" w:pos="1440"/>
      </w:tabs>
      <w:ind w:left="1276" w:hanging="1276"/>
      <w:outlineLvl w:val="6"/>
    </w:pPr>
  </w:style>
  <w:style w:type="paragraph" w:styleId="9">
    <w:name w:val="heading 8"/>
    <w:basedOn w:val="1"/>
    <w:next w:val="1"/>
    <w:link w:val="108"/>
    <w:autoRedefine/>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9"/>
    <w:autoRedefine/>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7">
    <w:name w:val="Default Paragraph Font"/>
    <w:autoRedefine/>
    <w:semiHidden/>
    <w:unhideWhenUsed/>
    <w:qFormat/>
    <w:uiPriority w:val="1"/>
  </w:style>
  <w:style w:type="table" w:default="1" w:styleId="55">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autoRedefine/>
    <w:unhideWhenUsed/>
    <w:qFormat/>
    <w:uiPriority w:val="39"/>
    <w:pPr>
      <w:ind w:left="1260"/>
      <w:jc w:val="left"/>
    </w:pPr>
    <w:rPr>
      <w:rFonts w:ascii="Calibri" w:hAnsi="Calibri" w:cs="Calibri"/>
      <w:kern w:val="2"/>
      <w:sz w:val="18"/>
      <w:szCs w:val="18"/>
    </w:rPr>
  </w:style>
  <w:style w:type="paragraph" w:styleId="13">
    <w:name w:val="Normal Indent"/>
    <w:basedOn w:val="1"/>
    <w:autoRedefine/>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autoRedefine/>
    <w:qFormat/>
    <w:uiPriority w:val="0"/>
    <w:pPr>
      <w:spacing w:before="152" w:after="160"/>
    </w:pPr>
    <w:rPr>
      <w:rFonts w:ascii="Arial" w:hAnsi="Arial" w:eastAsia="黑体" w:cs="Arial"/>
      <w:kern w:val="2"/>
    </w:rPr>
  </w:style>
  <w:style w:type="paragraph" w:styleId="15">
    <w:name w:val="Document Map"/>
    <w:basedOn w:val="1"/>
    <w:link w:val="154"/>
    <w:autoRedefine/>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90"/>
    <w:autoRedefine/>
    <w:qFormat/>
    <w:uiPriority w:val="0"/>
    <w:pPr>
      <w:jc w:val="left"/>
    </w:pPr>
    <w:rPr>
      <w:rFonts w:ascii="Arial" w:hAnsi="Arial" w:eastAsia="黑体" w:cs="Arial"/>
    </w:rPr>
  </w:style>
  <w:style w:type="paragraph" w:styleId="17">
    <w:name w:val="Salutation"/>
    <w:basedOn w:val="1"/>
    <w:next w:val="1"/>
    <w:link w:val="120"/>
    <w:autoRedefine/>
    <w:qFormat/>
    <w:uiPriority w:val="0"/>
    <w:rPr>
      <w:rFonts w:ascii="仿宋_GB2312" w:hAnsi="Times New Roman" w:eastAsia="仿宋_GB2312" w:cs="Times New Roman"/>
      <w:kern w:val="2"/>
      <w:sz w:val="28"/>
      <w:lang w:val="zh-CN"/>
    </w:rPr>
  </w:style>
  <w:style w:type="paragraph" w:styleId="18">
    <w:name w:val="Body Text 3"/>
    <w:basedOn w:val="1"/>
    <w:link w:val="140"/>
    <w:autoRedefine/>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link w:val="99"/>
    <w:autoRedefine/>
    <w:qFormat/>
    <w:uiPriority w:val="0"/>
    <w:pPr>
      <w:spacing w:after="120"/>
    </w:pPr>
    <w:rPr>
      <w:rFonts w:ascii="@微软简标宋" w:hAnsi="@微软简标宋" w:eastAsia="@微软简标宋" w:cs="@微软简标宋"/>
      <w:szCs w:val="24"/>
      <w:lang w:val="zh-CN"/>
    </w:rPr>
  </w:style>
  <w:style w:type="paragraph" w:styleId="20">
    <w:name w:val="Body Text Indent"/>
    <w:basedOn w:val="1"/>
    <w:next w:val="21"/>
    <w:link w:val="114"/>
    <w:autoRedefine/>
    <w:unhideWhenUsed/>
    <w:qFormat/>
    <w:uiPriority w:val="0"/>
    <w:pPr>
      <w:spacing w:after="120"/>
      <w:ind w:left="420" w:leftChars="200"/>
    </w:pPr>
    <w:rPr>
      <w:rFonts w:asciiTheme="minorHAnsi" w:hAnsiTheme="minorHAnsi"/>
      <w:kern w:val="2"/>
      <w:sz w:val="21"/>
      <w:szCs w:val="22"/>
    </w:rPr>
  </w:style>
  <w:style w:type="paragraph" w:styleId="21">
    <w:name w:val="envelope return"/>
    <w:basedOn w:val="1"/>
    <w:next w:val="22"/>
    <w:qFormat/>
    <w:uiPriority w:val="0"/>
    <w:pPr>
      <w:snapToGrid w:val="0"/>
    </w:pPr>
    <w:rPr>
      <w:rFonts w:ascii="Arial" w:hAnsi="Arial"/>
    </w:rPr>
  </w:style>
  <w:style w:type="paragraph" w:styleId="22">
    <w:name w:val="Title"/>
    <w:basedOn w:val="1"/>
    <w:next w:val="1"/>
    <w:link w:val="143"/>
    <w:autoRedefine/>
    <w:qFormat/>
    <w:uiPriority w:val="0"/>
    <w:pPr>
      <w:spacing w:before="0" w:after="0" w:line="360" w:lineRule="auto"/>
      <w:jc w:val="center"/>
    </w:pPr>
    <w:rPr>
      <w:rFonts w:ascii="宋体" w:hAnsi="宋体" w:eastAsia="黑体"/>
      <w:smallCaps/>
      <w:snapToGrid w:val="0"/>
      <w:sz w:val="44"/>
      <w:szCs w:val="24"/>
    </w:rPr>
  </w:style>
  <w:style w:type="paragraph" w:styleId="23">
    <w:name w:val="List 2"/>
    <w:basedOn w:val="1"/>
    <w:autoRedefine/>
    <w:qFormat/>
    <w:uiPriority w:val="0"/>
    <w:pPr>
      <w:ind w:left="100" w:leftChars="200" w:hanging="200" w:hangingChars="200"/>
    </w:pPr>
    <w:rPr>
      <w:rFonts w:ascii="Calibri" w:hAnsi="Calibri" w:cs="Times New Roman"/>
      <w:kern w:val="2"/>
      <w:sz w:val="21"/>
      <w:szCs w:val="22"/>
    </w:rPr>
  </w:style>
  <w:style w:type="paragraph" w:styleId="24">
    <w:name w:val="List Continue"/>
    <w:basedOn w:val="1"/>
    <w:autoRedefine/>
    <w:qFormat/>
    <w:uiPriority w:val="0"/>
    <w:pPr>
      <w:spacing w:after="120"/>
      <w:ind w:left="420" w:leftChars="200"/>
    </w:pPr>
    <w:rPr>
      <w:rFonts w:ascii="Calibri" w:hAnsi="Calibri" w:cs="Times New Roman"/>
      <w:kern w:val="2"/>
      <w:sz w:val="21"/>
      <w:szCs w:val="22"/>
    </w:rPr>
  </w:style>
  <w:style w:type="paragraph" w:styleId="25">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6">
    <w:name w:val="index 4"/>
    <w:basedOn w:val="1"/>
    <w:next w:val="1"/>
    <w:autoRedefine/>
    <w:qFormat/>
    <w:uiPriority w:val="0"/>
    <w:pPr>
      <w:ind w:left="600" w:leftChars="600"/>
    </w:pPr>
    <w:rPr>
      <w:rFonts w:ascii="Times New Roman" w:hAnsi="Times New Roman" w:cs="Times New Roman"/>
      <w:kern w:val="2"/>
      <w:sz w:val="21"/>
      <w:szCs w:val="24"/>
    </w:rPr>
  </w:style>
  <w:style w:type="paragraph" w:styleId="27">
    <w:name w:val="toc 5"/>
    <w:basedOn w:val="1"/>
    <w:next w:val="1"/>
    <w:autoRedefine/>
    <w:unhideWhenUsed/>
    <w:qFormat/>
    <w:uiPriority w:val="39"/>
    <w:pPr>
      <w:ind w:left="840"/>
      <w:jc w:val="left"/>
    </w:pPr>
    <w:rPr>
      <w:rFonts w:ascii="Calibri" w:hAnsi="Calibri" w:cs="Calibri"/>
      <w:kern w:val="2"/>
      <w:sz w:val="18"/>
      <w:szCs w:val="18"/>
    </w:rPr>
  </w:style>
  <w:style w:type="paragraph" w:styleId="28">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9">
    <w:name w:val="Plain Text"/>
    <w:basedOn w:val="1"/>
    <w:link w:val="79"/>
    <w:autoRedefine/>
    <w:qFormat/>
    <w:uiPriority w:val="0"/>
    <w:rPr>
      <w:rFonts w:hAnsi="Courier New" w:eastAsiaTheme="minorEastAsia"/>
      <w:szCs w:val="22"/>
    </w:rPr>
  </w:style>
  <w:style w:type="paragraph" w:styleId="30">
    <w:name w:val="toc 8"/>
    <w:basedOn w:val="1"/>
    <w:next w:val="1"/>
    <w:autoRedefine/>
    <w:unhideWhenUsed/>
    <w:qFormat/>
    <w:uiPriority w:val="39"/>
    <w:pPr>
      <w:ind w:left="1470"/>
      <w:jc w:val="left"/>
    </w:pPr>
    <w:rPr>
      <w:rFonts w:ascii="Calibri" w:hAnsi="Calibri" w:cs="Calibri"/>
      <w:kern w:val="2"/>
      <w:sz w:val="18"/>
      <w:szCs w:val="18"/>
    </w:rPr>
  </w:style>
  <w:style w:type="paragraph" w:styleId="31">
    <w:name w:val="Date"/>
    <w:basedOn w:val="1"/>
    <w:next w:val="1"/>
    <w:link w:val="86"/>
    <w:autoRedefine/>
    <w:qFormat/>
    <w:uiPriority w:val="0"/>
    <w:rPr>
      <w:rFonts w:ascii="Arial" w:hAnsi="Arial" w:cs="Arial"/>
      <w:b/>
      <w:sz w:val="28"/>
    </w:rPr>
  </w:style>
  <w:style w:type="paragraph" w:styleId="32">
    <w:name w:val="Body Text Indent 2"/>
    <w:basedOn w:val="1"/>
    <w:link w:val="136"/>
    <w:autoRedefine/>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3">
    <w:name w:val="Balloon Text"/>
    <w:basedOn w:val="1"/>
    <w:link w:val="73"/>
    <w:autoRedefine/>
    <w:unhideWhenUsed/>
    <w:qFormat/>
    <w:uiPriority w:val="0"/>
    <w:rPr>
      <w:sz w:val="18"/>
      <w:szCs w:val="18"/>
    </w:rPr>
  </w:style>
  <w:style w:type="paragraph" w:styleId="34">
    <w:name w:val="footer"/>
    <w:basedOn w:val="1"/>
    <w:link w:val="78"/>
    <w:autoRedefine/>
    <w:unhideWhenUsed/>
    <w:qFormat/>
    <w:uiPriority w:val="99"/>
    <w:pPr>
      <w:tabs>
        <w:tab w:val="center" w:pos="4153"/>
        <w:tab w:val="right" w:pos="8306"/>
      </w:tabs>
      <w:snapToGrid w:val="0"/>
      <w:jc w:val="left"/>
    </w:pPr>
    <w:rPr>
      <w:sz w:val="18"/>
      <w:szCs w:val="18"/>
    </w:rPr>
  </w:style>
  <w:style w:type="paragraph" w:styleId="35">
    <w:name w:val="header"/>
    <w:basedOn w:val="1"/>
    <w:link w:val="7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autoRedefine/>
    <w:unhideWhenUsed/>
    <w:qFormat/>
    <w:uiPriority w:val="39"/>
    <w:pPr>
      <w:widowControl/>
      <w:spacing w:after="100" w:line="276" w:lineRule="auto"/>
      <w:jc w:val="left"/>
    </w:pPr>
    <w:rPr>
      <w:rFonts w:asciiTheme="minorHAnsi" w:hAnsiTheme="minorHAnsi" w:eastAsiaTheme="minorEastAsia"/>
      <w:sz w:val="22"/>
      <w:szCs w:val="22"/>
    </w:rPr>
  </w:style>
  <w:style w:type="paragraph" w:styleId="37">
    <w:name w:val="List Continue 4"/>
    <w:basedOn w:val="1"/>
    <w:autoRedefine/>
    <w:qFormat/>
    <w:uiPriority w:val="0"/>
    <w:pPr>
      <w:spacing w:after="120"/>
      <w:ind w:left="1680" w:leftChars="800"/>
    </w:pPr>
    <w:rPr>
      <w:rFonts w:ascii="Calibri" w:hAnsi="Calibri" w:cs="Times New Roman"/>
      <w:kern w:val="2"/>
      <w:sz w:val="21"/>
      <w:szCs w:val="22"/>
    </w:rPr>
  </w:style>
  <w:style w:type="paragraph" w:styleId="38">
    <w:name w:val="toc 4"/>
    <w:basedOn w:val="1"/>
    <w:next w:val="1"/>
    <w:autoRedefine/>
    <w:unhideWhenUsed/>
    <w:qFormat/>
    <w:uiPriority w:val="39"/>
    <w:pPr>
      <w:ind w:left="630"/>
      <w:jc w:val="left"/>
    </w:pPr>
    <w:rPr>
      <w:rFonts w:ascii="Calibri" w:hAnsi="Calibri" w:cs="Calibri"/>
      <w:kern w:val="2"/>
      <w:sz w:val="18"/>
      <w:szCs w:val="18"/>
    </w:rPr>
  </w:style>
  <w:style w:type="paragraph" w:styleId="39">
    <w:name w:val="index heading"/>
    <w:basedOn w:val="1"/>
    <w:next w:val="40"/>
    <w:autoRedefine/>
    <w:semiHidden/>
    <w:qFormat/>
    <w:uiPriority w:val="0"/>
    <w:rPr>
      <w:rFonts w:ascii="Times New Roman" w:hAnsi="Times New Roman" w:cs="Times New Roman"/>
      <w:kern w:val="2"/>
      <w:sz w:val="21"/>
      <w:szCs w:val="24"/>
    </w:rPr>
  </w:style>
  <w:style w:type="paragraph" w:styleId="40">
    <w:name w:val="index 1"/>
    <w:basedOn w:val="1"/>
    <w:next w:val="1"/>
    <w:autoRedefine/>
    <w:qFormat/>
    <w:uiPriority w:val="0"/>
    <w:pPr>
      <w:jc w:val="center"/>
    </w:pPr>
    <w:rPr>
      <w:rFonts w:ascii="Arial" w:hAnsi="Arial" w:eastAsia="Arial" w:cs="Arial"/>
      <w:b/>
      <w:bCs/>
      <w:sz w:val="28"/>
    </w:rPr>
  </w:style>
  <w:style w:type="paragraph" w:styleId="41">
    <w:name w:val="Subtitle"/>
    <w:basedOn w:val="1"/>
    <w:link w:val="228"/>
    <w:autoRedefine/>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2">
    <w:name w:val="List"/>
    <w:basedOn w:val="1"/>
    <w:autoRedefine/>
    <w:qFormat/>
    <w:uiPriority w:val="0"/>
    <w:pPr>
      <w:ind w:left="200" w:hanging="200" w:hangingChars="200"/>
    </w:pPr>
    <w:rPr>
      <w:rFonts w:ascii="Calibri" w:hAnsi="Calibri" w:cs="Times New Roman"/>
      <w:kern w:val="2"/>
      <w:sz w:val="21"/>
      <w:szCs w:val="22"/>
    </w:rPr>
  </w:style>
  <w:style w:type="paragraph" w:styleId="43">
    <w:name w:val="footnote text"/>
    <w:basedOn w:val="1"/>
    <w:link w:val="116"/>
    <w:autoRedefine/>
    <w:unhideWhenUsed/>
    <w:qFormat/>
    <w:uiPriority w:val="0"/>
    <w:pPr>
      <w:snapToGrid w:val="0"/>
      <w:jc w:val="left"/>
    </w:pPr>
    <w:rPr>
      <w:rFonts w:ascii="Times New Roman" w:hAnsi="Times New Roman" w:cs="Times New Roman"/>
      <w:kern w:val="2"/>
      <w:sz w:val="18"/>
      <w:szCs w:val="18"/>
      <w:lang w:val="zh-CN"/>
    </w:rPr>
  </w:style>
  <w:style w:type="paragraph" w:styleId="44">
    <w:name w:val="toc 6"/>
    <w:basedOn w:val="1"/>
    <w:next w:val="1"/>
    <w:autoRedefine/>
    <w:unhideWhenUsed/>
    <w:qFormat/>
    <w:uiPriority w:val="39"/>
    <w:pPr>
      <w:ind w:left="1050"/>
      <w:jc w:val="left"/>
    </w:pPr>
    <w:rPr>
      <w:rFonts w:ascii="Calibri" w:hAnsi="Calibri" w:cs="Calibri"/>
      <w:kern w:val="2"/>
      <w:sz w:val="18"/>
      <w:szCs w:val="18"/>
    </w:rPr>
  </w:style>
  <w:style w:type="paragraph" w:styleId="45">
    <w:name w:val="Body Text Indent 3"/>
    <w:basedOn w:val="1"/>
    <w:link w:val="135"/>
    <w:autoRedefine/>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6">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7">
    <w:name w:val="toc 9"/>
    <w:basedOn w:val="1"/>
    <w:next w:val="1"/>
    <w:autoRedefine/>
    <w:unhideWhenUsed/>
    <w:qFormat/>
    <w:uiPriority w:val="39"/>
    <w:pPr>
      <w:ind w:left="1680"/>
      <w:jc w:val="left"/>
    </w:pPr>
    <w:rPr>
      <w:rFonts w:ascii="Calibri" w:hAnsi="Calibri" w:cs="Calibri"/>
      <w:kern w:val="2"/>
      <w:sz w:val="18"/>
      <w:szCs w:val="18"/>
    </w:rPr>
  </w:style>
  <w:style w:type="paragraph" w:styleId="48">
    <w:name w:val="Body Text 2"/>
    <w:basedOn w:val="1"/>
    <w:link w:val="139"/>
    <w:autoRedefine/>
    <w:qFormat/>
    <w:uiPriority w:val="0"/>
    <w:pPr>
      <w:spacing w:line="360" w:lineRule="auto"/>
    </w:pPr>
    <w:rPr>
      <w:rFonts w:hAnsi="Times New Roman" w:cs="Times New Roman"/>
      <w:spacing w:val="-20"/>
      <w:kern w:val="2"/>
      <w:sz w:val="28"/>
      <w:lang w:val="zh-CN"/>
    </w:rPr>
  </w:style>
  <w:style w:type="paragraph" w:styleId="49">
    <w:name w:val="List 4"/>
    <w:basedOn w:val="1"/>
    <w:autoRedefine/>
    <w:qFormat/>
    <w:uiPriority w:val="0"/>
    <w:pPr>
      <w:ind w:left="100" w:leftChars="600" w:hanging="200" w:hangingChars="200"/>
    </w:pPr>
    <w:rPr>
      <w:rFonts w:ascii="Calibri" w:hAnsi="Calibri" w:cs="Times New Roman"/>
      <w:kern w:val="2"/>
      <w:sz w:val="21"/>
      <w:szCs w:val="22"/>
    </w:rPr>
  </w:style>
  <w:style w:type="paragraph" w:styleId="50">
    <w:name w:val="List Continue 2"/>
    <w:basedOn w:val="1"/>
    <w:autoRedefine/>
    <w:qFormat/>
    <w:uiPriority w:val="0"/>
    <w:pPr>
      <w:spacing w:after="120"/>
      <w:ind w:left="840" w:leftChars="400"/>
    </w:pPr>
    <w:rPr>
      <w:rFonts w:ascii="Calibri" w:hAnsi="Calibri" w:cs="Times New Roman"/>
      <w:kern w:val="2"/>
      <w:sz w:val="21"/>
      <w:szCs w:val="22"/>
    </w:rPr>
  </w:style>
  <w:style w:type="paragraph" w:styleId="51">
    <w:name w:val="Normal (Web)"/>
    <w:basedOn w:val="1"/>
    <w:autoRedefine/>
    <w:qFormat/>
    <w:uiPriority w:val="0"/>
    <w:pPr>
      <w:widowControl/>
      <w:spacing w:before="100" w:beforeAutospacing="1" w:after="100" w:afterAutospacing="1"/>
      <w:jc w:val="left"/>
    </w:pPr>
    <w:rPr>
      <w:rFonts w:cs="宋体"/>
      <w:color w:val="0066CC"/>
      <w:sz w:val="24"/>
      <w:szCs w:val="24"/>
    </w:rPr>
  </w:style>
  <w:style w:type="paragraph" w:styleId="52">
    <w:name w:val="annotation subject"/>
    <w:basedOn w:val="16"/>
    <w:next w:val="16"/>
    <w:link w:val="101"/>
    <w:autoRedefine/>
    <w:unhideWhenUsed/>
    <w:qFormat/>
    <w:uiPriority w:val="0"/>
    <w:rPr>
      <w:rFonts w:ascii="宋体" w:hAnsi="宋体" w:eastAsia="宋体" w:cstheme="minorBidi"/>
      <w:b/>
      <w:bCs/>
    </w:rPr>
  </w:style>
  <w:style w:type="paragraph" w:styleId="53">
    <w:name w:val="Body Text First Indent"/>
    <w:basedOn w:val="19"/>
    <w:autoRedefine/>
    <w:semiHidden/>
    <w:unhideWhenUsed/>
    <w:qFormat/>
    <w:uiPriority w:val="99"/>
    <w:pPr>
      <w:ind w:firstLine="420" w:firstLineChars="100"/>
    </w:pPr>
  </w:style>
  <w:style w:type="paragraph" w:styleId="54">
    <w:name w:val="Body Text First Indent 2"/>
    <w:basedOn w:val="20"/>
    <w:next w:val="1"/>
    <w:qFormat/>
    <w:uiPriority w:val="0"/>
    <w:pPr>
      <w:spacing w:line="360" w:lineRule="auto"/>
      <w:ind w:firstLine="200" w:firstLineChars="200"/>
    </w:pPr>
    <w:rPr>
      <w:rFonts w:ascii="宋体"/>
      <w:szCs w:val="20"/>
    </w:rPr>
  </w:style>
  <w:style w:type="table" w:styleId="56">
    <w:name w:val="Table Grid"/>
    <w:basedOn w:val="55"/>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autoRedefine/>
    <w:qFormat/>
    <w:uiPriority w:val="0"/>
    <w:rPr>
      <w:b/>
      <w:bCs/>
    </w:rPr>
  </w:style>
  <w:style w:type="character" w:styleId="59">
    <w:name w:val="page number"/>
    <w:basedOn w:val="57"/>
    <w:autoRedefine/>
    <w:qFormat/>
    <w:uiPriority w:val="0"/>
  </w:style>
  <w:style w:type="character" w:styleId="60">
    <w:name w:val="FollowedHyperlink"/>
    <w:basedOn w:val="57"/>
    <w:autoRedefine/>
    <w:semiHidden/>
    <w:unhideWhenUsed/>
    <w:qFormat/>
    <w:uiPriority w:val="99"/>
    <w:rPr>
      <w:color w:val="800080" w:themeColor="followedHyperlink"/>
      <w:u w:val="single"/>
      <w14:textFill>
        <w14:solidFill>
          <w14:schemeClr w14:val="folHlink"/>
        </w14:solidFill>
      </w14:textFill>
    </w:rPr>
  </w:style>
  <w:style w:type="character" w:styleId="61">
    <w:name w:val="Emphasis"/>
    <w:autoRedefine/>
    <w:qFormat/>
    <w:uiPriority w:val="0"/>
    <w:rPr>
      <w:color w:val="CC0033"/>
    </w:rPr>
  </w:style>
  <w:style w:type="character" w:styleId="62">
    <w:name w:val="HTML Definition"/>
    <w:basedOn w:val="57"/>
    <w:semiHidden/>
    <w:unhideWhenUsed/>
    <w:qFormat/>
    <w:uiPriority w:val="99"/>
  </w:style>
  <w:style w:type="character" w:styleId="63">
    <w:name w:val="HTML Typewriter"/>
    <w:basedOn w:val="57"/>
    <w:semiHidden/>
    <w:unhideWhenUsed/>
    <w:qFormat/>
    <w:uiPriority w:val="99"/>
    <w:rPr>
      <w:rFonts w:hint="default" w:ascii="monospace" w:hAnsi="monospace" w:eastAsia="monospace" w:cs="monospace"/>
      <w:sz w:val="20"/>
    </w:rPr>
  </w:style>
  <w:style w:type="character" w:styleId="64">
    <w:name w:val="HTML Acronym"/>
    <w:basedOn w:val="57"/>
    <w:semiHidden/>
    <w:unhideWhenUsed/>
    <w:qFormat/>
    <w:uiPriority w:val="99"/>
  </w:style>
  <w:style w:type="character" w:styleId="65">
    <w:name w:val="HTML Variable"/>
    <w:basedOn w:val="57"/>
    <w:semiHidden/>
    <w:unhideWhenUsed/>
    <w:qFormat/>
    <w:uiPriority w:val="99"/>
  </w:style>
  <w:style w:type="character" w:styleId="66">
    <w:name w:val="Hyperlink"/>
    <w:basedOn w:val="57"/>
    <w:autoRedefine/>
    <w:unhideWhenUsed/>
    <w:qFormat/>
    <w:uiPriority w:val="99"/>
    <w:rPr>
      <w:color w:val="0000FF" w:themeColor="hyperlink"/>
      <w:u w:val="single"/>
      <w14:textFill>
        <w14:solidFill>
          <w14:schemeClr w14:val="hlink"/>
        </w14:solidFill>
      </w14:textFill>
    </w:rPr>
  </w:style>
  <w:style w:type="character" w:styleId="67">
    <w:name w:val="HTML Code"/>
    <w:basedOn w:val="57"/>
    <w:semiHidden/>
    <w:unhideWhenUsed/>
    <w:qFormat/>
    <w:uiPriority w:val="99"/>
    <w:rPr>
      <w:rFonts w:hint="default" w:ascii="monospace" w:hAnsi="monospace" w:eastAsia="monospace" w:cs="monospace"/>
      <w:sz w:val="20"/>
    </w:rPr>
  </w:style>
  <w:style w:type="character" w:styleId="68">
    <w:name w:val="annotation reference"/>
    <w:basedOn w:val="57"/>
    <w:autoRedefine/>
    <w:unhideWhenUsed/>
    <w:qFormat/>
    <w:uiPriority w:val="0"/>
    <w:rPr>
      <w:sz w:val="21"/>
      <w:szCs w:val="21"/>
    </w:rPr>
  </w:style>
  <w:style w:type="character" w:styleId="69">
    <w:name w:val="HTML Cite"/>
    <w:basedOn w:val="57"/>
    <w:semiHidden/>
    <w:unhideWhenUsed/>
    <w:qFormat/>
    <w:uiPriority w:val="99"/>
    <w:rPr>
      <w:color w:val="008000"/>
    </w:rPr>
  </w:style>
  <w:style w:type="character" w:styleId="70">
    <w:name w:val="footnote reference"/>
    <w:autoRedefine/>
    <w:unhideWhenUsed/>
    <w:qFormat/>
    <w:uiPriority w:val="0"/>
    <w:rPr>
      <w:vertAlign w:val="superscript"/>
    </w:rPr>
  </w:style>
  <w:style w:type="character" w:styleId="71">
    <w:name w:val="HTML Keyboard"/>
    <w:basedOn w:val="57"/>
    <w:semiHidden/>
    <w:unhideWhenUsed/>
    <w:qFormat/>
    <w:uiPriority w:val="99"/>
    <w:rPr>
      <w:rFonts w:hint="default" w:ascii="monospace" w:hAnsi="monospace" w:eastAsia="monospace" w:cs="monospace"/>
      <w:sz w:val="20"/>
    </w:rPr>
  </w:style>
  <w:style w:type="character" w:styleId="72">
    <w:name w:val="HTML Sample"/>
    <w:autoRedefine/>
    <w:qFormat/>
    <w:uiPriority w:val="0"/>
    <w:rPr>
      <w:rFonts w:hint="default" w:ascii="monospace" w:hAnsi="monospace" w:eastAsia="monospace" w:cs="monospace"/>
      <w:sz w:val="21"/>
      <w:szCs w:val="21"/>
    </w:rPr>
  </w:style>
  <w:style w:type="character" w:customStyle="1" w:styleId="73">
    <w:name w:val="批注框文本 Char"/>
    <w:basedOn w:val="57"/>
    <w:link w:val="33"/>
    <w:autoRedefine/>
    <w:qFormat/>
    <w:uiPriority w:val="0"/>
    <w:rPr>
      <w:rFonts w:ascii="@仿宋_GB2312" w:hAnsi="@仿宋_GB2312" w:eastAsia="@仿宋_GB2312" w:cs="@仿宋_GB2312"/>
      <w:sz w:val="18"/>
      <w:szCs w:val="18"/>
    </w:rPr>
  </w:style>
  <w:style w:type="paragraph" w:customStyle="1" w:styleId="74">
    <w:name w:val="正文（缩进）"/>
    <w:basedOn w:val="1"/>
    <w:autoRedefine/>
    <w:qFormat/>
    <w:uiPriority w:val="0"/>
    <w:pPr>
      <w:widowControl/>
      <w:spacing w:before="156" w:after="156"/>
      <w:ind w:firstLine="480" w:firstLineChars="200"/>
      <w:jc w:val="left"/>
    </w:pPr>
    <w:rPr>
      <w:sz w:val="24"/>
      <w:szCs w:val="24"/>
    </w:rPr>
  </w:style>
  <w:style w:type="paragraph" w:customStyle="1" w:styleId="75">
    <w:name w:val="xl31"/>
    <w:basedOn w:val="1"/>
    <w:autoRedefine/>
    <w:qFormat/>
    <w:uiPriority w:val="0"/>
    <w:pPr>
      <w:widowControl/>
      <w:spacing w:before="100" w:beforeAutospacing="1" w:after="100" w:afterAutospacing="1"/>
      <w:jc w:val="center"/>
    </w:pPr>
    <w:rPr>
      <w:b/>
      <w:bCs/>
      <w:sz w:val="28"/>
      <w:szCs w:val="28"/>
    </w:rPr>
  </w:style>
  <w:style w:type="paragraph" w:customStyle="1" w:styleId="76">
    <w:name w:val="D&amp;L"/>
    <w:basedOn w:val="35"/>
    <w:autoRedefine/>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7">
    <w:name w:val="页眉 Char"/>
    <w:basedOn w:val="57"/>
    <w:link w:val="35"/>
    <w:autoRedefine/>
    <w:qFormat/>
    <w:uiPriority w:val="99"/>
    <w:rPr>
      <w:rFonts w:ascii="@仿宋_GB2312" w:hAnsi="@仿宋_GB2312" w:eastAsia="@仿宋_GB2312" w:cs="@仿宋_GB2312"/>
      <w:sz w:val="18"/>
      <w:szCs w:val="18"/>
    </w:rPr>
  </w:style>
  <w:style w:type="character" w:customStyle="1" w:styleId="78">
    <w:name w:val="页脚 Char"/>
    <w:basedOn w:val="57"/>
    <w:link w:val="34"/>
    <w:autoRedefine/>
    <w:qFormat/>
    <w:uiPriority w:val="99"/>
    <w:rPr>
      <w:rFonts w:ascii="@仿宋_GB2312" w:hAnsi="@仿宋_GB2312" w:eastAsia="@仿宋_GB2312" w:cs="@仿宋_GB2312"/>
      <w:sz w:val="18"/>
      <w:szCs w:val="18"/>
    </w:rPr>
  </w:style>
  <w:style w:type="character" w:customStyle="1" w:styleId="79">
    <w:name w:val="纯文本 Char"/>
    <w:link w:val="29"/>
    <w:autoRedefine/>
    <w:qFormat/>
    <w:uiPriority w:val="0"/>
    <w:rPr>
      <w:rFonts w:ascii="宋体" w:hAnsi="Courier New"/>
    </w:rPr>
  </w:style>
  <w:style w:type="character" w:customStyle="1" w:styleId="80">
    <w:name w:val="纯文本 字符1"/>
    <w:basedOn w:val="57"/>
    <w:autoRedefine/>
    <w:semiHidden/>
    <w:qFormat/>
    <w:uiPriority w:val="99"/>
    <w:rPr>
      <w:rFonts w:hAnsi="Courier New" w:cs="Courier New" w:asciiTheme="minorEastAsia"/>
      <w:szCs w:val="20"/>
    </w:rPr>
  </w:style>
  <w:style w:type="character" w:customStyle="1" w:styleId="81">
    <w:name w:val="未处理的提及1"/>
    <w:basedOn w:val="57"/>
    <w:autoRedefine/>
    <w:semiHidden/>
    <w:unhideWhenUsed/>
    <w:qFormat/>
    <w:uiPriority w:val="99"/>
    <w:rPr>
      <w:color w:val="605E5C"/>
      <w:shd w:val="clear" w:color="auto" w:fill="E1DFDD"/>
    </w:rPr>
  </w:style>
  <w:style w:type="paragraph" w:styleId="82">
    <w:name w:val="List Paragraph"/>
    <w:basedOn w:val="1"/>
    <w:autoRedefine/>
    <w:qFormat/>
    <w:uiPriority w:val="34"/>
    <w:pPr>
      <w:ind w:firstLine="420" w:firstLineChars="200"/>
    </w:pPr>
  </w:style>
  <w:style w:type="paragraph" w:customStyle="1" w:styleId="83">
    <w:name w:val="Char Char Char Char Char Char Char1 Char"/>
    <w:basedOn w:val="1"/>
    <w:autoRedefine/>
    <w:qFormat/>
    <w:uiPriority w:val="0"/>
    <w:rPr>
      <w:rFonts w:ascii="Arial" w:hAnsi="Arial" w:cs="Arial"/>
      <w:sz w:val="24"/>
    </w:rPr>
  </w:style>
  <w:style w:type="table" w:customStyle="1" w:styleId="84">
    <w:name w:val="网格表 1 浅色1"/>
    <w:basedOn w:val="55"/>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85">
    <w:name w:val="日期 字符"/>
    <w:basedOn w:val="57"/>
    <w:autoRedefine/>
    <w:semiHidden/>
    <w:qFormat/>
    <w:uiPriority w:val="99"/>
    <w:rPr>
      <w:rFonts w:ascii="@仿宋_GB2312" w:hAnsi="@仿宋_GB2312" w:eastAsia="@仿宋_GB2312" w:cs="@仿宋_GB2312"/>
      <w:szCs w:val="20"/>
    </w:rPr>
  </w:style>
  <w:style w:type="character" w:customStyle="1" w:styleId="86">
    <w:name w:val="日期 Char"/>
    <w:link w:val="31"/>
    <w:autoRedefine/>
    <w:qFormat/>
    <w:uiPriority w:val="0"/>
    <w:rPr>
      <w:rFonts w:ascii="Arial" w:hAnsi="Arial" w:eastAsia="宋体" w:cs="Arial"/>
      <w:b/>
      <w:sz w:val="28"/>
      <w:szCs w:val="20"/>
    </w:rPr>
  </w:style>
  <w:style w:type="character" w:customStyle="1" w:styleId="87">
    <w:name w:val="纯文本 Char1"/>
    <w:link w:val="88"/>
    <w:autoRedefine/>
    <w:qFormat/>
    <w:locked/>
    <w:uiPriority w:val="99"/>
    <w:rPr>
      <w:rFonts w:ascii="Arial" w:hAnsi="Arial" w:eastAsia="Arial"/>
      <w:kern w:val="2"/>
      <w:sz w:val="21"/>
      <w:lang w:val="en-US" w:eastAsia="zh-CN" w:bidi="ar-SA"/>
    </w:rPr>
  </w:style>
  <w:style w:type="paragraph" w:customStyle="1" w:styleId="88">
    <w:name w:val="纯文本1"/>
    <w:basedOn w:val="1"/>
    <w:link w:val="87"/>
    <w:autoRedefine/>
    <w:qFormat/>
    <w:uiPriority w:val="0"/>
    <w:rPr>
      <w:rFonts w:ascii="Arial" w:hAnsi="Arial" w:eastAsia="Arial"/>
    </w:rPr>
  </w:style>
  <w:style w:type="character" w:customStyle="1" w:styleId="89">
    <w:name w:val="批注文字 Char"/>
    <w:basedOn w:val="57"/>
    <w:autoRedefine/>
    <w:qFormat/>
    <w:uiPriority w:val="0"/>
    <w:rPr>
      <w:rFonts w:ascii="@仿宋_GB2312" w:hAnsi="@仿宋_GB2312" w:eastAsia="@仿宋_GB2312" w:cs="@仿宋_GB2312"/>
      <w:szCs w:val="20"/>
    </w:rPr>
  </w:style>
  <w:style w:type="character" w:customStyle="1" w:styleId="90">
    <w:name w:val="批注文字 Char1"/>
    <w:link w:val="16"/>
    <w:autoRedefine/>
    <w:qFormat/>
    <w:uiPriority w:val="99"/>
    <w:rPr>
      <w:rFonts w:ascii="Arial" w:hAnsi="Arial" w:eastAsia="黑体" w:cs="Arial"/>
      <w:szCs w:val="20"/>
    </w:rPr>
  </w:style>
  <w:style w:type="character" w:customStyle="1" w:styleId="91">
    <w:name w:val="标题 1 Char"/>
    <w:basedOn w:val="57"/>
    <w:link w:val="2"/>
    <w:autoRedefine/>
    <w:qFormat/>
    <w:uiPriority w:val="0"/>
    <w:rPr>
      <w:rFonts w:ascii="@仿宋_GB2312" w:hAnsi="@仿宋_GB2312" w:eastAsia="@仿宋_GB2312" w:cs="@仿宋_GB2312"/>
      <w:b/>
      <w:bCs/>
      <w:kern w:val="44"/>
      <w:sz w:val="44"/>
      <w:szCs w:val="44"/>
    </w:rPr>
  </w:style>
  <w:style w:type="paragraph" w:customStyle="1" w:styleId="92">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93">
    <w:name w:val="标题 3 Char"/>
    <w:basedOn w:val="57"/>
    <w:link w:val="4"/>
    <w:autoRedefine/>
    <w:qFormat/>
    <w:uiPriority w:val="0"/>
    <w:rPr>
      <w:rFonts w:ascii="@仿宋_GB2312" w:hAnsi="@仿宋_GB2312" w:eastAsia="@仿宋_GB2312" w:cs="@仿宋_GB2312"/>
      <w:b/>
      <w:bCs/>
      <w:sz w:val="32"/>
      <w:szCs w:val="32"/>
    </w:rPr>
  </w:style>
  <w:style w:type="character" w:customStyle="1" w:styleId="94">
    <w:name w:val="fontstyle01"/>
    <w:basedOn w:val="57"/>
    <w:autoRedefine/>
    <w:qFormat/>
    <w:uiPriority w:val="0"/>
    <w:rPr>
      <w:rFonts w:hint="eastAsia" w:ascii="宋体" w:hAnsi="宋体" w:eastAsia="宋体"/>
      <w:color w:val="000000"/>
      <w:sz w:val="22"/>
      <w:szCs w:val="22"/>
    </w:rPr>
  </w:style>
  <w:style w:type="character" w:customStyle="1" w:styleId="95">
    <w:name w:val="fontstyle21"/>
    <w:basedOn w:val="57"/>
    <w:autoRedefine/>
    <w:qFormat/>
    <w:uiPriority w:val="0"/>
    <w:rPr>
      <w:rFonts w:hint="default" w:ascii="TimesNewRomanPSMT" w:hAnsi="TimesNewRomanPSMT"/>
      <w:color w:val="000000"/>
      <w:sz w:val="22"/>
      <w:szCs w:val="22"/>
    </w:rPr>
  </w:style>
  <w:style w:type="character" w:customStyle="1" w:styleId="96">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97">
    <w:name w:val="标题 4 字符"/>
    <w:basedOn w:val="57"/>
    <w:autoRedefine/>
    <w:semiHidden/>
    <w:qFormat/>
    <w:uiPriority w:val="9"/>
    <w:rPr>
      <w:rFonts w:asciiTheme="majorHAnsi" w:hAnsiTheme="majorHAnsi" w:eastAsiaTheme="majorEastAsia" w:cstheme="majorBidi"/>
      <w:b/>
      <w:bCs/>
      <w:sz w:val="28"/>
      <w:szCs w:val="28"/>
    </w:rPr>
  </w:style>
  <w:style w:type="character" w:customStyle="1" w:styleId="98">
    <w:name w:val="标题 4 Char"/>
    <w:link w:val="5"/>
    <w:autoRedefine/>
    <w:qFormat/>
    <w:uiPriority w:val="0"/>
    <w:rPr>
      <w:rFonts w:ascii="@仿宋_GB2312" w:hAnsi="@仿宋_GB2312" w:eastAsia="@仿宋_GB2312" w:cs="@仿宋_GB2312"/>
      <w:b/>
      <w:bCs/>
      <w:sz w:val="28"/>
      <w:szCs w:val="28"/>
    </w:rPr>
  </w:style>
  <w:style w:type="character" w:customStyle="1" w:styleId="99">
    <w:name w:val="正文文本 Char"/>
    <w:basedOn w:val="57"/>
    <w:link w:val="19"/>
    <w:autoRedefine/>
    <w:qFormat/>
    <w:uiPriority w:val="0"/>
    <w:rPr>
      <w:rFonts w:ascii="@微软简标宋" w:hAnsi="@微软简标宋" w:eastAsia="@微软简标宋" w:cs="@微软简标宋"/>
      <w:szCs w:val="24"/>
      <w:lang w:val="zh-CN" w:eastAsia="zh-CN"/>
    </w:rPr>
  </w:style>
  <w:style w:type="table" w:customStyle="1" w:styleId="100">
    <w:name w:val="网格型1"/>
    <w:basedOn w:val="55"/>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1">
    <w:name w:val="批注主题 Char"/>
    <w:basedOn w:val="90"/>
    <w:link w:val="52"/>
    <w:autoRedefine/>
    <w:qFormat/>
    <w:uiPriority w:val="0"/>
    <w:rPr>
      <w:rFonts w:ascii="Arial" w:hAnsi="Arial" w:eastAsia="黑体" w:cs="Arial"/>
      <w:b/>
      <w:bCs/>
      <w:szCs w:val="20"/>
    </w:rPr>
  </w:style>
  <w:style w:type="paragraph" w:customStyle="1" w:styleId="102">
    <w:name w:val="普通 (Web)"/>
    <w:basedOn w:val="1"/>
    <w:autoRedefine/>
    <w:qFormat/>
    <w:uiPriority w:val="0"/>
    <w:pPr>
      <w:widowControl/>
      <w:spacing w:before="100" w:beforeAutospacing="1" w:after="100" w:afterAutospacing="1"/>
      <w:jc w:val="left"/>
    </w:pPr>
    <w:rPr>
      <w:rFonts w:cs="Times New Roman"/>
      <w:sz w:val="24"/>
      <w:szCs w:val="24"/>
    </w:rPr>
  </w:style>
  <w:style w:type="table" w:customStyle="1" w:styleId="103">
    <w:name w:val="网格型2"/>
    <w:basedOn w:val="55"/>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4">
    <w:name w:val="标题 2 Char"/>
    <w:basedOn w:val="57"/>
    <w:link w:val="3"/>
    <w:autoRedefine/>
    <w:qFormat/>
    <w:uiPriority w:val="0"/>
    <w:rPr>
      <w:rFonts w:ascii="Cambria" w:hAnsi="Cambria" w:cs="Times New Roman"/>
      <w:b/>
      <w:bCs/>
      <w:kern w:val="2"/>
      <w:sz w:val="32"/>
      <w:szCs w:val="32"/>
      <w:lang w:val="zh-CN" w:eastAsia="zh-CN"/>
    </w:rPr>
  </w:style>
  <w:style w:type="character" w:customStyle="1" w:styleId="105">
    <w:name w:val="标题 5 Char"/>
    <w:basedOn w:val="57"/>
    <w:link w:val="6"/>
    <w:autoRedefine/>
    <w:qFormat/>
    <w:uiPriority w:val="0"/>
    <w:rPr>
      <w:rFonts w:ascii="Calibri" w:hAnsi="Calibri" w:cs="Times New Roman"/>
      <w:b/>
      <w:bCs/>
      <w:kern w:val="2"/>
      <w:sz w:val="28"/>
      <w:szCs w:val="28"/>
      <w:lang w:val="zh-CN" w:eastAsia="zh-CN"/>
    </w:rPr>
  </w:style>
  <w:style w:type="character" w:customStyle="1" w:styleId="106">
    <w:name w:val="标题 6 Char"/>
    <w:basedOn w:val="57"/>
    <w:link w:val="7"/>
    <w:autoRedefine/>
    <w:qFormat/>
    <w:uiPriority w:val="0"/>
    <w:rPr>
      <w:rFonts w:ascii="Times New Roman" w:hAnsi="Times New Roman" w:cs="Times New Roman"/>
      <w:b/>
      <w:bCs/>
      <w:kern w:val="2"/>
      <w:sz w:val="30"/>
      <w:szCs w:val="18"/>
      <w:lang w:val="zh-CN" w:eastAsia="zh-CN"/>
    </w:rPr>
  </w:style>
  <w:style w:type="character" w:customStyle="1" w:styleId="107">
    <w:name w:val="标题 7 Char"/>
    <w:basedOn w:val="57"/>
    <w:link w:val="8"/>
    <w:autoRedefine/>
    <w:qFormat/>
    <w:uiPriority w:val="0"/>
    <w:rPr>
      <w:rFonts w:ascii="Times New Roman" w:hAnsi="Times New Roman" w:cs="Times New Roman"/>
      <w:b/>
      <w:bCs/>
      <w:kern w:val="2"/>
      <w:sz w:val="30"/>
      <w:szCs w:val="18"/>
      <w:lang w:val="zh-CN" w:eastAsia="zh-CN"/>
    </w:rPr>
  </w:style>
  <w:style w:type="character" w:customStyle="1" w:styleId="108">
    <w:name w:val="标题 8 Char"/>
    <w:basedOn w:val="57"/>
    <w:link w:val="9"/>
    <w:autoRedefine/>
    <w:qFormat/>
    <w:uiPriority w:val="0"/>
    <w:rPr>
      <w:rFonts w:eastAsia="黑体" w:cs="Times New Roman"/>
      <w:kern w:val="2"/>
      <w:sz w:val="32"/>
      <w:szCs w:val="32"/>
      <w:lang w:val="zh-CN" w:eastAsia="zh-CN"/>
    </w:rPr>
  </w:style>
  <w:style w:type="character" w:customStyle="1" w:styleId="109">
    <w:name w:val="标题 9 Char"/>
    <w:basedOn w:val="57"/>
    <w:link w:val="10"/>
    <w:autoRedefine/>
    <w:qFormat/>
    <w:uiPriority w:val="0"/>
    <w:rPr>
      <w:rFonts w:ascii="Cambria" w:hAnsi="Cambria" w:cs="Times New Roman"/>
      <w:kern w:val="2"/>
      <w:sz w:val="21"/>
      <w:szCs w:val="21"/>
      <w:lang w:val="zh-CN" w:eastAsia="zh-CN"/>
    </w:rPr>
  </w:style>
  <w:style w:type="character" w:customStyle="1" w:styleId="110">
    <w:name w:val="纯文本 Char2"/>
    <w:autoRedefine/>
    <w:qFormat/>
    <w:uiPriority w:val="0"/>
    <w:rPr>
      <w:rFonts w:ascii="宋体" w:hAnsi="Courier New"/>
    </w:rPr>
  </w:style>
  <w:style w:type="table" w:customStyle="1" w:styleId="111">
    <w:name w:val="网格型3"/>
    <w:basedOn w:val="55"/>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
    <w:name w:val="网格表 1 浅色11"/>
    <w:basedOn w:val="55"/>
    <w:autoRedefine/>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13">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14">
    <w:name w:val="正文文本缩进 Char"/>
    <w:basedOn w:val="57"/>
    <w:link w:val="20"/>
    <w:autoRedefine/>
    <w:qFormat/>
    <w:uiPriority w:val="0"/>
    <w:rPr>
      <w:rFonts w:asciiTheme="minorHAnsi" w:hAnsiTheme="minorHAnsi"/>
      <w:kern w:val="2"/>
      <w:sz w:val="21"/>
      <w:szCs w:val="22"/>
    </w:rPr>
  </w:style>
  <w:style w:type="paragraph" w:customStyle="1" w:styleId="115">
    <w:name w:val="Char"/>
    <w:basedOn w:val="1"/>
    <w:autoRedefine/>
    <w:qFormat/>
    <w:uiPriority w:val="0"/>
    <w:rPr>
      <w:rFonts w:ascii="Tahoma" w:hAnsi="Tahoma" w:cs="Times New Roman"/>
      <w:sz w:val="24"/>
    </w:rPr>
  </w:style>
  <w:style w:type="character" w:customStyle="1" w:styleId="116">
    <w:name w:val="脚注文本 Char"/>
    <w:basedOn w:val="57"/>
    <w:link w:val="43"/>
    <w:autoRedefine/>
    <w:qFormat/>
    <w:uiPriority w:val="0"/>
    <w:rPr>
      <w:rFonts w:ascii="Times New Roman" w:hAnsi="Times New Roman" w:cs="Times New Roman"/>
      <w:kern w:val="2"/>
      <w:sz w:val="18"/>
      <w:szCs w:val="18"/>
      <w:lang w:val="zh-CN" w:eastAsia="zh-CN"/>
    </w:rPr>
  </w:style>
  <w:style w:type="paragraph" w:customStyle="1" w:styleId="117">
    <w:name w:val="样式 标题 3 + (中文) 黑体 小四 非加粗 段前: 7.8 磅 段后: 0 磅 行距: 固定值 20 磅"/>
    <w:basedOn w:val="4"/>
    <w:autoRedefine/>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8">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9">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120">
    <w:name w:val="称呼 Char"/>
    <w:basedOn w:val="57"/>
    <w:link w:val="17"/>
    <w:autoRedefine/>
    <w:qFormat/>
    <w:uiPriority w:val="0"/>
    <w:rPr>
      <w:rFonts w:ascii="仿宋_GB2312" w:hAnsi="Times New Roman" w:eastAsia="仿宋_GB2312" w:cs="Times New Roman"/>
      <w:kern w:val="2"/>
      <w:sz w:val="28"/>
      <w:lang w:val="zh-CN" w:eastAsia="zh-CN"/>
    </w:rPr>
  </w:style>
  <w:style w:type="paragraph" w:customStyle="1" w:styleId="121">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22">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23">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27">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128">
    <w:name w:val="Char Char Char Char Char Char"/>
    <w:basedOn w:val="1"/>
    <w:autoRedefine/>
    <w:qFormat/>
    <w:uiPriority w:val="0"/>
    <w:rPr>
      <w:rFonts w:ascii="Tahoma" w:hAnsi="Tahoma" w:cs="Times New Roman"/>
      <w:kern w:val="2"/>
      <w:sz w:val="24"/>
    </w:rPr>
  </w:style>
  <w:style w:type="paragraph" w:customStyle="1" w:styleId="129">
    <w:name w:val="Blockquote"/>
    <w:basedOn w:val="1"/>
    <w:link w:val="130"/>
    <w:autoRedefine/>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30">
    <w:name w:val="Blockquote Char"/>
    <w:link w:val="129"/>
    <w:autoRedefine/>
    <w:qFormat/>
    <w:uiPriority w:val="0"/>
    <w:rPr>
      <w:rFonts w:ascii="Times New Roman" w:hAnsi="Times New Roman" w:cs="Times New Roman"/>
      <w:sz w:val="24"/>
      <w:lang w:val="zh-CN" w:eastAsia="zh-CN"/>
    </w:rPr>
  </w:style>
  <w:style w:type="paragraph" w:customStyle="1" w:styleId="131">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32">
    <w:name w:val="样式1"/>
    <w:basedOn w:val="1"/>
    <w:next w:val="5"/>
    <w:autoRedefine/>
    <w:qFormat/>
    <w:uiPriority w:val="0"/>
    <w:pPr>
      <w:spacing w:line="360" w:lineRule="auto"/>
      <w:ind w:firstLine="420" w:firstLineChars="200"/>
    </w:pPr>
    <w:rPr>
      <w:rFonts w:cs="Times New Roman"/>
      <w:kern w:val="2"/>
      <w:sz w:val="21"/>
      <w:szCs w:val="21"/>
    </w:rPr>
  </w:style>
  <w:style w:type="character" w:customStyle="1" w:styleId="133">
    <w:name w:val="tdrownotice1"/>
    <w:autoRedefine/>
    <w:qFormat/>
    <w:uiPriority w:val="0"/>
    <w:rPr>
      <w:sz w:val="22"/>
    </w:rPr>
  </w:style>
  <w:style w:type="paragraph" w:customStyle="1" w:styleId="134">
    <w:name w:val="段落2"/>
    <w:basedOn w:val="1"/>
    <w:autoRedefine/>
    <w:qFormat/>
    <w:uiPriority w:val="0"/>
    <w:pPr>
      <w:spacing w:line="360" w:lineRule="auto"/>
      <w:ind w:firstLine="480" w:firstLineChars="200"/>
    </w:pPr>
    <w:rPr>
      <w:rFonts w:ascii="Calibri" w:hAnsi="Calibri" w:cs="Courier New"/>
      <w:kern w:val="2"/>
      <w:sz w:val="24"/>
      <w:szCs w:val="21"/>
    </w:rPr>
  </w:style>
  <w:style w:type="character" w:customStyle="1" w:styleId="135">
    <w:name w:val="正文文本缩进 3 Char"/>
    <w:basedOn w:val="57"/>
    <w:link w:val="45"/>
    <w:autoRedefine/>
    <w:qFormat/>
    <w:uiPriority w:val="0"/>
    <w:rPr>
      <w:rFonts w:hAnsi="MS Sans Serif" w:cs="Times New Roman"/>
      <w:bCs/>
      <w:color w:val="000000"/>
      <w:sz w:val="24"/>
      <w:lang w:val="zh-CN" w:eastAsia="zh-CN"/>
    </w:rPr>
  </w:style>
  <w:style w:type="character" w:customStyle="1" w:styleId="136">
    <w:name w:val="正文文本缩进 2 Char"/>
    <w:basedOn w:val="57"/>
    <w:link w:val="32"/>
    <w:autoRedefine/>
    <w:qFormat/>
    <w:uiPriority w:val="0"/>
    <w:rPr>
      <w:rFonts w:hAnsi="MS Sans Serif" w:cs="Times New Roman"/>
      <w:bCs/>
      <w:spacing w:val="12"/>
      <w:sz w:val="24"/>
      <w:lang w:val="zh-CN" w:eastAsia="zh-CN"/>
    </w:rPr>
  </w:style>
  <w:style w:type="paragraph" w:customStyle="1" w:styleId="137">
    <w:name w:val="目录"/>
    <w:basedOn w:val="1"/>
    <w:autoRedefine/>
    <w:qFormat/>
    <w:uiPriority w:val="0"/>
    <w:pPr>
      <w:widowControl/>
      <w:jc w:val="center"/>
    </w:pPr>
    <w:rPr>
      <w:rFonts w:hAnsi="Calibri" w:cs="Times New Roman"/>
      <w:b/>
      <w:sz w:val="36"/>
    </w:rPr>
  </w:style>
  <w:style w:type="paragraph" w:customStyle="1" w:styleId="138">
    <w:name w:val="目录文字"/>
    <w:basedOn w:val="1"/>
    <w:autoRedefine/>
    <w:qFormat/>
    <w:uiPriority w:val="0"/>
    <w:pPr>
      <w:widowControl/>
      <w:spacing w:line="480" w:lineRule="auto"/>
      <w:jc w:val="left"/>
    </w:pPr>
    <w:rPr>
      <w:rFonts w:cs="Times New Roman"/>
      <w:sz w:val="24"/>
    </w:rPr>
  </w:style>
  <w:style w:type="character" w:customStyle="1" w:styleId="139">
    <w:name w:val="正文文本 2 Char"/>
    <w:basedOn w:val="57"/>
    <w:link w:val="48"/>
    <w:autoRedefine/>
    <w:qFormat/>
    <w:uiPriority w:val="0"/>
    <w:rPr>
      <w:rFonts w:hAnsi="Times New Roman" w:cs="Times New Roman"/>
      <w:spacing w:val="-20"/>
      <w:kern w:val="2"/>
      <w:sz w:val="28"/>
      <w:lang w:val="zh-CN" w:eastAsia="zh-CN"/>
    </w:rPr>
  </w:style>
  <w:style w:type="character" w:customStyle="1" w:styleId="140">
    <w:name w:val="正文文本 3 Char"/>
    <w:basedOn w:val="57"/>
    <w:link w:val="18"/>
    <w:autoRedefine/>
    <w:qFormat/>
    <w:uiPriority w:val="0"/>
    <w:rPr>
      <w:rFonts w:ascii="仿宋_GB2312" w:eastAsia="仿宋_GB2312" w:cs="Times New Roman"/>
      <w:bCs/>
      <w:color w:val="000000"/>
      <w:kern w:val="2"/>
      <w:sz w:val="24"/>
      <w:szCs w:val="32"/>
      <w:lang w:val="zh-CN" w:eastAsia="zh-CN"/>
    </w:rPr>
  </w:style>
  <w:style w:type="paragraph" w:customStyle="1" w:styleId="14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42">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43">
    <w:name w:val="标题 Char"/>
    <w:basedOn w:val="57"/>
    <w:link w:val="22"/>
    <w:autoRedefine/>
    <w:qFormat/>
    <w:uiPriority w:val="0"/>
    <w:rPr>
      <w:rFonts w:eastAsia="黑体" w:cs="Times New Roman"/>
      <w:b/>
      <w:smallCaps/>
      <w:snapToGrid w:val="0"/>
      <w:kern w:val="2"/>
      <w:sz w:val="44"/>
      <w:szCs w:val="24"/>
      <w:lang w:val="zh-CN" w:eastAsia="zh-CN"/>
    </w:rPr>
  </w:style>
  <w:style w:type="paragraph" w:customStyle="1" w:styleId="144">
    <w:name w:val="段落1 Char"/>
    <w:basedOn w:val="29"/>
    <w:autoRedefine/>
    <w:qFormat/>
    <w:uiPriority w:val="0"/>
    <w:pPr>
      <w:spacing w:line="360" w:lineRule="auto"/>
    </w:pPr>
    <w:rPr>
      <w:rFonts w:ascii="Times New Roman" w:hAnsi="Times New Roman" w:eastAsia="宋体" w:cs="Times New Roman"/>
      <w:kern w:val="2"/>
      <w:sz w:val="24"/>
      <w:szCs w:val="21"/>
      <w:lang w:val="zh-CN"/>
    </w:rPr>
  </w:style>
  <w:style w:type="paragraph" w:customStyle="1" w:styleId="145">
    <w:name w:val="样式3"/>
    <w:basedOn w:val="1"/>
    <w:autoRedefine/>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46">
    <w:name w:val="简单回函地址"/>
    <w:basedOn w:val="1"/>
    <w:autoRedefine/>
    <w:qFormat/>
    <w:uiPriority w:val="0"/>
    <w:rPr>
      <w:rFonts w:ascii="Calibri" w:hAnsi="Calibri" w:cs="Times New Roman"/>
      <w:kern w:val="2"/>
      <w:sz w:val="21"/>
      <w:szCs w:val="22"/>
    </w:rPr>
  </w:style>
  <w:style w:type="paragraph" w:customStyle="1" w:styleId="147">
    <w:name w:val="Char Char Char Char"/>
    <w:basedOn w:val="1"/>
    <w:autoRedefine/>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8">
    <w:name w:val="Default Paragraph Char Char Char Char"/>
    <w:basedOn w:val="1"/>
    <w:next w:val="1"/>
    <w:autoRedefine/>
    <w:qFormat/>
    <w:uiPriority w:val="0"/>
    <w:pPr>
      <w:widowControl/>
      <w:spacing w:line="360" w:lineRule="auto"/>
      <w:jc w:val="left"/>
    </w:pPr>
    <w:rPr>
      <w:rFonts w:ascii="Calibri" w:hAnsi="Calibri" w:cs="Times New Roman"/>
      <w:sz w:val="21"/>
      <w:lang w:eastAsia="en-US"/>
    </w:rPr>
  </w:style>
  <w:style w:type="character" w:customStyle="1" w:styleId="149">
    <w:name w:val="t_tag"/>
    <w:basedOn w:val="57"/>
    <w:autoRedefine/>
    <w:qFormat/>
    <w:uiPriority w:val="0"/>
  </w:style>
  <w:style w:type="table" w:customStyle="1" w:styleId="150">
    <w:name w:val="网格型11"/>
    <w:basedOn w:val="55"/>
    <w:autoRedefine/>
    <w:qFormat/>
    <w:uiPriority w:val="5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51">
    <w:name w:val="批注框文本 Char1"/>
    <w:basedOn w:val="57"/>
    <w:autoRedefine/>
    <w:qFormat/>
    <w:uiPriority w:val="0"/>
    <w:rPr>
      <w:rFonts w:ascii="Times New Roman" w:hAnsi="Times New Roman" w:eastAsia="宋体" w:cs="Times New Roman"/>
      <w:sz w:val="18"/>
      <w:szCs w:val="18"/>
    </w:rPr>
  </w:style>
  <w:style w:type="character" w:customStyle="1" w:styleId="152">
    <w:name w:val="批注主题 Char1"/>
    <w:basedOn w:val="90"/>
    <w:autoRedefine/>
    <w:qFormat/>
    <w:uiPriority w:val="0"/>
    <w:rPr>
      <w:rFonts w:ascii="@仿宋_GB2312" w:hAnsi="@仿宋_GB2312" w:eastAsia="@仿宋_GB2312" w:cs="@仿宋_GB2312"/>
      <w:b/>
      <w:bCs/>
      <w:szCs w:val="20"/>
    </w:rPr>
  </w:style>
  <w:style w:type="paragraph" w:customStyle="1" w:styleId="153">
    <w:name w:val="Char10 Char Char Char Char Char Char Char Char Char"/>
    <w:basedOn w:val="1"/>
    <w:next w:val="1"/>
    <w:autoRedefine/>
    <w:qFormat/>
    <w:uiPriority w:val="0"/>
    <w:rPr>
      <w:rFonts w:ascii="Calibri" w:hAnsi="Calibri" w:cs="Times New Roman"/>
      <w:kern w:val="2"/>
      <w:sz w:val="21"/>
      <w:szCs w:val="22"/>
    </w:rPr>
  </w:style>
  <w:style w:type="character" w:customStyle="1" w:styleId="154">
    <w:name w:val="文档结构图 Char"/>
    <w:basedOn w:val="57"/>
    <w:link w:val="15"/>
    <w:autoRedefine/>
    <w:qFormat/>
    <w:uiPriority w:val="0"/>
    <w:rPr>
      <w:rFonts w:ascii="Calibri" w:hAnsi="Calibri" w:cs="Times New Roman"/>
      <w:bCs/>
      <w:kern w:val="2"/>
      <w:sz w:val="21"/>
      <w:szCs w:val="32"/>
      <w:shd w:val="clear" w:color="auto" w:fill="000080"/>
      <w:lang w:val="zh-CN" w:eastAsia="zh-CN"/>
    </w:rPr>
  </w:style>
  <w:style w:type="character" w:customStyle="1" w:styleId="155">
    <w:name w:val="标题 1 Char1"/>
    <w:autoRedefine/>
    <w:qFormat/>
    <w:uiPriority w:val="0"/>
    <w:rPr>
      <w:rFonts w:ascii="Calibri" w:hAnsi="Calibri" w:eastAsia="宋体"/>
      <w:b/>
      <w:kern w:val="44"/>
      <w:sz w:val="44"/>
      <w:szCs w:val="44"/>
    </w:rPr>
  </w:style>
  <w:style w:type="character" w:customStyle="1" w:styleId="156">
    <w:name w:val="标题 3 Char1"/>
    <w:autoRedefine/>
    <w:semiHidden/>
    <w:qFormat/>
    <w:uiPriority w:val="0"/>
    <w:rPr>
      <w:rFonts w:ascii="Calibri" w:hAnsi="Calibri" w:eastAsia="宋体"/>
      <w:b/>
      <w:kern w:val="2"/>
      <w:sz w:val="32"/>
    </w:rPr>
  </w:style>
  <w:style w:type="character" w:customStyle="1" w:styleId="157">
    <w:name w:val="标题 4 Char1"/>
    <w:autoRedefine/>
    <w:semiHidden/>
    <w:qFormat/>
    <w:uiPriority w:val="0"/>
    <w:rPr>
      <w:rFonts w:ascii="Cambria" w:hAnsi="Cambria" w:eastAsia="宋体"/>
      <w:b/>
      <w:kern w:val="2"/>
      <w:sz w:val="28"/>
      <w:szCs w:val="28"/>
    </w:rPr>
  </w:style>
  <w:style w:type="character" w:customStyle="1" w:styleId="158">
    <w:name w:val="标题 5 Char1"/>
    <w:autoRedefine/>
    <w:semiHidden/>
    <w:qFormat/>
    <w:uiPriority w:val="0"/>
    <w:rPr>
      <w:rFonts w:ascii="Calibri" w:hAnsi="Calibri" w:eastAsia="宋体"/>
      <w:b/>
      <w:kern w:val="2"/>
      <w:sz w:val="28"/>
      <w:szCs w:val="28"/>
    </w:rPr>
  </w:style>
  <w:style w:type="character" w:customStyle="1" w:styleId="159">
    <w:name w:val="标题 6 Char1"/>
    <w:autoRedefine/>
    <w:semiHidden/>
    <w:qFormat/>
    <w:uiPriority w:val="0"/>
    <w:rPr>
      <w:rFonts w:ascii="Cambria" w:hAnsi="Cambria" w:eastAsia="宋体"/>
      <w:b/>
      <w:kern w:val="2"/>
      <w:sz w:val="24"/>
      <w:szCs w:val="24"/>
    </w:rPr>
  </w:style>
  <w:style w:type="character" w:customStyle="1" w:styleId="160">
    <w:name w:val="标题 7 Char1"/>
    <w:autoRedefine/>
    <w:semiHidden/>
    <w:qFormat/>
    <w:uiPriority w:val="0"/>
    <w:rPr>
      <w:rFonts w:ascii="Calibri" w:hAnsi="Calibri" w:eastAsia="宋体"/>
      <w:b/>
      <w:kern w:val="2"/>
      <w:sz w:val="24"/>
      <w:szCs w:val="24"/>
    </w:rPr>
  </w:style>
  <w:style w:type="character" w:customStyle="1" w:styleId="161">
    <w:name w:val="标题 8 Char1"/>
    <w:autoRedefine/>
    <w:semiHidden/>
    <w:qFormat/>
    <w:uiPriority w:val="0"/>
    <w:rPr>
      <w:rFonts w:ascii="Cambria" w:hAnsi="Cambria" w:eastAsia="宋体"/>
      <w:kern w:val="2"/>
      <w:sz w:val="24"/>
      <w:szCs w:val="24"/>
    </w:rPr>
  </w:style>
  <w:style w:type="character" w:customStyle="1" w:styleId="162">
    <w:name w:val="标题 9 Char1"/>
    <w:autoRedefine/>
    <w:semiHidden/>
    <w:qFormat/>
    <w:uiPriority w:val="0"/>
    <w:rPr>
      <w:rFonts w:ascii="Cambria" w:hAnsi="Cambria" w:eastAsia="宋体"/>
      <w:kern w:val="2"/>
      <w:sz w:val="21"/>
      <w:szCs w:val="21"/>
    </w:rPr>
  </w:style>
  <w:style w:type="paragraph" w:customStyle="1" w:styleId="163">
    <w:name w:val="MsoNormal"/>
    <w:basedOn w:val="164"/>
    <w:autoRedefine/>
    <w:qFormat/>
    <w:uiPriority w:val="0"/>
    <w:rPr>
      <w:rFonts w:ascii="Calibri" w:hAnsi="Calibri" w:eastAsia="Calibri"/>
      <w:sz w:val="21"/>
    </w:rPr>
  </w:style>
  <w:style w:type="paragraph" w:customStyle="1" w:styleId="164">
    <w:name w:val="Normal_0"/>
    <w:autoRedefine/>
    <w:qFormat/>
    <w:uiPriority w:val="0"/>
    <w:rPr>
      <w:rFonts w:ascii="Times New Roman" w:hAnsi="Times New Roman" w:eastAsia="宋体" w:cs="Times New Roman"/>
      <w:sz w:val="24"/>
      <w:szCs w:val="24"/>
      <w:lang w:val="en-US" w:eastAsia="zh-CN" w:bidi="ar-SA"/>
    </w:rPr>
  </w:style>
  <w:style w:type="paragraph" w:customStyle="1" w:styleId="165">
    <w:name w:val="标题 2_0"/>
    <w:basedOn w:val="166"/>
    <w:next w:val="167"/>
    <w:link w:val="168"/>
    <w:autoRedefine/>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66">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8">
    <w:name w:val="标题 2 Char_0"/>
    <w:link w:val="165"/>
    <w:autoRedefine/>
    <w:qFormat/>
    <w:uiPriority w:val="0"/>
    <w:rPr>
      <w:rFonts w:ascii="黑体" w:eastAsia="黑体" w:cs="Times New Roman"/>
      <w:b/>
      <w:smallCaps/>
      <w:snapToGrid w:val="0"/>
      <w:sz w:val="36"/>
      <w:szCs w:val="24"/>
      <w:lang w:val="zh-CN" w:eastAsia="zh-CN"/>
    </w:rPr>
  </w:style>
  <w:style w:type="paragraph" w:customStyle="1" w:styleId="169">
    <w:name w:val="纯文本_0"/>
    <w:basedOn w:val="167"/>
    <w:link w:val="170"/>
    <w:autoRedefine/>
    <w:qFormat/>
    <w:uiPriority w:val="99"/>
    <w:rPr>
      <w:rFonts w:ascii="宋体" w:hAnsi="Courier New"/>
      <w:szCs w:val="21"/>
    </w:rPr>
  </w:style>
  <w:style w:type="character" w:customStyle="1" w:styleId="170">
    <w:name w:val="Texte Char1"/>
    <w:link w:val="169"/>
    <w:autoRedefine/>
    <w:qFormat/>
    <w:uiPriority w:val="99"/>
    <w:rPr>
      <w:rFonts w:hAnsi="Courier New" w:cs="Times New Roman"/>
      <w:kern w:val="2"/>
      <w:sz w:val="21"/>
      <w:szCs w:val="21"/>
    </w:rPr>
  </w:style>
  <w:style w:type="paragraph" w:customStyle="1" w:styleId="171">
    <w:name w:val="纯文本_1"/>
    <w:basedOn w:val="172"/>
    <w:link w:val="173"/>
    <w:autoRedefine/>
    <w:qFormat/>
    <w:uiPriority w:val="0"/>
    <w:rPr>
      <w:rFonts w:ascii="宋体" w:hAnsi="Courier New"/>
      <w:szCs w:val="21"/>
      <w:lang w:val="zh-CN"/>
    </w:rPr>
  </w:style>
  <w:style w:type="paragraph" w:customStyle="1" w:styleId="172">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3">
    <w:name w:val="纯文本 Char1_0"/>
    <w:link w:val="171"/>
    <w:autoRedefine/>
    <w:qFormat/>
    <w:uiPriority w:val="0"/>
    <w:rPr>
      <w:rFonts w:hAnsi="Courier New" w:cs="Times New Roman"/>
      <w:kern w:val="2"/>
      <w:sz w:val="21"/>
      <w:szCs w:val="21"/>
      <w:lang w:val="zh-CN" w:eastAsia="zh-CN"/>
    </w:rPr>
  </w:style>
  <w:style w:type="paragraph" w:customStyle="1" w:styleId="174">
    <w:name w:val="标题 3_0"/>
    <w:basedOn w:val="175"/>
    <w:next w:val="176"/>
    <w:link w:val="187"/>
    <w:autoRedefine/>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75">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正文缩进_0"/>
    <w:basedOn w:val="175"/>
    <w:autoRedefine/>
    <w:unhideWhenUsed/>
    <w:qFormat/>
    <w:uiPriority w:val="0"/>
    <w:pPr>
      <w:ind w:firstLine="420" w:firstLineChars="200"/>
    </w:pPr>
    <w:rPr>
      <w:rFonts w:ascii="Calibri" w:hAnsi="Calibri"/>
      <w:bCs/>
      <w:szCs w:val="32"/>
    </w:rPr>
  </w:style>
  <w:style w:type="paragraph" w:customStyle="1" w:styleId="177">
    <w:name w:val="标题 1_0"/>
    <w:basedOn w:val="175"/>
    <w:next w:val="175"/>
    <w:link w:val="178"/>
    <w:autoRedefine/>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8">
    <w:name w:val="标题 1 Char_0"/>
    <w:link w:val="177"/>
    <w:autoRedefine/>
    <w:qFormat/>
    <w:uiPriority w:val="0"/>
    <w:rPr>
      <w:rFonts w:ascii="黑体" w:hAnsi="Times New Roman" w:eastAsia="黑体" w:cs="Times New Roman"/>
      <w:sz w:val="52"/>
      <w:lang w:val="zh-CN" w:eastAsia="zh-CN"/>
    </w:rPr>
  </w:style>
  <w:style w:type="paragraph" w:customStyle="1" w:styleId="179">
    <w:name w:val="标题 6_0"/>
    <w:basedOn w:val="175"/>
    <w:next w:val="175"/>
    <w:link w:val="180"/>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80">
    <w:name w:val="标题 6 Char_0"/>
    <w:link w:val="179"/>
    <w:autoRedefine/>
    <w:qFormat/>
    <w:uiPriority w:val="0"/>
    <w:rPr>
      <w:rFonts w:ascii="Arial" w:hAnsi="Arial" w:eastAsia="黑体" w:cs="Times New Roman"/>
      <w:b/>
      <w:bCs/>
      <w:sz w:val="24"/>
      <w:szCs w:val="24"/>
      <w:lang w:val="zh-CN" w:eastAsia="zh-CN"/>
    </w:rPr>
  </w:style>
  <w:style w:type="paragraph" w:customStyle="1" w:styleId="181">
    <w:name w:val="标题 7_0"/>
    <w:basedOn w:val="175"/>
    <w:next w:val="175"/>
    <w:link w:val="182"/>
    <w:autoRedefine/>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82">
    <w:name w:val="标题 7 Char_0"/>
    <w:link w:val="181"/>
    <w:autoRedefine/>
    <w:qFormat/>
    <w:uiPriority w:val="0"/>
    <w:rPr>
      <w:rFonts w:ascii="Times New Roman" w:hAnsi="Times New Roman" w:cs="Times New Roman"/>
      <w:b/>
      <w:bCs/>
      <w:sz w:val="24"/>
      <w:szCs w:val="24"/>
      <w:lang w:val="zh-CN" w:eastAsia="zh-CN"/>
    </w:rPr>
  </w:style>
  <w:style w:type="paragraph" w:customStyle="1" w:styleId="183">
    <w:name w:val="标题 8_0"/>
    <w:basedOn w:val="175"/>
    <w:next w:val="175"/>
    <w:link w:val="184"/>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84">
    <w:name w:val="标题 8 Char_0"/>
    <w:link w:val="183"/>
    <w:autoRedefine/>
    <w:qFormat/>
    <w:uiPriority w:val="0"/>
    <w:rPr>
      <w:rFonts w:ascii="Arial" w:hAnsi="Arial" w:eastAsia="黑体" w:cs="Times New Roman"/>
      <w:sz w:val="24"/>
      <w:szCs w:val="24"/>
      <w:lang w:val="zh-CN" w:eastAsia="zh-CN"/>
    </w:rPr>
  </w:style>
  <w:style w:type="paragraph" w:customStyle="1" w:styleId="185">
    <w:name w:val="标题 9_0"/>
    <w:basedOn w:val="175"/>
    <w:next w:val="175"/>
    <w:link w:val="186"/>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86">
    <w:name w:val="标题 9 Char_0"/>
    <w:link w:val="185"/>
    <w:autoRedefine/>
    <w:qFormat/>
    <w:uiPriority w:val="0"/>
    <w:rPr>
      <w:rFonts w:ascii="Arial" w:hAnsi="Arial" w:eastAsia="黑体" w:cs="Times New Roman"/>
      <w:sz w:val="21"/>
      <w:szCs w:val="21"/>
      <w:lang w:val="zh-CN" w:eastAsia="zh-CN"/>
    </w:rPr>
  </w:style>
  <w:style w:type="character" w:customStyle="1" w:styleId="187">
    <w:name w:val="标题 3 Char_0"/>
    <w:link w:val="174"/>
    <w:autoRedefine/>
    <w:qFormat/>
    <w:uiPriority w:val="0"/>
    <w:rPr>
      <w:rFonts w:ascii="Times New Roman" w:hAnsi="Times New Roman" w:cs="Times New Roman"/>
      <w:b/>
      <w:sz w:val="32"/>
      <w:lang w:val="zh-CN" w:eastAsia="zh-CN"/>
    </w:rPr>
  </w:style>
  <w:style w:type="paragraph" w:customStyle="1" w:styleId="188">
    <w:name w:val="Blockquote_0"/>
    <w:basedOn w:val="175"/>
    <w:link w:val="189"/>
    <w:autoRedefine/>
    <w:qFormat/>
    <w:uiPriority w:val="0"/>
    <w:pPr>
      <w:autoSpaceDE w:val="0"/>
      <w:autoSpaceDN w:val="0"/>
      <w:adjustRightInd w:val="0"/>
      <w:spacing w:before="100" w:after="100"/>
      <w:ind w:left="360" w:right="360"/>
      <w:jc w:val="left"/>
    </w:pPr>
    <w:rPr>
      <w:kern w:val="0"/>
      <w:sz w:val="24"/>
      <w:szCs w:val="20"/>
      <w:lang w:val="zh-CN"/>
    </w:rPr>
  </w:style>
  <w:style w:type="character" w:customStyle="1" w:styleId="189">
    <w:name w:val="Blockquote Char_0"/>
    <w:link w:val="188"/>
    <w:autoRedefine/>
    <w:qFormat/>
    <w:locked/>
    <w:uiPriority w:val="0"/>
    <w:rPr>
      <w:rFonts w:ascii="Times New Roman" w:hAnsi="Times New Roman" w:cs="Times New Roman"/>
      <w:sz w:val="24"/>
      <w:lang w:val="zh-CN" w:eastAsia="zh-CN"/>
    </w:rPr>
  </w:style>
  <w:style w:type="paragraph" w:customStyle="1" w:styleId="190">
    <w:name w:val="标题 4_0"/>
    <w:basedOn w:val="175"/>
    <w:next w:val="175"/>
    <w:link w:val="191"/>
    <w:autoRedefine/>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91">
    <w:name w:val="标题 4 Char_0"/>
    <w:link w:val="190"/>
    <w:autoRedefine/>
    <w:qFormat/>
    <w:uiPriority w:val="0"/>
    <w:rPr>
      <w:rFonts w:ascii="Arial" w:hAnsi="Arial" w:eastAsia="黑体" w:cs="Times New Roman"/>
      <w:sz w:val="28"/>
      <w:lang w:val="zh-CN" w:eastAsia="zh-CN"/>
    </w:rPr>
  </w:style>
  <w:style w:type="paragraph" w:customStyle="1" w:styleId="192">
    <w:name w:val="纯文本_2"/>
    <w:basedOn w:val="175"/>
    <w:link w:val="193"/>
    <w:autoRedefine/>
    <w:qFormat/>
    <w:uiPriority w:val="0"/>
    <w:rPr>
      <w:rFonts w:ascii="宋体" w:hAnsi="Courier New"/>
      <w:szCs w:val="21"/>
      <w:lang w:val="zh-CN"/>
    </w:rPr>
  </w:style>
  <w:style w:type="character" w:customStyle="1" w:styleId="193">
    <w:name w:val="纯文本 Char1_1"/>
    <w:link w:val="192"/>
    <w:autoRedefine/>
    <w:qFormat/>
    <w:uiPriority w:val="0"/>
    <w:rPr>
      <w:rFonts w:hAnsi="Courier New" w:cs="Times New Roman"/>
      <w:kern w:val="2"/>
      <w:sz w:val="21"/>
      <w:szCs w:val="21"/>
      <w:lang w:val="zh-CN" w:eastAsia="zh-CN"/>
    </w:rPr>
  </w:style>
  <w:style w:type="paragraph" w:customStyle="1" w:styleId="194">
    <w:name w:val="Blockquote_0_1"/>
    <w:basedOn w:val="195"/>
    <w:link w:val="196"/>
    <w:autoRedefine/>
    <w:qFormat/>
    <w:uiPriority w:val="0"/>
    <w:pPr>
      <w:autoSpaceDE w:val="0"/>
      <w:autoSpaceDN w:val="0"/>
      <w:adjustRightInd w:val="0"/>
      <w:spacing w:before="100" w:after="100"/>
      <w:ind w:left="360" w:right="360"/>
      <w:jc w:val="left"/>
    </w:pPr>
    <w:rPr>
      <w:kern w:val="0"/>
      <w:sz w:val="24"/>
      <w:szCs w:val="20"/>
      <w:lang w:val="zh-CN"/>
    </w:rPr>
  </w:style>
  <w:style w:type="paragraph" w:customStyle="1" w:styleId="195">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6">
    <w:name w:val="Blockquote Char_0_1"/>
    <w:link w:val="194"/>
    <w:autoRedefine/>
    <w:qFormat/>
    <w:locked/>
    <w:uiPriority w:val="0"/>
    <w:rPr>
      <w:rFonts w:ascii="Times New Roman" w:hAnsi="Times New Roman" w:cs="Times New Roman"/>
      <w:sz w:val="24"/>
      <w:lang w:val="zh-CN" w:eastAsia="zh-CN"/>
    </w:rPr>
  </w:style>
  <w:style w:type="paragraph" w:customStyle="1" w:styleId="197">
    <w:name w:val="正文文本_0"/>
    <w:basedOn w:val="175"/>
    <w:link w:val="198"/>
    <w:autoRedefine/>
    <w:qFormat/>
    <w:uiPriority w:val="0"/>
    <w:pPr>
      <w:spacing w:after="120"/>
    </w:pPr>
    <w:rPr>
      <w:lang w:val="zh-CN"/>
    </w:rPr>
  </w:style>
  <w:style w:type="character" w:customStyle="1" w:styleId="198">
    <w:name w:val="正文文本 Char_0"/>
    <w:link w:val="197"/>
    <w:autoRedefine/>
    <w:qFormat/>
    <w:uiPriority w:val="0"/>
    <w:rPr>
      <w:rFonts w:ascii="Times New Roman" w:hAnsi="Times New Roman" w:cs="Times New Roman"/>
      <w:kern w:val="2"/>
      <w:sz w:val="21"/>
      <w:szCs w:val="24"/>
      <w:lang w:val="zh-CN" w:eastAsia="zh-CN"/>
    </w:rPr>
  </w:style>
  <w:style w:type="paragraph" w:customStyle="1" w:styleId="199">
    <w:name w:val="普通(网站)_0"/>
    <w:basedOn w:val="175"/>
    <w:autoRedefine/>
    <w:qFormat/>
    <w:uiPriority w:val="0"/>
    <w:pPr>
      <w:widowControl/>
      <w:spacing w:before="100" w:beforeAutospacing="1" w:after="100" w:afterAutospacing="1"/>
      <w:jc w:val="left"/>
    </w:pPr>
    <w:rPr>
      <w:rFonts w:ascii="宋体" w:hAnsi="宋体"/>
      <w:kern w:val="0"/>
      <w:sz w:val="24"/>
    </w:rPr>
  </w:style>
  <w:style w:type="paragraph" w:customStyle="1" w:styleId="20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2">
    <w:name w:val="脚注文本_0"/>
    <w:basedOn w:val="123"/>
    <w:link w:val="203"/>
    <w:autoRedefine/>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203">
    <w:name w:val="脚注文本 Char_0"/>
    <w:link w:val="202"/>
    <w:autoRedefine/>
    <w:qFormat/>
    <w:uiPriority w:val="0"/>
    <w:rPr>
      <w:rFonts w:ascii="Times New Roman" w:hAnsi="Times New Roman" w:cs="Times New Roman"/>
      <w:sz w:val="18"/>
      <w:lang w:val="zh-CN" w:eastAsia="zh-CN"/>
    </w:rPr>
  </w:style>
  <w:style w:type="paragraph" w:customStyle="1" w:styleId="204">
    <w:name w:val="font5"/>
    <w:basedOn w:val="1"/>
    <w:autoRedefine/>
    <w:qFormat/>
    <w:uiPriority w:val="0"/>
    <w:pPr>
      <w:widowControl/>
      <w:spacing w:before="100" w:beforeAutospacing="1" w:after="100" w:afterAutospacing="1"/>
      <w:jc w:val="left"/>
    </w:pPr>
    <w:rPr>
      <w:rFonts w:hint="eastAsia" w:cs="Times New Roman"/>
      <w:sz w:val="18"/>
      <w:szCs w:val="18"/>
    </w:rPr>
  </w:style>
  <w:style w:type="paragraph" w:customStyle="1" w:styleId="205">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6">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7">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8">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9">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10">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11">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12">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13">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14">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15">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1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7">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8">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9">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20">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21">
    <w:name w:val="xl42"/>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22">
    <w:name w:val="xl43"/>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23">
    <w:name w:val="xl44"/>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24">
    <w:name w:val="xl45"/>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25">
    <w:name w:val="font6"/>
    <w:basedOn w:val="1"/>
    <w:autoRedefine/>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26">
    <w:name w:val="Char Char Char Char Char"/>
    <w:basedOn w:val="1"/>
    <w:autoRedefine/>
    <w:qFormat/>
    <w:uiPriority w:val="0"/>
    <w:rPr>
      <w:rFonts w:ascii="Tahoma" w:hAnsi="Tahoma" w:cs="Times New Roman"/>
      <w:kern w:val="2"/>
      <w:sz w:val="24"/>
    </w:rPr>
  </w:style>
  <w:style w:type="paragraph" w:customStyle="1" w:styleId="227">
    <w:name w:val="范本目录"/>
    <w:basedOn w:val="1"/>
    <w:autoRedefine/>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8">
    <w:name w:val="副标题 Char"/>
    <w:basedOn w:val="57"/>
    <w:link w:val="41"/>
    <w:autoRedefine/>
    <w:qFormat/>
    <w:uiPriority w:val="0"/>
    <w:rPr>
      <w:rFonts w:ascii="Arial" w:hAnsi="Arial" w:cs="Times New Roman"/>
      <w:b/>
      <w:bCs/>
      <w:kern w:val="28"/>
      <w:sz w:val="32"/>
      <w:szCs w:val="32"/>
      <w:lang w:val="zh-CN" w:eastAsia="zh-CN"/>
    </w:rPr>
  </w:style>
  <w:style w:type="character" w:customStyle="1" w:styleId="229">
    <w:name w:val="Char Char"/>
    <w:autoRedefine/>
    <w:qFormat/>
    <w:uiPriority w:val="0"/>
    <w:rPr>
      <w:rFonts w:ascii="宋体" w:hAnsi="Courier New" w:eastAsia="宋体" w:cs="Courier New"/>
      <w:kern w:val="2"/>
      <w:sz w:val="21"/>
      <w:szCs w:val="21"/>
      <w:lang w:val="en-US" w:eastAsia="zh-CN" w:bidi="ar-SA"/>
    </w:rPr>
  </w:style>
  <w:style w:type="character" w:customStyle="1" w:styleId="230">
    <w:name w:val="标题4 Char Char"/>
    <w:link w:val="231"/>
    <w:autoRedefine/>
    <w:qFormat/>
    <w:uiPriority w:val="0"/>
    <w:rPr>
      <w:rFonts w:ascii="Arial" w:hAnsi="Arial"/>
      <w:b/>
      <w:bCs/>
      <w:sz w:val="24"/>
      <w:szCs w:val="32"/>
    </w:rPr>
  </w:style>
  <w:style w:type="paragraph" w:customStyle="1" w:styleId="231">
    <w:name w:val="标题4"/>
    <w:basedOn w:val="3"/>
    <w:next w:val="26"/>
    <w:link w:val="230"/>
    <w:autoRedefine/>
    <w:qFormat/>
    <w:uiPriority w:val="0"/>
    <w:pPr>
      <w:spacing w:before="0" w:after="0" w:line="413" w:lineRule="auto"/>
    </w:pPr>
    <w:rPr>
      <w:rFonts w:ascii="Arial" w:hAnsi="Arial" w:cstheme="minorBidi"/>
      <w:kern w:val="0"/>
      <w:sz w:val="24"/>
      <w:lang w:val="en-US"/>
    </w:rPr>
  </w:style>
  <w:style w:type="character" w:customStyle="1" w:styleId="232">
    <w:name w:val="明显引用 Char"/>
    <w:link w:val="233"/>
    <w:autoRedefine/>
    <w:qFormat/>
    <w:uiPriority w:val="0"/>
    <w:rPr>
      <w:b/>
      <w:bCs/>
      <w:i/>
      <w:iCs/>
      <w:color w:val="4F81BD"/>
    </w:rPr>
  </w:style>
  <w:style w:type="paragraph" w:styleId="233">
    <w:name w:val="Intense Quote"/>
    <w:basedOn w:val="1"/>
    <w:next w:val="1"/>
    <w:link w:val="232"/>
    <w:autoRedefine/>
    <w:qFormat/>
    <w:uiPriority w:val="0"/>
    <w:pPr>
      <w:pBdr>
        <w:bottom w:val="single" w:color="4F81BD" w:themeColor="accent1" w:sz="4" w:space="4"/>
      </w:pBdr>
      <w:spacing w:before="200" w:after="280"/>
      <w:ind w:left="936" w:right="936"/>
    </w:pPr>
    <w:rPr>
      <w:b/>
      <w:bCs/>
      <w:i/>
      <w:iCs/>
      <w:color w:val="4F81BD"/>
    </w:rPr>
  </w:style>
  <w:style w:type="paragraph" w:customStyle="1" w:styleId="234">
    <w:name w:val="明显引用1"/>
    <w:basedOn w:val="1"/>
    <w:next w:val="1"/>
    <w:autoRedefine/>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35">
    <w:name w:val="明显引用 Char1"/>
    <w:basedOn w:val="57"/>
    <w:autoRedefine/>
    <w:qFormat/>
    <w:uiPriority w:val="30"/>
    <w:rPr>
      <w:rFonts w:ascii="Times New Roman" w:hAnsi="Times New Roman" w:eastAsia="宋体" w:cs="Times New Roman"/>
      <w:i/>
      <w:iCs/>
      <w:color w:val="5B9BD5"/>
      <w:szCs w:val="24"/>
    </w:rPr>
  </w:style>
  <w:style w:type="character" w:customStyle="1" w:styleId="236">
    <w:name w:val="标题5 Char Char"/>
    <w:link w:val="237"/>
    <w:autoRedefine/>
    <w:qFormat/>
    <w:uiPriority w:val="0"/>
    <w:rPr>
      <w:rFonts w:ascii="Arial" w:hAnsi="Arial"/>
      <w:b/>
      <w:bCs/>
      <w:sz w:val="24"/>
      <w:szCs w:val="32"/>
    </w:rPr>
  </w:style>
  <w:style w:type="paragraph" w:customStyle="1" w:styleId="237">
    <w:name w:val="标题5"/>
    <w:basedOn w:val="4"/>
    <w:link w:val="236"/>
    <w:autoRedefine/>
    <w:qFormat/>
    <w:uiPriority w:val="0"/>
    <w:pPr>
      <w:spacing w:line="413" w:lineRule="auto"/>
      <w:jc w:val="left"/>
    </w:pPr>
    <w:rPr>
      <w:rFonts w:ascii="Arial" w:hAnsi="Arial"/>
      <w:sz w:val="24"/>
    </w:rPr>
  </w:style>
  <w:style w:type="character" w:customStyle="1" w:styleId="238">
    <w:name w:val="引用 Char"/>
    <w:link w:val="239"/>
    <w:autoRedefine/>
    <w:qFormat/>
    <w:uiPriority w:val="0"/>
    <w:rPr>
      <w:i/>
      <w:iCs/>
      <w:color w:val="000000"/>
    </w:rPr>
  </w:style>
  <w:style w:type="paragraph" w:styleId="239">
    <w:name w:val="Quote"/>
    <w:basedOn w:val="1"/>
    <w:next w:val="1"/>
    <w:link w:val="238"/>
    <w:autoRedefine/>
    <w:qFormat/>
    <w:uiPriority w:val="0"/>
    <w:rPr>
      <w:i/>
      <w:iCs/>
      <w:color w:val="000000"/>
    </w:rPr>
  </w:style>
  <w:style w:type="paragraph" w:customStyle="1" w:styleId="240">
    <w:name w:val="引用1"/>
    <w:basedOn w:val="1"/>
    <w:next w:val="1"/>
    <w:autoRedefine/>
    <w:qFormat/>
    <w:uiPriority w:val="0"/>
    <w:rPr>
      <w:rFonts w:ascii="Calibri" w:hAnsi="Calibri" w:cs="Times New Roman"/>
      <w:i/>
      <w:iCs/>
      <w:color w:val="000000"/>
      <w:kern w:val="2"/>
      <w:sz w:val="21"/>
      <w:szCs w:val="22"/>
    </w:rPr>
  </w:style>
  <w:style w:type="character" w:customStyle="1" w:styleId="241">
    <w:name w:val="引用 Char1"/>
    <w:basedOn w:val="57"/>
    <w:autoRedefine/>
    <w:qFormat/>
    <w:uiPriority w:val="29"/>
    <w:rPr>
      <w:rFonts w:ascii="Times New Roman" w:hAnsi="Times New Roman" w:eastAsia="宋体" w:cs="Times New Roman"/>
      <w:i/>
      <w:iCs/>
      <w:color w:val="404040"/>
      <w:szCs w:val="24"/>
    </w:rPr>
  </w:style>
  <w:style w:type="character" w:customStyle="1" w:styleId="242">
    <w:name w:val="ask-title2"/>
    <w:autoRedefine/>
    <w:qFormat/>
    <w:uiPriority w:val="0"/>
  </w:style>
  <w:style w:type="character" w:customStyle="1" w:styleId="243">
    <w:name w:val="正文文本 Char1"/>
    <w:autoRedefine/>
    <w:qFormat/>
    <w:uiPriority w:val="0"/>
    <w:rPr>
      <w:kern w:val="2"/>
      <w:sz w:val="21"/>
      <w:szCs w:val="22"/>
    </w:rPr>
  </w:style>
  <w:style w:type="character" w:customStyle="1" w:styleId="244">
    <w:name w:val="不明显强调1"/>
    <w:autoRedefine/>
    <w:qFormat/>
    <w:uiPriority w:val="0"/>
    <w:rPr>
      <w:i/>
      <w:iCs/>
      <w:color w:val="808080"/>
    </w:rPr>
  </w:style>
  <w:style w:type="character" w:customStyle="1" w:styleId="245">
    <w:name w:val="明显参考1"/>
    <w:autoRedefine/>
    <w:qFormat/>
    <w:uiPriority w:val="0"/>
    <w:rPr>
      <w:b/>
      <w:bCs/>
      <w:smallCaps/>
      <w:color w:val="C0504D"/>
      <w:spacing w:val="5"/>
      <w:u w:val="single"/>
    </w:rPr>
  </w:style>
  <w:style w:type="character" w:customStyle="1" w:styleId="246">
    <w:name w:val="书籍标题1"/>
    <w:autoRedefine/>
    <w:qFormat/>
    <w:uiPriority w:val="0"/>
    <w:rPr>
      <w:b/>
      <w:bCs/>
      <w:smallCaps/>
      <w:spacing w:val="5"/>
    </w:rPr>
  </w:style>
  <w:style w:type="character" w:customStyle="1" w:styleId="247">
    <w:name w:val="日期 Char1"/>
    <w:autoRedefine/>
    <w:qFormat/>
    <w:uiPriority w:val="0"/>
    <w:rPr>
      <w:kern w:val="2"/>
      <w:sz w:val="21"/>
      <w:szCs w:val="22"/>
    </w:rPr>
  </w:style>
  <w:style w:type="character" w:customStyle="1" w:styleId="248">
    <w:name w:val="明显强调1"/>
    <w:autoRedefine/>
    <w:qFormat/>
    <w:uiPriority w:val="0"/>
    <w:rPr>
      <w:b/>
      <w:bCs/>
      <w:i/>
      <w:iCs/>
      <w:color w:val="4F81BD"/>
    </w:rPr>
  </w:style>
  <w:style w:type="character" w:customStyle="1" w:styleId="249">
    <w:name w:val="textcontents"/>
    <w:autoRedefine/>
    <w:qFormat/>
    <w:uiPriority w:val="0"/>
    <w:rPr>
      <w:rFonts w:cs="Times New Roman"/>
    </w:rPr>
  </w:style>
  <w:style w:type="character" w:customStyle="1" w:styleId="250">
    <w:name w:val="不明显参考1"/>
    <w:autoRedefine/>
    <w:qFormat/>
    <w:uiPriority w:val="0"/>
    <w:rPr>
      <w:smallCaps/>
      <w:color w:val="C0504D"/>
      <w:u w:val="single"/>
    </w:rPr>
  </w:style>
  <w:style w:type="character" w:customStyle="1" w:styleId="251">
    <w:name w:val="批注文字 Char Char"/>
    <w:autoRedefine/>
    <w:qFormat/>
    <w:uiPriority w:val="0"/>
    <w:rPr>
      <w:rFonts w:ascii="宋体" w:hAnsi="Times New Roman" w:eastAsia="宋体" w:cs="Times New Roman"/>
      <w:sz w:val="28"/>
      <w:szCs w:val="20"/>
    </w:rPr>
  </w:style>
  <w:style w:type="character" w:customStyle="1" w:styleId="252">
    <w:name w:val="文档结构图 Char1"/>
    <w:autoRedefine/>
    <w:qFormat/>
    <w:uiPriority w:val="0"/>
    <w:rPr>
      <w:rFonts w:ascii="宋体"/>
      <w:kern w:val="2"/>
      <w:sz w:val="18"/>
      <w:szCs w:val="18"/>
    </w:rPr>
  </w:style>
  <w:style w:type="paragraph" w:customStyle="1" w:styleId="253">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254">
    <w:name w:val="页脚 Char1"/>
    <w:autoRedefine/>
    <w:semiHidden/>
    <w:qFormat/>
    <w:uiPriority w:val="99"/>
    <w:rPr>
      <w:kern w:val="2"/>
      <w:sz w:val="18"/>
      <w:szCs w:val="18"/>
    </w:rPr>
  </w:style>
  <w:style w:type="character" w:customStyle="1" w:styleId="255">
    <w:name w:val="批注框文本 Char2"/>
    <w:autoRedefine/>
    <w:semiHidden/>
    <w:qFormat/>
    <w:uiPriority w:val="99"/>
    <w:rPr>
      <w:kern w:val="2"/>
      <w:sz w:val="18"/>
      <w:szCs w:val="18"/>
    </w:rPr>
  </w:style>
  <w:style w:type="character" w:customStyle="1" w:styleId="256">
    <w:name w:val="批注主题 Char2"/>
    <w:autoRedefine/>
    <w:semiHidden/>
    <w:qFormat/>
    <w:uiPriority w:val="99"/>
    <w:rPr>
      <w:b/>
      <w:bCs/>
      <w:kern w:val="2"/>
      <w:sz w:val="21"/>
      <w:szCs w:val="22"/>
    </w:rPr>
  </w:style>
  <w:style w:type="character" w:customStyle="1" w:styleId="257">
    <w:name w:val="文档结构图 Char2"/>
    <w:autoRedefine/>
    <w:semiHidden/>
    <w:qFormat/>
    <w:uiPriority w:val="99"/>
    <w:rPr>
      <w:rFonts w:ascii="宋体"/>
      <w:kern w:val="2"/>
      <w:sz w:val="18"/>
      <w:szCs w:val="18"/>
    </w:rPr>
  </w:style>
  <w:style w:type="character" w:customStyle="1" w:styleId="258">
    <w:name w:val="页眉 Char1"/>
    <w:autoRedefine/>
    <w:semiHidden/>
    <w:qFormat/>
    <w:uiPriority w:val="99"/>
    <w:rPr>
      <w:kern w:val="2"/>
      <w:sz w:val="18"/>
      <w:szCs w:val="18"/>
    </w:rPr>
  </w:style>
  <w:style w:type="character" w:customStyle="1" w:styleId="259">
    <w:name w:val="日期 Char2"/>
    <w:autoRedefine/>
    <w:semiHidden/>
    <w:qFormat/>
    <w:uiPriority w:val="99"/>
    <w:rPr>
      <w:kern w:val="2"/>
      <w:sz w:val="21"/>
      <w:szCs w:val="22"/>
    </w:rPr>
  </w:style>
  <w:style w:type="character" w:customStyle="1" w:styleId="260">
    <w:name w:val="正文文本 Char2"/>
    <w:autoRedefine/>
    <w:semiHidden/>
    <w:qFormat/>
    <w:uiPriority w:val="99"/>
    <w:rPr>
      <w:kern w:val="2"/>
      <w:sz w:val="21"/>
      <w:szCs w:val="22"/>
    </w:rPr>
  </w:style>
  <w:style w:type="character" w:customStyle="1" w:styleId="261">
    <w:name w:val="标题 Char1"/>
    <w:autoRedefine/>
    <w:qFormat/>
    <w:uiPriority w:val="10"/>
    <w:rPr>
      <w:rFonts w:ascii="Cambria" w:hAnsi="Cambria" w:cs="Times New Roman"/>
      <w:b/>
      <w:bCs/>
      <w:kern w:val="2"/>
      <w:sz w:val="32"/>
      <w:szCs w:val="32"/>
    </w:rPr>
  </w:style>
  <w:style w:type="character" w:customStyle="1" w:styleId="262">
    <w:name w:val="副标题 Char1"/>
    <w:autoRedefine/>
    <w:qFormat/>
    <w:uiPriority w:val="11"/>
    <w:rPr>
      <w:rFonts w:ascii="Cambria" w:hAnsi="Cambria" w:cs="Times New Roman"/>
      <w:b/>
      <w:bCs/>
      <w:kern w:val="28"/>
      <w:sz w:val="32"/>
      <w:szCs w:val="32"/>
    </w:rPr>
  </w:style>
  <w:style w:type="paragraph" w:customStyle="1" w:styleId="263">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6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5">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66">
    <w:name w:val="正文2 Char"/>
    <w:link w:val="267"/>
    <w:autoRedefine/>
    <w:qFormat/>
    <w:uiPriority w:val="0"/>
    <w:rPr>
      <w:rFonts w:ascii="楷体" w:eastAsia="楷体"/>
      <w:b/>
      <w:color w:val="0000FF"/>
    </w:rPr>
  </w:style>
  <w:style w:type="paragraph" w:customStyle="1" w:styleId="267">
    <w:name w:val="正文2"/>
    <w:link w:val="266"/>
    <w:autoRedefine/>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8">
    <w:name w:val="p0"/>
    <w:basedOn w:val="1"/>
    <w:autoRedefine/>
    <w:qFormat/>
    <w:uiPriority w:val="0"/>
    <w:pPr>
      <w:widowControl/>
      <w:spacing w:before="100" w:beforeAutospacing="1" w:after="100" w:afterAutospacing="1"/>
      <w:jc w:val="left"/>
    </w:pPr>
    <w:rPr>
      <w:rFonts w:cs="宋体"/>
      <w:sz w:val="24"/>
      <w:szCs w:val="24"/>
    </w:rPr>
  </w:style>
  <w:style w:type="character" w:customStyle="1" w:styleId="269">
    <w:name w:val="正文文本 (2)_"/>
    <w:link w:val="270"/>
    <w:autoRedefine/>
    <w:qFormat/>
    <w:locked/>
    <w:uiPriority w:val="99"/>
    <w:rPr>
      <w:rFonts w:ascii="MingLiU" w:eastAsia="MingLiU" w:cs="MingLiU"/>
      <w:spacing w:val="20"/>
      <w:sz w:val="22"/>
      <w:shd w:val="clear" w:color="auto" w:fill="FFFFFF"/>
    </w:rPr>
  </w:style>
  <w:style w:type="paragraph" w:customStyle="1" w:styleId="270">
    <w:name w:val="正文文本 (2)1"/>
    <w:basedOn w:val="1"/>
    <w:link w:val="269"/>
    <w:autoRedefine/>
    <w:qFormat/>
    <w:uiPriority w:val="99"/>
    <w:pPr>
      <w:shd w:val="clear" w:color="auto" w:fill="FFFFFF"/>
      <w:spacing w:before="300" w:line="439" w:lineRule="exact"/>
      <w:jc w:val="distribute"/>
    </w:pPr>
    <w:rPr>
      <w:rFonts w:ascii="MingLiU" w:eastAsia="MingLiU" w:cs="MingLiU"/>
      <w:spacing w:val="20"/>
      <w:sz w:val="22"/>
    </w:rPr>
  </w:style>
  <w:style w:type="character" w:customStyle="1" w:styleId="271">
    <w:name w:val="正文文本 (2) + 间距 0 pt5"/>
    <w:autoRedefine/>
    <w:qFormat/>
    <w:uiPriority w:val="99"/>
    <w:rPr>
      <w:rFonts w:ascii="MingLiU" w:eastAsia="MingLiU" w:cs="MingLiU"/>
      <w:spacing w:val="0"/>
      <w:sz w:val="22"/>
      <w:shd w:val="clear" w:color="auto" w:fill="FFFFFF"/>
    </w:rPr>
  </w:style>
  <w:style w:type="character" w:customStyle="1" w:styleId="272">
    <w:name w:val="访问过的超链接1"/>
    <w:basedOn w:val="57"/>
    <w:autoRedefine/>
    <w:semiHidden/>
    <w:unhideWhenUsed/>
    <w:qFormat/>
    <w:uiPriority w:val="99"/>
    <w:rPr>
      <w:color w:val="954F72"/>
      <w:u w:val="single"/>
    </w:rPr>
  </w:style>
  <w:style w:type="character" w:customStyle="1" w:styleId="273">
    <w:name w:val="明显引用 Char2"/>
    <w:basedOn w:val="57"/>
    <w:autoRedefine/>
    <w:qFormat/>
    <w:uiPriority w:val="30"/>
    <w:rPr>
      <w:b/>
      <w:bCs/>
      <w:i/>
      <w:iCs/>
      <w:color w:val="4F81BD" w:themeColor="accent1"/>
      <w14:textFill>
        <w14:solidFill>
          <w14:schemeClr w14:val="accent1"/>
        </w14:solidFill>
      </w14:textFill>
    </w:rPr>
  </w:style>
  <w:style w:type="character" w:customStyle="1" w:styleId="274">
    <w:name w:val="引用 Char2"/>
    <w:basedOn w:val="57"/>
    <w:autoRedefine/>
    <w:qFormat/>
    <w:uiPriority w:val="29"/>
    <w:rPr>
      <w:i/>
      <w:iCs/>
      <w:color w:val="000000" w:themeColor="text1"/>
      <w14:textFill>
        <w14:solidFill>
          <w14:schemeClr w14:val="tx1"/>
        </w14:solidFill>
      </w14:textFill>
    </w:rPr>
  </w:style>
  <w:style w:type="table" w:customStyle="1" w:styleId="275">
    <w:name w:val="网格型4"/>
    <w:basedOn w:val="55"/>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6">
    <w:name w:val="Table Normal"/>
    <w:autoRedefine/>
    <w:semiHidden/>
    <w:unhideWhenUsed/>
    <w:qFormat/>
    <w:uiPriority w:val="0"/>
    <w:tblPr>
      <w:tblCellMar>
        <w:top w:w="0" w:type="dxa"/>
        <w:left w:w="0" w:type="dxa"/>
        <w:bottom w:w="0" w:type="dxa"/>
        <w:right w:w="0" w:type="dxa"/>
      </w:tblCellMar>
    </w:tblPr>
  </w:style>
  <w:style w:type="paragraph" w:customStyle="1" w:styleId="277">
    <w:name w:val="Table Text"/>
    <w:basedOn w:val="1"/>
    <w:autoRedefine/>
    <w:semiHidden/>
    <w:qFormat/>
    <w:uiPriority w:val="0"/>
    <w:rPr>
      <w:rFonts w:ascii="Arial" w:hAnsi="Arial" w:eastAsia="Arial" w:cs="Arial"/>
      <w:sz w:val="21"/>
      <w:szCs w:val="21"/>
      <w:lang w:val="en-US" w:eastAsia="en-US" w:bidi="ar-SA"/>
    </w:rPr>
  </w:style>
  <w:style w:type="character" w:customStyle="1" w:styleId="278">
    <w:name w:val="c-icon28"/>
    <w:basedOn w:val="57"/>
    <w:qFormat/>
    <w:uiPriority w:val="0"/>
  </w:style>
  <w:style w:type="character" w:customStyle="1" w:styleId="279">
    <w:name w:val="hover25"/>
    <w:basedOn w:val="57"/>
    <w:qFormat/>
    <w:uiPriority w:val="0"/>
    <w:rPr>
      <w:color w:val="315EFB"/>
    </w:rPr>
  </w:style>
  <w:style w:type="character" w:customStyle="1" w:styleId="280">
    <w:name w:val="hover26"/>
    <w:basedOn w:val="57"/>
    <w:qFormat/>
    <w:uiPriority w:val="0"/>
  </w:style>
  <w:style w:type="character" w:customStyle="1" w:styleId="281">
    <w:name w:val="hover27"/>
    <w:basedOn w:val="57"/>
    <w:qFormat/>
    <w:uiPriority w:val="0"/>
    <w:rPr>
      <w:color w:val="315EFB"/>
    </w:rPr>
  </w:style>
  <w:style w:type="character" w:customStyle="1" w:styleId="282">
    <w:name w:val="hover"/>
    <w:basedOn w:val="57"/>
    <w:qFormat/>
    <w:uiPriority w:val="0"/>
    <w:rPr>
      <w:color w:val="2590EB"/>
      <w:shd w:val="clear" w:fill="E9F4FD"/>
    </w:rPr>
  </w:style>
  <w:style w:type="character" w:customStyle="1" w:styleId="283">
    <w:name w:val="hover1"/>
    <w:basedOn w:val="57"/>
    <w:qFormat/>
    <w:uiPriority w:val="0"/>
  </w:style>
  <w:style w:type="character" w:customStyle="1" w:styleId="284">
    <w:name w:val="hover2"/>
    <w:basedOn w:val="57"/>
    <w:qFormat/>
    <w:uiPriority w:val="0"/>
    <w:rPr>
      <w:color w:val="2590EB"/>
    </w:rPr>
  </w:style>
  <w:style w:type="character" w:customStyle="1" w:styleId="285">
    <w:name w:val="hover3"/>
    <w:basedOn w:val="57"/>
    <w:qFormat/>
    <w:uiPriority w:val="0"/>
    <w:rPr>
      <w:color w:val="2590EB"/>
    </w:rPr>
  </w:style>
  <w:style w:type="character" w:customStyle="1" w:styleId="286">
    <w:name w:val="hover4"/>
    <w:basedOn w:val="57"/>
    <w:qFormat/>
    <w:uiPriority w:val="0"/>
    <w:rPr>
      <w:color w:val="2590EB"/>
      <w:shd w:val="clear" w:fill="E9F4FD"/>
    </w:rPr>
  </w:style>
  <w:style w:type="character" w:customStyle="1" w:styleId="287">
    <w:name w:val="15"/>
    <w:basedOn w:val="57"/>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44CFDD-AEC3-4BBC-9B81-C7151120817D}">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94</Pages>
  <Words>8399</Words>
  <Characters>9286</Characters>
  <Lines>445</Lines>
  <Paragraphs>125</Paragraphs>
  <TotalTime>0</TotalTime>
  <ScaleCrop>false</ScaleCrop>
  <LinksUpToDate>false</LinksUpToDate>
  <CharactersWithSpaces>9504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2021-12-20T01:22:00Z</dcterms:created>
  <dc:creator>Anakin</dc:creator>
  <cp:lastModifiedBy>Pim Pom丶</cp:lastModifiedBy>
  <cp:lastPrinted>2019-12-07T15:20:00Z</cp:lastPrinted>
  <dcterms:modified xsi:type="dcterms:W3CDTF">2025-09-11T08:48:49Z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BE393E6EDC3845A1908AECFA21276DCE_12</vt:lpwstr>
  </property>
  <property fmtid="{D5CDD505-2E9C-101B-9397-08002B2CF9AE}" pid="4" name="KSOTemplateDocerSaveRecord">
    <vt:lpwstr>eyJoZGlkIjoiOTk1OGJkZDZlMmJiZjgxZThhZWQ4YzE0YWIxYTUyMmQiLCJ1c2VySWQiOiI0MDkyMjI1MTkifQ==</vt:lpwstr>
  </property>
</Properties>
</file>