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A126">
      <w:pPr>
        <w:rPr>
          <w:rFonts w:hint="eastAsia"/>
          <w:color w:val="auto"/>
          <w:highlight w:val="none"/>
        </w:rPr>
      </w:pPr>
      <w:bookmarkStart w:id="0" w:name="OLE_LINK1"/>
    </w:p>
    <w:p w14:paraId="6E337A0F">
      <w:pPr>
        <w:spacing w:line="1200" w:lineRule="exact"/>
        <w:jc w:val="center"/>
        <w:rPr>
          <w:rFonts w:hint="eastAsia" w:ascii="楷体_GB2312" w:hAnsi="楷体_GB2312" w:eastAsia="楷体_GB2312" w:cs="楷体_GB2312"/>
          <w:b/>
          <w:bCs/>
          <w:color w:val="auto"/>
          <w:sz w:val="52"/>
          <w:szCs w:val="52"/>
          <w:highlight w:val="none"/>
          <w:lang w:eastAsia="zh-CN"/>
        </w:rPr>
      </w:pPr>
      <w:r>
        <w:rPr>
          <w:rFonts w:hint="eastAsia" w:ascii="楷体_GB2312" w:hAnsi="楷体_GB2312" w:eastAsia="楷体_GB2312" w:cs="楷体_GB2312"/>
          <w:b/>
          <w:bCs/>
          <w:color w:val="auto"/>
          <w:sz w:val="52"/>
          <w:szCs w:val="52"/>
          <w:highlight w:val="none"/>
          <w:lang w:eastAsia="zh-CN"/>
        </w:rPr>
        <w:t>中新苏滁高新区产业转移与职业人才基地项目-人工智能OPC社区项目跟踪审计</w:t>
      </w:r>
    </w:p>
    <w:p w14:paraId="7AD5EE92">
      <w:pPr>
        <w:rPr>
          <w:rFonts w:hint="eastAsia" w:ascii="宋体"/>
          <w:bCs/>
          <w:color w:val="auto"/>
          <w:szCs w:val="21"/>
          <w:highlight w:val="none"/>
        </w:rPr>
      </w:pPr>
    </w:p>
    <w:p w14:paraId="0CDC5DC4">
      <w:pPr>
        <w:rPr>
          <w:rFonts w:hint="eastAsia" w:ascii="宋体"/>
          <w:bCs/>
          <w:color w:val="auto"/>
          <w:szCs w:val="21"/>
          <w:highlight w:val="none"/>
        </w:rPr>
      </w:pPr>
    </w:p>
    <w:p w14:paraId="732B09F0">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rPr>
        <w:t>招 标 文 件</w:t>
      </w:r>
    </w:p>
    <w:p w14:paraId="36A72FF8">
      <w:pPr>
        <w:rPr>
          <w:rFonts w:hint="eastAsia" w:ascii="宋体" w:hAnsi="宋体"/>
          <w:b/>
          <w:color w:val="auto"/>
          <w:sz w:val="84"/>
          <w:szCs w:val="84"/>
          <w:highlight w:val="none"/>
        </w:rPr>
      </w:pPr>
    </w:p>
    <w:p w14:paraId="6F9B41F8">
      <w:pPr>
        <w:pStyle w:val="33"/>
        <w:rPr>
          <w:rFonts w:hint="eastAsia"/>
          <w:color w:val="auto"/>
          <w:highlight w:val="none"/>
        </w:rPr>
      </w:pPr>
    </w:p>
    <w:p w14:paraId="0B7E0817">
      <w:pPr>
        <w:rPr>
          <w:rFonts w:hint="eastAsia"/>
          <w:color w:val="auto"/>
          <w:highlight w:val="none"/>
        </w:rPr>
      </w:pPr>
    </w:p>
    <w:p w14:paraId="31447BF3">
      <w:pPr>
        <w:rPr>
          <w:rFonts w:hint="eastAsia" w:ascii="宋体"/>
          <w:color w:val="auto"/>
          <w:sz w:val="28"/>
          <w:szCs w:val="28"/>
          <w:highlight w:val="none"/>
        </w:rPr>
      </w:pPr>
    </w:p>
    <w:p w14:paraId="4A9B6B37">
      <w:pPr>
        <w:pStyle w:val="20"/>
        <w:rPr>
          <w:rFonts w:hint="eastAsia"/>
          <w:color w:val="auto"/>
          <w:highlight w:val="none"/>
        </w:rPr>
      </w:pPr>
    </w:p>
    <w:p w14:paraId="71737E66">
      <w:pPr>
        <w:rPr>
          <w:rFonts w:hint="eastAsia" w:ascii="宋体"/>
          <w:b/>
          <w:color w:val="auto"/>
          <w:sz w:val="32"/>
          <w:szCs w:val="32"/>
          <w:highlight w:val="none"/>
        </w:rPr>
      </w:pPr>
    </w:p>
    <w:p w14:paraId="7CA20BB5">
      <w:pPr>
        <w:pStyle w:val="26"/>
        <w:ind w:left="0" w:leftChars="0" w:firstLine="0" w:firstLineChars="0"/>
        <w:rPr>
          <w:rFonts w:hint="eastAsia"/>
          <w:color w:val="auto"/>
          <w:highlight w:val="none"/>
        </w:rPr>
      </w:pPr>
    </w:p>
    <w:p w14:paraId="5F66AD2E">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招标</w:t>
      </w:r>
      <w:r>
        <w:rPr>
          <w:rFonts w:hint="eastAsia" w:ascii="宋体"/>
          <w:b/>
          <w:color w:val="auto"/>
          <w:sz w:val="32"/>
          <w:szCs w:val="32"/>
          <w:highlight w:val="none"/>
        </w:rPr>
        <w:t>人</w:t>
      </w:r>
      <w:r>
        <w:rPr>
          <w:rFonts w:hint="eastAsia" w:ascii="宋体"/>
          <w:b/>
          <w:color w:val="auto"/>
          <w:sz w:val="32"/>
          <w:szCs w:val="32"/>
          <w:highlight w:val="none"/>
          <w:u w:val="none"/>
          <w:lang w:eastAsia="zh-CN"/>
        </w:rPr>
        <w:t>：</w:t>
      </w:r>
      <w:r>
        <w:rPr>
          <w:rFonts w:hint="eastAsia" w:ascii="宋体"/>
          <w:b/>
          <w:color w:val="auto"/>
          <w:sz w:val="32"/>
          <w:szCs w:val="32"/>
          <w:highlight w:val="none"/>
          <w:u w:val="single"/>
          <w:lang w:eastAsia="zh-CN"/>
        </w:rPr>
        <w:t>中新苏滁高新技术产业开发区管理委员会</w:t>
      </w:r>
      <w:r>
        <w:rPr>
          <w:rFonts w:hint="eastAsia" w:ascii="宋体"/>
          <w:b/>
          <w:color w:val="auto"/>
          <w:sz w:val="32"/>
          <w:szCs w:val="32"/>
          <w:highlight w:val="none"/>
        </w:rPr>
        <w:t>（盖单位章）</w:t>
      </w:r>
    </w:p>
    <w:p w14:paraId="18961C30">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u w:val="single"/>
        </w:rPr>
      </w:pP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rPr>
        <w:t>（盖单位章）</w:t>
      </w:r>
    </w:p>
    <w:p w14:paraId="1FD2D27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8</w:t>
      </w:r>
      <w:r>
        <w:rPr>
          <w:rFonts w:hint="eastAsia" w:ascii="宋体"/>
          <w:b/>
          <w:color w:val="auto"/>
          <w:sz w:val="32"/>
          <w:szCs w:val="32"/>
          <w:highlight w:val="none"/>
        </w:rPr>
        <w:t>月</w:t>
      </w:r>
    </w:p>
    <w:p w14:paraId="23C5652D">
      <w:pPr>
        <w:spacing w:line="360" w:lineRule="exact"/>
        <w:jc w:val="both"/>
        <w:rPr>
          <w:rFonts w:hint="eastAsia"/>
          <w:b/>
          <w:color w:val="auto"/>
          <w:sz w:val="36"/>
          <w:highlight w:val="none"/>
        </w:rPr>
      </w:pPr>
      <w:r>
        <w:rPr>
          <w:rFonts w:hint="eastAsia"/>
          <w:b/>
          <w:color w:val="auto"/>
          <w:sz w:val="36"/>
          <w:highlight w:val="none"/>
        </w:rPr>
        <w:br w:type="page"/>
      </w:r>
    </w:p>
    <w:p w14:paraId="0387D298">
      <w:pPr>
        <w:spacing w:line="360" w:lineRule="exact"/>
        <w:jc w:val="center"/>
        <w:rPr>
          <w:rFonts w:hint="eastAsia"/>
          <w:b/>
          <w:color w:val="auto"/>
          <w:sz w:val="36"/>
          <w:highlight w:val="none"/>
        </w:rPr>
      </w:pPr>
      <w:r>
        <w:rPr>
          <w:rFonts w:hint="eastAsia"/>
          <w:b/>
          <w:color w:val="auto"/>
          <w:sz w:val="36"/>
          <w:highlight w:val="none"/>
        </w:rPr>
        <w:t>目  录</w:t>
      </w:r>
    </w:p>
    <w:p w14:paraId="63D2CA29">
      <w:pPr>
        <w:spacing w:line="360" w:lineRule="exact"/>
        <w:jc w:val="center"/>
        <w:rPr>
          <w:rFonts w:hint="eastAsia"/>
          <w:b/>
          <w:color w:val="auto"/>
          <w:sz w:val="36"/>
          <w:highlight w:val="none"/>
        </w:rPr>
      </w:pPr>
    </w:p>
    <w:p w14:paraId="581F4B1A">
      <w:pPr>
        <w:pStyle w:val="24"/>
        <w:tabs>
          <w:tab w:val="right" w:leader="dot" w:pos="8296"/>
        </w:tabs>
        <w:spacing w:before="156" w:beforeLines="50" w:after="156" w:afterLines="50" w:line="500" w:lineRule="exact"/>
        <w:rPr>
          <w:rFonts w:ascii="宋体" w:hAnsi="宋体"/>
          <w:b/>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ascii="宋体" w:hAnsi="宋体"/>
          <w:color w:val="auto"/>
          <w:sz w:val="24"/>
          <w:highlight w:val="none"/>
        </w:rPr>
        <w:fldChar w:fldCharType="begin"/>
      </w:r>
      <w:r>
        <w:rPr>
          <w:rStyle w:val="45"/>
          <w:rFonts w:ascii="宋体" w:hAnsi="宋体"/>
          <w:color w:val="auto"/>
          <w:sz w:val="24"/>
          <w:highlight w:val="none"/>
        </w:rPr>
        <w:instrText xml:space="preserve"> </w:instrText>
      </w:r>
      <w:r>
        <w:rPr>
          <w:rFonts w:ascii="宋体" w:hAnsi="宋体"/>
          <w:color w:val="auto"/>
          <w:sz w:val="24"/>
          <w:highlight w:val="none"/>
        </w:rPr>
        <w:instrText xml:space="preserve">HYPERLINK \l "_Toc58430304"</w:instrText>
      </w:r>
      <w:r>
        <w:rPr>
          <w:rStyle w:val="45"/>
          <w:rFonts w:ascii="宋体" w:hAnsi="宋体"/>
          <w:color w:val="auto"/>
          <w:sz w:val="24"/>
          <w:highlight w:val="none"/>
        </w:rPr>
        <w:instrText xml:space="preserve"> </w:instrText>
      </w:r>
      <w:r>
        <w:rPr>
          <w:rFonts w:ascii="宋体" w:hAnsi="宋体"/>
          <w:color w:val="auto"/>
          <w:sz w:val="24"/>
          <w:highlight w:val="none"/>
        </w:rPr>
        <w:fldChar w:fldCharType="separate"/>
      </w:r>
      <w:r>
        <w:rPr>
          <w:rStyle w:val="45"/>
          <w:rFonts w:hint="eastAsia" w:ascii="宋体" w:hAnsi="宋体"/>
          <w:b/>
          <w:color w:val="auto"/>
          <w:sz w:val="24"/>
          <w:highlight w:val="none"/>
        </w:rPr>
        <w:t>第一章</w:t>
      </w:r>
      <w:r>
        <w:rPr>
          <w:rStyle w:val="45"/>
          <w:rFonts w:ascii="宋体" w:hAnsi="宋体"/>
          <w:b/>
          <w:color w:val="auto"/>
          <w:sz w:val="24"/>
          <w:highlight w:val="none"/>
        </w:rPr>
        <w:t xml:space="preserve"> </w:t>
      </w:r>
      <w:r>
        <w:rPr>
          <w:rStyle w:val="45"/>
          <w:rFonts w:hint="eastAsia" w:ascii="宋体" w:hAnsi="宋体"/>
          <w:b/>
          <w:color w:val="auto"/>
          <w:sz w:val="24"/>
          <w:highlight w:val="none"/>
          <w:lang w:val="en-US" w:eastAsia="zh-CN"/>
        </w:rPr>
        <w:t>招标公告</w:t>
      </w:r>
      <w:r>
        <w:rPr>
          <w:rFonts w:ascii="宋体" w:hAnsi="宋体"/>
          <w:b/>
          <w:color w:val="auto"/>
          <w:sz w:val="24"/>
          <w:highlight w:val="none"/>
        </w:rPr>
        <w:tab/>
      </w:r>
      <w:r>
        <w:rPr>
          <w:rFonts w:hint="eastAsia" w:ascii="宋体" w:hAnsi="宋体"/>
          <w:b/>
          <w:color w:val="auto"/>
          <w:sz w:val="24"/>
          <w:highlight w:val="none"/>
          <w:lang w:val="en-US" w:eastAsia="zh-CN"/>
        </w:rPr>
        <w:t>3</w:t>
      </w:r>
      <w:r>
        <w:rPr>
          <w:rFonts w:ascii="宋体" w:hAnsi="宋体"/>
          <w:b/>
          <w:color w:val="auto"/>
          <w:sz w:val="24"/>
          <w:highlight w:val="none"/>
        </w:rPr>
        <w:fldChar w:fldCharType="end"/>
      </w:r>
    </w:p>
    <w:p w14:paraId="4978DF48">
      <w:pPr>
        <w:pStyle w:val="24"/>
        <w:tabs>
          <w:tab w:val="right" w:leader="dot" w:pos="8296"/>
        </w:tabs>
        <w:spacing w:before="156" w:beforeLines="50" w:after="156" w:afterLines="50" w:line="500" w:lineRule="exact"/>
        <w:rPr>
          <w:rFonts w:hint="eastAsia" w:ascii="宋体" w:hAnsi="宋体" w:eastAsia="宋体"/>
          <w:b/>
          <w:color w:val="auto"/>
          <w:sz w:val="24"/>
          <w:highlight w:val="none"/>
          <w:lang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"_Toc58430313"</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第二章</w:t>
      </w:r>
      <w:r>
        <w:rPr>
          <w:rStyle w:val="45"/>
          <w:rFonts w:ascii="宋体" w:hAnsi="宋体"/>
          <w:b/>
          <w:color w:val="auto"/>
          <w:sz w:val="24"/>
          <w:highlight w:val="none"/>
        </w:rPr>
        <w:t xml:space="preserve"> </w:t>
      </w:r>
      <w:r>
        <w:rPr>
          <w:rStyle w:val="45"/>
          <w:rFonts w:hint="eastAsia" w:ascii="宋体" w:hAnsi="宋体"/>
          <w:b/>
          <w:color w:val="auto"/>
          <w:sz w:val="24"/>
          <w:highlight w:val="none"/>
        </w:rPr>
        <w:t>投标人须知</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7</w:t>
      </w:r>
    </w:p>
    <w:p w14:paraId="6AB8532C">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"_Toc58430316"</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第三章</w:t>
      </w:r>
      <w:r>
        <w:rPr>
          <w:rStyle w:val="45"/>
          <w:rFonts w:ascii="宋体" w:hAnsi="宋体"/>
          <w:b/>
          <w:color w:val="auto"/>
          <w:sz w:val="24"/>
          <w:highlight w:val="none"/>
        </w:rPr>
        <w:t xml:space="preserve"> </w:t>
      </w:r>
      <w:r>
        <w:rPr>
          <w:rStyle w:val="45"/>
          <w:rFonts w:hint="eastAsia" w:ascii="宋体" w:hAnsi="宋体"/>
          <w:b/>
          <w:color w:val="auto"/>
          <w:sz w:val="24"/>
          <w:highlight w:val="none"/>
        </w:rPr>
        <w:t>评标办法</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20</w:t>
      </w:r>
    </w:p>
    <w:p w14:paraId="7F36D634">
      <w:pPr>
        <w:pStyle w:val="24"/>
        <w:tabs>
          <w:tab w:val="right" w:leader="dot" w:pos="8296"/>
        </w:tabs>
        <w:spacing w:before="156" w:beforeLines="50" w:after="156" w:afterLines="50" w:line="500" w:lineRule="exac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第四章 采购内容及要求</w:t>
      </w:r>
      <w:r>
        <w:rPr>
          <w:rFonts w:ascii="宋体" w:hAnsi="宋体"/>
          <w:b/>
          <w:color w:val="auto"/>
          <w:sz w:val="24"/>
          <w:highlight w:val="none"/>
        </w:rPr>
        <w:tab/>
      </w:r>
      <w:r>
        <w:rPr>
          <w:rFonts w:hint="eastAsia" w:ascii="宋体" w:hAnsi="宋体"/>
          <w:b/>
          <w:color w:val="auto"/>
          <w:sz w:val="24"/>
          <w:highlight w:val="none"/>
          <w:lang w:val="en-US" w:eastAsia="zh-CN"/>
        </w:rPr>
        <w:t>27</w:t>
      </w:r>
    </w:p>
    <w:p w14:paraId="16E13669">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第五章 合同条款及格式</w:t>
      </w:r>
      <w:r>
        <w:rPr>
          <w:rFonts w:ascii="宋体" w:hAnsi="宋体"/>
          <w:b/>
          <w:color w:val="auto"/>
          <w:sz w:val="24"/>
          <w:highlight w:val="none"/>
        </w:rPr>
        <w:tab/>
      </w:r>
      <w:r>
        <w:rPr>
          <w:rFonts w:hint="eastAsia" w:ascii="宋体" w:hAnsi="宋体"/>
          <w:b/>
          <w:color w:val="auto"/>
          <w:sz w:val="24"/>
          <w:highlight w:val="none"/>
          <w:lang w:val="en-US" w:eastAsia="zh-CN"/>
        </w:rPr>
        <w:t>28</w:t>
      </w:r>
    </w:p>
    <w:p w14:paraId="6850A267">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"_Toc58430332"</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w:t>
      </w:r>
      <w:r>
        <w:rPr>
          <w:rStyle w:val="45"/>
          <w:rFonts w:hint="eastAsia" w:ascii="宋体" w:hAnsi="宋体"/>
          <w:b/>
          <w:color w:val="auto"/>
          <w:sz w:val="24"/>
          <w:highlight w:val="none"/>
          <w:lang w:val="en-US" w:eastAsia="zh-CN"/>
        </w:rPr>
        <w:t>六</w:t>
      </w:r>
      <w:r>
        <w:rPr>
          <w:rStyle w:val="45"/>
          <w:rFonts w:hint="eastAsia" w:ascii="宋体" w:hAnsi="宋体"/>
          <w:b/>
          <w:color w:val="auto"/>
          <w:sz w:val="24"/>
          <w:highlight w:val="none"/>
        </w:rPr>
        <w:t>章</w:t>
      </w:r>
      <w:r>
        <w:rPr>
          <w:rStyle w:val="45"/>
          <w:rFonts w:ascii="宋体" w:hAnsi="宋体"/>
          <w:b/>
          <w:color w:val="auto"/>
          <w:sz w:val="24"/>
          <w:highlight w:val="none"/>
        </w:rPr>
        <w:t xml:space="preserve"> </w:t>
      </w:r>
      <w:r>
        <w:rPr>
          <w:rStyle w:val="45"/>
          <w:rFonts w:hint="eastAsia" w:ascii="宋体" w:hAnsi="宋体"/>
          <w:b/>
          <w:color w:val="auto"/>
          <w:sz w:val="24"/>
          <w:highlight w:val="none"/>
        </w:rPr>
        <w:t>投标文件格式</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32</w:t>
      </w:r>
    </w:p>
    <w:p w14:paraId="364B1684">
      <w:pPr>
        <w:pStyle w:val="24"/>
        <w:tabs>
          <w:tab w:val="right" w:leader="dot" w:pos="8296"/>
        </w:tabs>
        <w:adjustRightInd w:val="0"/>
        <w:snapToGrid w:val="0"/>
        <w:spacing w:before="156" w:beforeLines="50" w:after="156" w:afterLines="50" w:line="500" w:lineRule="exact"/>
        <w:ind w:left="120" w:hanging="120" w:hangingChars="50"/>
        <w:jc w:val="center"/>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40" w:right="1486" w:bottom="1440" w:left="1800" w:header="851" w:footer="992" w:gutter="0"/>
          <w:pgNumType w:start="1"/>
          <w:cols w:space="720" w:num="1"/>
          <w:docGrid w:type="lines" w:linePitch="312" w:charSpace="0"/>
        </w:sectPr>
      </w:pPr>
      <w:r>
        <w:rPr>
          <w:rFonts w:hint="eastAsia" w:ascii="宋体" w:hAnsi="宋体" w:cs="宋体"/>
          <w:color w:val="auto"/>
          <w:sz w:val="24"/>
          <w:highlight w:val="none"/>
        </w:rPr>
        <w:fldChar w:fldCharType="end"/>
      </w:r>
    </w:p>
    <w:p w14:paraId="5A88F254">
      <w:pPr>
        <w:spacing w:before="156" w:beforeLines="50" w:after="156" w:afterLines="50" w:line="600" w:lineRule="exact"/>
        <w:jc w:val="center"/>
        <w:outlineLvl w:val="0"/>
        <w:rPr>
          <w:rFonts w:hint="default" w:ascii="宋体" w:eastAsia="宋体"/>
          <w:b/>
          <w:color w:val="auto"/>
          <w:sz w:val="32"/>
          <w:szCs w:val="32"/>
          <w:highlight w:val="none"/>
          <w:lang w:val="en-US" w:eastAsia="zh-CN"/>
        </w:rPr>
      </w:pPr>
      <w:bookmarkStart w:id="1" w:name="_Toc58430304"/>
      <w:r>
        <w:rPr>
          <w:rFonts w:hint="eastAsia" w:ascii="宋体"/>
          <w:b/>
          <w:color w:val="auto"/>
          <w:sz w:val="32"/>
          <w:szCs w:val="32"/>
          <w:highlight w:val="none"/>
        </w:rPr>
        <w:t xml:space="preserve">第一章  </w:t>
      </w:r>
      <w:bookmarkEnd w:id="1"/>
      <w:r>
        <w:rPr>
          <w:rFonts w:hint="eastAsia" w:ascii="宋体"/>
          <w:b/>
          <w:color w:val="auto"/>
          <w:sz w:val="32"/>
          <w:szCs w:val="32"/>
          <w:highlight w:val="none"/>
          <w:lang w:val="en-US" w:eastAsia="zh-CN"/>
        </w:rPr>
        <w:t>招标公告</w:t>
      </w:r>
    </w:p>
    <w:p w14:paraId="45ED2E4C">
      <w:pPr>
        <w:keepNext/>
        <w:keepLines/>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highlight w:val="none"/>
        </w:rPr>
      </w:pPr>
      <w:bookmarkStart w:id="2" w:name="_Toc58430313"/>
      <w:r>
        <w:rPr>
          <w:rFonts w:hint="eastAsia" w:ascii="仿宋" w:hAnsi="仿宋" w:eastAsia="仿宋" w:cs="仿宋"/>
          <w:color w:val="auto"/>
          <w:sz w:val="28"/>
          <w:szCs w:val="28"/>
          <w:highlight w:val="none"/>
        </w:rPr>
        <w:t>项目概况</w:t>
      </w:r>
    </w:p>
    <w:p w14:paraId="25017AAD">
      <w:pPr>
        <w:keepNext/>
        <w:keepLines/>
        <w:pageBreakBefore w:val="0"/>
        <w:widowControl w:val="0"/>
        <w:kinsoku/>
        <w:wordWrap/>
        <w:overflowPunct/>
        <w:topLinePunct w:val="0"/>
        <w:autoSpaceDE/>
        <w:autoSpaceDN/>
        <w:bidi w:val="0"/>
        <w:adjustRightInd/>
        <w:snapToGrid/>
        <w:ind w:firstLine="560" w:firstLineChars="200"/>
        <w:jc w:val="left"/>
        <w:textAlignment w:val="auto"/>
        <w:rPr>
          <w:rFonts w:hint="eastAsia" w:ascii="黑体" w:hAnsi="黑体" w:cs="宋体"/>
          <w:color w:val="auto"/>
          <w:sz w:val="28"/>
          <w:szCs w:val="28"/>
          <w:highlight w:val="none"/>
        </w:rPr>
      </w:pPr>
      <w:r>
        <w:rPr>
          <w:rFonts w:hint="eastAsia" w:ascii="仿宋" w:hAnsi="仿宋" w:eastAsia="仿宋" w:cs="仿宋"/>
          <w:color w:val="auto"/>
          <w:sz w:val="28"/>
          <w:szCs w:val="28"/>
          <w:highlight w:val="none"/>
          <w:u w:val="single"/>
          <w:lang w:eastAsia="zh-CN"/>
        </w:rPr>
        <w:t>中新苏滁高新区产业转移与职业人才基地项目-人工智能OPC社区项目跟踪审计</w:t>
      </w:r>
      <w:r>
        <w:rPr>
          <w:rFonts w:hint="eastAsia" w:ascii="仿宋" w:hAnsi="仿宋" w:eastAsia="仿宋" w:cs="仿宋"/>
          <w:color w:val="auto"/>
          <w:sz w:val="28"/>
          <w:szCs w:val="28"/>
          <w:highlight w:val="none"/>
          <w:u w:val="none"/>
        </w:rPr>
        <w:t>招标项目</w:t>
      </w:r>
      <w:r>
        <w:rPr>
          <w:rFonts w:hint="eastAsia" w:ascii="仿宋" w:hAnsi="仿宋" w:eastAsia="仿宋" w:cs="仿宋"/>
          <w:color w:val="auto"/>
          <w:sz w:val="28"/>
          <w:szCs w:val="28"/>
          <w:highlight w:val="none"/>
        </w:rPr>
        <w:t>的潜在投标人应在</w:t>
      </w:r>
      <w:r>
        <w:rPr>
          <w:rFonts w:hint="eastAsia" w:ascii="仿宋" w:hAnsi="仿宋" w:eastAsia="仿宋" w:cs="仿宋"/>
          <w:color w:val="auto"/>
          <w:sz w:val="28"/>
          <w:szCs w:val="28"/>
          <w:highlight w:val="none"/>
          <w:u w:val="single"/>
          <w:lang w:val="en-US" w:eastAsia="zh-CN"/>
        </w:rPr>
        <w:t>中新苏滁高新技术产业开发区（https://scp.chuzhou.gov.cn/index.html）、滁州市城投工程咨询管理有限公司网站（https://www.czctgczx.com/）</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8</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11</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00</w:t>
      </w:r>
      <w:r>
        <w:rPr>
          <w:rFonts w:hint="eastAsia" w:ascii="仿宋" w:hAnsi="仿宋" w:eastAsia="仿宋" w:cs="仿宋"/>
          <w:color w:val="auto"/>
          <w:sz w:val="28"/>
          <w:szCs w:val="28"/>
          <w:highlight w:val="none"/>
          <w:u w:val="single"/>
        </w:rPr>
        <w:t>分</w:t>
      </w:r>
      <w:r>
        <w:rPr>
          <w:rFonts w:hint="eastAsia" w:ascii="仿宋" w:hAnsi="仿宋" w:eastAsia="仿宋" w:cs="仿宋"/>
          <w:color w:val="auto"/>
          <w:sz w:val="28"/>
          <w:szCs w:val="28"/>
          <w:highlight w:val="none"/>
        </w:rPr>
        <w:t>（北京时间）前递交投标文件。</w:t>
      </w:r>
    </w:p>
    <w:p w14:paraId="02EEB9A9">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p>
    <w:p w14:paraId="12BE7AB5">
      <w:pPr>
        <w:ind w:firstLine="560" w:firstLineChars="20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项目名称：</w:t>
      </w:r>
      <w:r>
        <w:rPr>
          <w:rFonts w:hint="eastAsia" w:ascii="仿宋" w:hAnsi="仿宋" w:eastAsia="仿宋" w:cs="仿宋"/>
          <w:color w:val="auto"/>
          <w:sz w:val="28"/>
          <w:szCs w:val="28"/>
          <w:highlight w:val="none"/>
          <w:shd w:val="clear" w:color="auto" w:fill="auto"/>
          <w:lang w:eastAsia="zh-CN"/>
        </w:rPr>
        <w:t>中新苏滁高新区产业转移与职业人才基地项目-人工智能OPC社区项目跟踪审计</w:t>
      </w:r>
      <w:r>
        <w:rPr>
          <w:rFonts w:hint="eastAsia" w:ascii="仿宋" w:hAnsi="仿宋" w:eastAsia="仿宋" w:cs="仿宋"/>
          <w:color w:val="auto"/>
          <w:sz w:val="28"/>
          <w:szCs w:val="28"/>
          <w:highlight w:val="none"/>
          <w:shd w:val="clear" w:color="auto" w:fill="auto"/>
          <w:lang w:val="en-US" w:eastAsia="zh-CN"/>
        </w:rPr>
        <w:t xml:space="preserve"> </w:t>
      </w:r>
    </w:p>
    <w:p w14:paraId="4ADFF288">
      <w:pPr>
        <w:ind w:firstLine="560" w:firstLineChars="200"/>
        <w:rPr>
          <w:rFonts w:hint="default"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预算金额：审计费用约</w:t>
      </w:r>
      <w:r>
        <w:rPr>
          <w:rFonts w:hint="eastAsia" w:ascii="仿宋" w:hAnsi="仿宋" w:eastAsia="仿宋" w:cs="仿宋"/>
          <w:color w:val="auto"/>
          <w:sz w:val="28"/>
          <w:szCs w:val="28"/>
          <w:highlight w:val="none"/>
          <w:shd w:val="clear" w:color="auto" w:fill="auto"/>
          <w:lang w:val="en-US" w:eastAsia="zh-CN"/>
        </w:rPr>
        <w:t>5.28</w:t>
      </w:r>
      <w:r>
        <w:rPr>
          <w:rFonts w:hint="eastAsia" w:ascii="仿宋" w:hAnsi="仿宋" w:eastAsia="仿宋" w:cs="仿宋"/>
          <w:color w:val="auto"/>
          <w:sz w:val="28"/>
          <w:szCs w:val="28"/>
          <w:highlight w:val="none"/>
          <w:shd w:val="clear" w:color="auto" w:fill="auto"/>
        </w:rPr>
        <w:t>万元，按项目支付。项目审计服务费用标准执行《中新苏滁高新技术产业开发区建设项目审计服务费用标准》（苏滁财发〔2023〕13号）</w:t>
      </w:r>
    </w:p>
    <w:p w14:paraId="5AC0B88C">
      <w:pPr>
        <w:ind w:firstLine="560" w:firstLineChars="20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采购需求：</w:t>
      </w:r>
      <w:r>
        <w:rPr>
          <w:rFonts w:hint="eastAsia" w:ascii="仿宋" w:hAnsi="仿宋" w:eastAsia="仿宋" w:cs="仿宋"/>
          <w:color w:val="auto"/>
          <w:sz w:val="28"/>
          <w:szCs w:val="28"/>
          <w:highlight w:val="none"/>
          <w:shd w:val="clear" w:color="auto" w:fill="auto"/>
          <w:lang w:val="en-US" w:eastAsia="zh-CN"/>
        </w:rPr>
        <w:t>跟踪审计服务（施工内容</w:t>
      </w:r>
      <w:r>
        <w:rPr>
          <w:rFonts w:hint="eastAsia" w:ascii="仿宋" w:hAnsi="仿宋" w:eastAsia="仿宋" w:cs="仿宋"/>
          <w:color w:val="auto"/>
          <w:sz w:val="28"/>
          <w:szCs w:val="28"/>
          <w:highlight w:val="none"/>
          <w:shd w:val="clear" w:color="auto" w:fill="auto"/>
        </w:rPr>
        <w:t>包含建筑、结构、装饰、电气等施工图纸所包含的全部内容，总建筑面积约7795平方米，项目投资额1600万元</w:t>
      </w:r>
      <w:r>
        <w:rPr>
          <w:rFonts w:hint="eastAsia" w:ascii="仿宋" w:hAnsi="仿宋" w:eastAsia="仿宋" w:cs="仿宋"/>
          <w:color w:val="auto"/>
          <w:sz w:val="28"/>
          <w:szCs w:val="28"/>
          <w:highlight w:val="none"/>
          <w:shd w:val="clear" w:color="auto" w:fill="auto"/>
          <w:lang w:eastAsia="zh-CN"/>
        </w:rPr>
        <w:t>。</w:t>
      </w:r>
      <w:r>
        <w:rPr>
          <w:rFonts w:hint="eastAsia" w:ascii="仿宋" w:hAnsi="仿宋" w:eastAsia="仿宋" w:cs="仿宋"/>
          <w:color w:val="auto"/>
          <w:sz w:val="28"/>
          <w:szCs w:val="28"/>
          <w:highlight w:val="none"/>
          <w:shd w:val="clear" w:color="auto" w:fill="auto"/>
          <w:lang w:val="en-US" w:eastAsia="zh-CN"/>
        </w:rPr>
        <w:t>）</w:t>
      </w:r>
    </w:p>
    <w:p w14:paraId="7428063B">
      <w:pPr>
        <w:ind w:firstLine="560" w:firstLineChars="20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合同履行期限：详见合同条款</w:t>
      </w:r>
    </w:p>
    <w:p w14:paraId="022551FF">
      <w:pPr>
        <w:ind w:firstLine="560" w:firstLineChars="200"/>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本项目</w:t>
      </w:r>
      <w:r>
        <w:rPr>
          <w:rFonts w:hint="eastAsia" w:ascii="仿宋" w:hAnsi="仿宋" w:eastAsia="仿宋" w:cs="仿宋"/>
          <w:color w:val="auto"/>
          <w:sz w:val="28"/>
          <w:szCs w:val="28"/>
          <w:highlight w:val="none"/>
          <w:shd w:val="clear" w:color="auto" w:fill="auto"/>
          <w:lang w:val="en-US" w:eastAsia="zh-CN"/>
        </w:rPr>
        <w:t>不</w:t>
      </w:r>
      <w:r>
        <w:rPr>
          <w:rFonts w:hint="eastAsia" w:ascii="仿宋" w:hAnsi="仿宋" w:eastAsia="仿宋" w:cs="仿宋"/>
          <w:color w:val="auto"/>
          <w:sz w:val="28"/>
          <w:szCs w:val="28"/>
          <w:highlight w:val="none"/>
          <w:shd w:val="clear" w:color="auto" w:fill="auto"/>
        </w:rPr>
        <w:t>接受联合体投标</w:t>
      </w:r>
      <w:r>
        <w:rPr>
          <w:rFonts w:hint="eastAsia" w:ascii="仿宋" w:hAnsi="仿宋" w:eastAsia="仿宋" w:cs="仿宋"/>
          <w:color w:val="auto"/>
          <w:sz w:val="28"/>
          <w:szCs w:val="28"/>
          <w:highlight w:val="none"/>
          <w:shd w:val="clear" w:color="auto" w:fill="auto"/>
          <w:lang w:eastAsia="zh-CN"/>
        </w:rPr>
        <w:t>。</w:t>
      </w:r>
    </w:p>
    <w:p w14:paraId="4CBFF0CC">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bookmarkStart w:id="3" w:name="_Toc35393622"/>
      <w:bookmarkStart w:id="4" w:name="_Toc28359003"/>
      <w:bookmarkStart w:id="5" w:name="_Toc28359080"/>
      <w:bookmarkStart w:id="6" w:name="_Toc35393791"/>
      <w:r>
        <w:rPr>
          <w:rFonts w:hint="eastAsia" w:ascii="黑体" w:hAnsi="黑体" w:eastAsia="黑体" w:cs="黑体"/>
          <w:color w:val="auto"/>
          <w:sz w:val="28"/>
          <w:szCs w:val="28"/>
          <w:highlight w:val="none"/>
        </w:rPr>
        <w:t>二、申请人的资格要求</w:t>
      </w:r>
      <w:bookmarkEnd w:id="3"/>
      <w:bookmarkEnd w:id="4"/>
      <w:bookmarkEnd w:id="5"/>
      <w:bookmarkEnd w:id="6"/>
    </w:p>
    <w:p w14:paraId="3AA719F6">
      <w:pPr>
        <w:ind w:right="-313" w:rightChars="-149" w:firstLine="560" w:firstLineChars="200"/>
        <w:rPr>
          <w:rFonts w:hint="eastAsia" w:ascii="仿宋" w:hAnsi="仿宋" w:eastAsia="仿宋"/>
          <w:color w:val="auto"/>
          <w:sz w:val="28"/>
          <w:szCs w:val="28"/>
          <w:highlight w:val="none"/>
          <w:lang w:val="en-US" w:eastAsia="zh-CN"/>
        </w:rPr>
      </w:pPr>
      <w:bookmarkStart w:id="7" w:name="_Toc28359081"/>
      <w:bookmarkStart w:id="8" w:name="_Toc28359004"/>
      <w:bookmarkStart w:id="9" w:name="_Toc35393792"/>
      <w:bookmarkStart w:id="10" w:name="_Toc35393623"/>
      <w:r>
        <w:rPr>
          <w:rFonts w:hint="eastAsia" w:ascii="仿宋" w:hAnsi="仿宋" w:eastAsia="仿宋"/>
          <w:color w:val="auto"/>
          <w:sz w:val="28"/>
          <w:szCs w:val="28"/>
          <w:highlight w:val="none"/>
          <w:lang w:val="en-US" w:eastAsia="zh-CN"/>
        </w:rPr>
        <w:t>1.企业要求：具有独立承担民事责任能力并有相应服务能力的企业；</w:t>
      </w:r>
    </w:p>
    <w:p w14:paraId="67A16787">
      <w:pPr>
        <w:pStyle w:val="28"/>
        <w:ind w:right="-199" w:rightChars="-95" w:firstLine="56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2.项目负责人要求：投标人拟派的项目负责人必须具有中华人民共和国住房和城乡建设部颁发且在本单位注册的一级造价工程师注册证书（或原注册造价工程师）；</w:t>
      </w:r>
    </w:p>
    <w:p w14:paraId="3C49B490">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7"/>
      <w:bookmarkEnd w:id="8"/>
      <w:bookmarkEnd w:id="9"/>
      <w:bookmarkEnd w:id="10"/>
    </w:p>
    <w:p w14:paraId="5944036F">
      <w:pPr>
        <w:ind w:firstLine="540"/>
        <w:rPr>
          <w:rFonts w:hint="eastAsia" w:ascii="仿宋" w:hAnsi="仿宋" w:eastAsia="仿宋" w:cs="宋体"/>
          <w:iCs/>
          <w:color w:val="auto"/>
          <w:sz w:val="28"/>
          <w:szCs w:val="28"/>
          <w:highlight w:val="none"/>
          <w:lang w:eastAsia="zh-CN"/>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3</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11</w:t>
      </w:r>
      <w:r>
        <w:rPr>
          <w:rFonts w:hint="eastAsia" w:ascii="仿宋" w:hAnsi="仿宋" w:eastAsia="仿宋" w:cs="宋体"/>
          <w:color w:val="auto"/>
          <w:sz w:val="28"/>
          <w:szCs w:val="28"/>
          <w:highlight w:val="none"/>
          <w:u w:val="single"/>
        </w:rPr>
        <w:t>日</w:t>
      </w:r>
    </w:p>
    <w:p w14:paraId="0997B67D">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1EDDFFB2">
      <w:pPr>
        <w:ind w:firstLine="54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43121A92">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bookmarkStart w:id="11" w:name="_Toc28359082"/>
      <w:bookmarkStart w:id="12" w:name="_Toc28359005"/>
      <w:bookmarkStart w:id="13" w:name="_Toc35393624"/>
      <w:bookmarkStart w:id="14" w:name="_Toc35393793"/>
      <w:r>
        <w:rPr>
          <w:rFonts w:hint="eastAsia" w:ascii="黑体" w:hAnsi="黑体" w:eastAsia="黑体" w:cs="黑体"/>
          <w:color w:val="auto"/>
          <w:sz w:val="28"/>
          <w:szCs w:val="28"/>
          <w:highlight w:val="none"/>
        </w:rPr>
        <w:t>四、提交投标文件</w:t>
      </w:r>
      <w:bookmarkEnd w:id="11"/>
      <w:bookmarkEnd w:id="12"/>
      <w:r>
        <w:rPr>
          <w:rFonts w:hint="eastAsia" w:ascii="黑体" w:hAnsi="黑体" w:eastAsia="黑体" w:cs="黑体"/>
          <w:color w:val="auto"/>
          <w:sz w:val="28"/>
          <w:szCs w:val="28"/>
          <w:highlight w:val="none"/>
        </w:rPr>
        <w:t>截止时间、开标时间和地点</w:t>
      </w:r>
      <w:bookmarkEnd w:id="13"/>
      <w:bookmarkEnd w:id="14"/>
    </w:p>
    <w:p w14:paraId="3B2694F0">
      <w:pPr>
        <w:ind w:firstLine="560" w:firstLineChars="200"/>
        <w:rPr>
          <w:rFonts w:hint="eastAsia" w:ascii="仿宋" w:hAnsi="仿宋" w:eastAsia="仿宋"/>
          <w:bCs/>
          <w:iCs/>
          <w:color w:val="auto"/>
          <w:sz w:val="28"/>
          <w:szCs w:val="28"/>
          <w:highlight w:val="none"/>
          <w:lang w:eastAsia="zh-CN"/>
        </w:rPr>
      </w:pPr>
      <w:r>
        <w:rPr>
          <w:rFonts w:hint="eastAsia" w:ascii="仿宋" w:hAnsi="仿宋" w:eastAsia="仿宋"/>
          <w:bCs/>
          <w:color w:val="auto"/>
          <w:sz w:val="28"/>
          <w:szCs w:val="28"/>
          <w:highlight w:val="none"/>
          <w:u w:val="none"/>
          <w:lang w:val="en-US" w:eastAsia="zh-CN"/>
        </w:rPr>
        <w:t>时间：</w:t>
      </w:r>
      <w:r>
        <w:rPr>
          <w:rFonts w:hint="eastAsia" w:ascii="仿宋" w:hAnsi="仿宋" w:eastAsia="仿宋"/>
          <w:bCs/>
          <w:color w:val="auto"/>
          <w:sz w:val="28"/>
          <w:szCs w:val="28"/>
          <w:highlight w:val="none"/>
          <w:u w:val="none"/>
        </w:rPr>
        <w:t>202</w:t>
      </w:r>
      <w:r>
        <w:rPr>
          <w:rFonts w:hint="eastAsia" w:ascii="仿宋" w:hAnsi="仿宋" w:eastAsia="仿宋"/>
          <w:bCs/>
          <w:color w:val="auto"/>
          <w:sz w:val="28"/>
          <w:szCs w:val="28"/>
          <w:highlight w:val="none"/>
          <w:u w:val="none"/>
          <w:lang w:val="en-US" w:eastAsia="zh-CN"/>
        </w:rPr>
        <w:t>6</w:t>
      </w:r>
      <w:r>
        <w:rPr>
          <w:rFonts w:hint="eastAsia" w:ascii="仿宋" w:hAnsi="仿宋" w:eastAsia="仿宋"/>
          <w:bCs/>
          <w:color w:val="auto"/>
          <w:sz w:val="28"/>
          <w:szCs w:val="28"/>
          <w:highlight w:val="none"/>
          <w:u w:val="none"/>
        </w:rPr>
        <w:t>年</w:t>
      </w:r>
      <w:r>
        <w:rPr>
          <w:rFonts w:hint="eastAsia" w:ascii="仿宋" w:hAnsi="仿宋" w:eastAsia="仿宋"/>
          <w:bCs/>
          <w:color w:val="auto"/>
          <w:sz w:val="28"/>
          <w:szCs w:val="28"/>
          <w:highlight w:val="none"/>
          <w:u w:val="none"/>
          <w:lang w:val="en-US" w:eastAsia="zh-CN"/>
        </w:rPr>
        <w:t>8</w:t>
      </w:r>
      <w:r>
        <w:rPr>
          <w:rFonts w:hint="eastAsia" w:ascii="仿宋" w:hAnsi="仿宋" w:eastAsia="仿宋"/>
          <w:bCs/>
          <w:color w:val="auto"/>
          <w:sz w:val="28"/>
          <w:szCs w:val="28"/>
          <w:highlight w:val="none"/>
          <w:u w:val="none"/>
        </w:rPr>
        <w:t>月</w:t>
      </w:r>
      <w:r>
        <w:rPr>
          <w:rFonts w:hint="eastAsia" w:ascii="仿宋" w:hAnsi="仿宋" w:eastAsia="仿宋"/>
          <w:bCs/>
          <w:color w:val="auto"/>
          <w:sz w:val="28"/>
          <w:szCs w:val="28"/>
          <w:highlight w:val="none"/>
          <w:u w:val="none"/>
          <w:lang w:val="en-US" w:eastAsia="zh-CN"/>
        </w:rPr>
        <w:t>11</w:t>
      </w:r>
      <w:r>
        <w:rPr>
          <w:rFonts w:hint="eastAsia" w:ascii="仿宋" w:hAnsi="仿宋" w:eastAsia="仿宋"/>
          <w:bCs/>
          <w:color w:val="auto"/>
          <w:sz w:val="28"/>
          <w:szCs w:val="28"/>
          <w:highlight w:val="none"/>
          <w:u w:val="none"/>
        </w:rPr>
        <w:t>日</w:t>
      </w:r>
      <w:r>
        <w:rPr>
          <w:rFonts w:hint="eastAsia" w:ascii="仿宋" w:hAnsi="仿宋" w:eastAsia="仿宋"/>
          <w:bCs/>
          <w:color w:val="auto"/>
          <w:sz w:val="28"/>
          <w:szCs w:val="28"/>
          <w:highlight w:val="none"/>
          <w:u w:val="none"/>
          <w:lang w:val="en-US" w:eastAsia="zh-CN"/>
        </w:rPr>
        <w:t>9</w:t>
      </w:r>
      <w:r>
        <w:rPr>
          <w:rFonts w:hint="eastAsia" w:ascii="仿宋" w:hAnsi="仿宋" w:eastAsia="仿宋"/>
          <w:bCs/>
          <w:color w:val="auto"/>
          <w:sz w:val="28"/>
          <w:szCs w:val="28"/>
          <w:highlight w:val="none"/>
          <w:u w:val="none"/>
        </w:rPr>
        <w:t>点</w:t>
      </w:r>
      <w:r>
        <w:rPr>
          <w:rFonts w:hint="eastAsia" w:ascii="仿宋" w:hAnsi="仿宋" w:eastAsia="仿宋"/>
          <w:bCs/>
          <w:color w:val="auto"/>
          <w:sz w:val="28"/>
          <w:szCs w:val="28"/>
          <w:highlight w:val="none"/>
          <w:u w:val="none"/>
          <w:lang w:val="en-US" w:eastAsia="zh-CN"/>
        </w:rPr>
        <w:t>00</w:t>
      </w:r>
      <w:r>
        <w:rPr>
          <w:rFonts w:hint="eastAsia" w:ascii="仿宋" w:hAnsi="仿宋" w:eastAsia="仿宋"/>
          <w:bCs/>
          <w:color w:val="auto"/>
          <w:sz w:val="28"/>
          <w:szCs w:val="28"/>
          <w:highlight w:val="none"/>
          <w:u w:val="none"/>
        </w:rPr>
        <w:t>分</w:t>
      </w:r>
      <w:r>
        <w:rPr>
          <w:rFonts w:hint="eastAsia" w:ascii="仿宋" w:hAnsi="仿宋" w:eastAsia="仿宋"/>
          <w:bCs/>
          <w:color w:val="auto"/>
          <w:sz w:val="28"/>
          <w:szCs w:val="28"/>
          <w:highlight w:val="none"/>
        </w:rPr>
        <w:t>（北京时间）</w:t>
      </w:r>
    </w:p>
    <w:p w14:paraId="72EE8B47">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地点：新点电子交易平台【滁州专区】</w:t>
      </w:r>
    </w:p>
    <w:p w14:paraId="25B4CBFD">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五</w:t>
      </w:r>
      <w:r>
        <w:rPr>
          <w:rFonts w:hint="eastAsia" w:ascii="黑体" w:hAnsi="黑体" w:eastAsia="黑体" w:cs="黑体"/>
          <w:color w:val="auto"/>
          <w:sz w:val="28"/>
          <w:szCs w:val="28"/>
          <w:highlight w:val="none"/>
        </w:rPr>
        <w:t>、投标保证金金额及缴纳账户</w:t>
      </w:r>
    </w:p>
    <w:p w14:paraId="1424E71A">
      <w:pPr>
        <w:pStyle w:val="127"/>
        <w:rPr>
          <w:color w:val="auto"/>
          <w:highlight w:val="none"/>
        </w:rPr>
      </w:pPr>
      <w:bookmarkStart w:id="15" w:name="_Toc35393626"/>
      <w:bookmarkStart w:id="16" w:name="_Toc35393795"/>
      <w:r>
        <w:rPr>
          <w:color w:val="auto"/>
          <w:highlight w:val="none"/>
        </w:rPr>
        <w:t>窗体顶端</w:t>
      </w:r>
    </w:p>
    <w:p w14:paraId="5F4E68C1">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不要求投标人提交投标保证金。</w:t>
      </w:r>
    </w:p>
    <w:p w14:paraId="0DAC3816">
      <w:pPr>
        <w:pStyle w:val="128"/>
        <w:rPr>
          <w:color w:val="auto"/>
          <w:highlight w:val="none"/>
        </w:rPr>
      </w:pPr>
      <w:r>
        <w:rPr>
          <w:color w:val="auto"/>
          <w:highlight w:val="none"/>
        </w:rPr>
        <w:t>窗体底端</w:t>
      </w:r>
    </w:p>
    <w:bookmarkEnd w:id="15"/>
    <w:bookmarkEnd w:id="16"/>
    <w:p w14:paraId="054AED32">
      <w:pPr>
        <w:keepNext/>
        <w:keepLines/>
        <w:pageBreakBefore w:val="0"/>
        <w:widowControl w:val="0"/>
        <w:kinsoku/>
        <w:wordWrap/>
        <w:overflowPunct/>
        <w:topLinePunct w:val="0"/>
        <w:autoSpaceDE/>
        <w:autoSpaceDN/>
        <w:bidi w:val="0"/>
        <w:adjustRightInd/>
        <w:snapToGrid/>
        <w:spacing w:before="160" w:after="160"/>
        <w:textAlignment w:val="auto"/>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六、其他补充事宜</w:t>
      </w:r>
    </w:p>
    <w:p w14:paraId="5C37F21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1</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rPr>
        <w:t>投标人从滁州市城投工程咨询管理有限公司（https://www.czctgczx.com/）下载。投标人自行承担因未按要求获取招标文件导致无法上传电子投标文件的风险。</w:t>
      </w:r>
    </w:p>
    <w:p w14:paraId="2CDB365A">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5C43038B">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投标人登录新点电子交易平台【滁州专区】获取询价文件及其它资料（含澄清和补充说明等）。如在招标文件获取过程中遇到系统问题，请拨打技术支持服务热线0512-58151515（工作日）或者网站首页在线客服。</w:t>
      </w:r>
    </w:p>
    <w:p w14:paraId="1EF29862">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2.招标文件及相关资料售价：人民币0元/套。</w:t>
      </w:r>
    </w:p>
    <w:p w14:paraId="7862F86D">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00D1CC19">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4.本项目采用不见面开标，投标人登录滁州市城投工程咨询有限公司不见面开标系统参与网上开标（网址：http://js.etrading.cn/EpointBidOpening/bidopeninghallaction/hall/login）。</w:t>
      </w:r>
    </w:p>
    <w:p w14:paraId="22D42C1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投标人应在投标截止时间之前，登录新点电子交易平台【滁州专区】上传投标文件</w:t>
      </w:r>
    </w:p>
    <w:p w14:paraId="625CCB28">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5.本项目仅接受加密电子投标文件投标人在投标截止时间前通过新点电子交易平台后在【滁州专区】</w:t>
      </w:r>
    </w:p>
    <w:p w14:paraId="712DCAF3">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（https://www.etrading.cn/BREpointSSO/login/oauth2login?regioncode=DQ_ChuZhou）交易系统递交电子投标文件。</w:t>
      </w:r>
    </w:p>
    <w:p w14:paraId="7570B95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6.</w:t>
      </w:r>
      <w:r>
        <w:rPr>
          <w:rFonts w:hint="eastAsia" w:ascii="仿宋" w:hAnsi="仿宋" w:eastAsia="仿宋" w:cs="Times New Roman"/>
          <w:color w:val="auto"/>
          <w:sz w:val="28"/>
          <w:szCs w:val="28"/>
          <w:highlight w:val="none"/>
        </w:rPr>
        <w:t>投标软件制作工具下载：</w:t>
      </w:r>
    </w:p>
    <w:p w14:paraId="6B421E99">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https://download.bqpoint.com/download/downloaddetail.html?SourceFrom=Ztb&amp;ZtbSoftXiaQuCode=0128&amp;ZtbSoftType=tballinclusive</w:t>
      </w:r>
    </w:p>
    <w:p w14:paraId="3D3E748B">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七</w:t>
      </w:r>
      <w:r>
        <w:rPr>
          <w:rFonts w:hint="eastAsia" w:ascii="黑体" w:hAnsi="黑体" w:eastAsia="黑体" w:cs="黑体"/>
          <w:color w:val="auto"/>
          <w:sz w:val="28"/>
          <w:szCs w:val="28"/>
          <w:highlight w:val="none"/>
        </w:rPr>
        <w:t>、对本次招标提出询问，请按以下方式联系</w:t>
      </w:r>
    </w:p>
    <w:p w14:paraId="7307E47C">
      <w:pPr>
        <w:pStyle w:val="3"/>
        <w:numPr>
          <w:ilvl w:val="0"/>
          <w:numId w:val="0"/>
        </w:numPr>
        <w:adjustRightIn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1.招标人信息</w:t>
      </w:r>
    </w:p>
    <w:p w14:paraId="604ADC35">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lang w:eastAsia="zh-CN"/>
        </w:rPr>
        <w:t xml:space="preserve">中新苏滁高新技术产业开发区管理委员会 </w:t>
      </w:r>
    </w:p>
    <w:p w14:paraId="4191A14B">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滁州市徽州南路1999号</w:t>
      </w:r>
    </w:p>
    <w:p w14:paraId="22A045A5">
      <w:pPr>
        <w:ind w:firstLine="560" w:firstLineChars="200"/>
        <w:jc w:val="left"/>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lang w:val="en-US" w:eastAsia="zh-CN"/>
        </w:rPr>
        <w:t>0550-3755706</w:t>
      </w:r>
    </w:p>
    <w:p w14:paraId="46F6CDF9">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6503ED29">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6AB9D21A">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335066CF">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787AA301">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70DF41EB">
      <w:pPr>
        <w:pStyle w:val="17"/>
        <w:ind w:left="-199" w:leftChars="-95" w:firstLine="840" w:firstLineChars="300"/>
        <w:jc w:val="left"/>
        <w:rPr>
          <w:rFonts w:hint="eastAsia" w:ascii="仿宋" w:hAnsi="仿宋" w:eastAsia="仿宋" w:cs="仿宋"/>
          <w:color w:val="auto"/>
          <w:sz w:val="28"/>
          <w:szCs w:val="28"/>
          <w:highlight w:val="none"/>
          <w:u w:val="single" w:color="auto"/>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single" w:color="auto"/>
          <w:lang w:val="en-US" w:eastAsia="zh-CN"/>
        </w:rPr>
        <w:t>张工、</w:t>
      </w:r>
      <w:r>
        <w:rPr>
          <w:rFonts w:hint="eastAsia" w:ascii="仿宋" w:hAnsi="仿宋" w:eastAsia="仿宋" w:cs="仿宋"/>
          <w:color w:val="auto"/>
          <w:sz w:val="28"/>
          <w:szCs w:val="28"/>
          <w:highlight w:val="none"/>
          <w:u w:val="single" w:color="auto"/>
        </w:rPr>
        <w:t>杨韦</w:t>
      </w:r>
    </w:p>
    <w:p w14:paraId="42608EA6">
      <w:pPr>
        <w:ind w:left="-199" w:leftChars="-95" w:firstLine="840" w:firstLineChars="300"/>
        <w:jc w:val="left"/>
        <w:rPr>
          <w:rFonts w:ascii="仿宋" w:hAnsi="仿宋" w:eastAsia="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single"/>
          <w:lang w:val="en-US" w:eastAsia="zh-CN"/>
        </w:rPr>
        <w:t>0550-3755706</w:t>
      </w:r>
      <w:r>
        <w:rPr>
          <w:rFonts w:hint="eastAsia" w:ascii="仿宋" w:hAnsi="仿宋" w:eastAsia="仿宋" w:cs="仿宋"/>
          <w:color w:val="auto"/>
          <w:sz w:val="28"/>
          <w:szCs w:val="28"/>
          <w:highlight w:val="none"/>
          <w:u w:val="single" w:color="auto"/>
          <w:lang w:val="en-US" w:eastAsia="zh-CN"/>
        </w:rPr>
        <w:t>、</w:t>
      </w:r>
      <w:r>
        <w:rPr>
          <w:rFonts w:hint="eastAsia" w:ascii="仿宋" w:hAnsi="仿宋" w:eastAsia="仿宋" w:cs="仿宋"/>
          <w:color w:val="auto"/>
          <w:sz w:val="28"/>
          <w:szCs w:val="28"/>
          <w:highlight w:val="none"/>
          <w:u w:val="single" w:color="auto"/>
        </w:rPr>
        <w:t>0</w:t>
      </w:r>
      <w:r>
        <w:rPr>
          <w:rFonts w:hint="eastAsia" w:ascii="仿宋" w:hAnsi="仿宋" w:eastAsia="仿宋" w:cs="仿宋"/>
          <w:color w:val="auto"/>
          <w:sz w:val="28"/>
          <w:szCs w:val="28"/>
          <w:highlight w:val="none"/>
          <w:u w:val="single"/>
        </w:rPr>
        <w:t xml:space="preserve">550-3519590 </w:t>
      </w:r>
    </w:p>
    <w:p w14:paraId="29FC2FC7">
      <w:pPr>
        <w:spacing w:before="156" w:beforeLines="50" w:after="156" w:afterLines="50"/>
        <w:ind w:firstLine="643" w:firstLineChars="200"/>
        <w:jc w:val="center"/>
        <w:outlineLvl w:val="0"/>
        <w:rPr>
          <w:rFonts w:hint="eastAsia" w:ascii="宋体"/>
          <w:b/>
          <w:color w:val="auto"/>
          <w:sz w:val="32"/>
          <w:szCs w:val="32"/>
          <w:highlight w:val="none"/>
        </w:rPr>
      </w:pPr>
      <w:r>
        <w:rPr>
          <w:rFonts w:hint="eastAsia" w:ascii="宋体"/>
          <w:b/>
          <w:color w:val="auto"/>
          <w:sz w:val="32"/>
          <w:szCs w:val="32"/>
          <w:highlight w:val="none"/>
        </w:rPr>
        <w:br w:type="page"/>
      </w:r>
      <w:r>
        <w:rPr>
          <w:rFonts w:hint="eastAsia" w:ascii="宋体"/>
          <w:b/>
          <w:color w:val="auto"/>
          <w:sz w:val="32"/>
          <w:szCs w:val="32"/>
          <w:highlight w:val="none"/>
        </w:rPr>
        <w:t>第二章 投标人须知</w:t>
      </w:r>
      <w:bookmarkEnd w:id="2"/>
    </w:p>
    <w:p w14:paraId="355FA043">
      <w:pPr>
        <w:snapToGrid w:val="0"/>
        <w:spacing w:line="500" w:lineRule="exact"/>
        <w:jc w:val="center"/>
        <w:outlineLvl w:val="1"/>
        <w:rPr>
          <w:rFonts w:hint="eastAsia" w:ascii="宋体"/>
          <w:b/>
          <w:color w:val="auto"/>
          <w:sz w:val="28"/>
          <w:szCs w:val="28"/>
          <w:highlight w:val="none"/>
        </w:rPr>
      </w:pPr>
      <w:bookmarkStart w:id="17" w:name="_Toc449028865"/>
      <w:bookmarkStart w:id="18" w:name="_Toc58430314"/>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17"/>
      <w:bookmarkEnd w:id="18"/>
    </w:p>
    <w:tbl>
      <w:tblPr>
        <w:tblStyle w:val="34"/>
        <w:tblW w:w="102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1351"/>
        <w:gridCol w:w="1005"/>
        <w:gridCol w:w="6824"/>
      </w:tblGrid>
      <w:tr w14:paraId="09490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cantSplit/>
          <w:trHeight w:val="396" w:hRule="atLeast"/>
          <w:jc w:val="center"/>
        </w:trPr>
        <w:tc>
          <w:tcPr>
            <w:tcW w:w="1020" w:type="dxa"/>
            <w:noWrap w:val="0"/>
            <w:vAlign w:val="center"/>
          </w:tcPr>
          <w:p w14:paraId="62DF8FF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356" w:type="dxa"/>
            <w:gridSpan w:val="2"/>
            <w:noWrap w:val="0"/>
            <w:vAlign w:val="center"/>
          </w:tcPr>
          <w:p w14:paraId="1626C368">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824" w:type="dxa"/>
            <w:noWrap w:val="0"/>
            <w:vAlign w:val="center"/>
          </w:tcPr>
          <w:p w14:paraId="25E8DE9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F3E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1" w:hRule="atLeast"/>
          <w:jc w:val="center"/>
        </w:trPr>
        <w:tc>
          <w:tcPr>
            <w:tcW w:w="1020" w:type="dxa"/>
            <w:noWrap w:val="0"/>
            <w:vAlign w:val="center"/>
          </w:tcPr>
          <w:p w14:paraId="13A7E251">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497CC02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24" w:type="dxa"/>
            <w:noWrap w:val="0"/>
            <w:vAlign w:val="center"/>
          </w:tcPr>
          <w:p w14:paraId="230E47C3">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见招标公告</w:t>
            </w:r>
          </w:p>
        </w:tc>
      </w:tr>
      <w:tr w14:paraId="7E18C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noWrap w:val="0"/>
            <w:vAlign w:val="center"/>
          </w:tcPr>
          <w:p w14:paraId="7BDC3FD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076C073A">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6824" w:type="dxa"/>
            <w:noWrap w:val="0"/>
            <w:vAlign w:val="center"/>
          </w:tcPr>
          <w:p w14:paraId="29327E8C">
            <w:pPr>
              <w:pStyle w:val="20"/>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见招标公告</w:t>
            </w:r>
          </w:p>
        </w:tc>
      </w:tr>
      <w:tr w14:paraId="1CA3C1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1020" w:type="dxa"/>
            <w:noWrap w:val="0"/>
            <w:vAlign w:val="center"/>
          </w:tcPr>
          <w:p w14:paraId="1689B35B">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66546174">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6824" w:type="dxa"/>
            <w:noWrap w:val="0"/>
            <w:vAlign w:val="center"/>
          </w:tcPr>
          <w:p w14:paraId="49BFE41F">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rPr>
              <w:t>中新苏滁</w:t>
            </w:r>
            <w:r>
              <w:rPr>
                <w:rFonts w:hint="eastAsia" w:hAnsi="宋体" w:cs="宋体"/>
                <w:color w:val="auto"/>
                <w:sz w:val="21"/>
                <w:szCs w:val="21"/>
                <w:highlight w:val="none"/>
                <w:lang w:val="en-US" w:eastAsia="zh-CN"/>
              </w:rPr>
              <w:t>高新区内</w:t>
            </w:r>
          </w:p>
        </w:tc>
      </w:tr>
      <w:tr w14:paraId="0A4C28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jc w:val="center"/>
        </w:trPr>
        <w:tc>
          <w:tcPr>
            <w:tcW w:w="1020" w:type="dxa"/>
            <w:noWrap w:val="0"/>
            <w:vAlign w:val="center"/>
          </w:tcPr>
          <w:p w14:paraId="7266B7DD">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1CC5A0D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6824" w:type="dxa"/>
            <w:noWrap w:val="0"/>
            <w:vAlign w:val="center"/>
          </w:tcPr>
          <w:p w14:paraId="2FEDBC9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hAnsi="宋体" w:cs="宋体"/>
                <w:color w:val="auto"/>
                <w:sz w:val="21"/>
                <w:szCs w:val="21"/>
                <w:highlight w:val="none"/>
                <w:lang w:val="en-US" w:eastAsia="zh-CN"/>
              </w:rPr>
              <w:t>见招标公告</w:t>
            </w:r>
          </w:p>
        </w:tc>
      </w:tr>
      <w:tr w14:paraId="53C8D2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1020" w:type="dxa"/>
            <w:noWrap w:val="0"/>
            <w:vAlign w:val="center"/>
          </w:tcPr>
          <w:p w14:paraId="7C37C4F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7849B6B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824" w:type="dxa"/>
            <w:noWrap w:val="0"/>
            <w:vAlign w:val="center"/>
          </w:tcPr>
          <w:p w14:paraId="3EEC10F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见招标公告</w:t>
            </w:r>
          </w:p>
        </w:tc>
      </w:tr>
      <w:tr w14:paraId="358A5E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 w:hRule="atLeast"/>
          <w:jc w:val="center"/>
        </w:trPr>
        <w:tc>
          <w:tcPr>
            <w:tcW w:w="1020" w:type="dxa"/>
            <w:noWrap w:val="0"/>
            <w:vAlign w:val="center"/>
          </w:tcPr>
          <w:p w14:paraId="5B535AE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356" w:type="dxa"/>
            <w:gridSpan w:val="2"/>
            <w:noWrap w:val="0"/>
            <w:vAlign w:val="center"/>
          </w:tcPr>
          <w:p w14:paraId="43474B4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824" w:type="dxa"/>
            <w:noWrap w:val="0"/>
            <w:vAlign w:val="center"/>
          </w:tcPr>
          <w:p w14:paraId="051DE1C6">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财政</w:t>
            </w:r>
            <w:r>
              <w:rPr>
                <w:rFonts w:hint="eastAsia" w:ascii="宋体" w:hAnsi="宋体" w:eastAsia="宋体" w:cs="宋体"/>
                <w:color w:val="auto"/>
                <w:sz w:val="21"/>
                <w:szCs w:val="21"/>
                <w:highlight w:val="none"/>
                <w:lang w:val="en-US" w:eastAsia="zh-CN"/>
              </w:rPr>
              <w:t>资金</w:t>
            </w:r>
          </w:p>
        </w:tc>
      </w:tr>
      <w:tr w14:paraId="61825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020" w:type="dxa"/>
            <w:noWrap w:val="0"/>
            <w:vAlign w:val="center"/>
          </w:tcPr>
          <w:p w14:paraId="25FDD473">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356" w:type="dxa"/>
            <w:gridSpan w:val="2"/>
            <w:noWrap w:val="0"/>
            <w:vAlign w:val="center"/>
          </w:tcPr>
          <w:p w14:paraId="587006A5">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824" w:type="dxa"/>
            <w:noWrap w:val="0"/>
            <w:vAlign w:val="center"/>
          </w:tcPr>
          <w:p w14:paraId="271872F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审计费用约</w:t>
            </w:r>
            <w:r>
              <w:rPr>
                <w:rFonts w:hint="eastAsia" w:hAnsi="宋体" w:cs="宋体"/>
                <w:color w:val="auto"/>
                <w:sz w:val="21"/>
                <w:szCs w:val="21"/>
                <w:highlight w:val="none"/>
                <w:lang w:val="en-US" w:eastAsia="zh-CN"/>
              </w:rPr>
              <w:t>5.28</w:t>
            </w:r>
            <w:r>
              <w:rPr>
                <w:rFonts w:hint="default" w:ascii="宋体" w:hAnsi="宋体" w:eastAsia="宋体" w:cs="宋体"/>
                <w:color w:val="auto"/>
                <w:sz w:val="21"/>
                <w:szCs w:val="21"/>
                <w:highlight w:val="none"/>
                <w:lang w:val="en-US" w:eastAsia="zh-CN"/>
              </w:rPr>
              <w:t>万元，按项目支付。项目审计服务费用标准执行《中新苏滁高新技术产业开发区建设项目审计服务费用标准》（苏滁财发〔2023〕13号）</w:t>
            </w:r>
          </w:p>
        </w:tc>
      </w:tr>
      <w:tr w14:paraId="633F14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01C3159F">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356" w:type="dxa"/>
            <w:gridSpan w:val="2"/>
            <w:noWrap w:val="0"/>
            <w:vAlign w:val="center"/>
          </w:tcPr>
          <w:p w14:paraId="386764A9">
            <w:pPr>
              <w:pStyle w:val="17"/>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收费标准</w:t>
            </w:r>
          </w:p>
        </w:tc>
        <w:tc>
          <w:tcPr>
            <w:tcW w:w="6824" w:type="dxa"/>
            <w:noWrap w:val="0"/>
            <w:vAlign w:val="center"/>
          </w:tcPr>
          <w:p w14:paraId="1A8FFAC9">
            <w:pPr>
              <w:pStyle w:val="17"/>
              <w:keepNext w:val="0"/>
              <w:keepLines w:val="0"/>
              <w:pageBreakBefore w:val="0"/>
              <w:kinsoku/>
              <w:overflowPunct/>
              <w:topLinePunct w:val="0"/>
              <w:autoSpaceDE/>
              <w:autoSpaceDN/>
              <w:bidi w:val="0"/>
              <w:adjustRightInd/>
              <w:spacing w:line="500" w:lineRule="exact"/>
              <w:textAlignment w:val="auto"/>
              <w:rPr>
                <w:rFonts w:hint="default"/>
                <w:color w:val="auto"/>
                <w:highlight w:val="none"/>
                <w:lang w:val="en-US"/>
              </w:rPr>
            </w:pPr>
            <w:r>
              <w:rPr>
                <w:rFonts w:hint="default"/>
                <w:color w:val="auto"/>
                <w:highlight w:val="none"/>
                <w:lang w:val="en-US"/>
              </w:rPr>
              <w:t>项目审计服务费用标准执行《中新苏滁高新技术产业开发区建设项目审计服务费用标准》（苏滁财发〔2023〕13号）</w:t>
            </w:r>
          </w:p>
        </w:tc>
      </w:tr>
      <w:tr w14:paraId="60778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6CA7CFB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356" w:type="dxa"/>
            <w:gridSpan w:val="2"/>
            <w:noWrap w:val="0"/>
            <w:vAlign w:val="center"/>
          </w:tcPr>
          <w:p w14:paraId="3F08F91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824" w:type="dxa"/>
            <w:noWrap w:val="0"/>
            <w:vAlign w:val="center"/>
          </w:tcPr>
          <w:p w14:paraId="6E4D11A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color w:val="auto"/>
                <w:highlight w:val="none"/>
                <w:lang w:val="en-US" w:eastAsia="zh-CN"/>
              </w:rPr>
            </w:pPr>
            <w:r>
              <w:rPr>
                <w:rFonts w:hint="eastAsia" w:ascii="宋体" w:hAnsi="宋体" w:cs="宋体"/>
                <w:color w:val="auto"/>
                <w:szCs w:val="21"/>
                <w:highlight w:val="none"/>
              </w:rPr>
              <w:t>本次招标范围为中新苏滁高新区产业转移与职业人才基地项目-人工智能OPC社区项目跟踪审计</w:t>
            </w:r>
            <w:r>
              <w:rPr>
                <w:rFonts w:hint="eastAsia" w:ascii="宋体" w:hAnsi="宋体" w:cs="宋体"/>
                <w:color w:val="auto"/>
                <w:szCs w:val="21"/>
                <w:highlight w:val="none"/>
                <w:lang w:eastAsia="zh-CN"/>
              </w:rPr>
              <w:t>，</w:t>
            </w:r>
            <w:r>
              <w:rPr>
                <w:rFonts w:hint="eastAsia" w:ascii="宋体" w:hAnsi="宋体" w:cs="宋体"/>
                <w:color w:val="auto"/>
                <w:szCs w:val="21"/>
                <w:highlight w:val="none"/>
              </w:rPr>
              <w:t>在工程前期阶段、工程施工阶段、竣工结算阶段提供全方位的全过程跟踪审计服务及招标人要求的其他内容，包含但不限于投资估算的审核、设计概算的审核、施工图预算的审核、工程量清单的审核、最高限价的审核、提供完整的工程结算审核报告等服务。</w:t>
            </w:r>
          </w:p>
        </w:tc>
      </w:tr>
      <w:tr w14:paraId="7DCF0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1020" w:type="dxa"/>
            <w:noWrap w:val="0"/>
            <w:vAlign w:val="center"/>
          </w:tcPr>
          <w:p w14:paraId="1A0E67D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356" w:type="dxa"/>
            <w:gridSpan w:val="2"/>
            <w:noWrap w:val="0"/>
            <w:vAlign w:val="center"/>
          </w:tcPr>
          <w:p w14:paraId="56631A72">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824" w:type="dxa"/>
            <w:noWrap w:val="0"/>
            <w:vAlign w:val="center"/>
          </w:tcPr>
          <w:p w14:paraId="32FADC15">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4FD90F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20" w:type="dxa"/>
            <w:noWrap w:val="0"/>
            <w:vAlign w:val="center"/>
          </w:tcPr>
          <w:p w14:paraId="3E46C7A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356" w:type="dxa"/>
            <w:gridSpan w:val="2"/>
            <w:noWrap w:val="0"/>
            <w:vAlign w:val="center"/>
          </w:tcPr>
          <w:p w14:paraId="5BAC495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824" w:type="dxa"/>
            <w:noWrap w:val="0"/>
            <w:vAlign w:val="center"/>
          </w:tcPr>
          <w:p w14:paraId="6BA5C1C0">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公开招标</w:t>
            </w:r>
          </w:p>
        </w:tc>
      </w:tr>
      <w:tr w14:paraId="0F01E7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020" w:type="dxa"/>
            <w:noWrap w:val="0"/>
            <w:vAlign w:val="center"/>
          </w:tcPr>
          <w:p w14:paraId="3E12EAFC">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356" w:type="dxa"/>
            <w:gridSpan w:val="2"/>
            <w:noWrap w:val="0"/>
            <w:vAlign w:val="center"/>
          </w:tcPr>
          <w:p w14:paraId="576874AC">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824" w:type="dxa"/>
            <w:noWrap w:val="0"/>
            <w:vAlign w:val="center"/>
          </w:tcPr>
          <w:p w14:paraId="1A8B0DFE">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20491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190AD7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356" w:type="dxa"/>
            <w:gridSpan w:val="2"/>
            <w:noWrap w:val="0"/>
            <w:vAlign w:val="center"/>
          </w:tcPr>
          <w:p w14:paraId="37EBE7D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824" w:type="dxa"/>
            <w:noWrap w:val="0"/>
            <w:vAlign w:val="center"/>
          </w:tcPr>
          <w:p w14:paraId="08DBD487">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不组织,投标人自行踏勘现场</w:t>
            </w:r>
          </w:p>
        </w:tc>
      </w:tr>
      <w:tr w14:paraId="70B87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1EECDC1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356" w:type="dxa"/>
            <w:gridSpan w:val="2"/>
            <w:noWrap w:val="0"/>
            <w:vAlign w:val="center"/>
          </w:tcPr>
          <w:p w14:paraId="25E7B32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824" w:type="dxa"/>
            <w:noWrap w:val="0"/>
            <w:vAlign w:val="center"/>
          </w:tcPr>
          <w:p w14:paraId="6F65784E">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EE0A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1020" w:type="dxa"/>
            <w:noWrap w:val="0"/>
            <w:vAlign w:val="center"/>
          </w:tcPr>
          <w:p w14:paraId="6C5B4A3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356" w:type="dxa"/>
            <w:gridSpan w:val="2"/>
            <w:noWrap w:val="0"/>
            <w:vAlign w:val="center"/>
          </w:tcPr>
          <w:p w14:paraId="10D1D6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824" w:type="dxa"/>
            <w:noWrap w:val="0"/>
            <w:vAlign w:val="center"/>
          </w:tcPr>
          <w:p w14:paraId="3ECA2BC4">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3CDF0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1020" w:type="dxa"/>
            <w:noWrap w:val="0"/>
            <w:vAlign w:val="center"/>
          </w:tcPr>
          <w:p w14:paraId="701C422D">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356" w:type="dxa"/>
            <w:gridSpan w:val="2"/>
            <w:noWrap w:val="0"/>
            <w:vAlign w:val="center"/>
          </w:tcPr>
          <w:p w14:paraId="05BFC0F6">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6824" w:type="dxa"/>
            <w:noWrap w:val="0"/>
            <w:vAlign w:val="center"/>
          </w:tcPr>
          <w:p w14:paraId="2A8F499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1500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费用以实际发生费用为准。</w:t>
            </w:r>
          </w:p>
          <w:p w14:paraId="51FE684A">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tc>
      </w:tr>
      <w:tr w14:paraId="2FF63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0D0EB9D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w:t>
            </w:r>
          </w:p>
        </w:tc>
        <w:tc>
          <w:tcPr>
            <w:tcW w:w="2356" w:type="dxa"/>
            <w:gridSpan w:val="2"/>
            <w:noWrap w:val="0"/>
            <w:vAlign w:val="center"/>
          </w:tcPr>
          <w:p w14:paraId="4925A65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6824" w:type="dxa"/>
            <w:noWrap w:val="0"/>
            <w:vAlign w:val="center"/>
          </w:tcPr>
          <w:p w14:paraId="5393634A">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eastAsia="宋体" w:cs="宋体"/>
                <w:color w:val="auto"/>
                <w:sz w:val="21"/>
                <w:szCs w:val="21"/>
                <w:highlight w:val="none"/>
                <w:lang w:val="en-US" w:eastAsia="zh-CN"/>
              </w:rPr>
              <w:t>后，</w:t>
            </w:r>
            <w:r>
              <w:rPr>
                <w:rFonts w:hint="eastAsia" w:ascii="宋体" w:hAnsi="宋体" w:eastAsia="宋体" w:cs="宋体"/>
                <w:color w:val="auto"/>
                <w:sz w:val="21"/>
                <w:szCs w:val="21"/>
                <w:highlight w:val="none"/>
              </w:rPr>
              <w:t>以更正公告形式</w:t>
            </w:r>
            <w:r>
              <w:rPr>
                <w:rFonts w:hint="eastAsia" w:ascii="宋体" w:hAnsi="宋体" w:eastAsia="宋体" w:cs="宋体"/>
                <w:color w:val="auto"/>
                <w:sz w:val="21"/>
                <w:szCs w:val="21"/>
                <w:highlight w:val="none"/>
                <w:lang w:val="en-US" w:eastAsia="zh-CN"/>
              </w:rPr>
              <w:t>在</w:t>
            </w:r>
            <w:r>
              <w:rPr>
                <w:rFonts w:hint="eastAsia" w:ascii="宋体" w:hAnsi="宋体" w:cs="宋体"/>
                <w:color w:val="auto"/>
                <w:sz w:val="21"/>
                <w:szCs w:val="21"/>
                <w:highlight w:val="none"/>
                <w:lang w:val="en-US" w:eastAsia="zh-CN"/>
              </w:rPr>
              <w:t>中新苏滁高新技术产业开发区（https://scp.ch</w:t>
            </w:r>
            <w:bookmarkStart w:id="73" w:name="_GoBack"/>
            <w:bookmarkEnd w:id="73"/>
            <w:r>
              <w:rPr>
                <w:rFonts w:hint="eastAsia" w:ascii="宋体" w:hAnsi="宋体" w:cs="宋体"/>
                <w:color w:val="auto"/>
                <w:sz w:val="21"/>
                <w:szCs w:val="21"/>
                <w:highlight w:val="none"/>
                <w:lang w:val="en-US" w:eastAsia="zh-CN"/>
              </w:rPr>
              <w:t>uzhou.gov.cn/index.html）、滁州市城投工程咨询管理有限公司网站（https://www.czctgczx.com/）</w:t>
            </w:r>
            <w:r>
              <w:rPr>
                <w:rFonts w:hint="eastAsia" w:ascii="宋体" w:hAnsi="宋体" w:eastAsia="宋体" w:cs="宋体"/>
                <w:color w:val="auto"/>
                <w:sz w:val="21"/>
                <w:szCs w:val="21"/>
                <w:highlight w:val="none"/>
                <w:lang w:val="en-US" w:eastAsia="zh-CN"/>
              </w:rPr>
              <w:t>予以公布。</w:t>
            </w:r>
          </w:p>
        </w:tc>
      </w:tr>
      <w:tr w14:paraId="5281A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46C81365">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356" w:type="dxa"/>
            <w:gridSpan w:val="2"/>
            <w:noWrap w:val="0"/>
            <w:vAlign w:val="center"/>
          </w:tcPr>
          <w:p w14:paraId="1860036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824" w:type="dxa"/>
            <w:noWrap w:val="0"/>
            <w:vAlign w:val="center"/>
          </w:tcPr>
          <w:p w14:paraId="399376C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60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493B3B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4BC4FB0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356" w:type="dxa"/>
            <w:gridSpan w:val="2"/>
            <w:noWrap w:val="0"/>
            <w:vAlign w:val="center"/>
          </w:tcPr>
          <w:p w14:paraId="1051690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824" w:type="dxa"/>
            <w:noWrap w:val="0"/>
            <w:vAlign w:val="top"/>
          </w:tcPr>
          <w:p w14:paraId="3B55E0DA">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不收取</w:t>
            </w:r>
          </w:p>
        </w:tc>
      </w:tr>
      <w:tr w14:paraId="749D7F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5" w:hRule="atLeast"/>
          <w:jc w:val="center"/>
        </w:trPr>
        <w:tc>
          <w:tcPr>
            <w:tcW w:w="1020" w:type="dxa"/>
            <w:noWrap w:val="0"/>
            <w:vAlign w:val="center"/>
          </w:tcPr>
          <w:p w14:paraId="673B3D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2356" w:type="dxa"/>
            <w:gridSpan w:val="2"/>
            <w:noWrap w:val="0"/>
            <w:vAlign w:val="center"/>
          </w:tcPr>
          <w:p w14:paraId="6A3448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hAnsi="宋体" w:cs="宋体"/>
                <w:color w:val="auto"/>
                <w:sz w:val="21"/>
                <w:szCs w:val="21"/>
                <w:highlight w:val="none"/>
                <w:lang w:val="en-US" w:eastAsia="zh-CN"/>
              </w:rPr>
              <w:t>份数</w:t>
            </w:r>
          </w:p>
        </w:tc>
        <w:tc>
          <w:tcPr>
            <w:tcW w:w="6824" w:type="dxa"/>
            <w:noWrap w:val="0"/>
            <w:vAlign w:val="center"/>
          </w:tcPr>
          <w:p w14:paraId="6147BFCA">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加密电子投标文件供应商应在投标截止时间前通过新点电子交易平台后在【滁州专区】</w:t>
            </w:r>
          </w:p>
          <w:p w14:paraId="3995E74C">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（https://www.etrading.cn/BREpointSSO/login/oauth2login?regioncode=DQ_ChuZhou）交易系统递交电子投标文件。</w:t>
            </w:r>
          </w:p>
          <w:p w14:paraId="66A92907">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投标人中标</w:t>
            </w:r>
            <w:r>
              <w:rPr>
                <w:rFonts w:hint="eastAsia" w:ascii="宋体" w:hAnsi="宋体" w:eastAsia="宋体" w:cs="宋体"/>
                <w:color w:val="auto"/>
                <w:sz w:val="21"/>
                <w:szCs w:val="21"/>
                <w:highlight w:val="none"/>
                <w:lang w:val="en-US" w:eastAsia="zh-CN"/>
              </w:rPr>
              <w:t>后须递交与网上电子投标文件完全一致的纸质版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文件，并按要求加盖单位章；份数：正本1份，副本1份；</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领取</w:t>
            </w:r>
            <w:r>
              <w:rPr>
                <w:rFonts w:hint="eastAsia" w:ascii="宋体" w:hAnsi="宋体" w:cs="宋体"/>
                <w:color w:val="auto"/>
                <w:sz w:val="21"/>
                <w:szCs w:val="21"/>
                <w:highlight w:val="none"/>
                <w:lang w:val="en-US" w:eastAsia="zh-CN"/>
              </w:rPr>
              <w:t>中标</w:t>
            </w:r>
            <w:r>
              <w:rPr>
                <w:rFonts w:hint="eastAsia" w:ascii="宋体" w:hAnsi="宋体" w:eastAsia="宋体" w:cs="宋体"/>
                <w:color w:val="auto"/>
                <w:sz w:val="21"/>
                <w:szCs w:val="21"/>
                <w:highlight w:val="none"/>
                <w:lang w:val="en-US" w:eastAsia="zh-CN"/>
              </w:rPr>
              <w:t>通知书时，一并递交给代理机构）</w:t>
            </w:r>
          </w:p>
        </w:tc>
      </w:tr>
      <w:tr w14:paraId="01707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5FEA48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2356" w:type="dxa"/>
            <w:gridSpan w:val="2"/>
            <w:noWrap w:val="0"/>
            <w:vAlign w:val="center"/>
          </w:tcPr>
          <w:p w14:paraId="63E3E5A8">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824" w:type="dxa"/>
            <w:noWrap w:val="0"/>
            <w:vAlign w:val="center"/>
          </w:tcPr>
          <w:p w14:paraId="3FC1CA67">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投标文件须按格式文件要求签字或盖章，否则经评委会一致认定后，按照无效投标处理。</w:t>
            </w:r>
          </w:p>
        </w:tc>
      </w:tr>
      <w:tr w14:paraId="41EF6E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020" w:type="dxa"/>
            <w:noWrap w:val="0"/>
            <w:vAlign w:val="center"/>
          </w:tcPr>
          <w:p w14:paraId="512EFE0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356" w:type="dxa"/>
            <w:gridSpan w:val="2"/>
            <w:noWrap w:val="0"/>
            <w:vAlign w:val="center"/>
          </w:tcPr>
          <w:p w14:paraId="0726E870">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投标文件提交截止时间</w:t>
            </w:r>
            <w:r>
              <w:rPr>
                <w:rFonts w:hint="eastAsia" w:ascii="宋体" w:hAnsi="宋体" w:cs="宋体"/>
                <w:color w:val="auto"/>
                <w:sz w:val="21"/>
                <w:szCs w:val="21"/>
                <w:highlight w:val="none"/>
                <w:lang w:val="en-US" w:eastAsia="zh-CN"/>
              </w:rPr>
              <w:t>及地点</w:t>
            </w:r>
          </w:p>
        </w:tc>
        <w:tc>
          <w:tcPr>
            <w:tcW w:w="6824" w:type="dxa"/>
            <w:noWrap w:val="0"/>
            <w:vAlign w:val="center"/>
          </w:tcPr>
          <w:p w14:paraId="6FE98E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0139084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地点：通过新点电子交易平台后在【滁州专区】（https://www.etrading.cn/BREpointSSO/login/oauth2login?regioncode=DQ_ChuZhou）交易系统递交加密电子投标文件。</w:t>
            </w:r>
          </w:p>
        </w:tc>
      </w:tr>
      <w:tr w14:paraId="66B28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020" w:type="dxa"/>
            <w:noWrap w:val="0"/>
            <w:vAlign w:val="center"/>
          </w:tcPr>
          <w:p w14:paraId="199D89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356" w:type="dxa"/>
            <w:gridSpan w:val="2"/>
            <w:noWrap w:val="0"/>
            <w:vAlign w:val="center"/>
          </w:tcPr>
          <w:p w14:paraId="75E01BD5">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824" w:type="dxa"/>
            <w:noWrap w:val="0"/>
            <w:vAlign w:val="center"/>
          </w:tcPr>
          <w:p w14:paraId="4CEA9BF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F38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6F2EE86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p>
        </w:tc>
        <w:tc>
          <w:tcPr>
            <w:tcW w:w="2356" w:type="dxa"/>
            <w:gridSpan w:val="2"/>
            <w:noWrap w:val="0"/>
            <w:vAlign w:val="center"/>
          </w:tcPr>
          <w:p w14:paraId="4DF99FAC">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824" w:type="dxa"/>
            <w:noWrap w:val="0"/>
            <w:vAlign w:val="center"/>
          </w:tcPr>
          <w:p w14:paraId="2E7E26E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4362D4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77B4048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356" w:type="dxa"/>
            <w:gridSpan w:val="2"/>
            <w:noWrap w:val="0"/>
            <w:vAlign w:val="center"/>
          </w:tcPr>
          <w:p w14:paraId="1C2EA34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824" w:type="dxa"/>
            <w:noWrap w:val="0"/>
            <w:vAlign w:val="center"/>
          </w:tcPr>
          <w:p w14:paraId="612FECC3">
            <w:pPr>
              <w:spacing w:line="500" w:lineRule="exact"/>
              <w:jc w:val="left"/>
              <w:rPr>
                <w:rFonts w:hint="eastAsia" w:ascii="宋体" w:hAnsi="宋体" w:eastAsia="宋体" w:cs="宋体"/>
                <w:color w:val="auto"/>
                <w:sz w:val="21"/>
                <w:szCs w:val="21"/>
                <w:highlight w:val="none"/>
              </w:rPr>
            </w:pPr>
            <w:r>
              <w:rPr>
                <w:rFonts w:hint="eastAsia" w:ascii="宋体" w:hAnsi="宋体" w:cs="宋体"/>
                <w:color w:val="auto"/>
                <w:spacing w:val="-4"/>
                <w:kern w:val="0"/>
                <w:szCs w:val="21"/>
                <w:highlight w:val="none"/>
              </w:rPr>
              <w:t>解密时间：解密程序开始后</w:t>
            </w:r>
            <w:r>
              <w:rPr>
                <w:rFonts w:hint="eastAsia" w:ascii="宋体" w:hAnsi="宋体" w:cs="宋体"/>
                <w:color w:val="auto"/>
                <w:spacing w:val="-4"/>
                <w:kern w:val="0"/>
                <w:szCs w:val="21"/>
                <w:highlight w:val="none"/>
                <w:lang w:val="en-US" w:eastAsia="zh-CN"/>
              </w:rPr>
              <w:t>30</w:t>
            </w:r>
            <w:r>
              <w:rPr>
                <w:rFonts w:hint="eastAsia" w:ascii="宋体" w:hAnsi="宋体" w:cs="宋体"/>
                <w:color w:val="auto"/>
                <w:spacing w:val="-4"/>
                <w:kern w:val="0"/>
                <w:szCs w:val="21"/>
                <w:highlight w:val="none"/>
              </w:rPr>
              <w:t>分钟内（以电子交易系统解密倒计时为准），解密时间为</w:t>
            </w:r>
            <w:r>
              <w:rPr>
                <w:rFonts w:hint="eastAsia" w:ascii="宋体" w:hAnsi="宋体" w:cs="宋体"/>
                <w:b/>
                <w:bCs/>
                <w:color w:val="auto"/>
                <w:spacing w:val="-4"/>
                <w:kern w:val="0"/>
                <w:szCs w:val="21"/>
                <w:highlight w:val="none"/>
              </w:rPr>
              <w:t>202</w:t>
            </w:r>
            <w:r>
              <w:rPr>
                <w:rFonts w:hint="eastAsia" w:ascii="宋体" w:hAnsi="宋体" w:cs="宋体"/>
                <w:b/>
                <w:bCs/>
                <w:color w:val="auto"/>
                <w:spacing w:val="-4"/>
                <w:kern w:val="0"/>
                <w:szCs w:val="21"/>
                <w:highlight w:val="none"/>
                <w:lang w:val="en-US" w:eastAsia="zh-CN"/>
              </w:rPr>
              <w:t>6</w:t>
            </w:r>
            <w:r>
              <w:rPr>
                <w:rFonts w:hint="eastAsia" w:ascii="宋体" w:hAnsi="宋体" w:cs="宋体"/>
                <w:b/>
                <w:bCs/>
                <w:color w:val="auto"/>
                <w:spacing w:val="-4"/>
                <w:kern w:val="0"/>
                <w:szCs w:val="21"/>
                <w:highlight w:val="none"/>
              </w:rPr>
              <w:t>年</w:t>
            </w:r>
            <w:r>
              <w:rPr>
                <w:rFonts w:hint="eastAsia" w:ascii="宋体" w:hAnsi="宋体" w:cs="宋体"/>
                <w:b/>
                <w:bCs/>
                <w:color w:val="auto"/>
                <w:spacing w:val="-4"/>
                <w:kern w:val="0"/>
                <w:szCs w:val="21"/>
                <w:highlight w:val="none"/>
                <w:lang w:val="en-US" w:eastAsia="zh-CN"/>
              </w:rPr>
              <w:t>8</w:t>
            </w:r>
            <w:r>
              <w:rPr>
                <w:rFonts w:hint="eastAsia" w:ascii="宋体" w:hAnsi="宋体" w:cs="宋体"/>
                <w:b/>
                <w:bCs/>
                <w:color w:val="auto"/>
                <w:spacing w:val="-4"/>
                <w:kern w:val="0"/>
                <w:szCs w:val="21"/>
                <w:highlight w:val="none"/>
              </w:rPr>
              <w:t>月</w:t>
            </w:r>
            <w:r>
              <w:rPr>
                <w:rFonts w:hint="eastAsia" w:ascii="宋体" w:hAnsi="宋体" w:cs="宋体"/>
                <w:b/>
                <w:bCs/>
                <w:color w:val="auto"/>
                <w:spacing w:val="-4"/>
                <w:kern w:val="0"/>
                <w:szCs w:val="21"/>
                <w:highlight w:val="none"/>
                <w:lang w:val="en-US" w:eastAsia="zh-CN"/>
              </w:rPr>
              <w:t>11</w:t>
            </w:r>
            <w:r>
              <w:rPr>
                <w:rFonts w:hint="eastAsia" w:ascii="宋体" w:hAnsi="宋体" w:cs="宋体"/>
                <w:b/>
                <w:bCs/>
                <w:color w:val="auto"/>
                <w:spacing w:val="-4"/>
                <w:kern w:val="0"/>
                <w:szCs w:val="21"/>
                <w:highlight w:val="none"/>
              </w:rPr>
              <w:t>日</w:t>
            </w:r>
            <w:r>
              <w:rPr>
                <w:rFonts w:hint="eastAsia" w:ascii="宋体" w:hAnsi="宋体" w:cs="宋体"/>
                <w:b/>
                <w:bCs/>
                <w:color w:val="auto"/>
                <w:spacing w:val="-4"/>
                <w:kern w:val="0"/>
                <w:szCs w:val="21"/>
                <w:highlight w:val="none"/>
                <w:lang w:val="en-US" w:eastAsia="zh-CN"/>
              </w:rPr>
              <w:t>9</w:t>
            </w:r>
            <w:r>
              <w:rPr>
                <w:rFonts w:hint="eastAsia" w:ascii="宋体" w:hAnsi="宋体" w:cs="宋体"/>
                <w:b/>
                <w:bCs/>
                <w:color w:val="auto"/>
                <w:spacing w:val="-4"/>
                <w:kern w:val="0"/>
                <w:szCs w:val="21"/>
                <w:highlight w:val="none"/>
              </w:rPr>
              <w:t>时</w:t>
            </w:r>
            <w:r>
              <w:rPr>
                <w:rFonts w:hint="eastAsia" w:ascii="宋体" w:hAnsi="宋体" w:cs="宋体"/>
                <w:b/>
                <w:bCs/>
                <w:color w:val="auto"/>
                <w:spacing w:val="-4"/>
                <w:kern w:val="0"/>
                <w:szCs w:val="21"/>
                <w:highlight w:val="none"/>
                <w:lang w:val="en-US" w:eastAsia="zh-CN"/>
              </w:rPr>
              <w:t>00</w:t>
            </w:r>
            <w:r>
              <w:rPr>
                <w:rFonts w:hint="eastAsia" w:ascii="宋体" w:hAnsi="宋体" w:cs="宋体"/>
                <w:b/>
                <w:bCs/>
                <w:color w:val="auto"/>
                <w:spacing w:val="-4"/>
                <w:kern w:val="0"/>
                <w:szCs w:val="21"/>
                <w:highlight w:val="none"/>
              </w:rPr>
              <w:t>分至202</w:t>
            </w:r>
            <w:r>
              <w:rPr>
                <w:rFonts w:hint="eastAsia" w:ascii="宋体" w:hAnsi="宋体" w:cs="宋体"/>
                <w:b/>
                <w:bCs/>
                <w:color w:val="auto"/>
                <w:spacing w:val="-4"/>
                <w:kern w:val="0"/>
                <w:szCs w:val="21"/>
                <w:highlight w:val="none"/>
                <w:lang w:val="en-US" w:eastAsia="zh-CN"/>
              </w:rPr>
              <w:t>6</w:t>
            </w:r>
            <w:r>
              <w:rPr>
                <w:rFonts w:hint="eastAsia" w:ascii="宋体" w:hAnsi="宋体" w:cs="宋体"/>
                <w:b/>
                <w:bCs/>
                <w:color w:val="auto"/>
                <w:spacing w:val="-4"/>
                <w:kern w:val="0"/>
                <w:szCs w:val="21"/>
                <w:highlight w:val="none"/>
              </w:rPr>
              <w:t>年</w:t>
            </w:r>
            <w:r>
              <w:rPr>
                <w:rFonts w:hint="eastAsia" w:ascii="宋体" w:hAnsi="宋体" w:cs="宋体"/>
                <w:b/>
                <w:bCs/>
                <w:color w:val="auto"/>
                <w:spacing w:val="-4"/>
                <w:kern w:val="0"/>
                <w:szCs w:val="21"/>
                <w:highlight w:val="none"/>
                <w:lang w:val="en-US" w:eastAsia="zh-CN"/>
              </w:rPr>
              <w:t>8</w:t>
            </w:r>
            <w:r>
              <w:rPr>
                <w:rFonts w:hint="eastAsia" w:ascii="宋体" w:hAnsi="宋体" w:cs="宋体"/>
                <w:b/>
                <w:bCs/>
                <w:color w:val="auto"/>
                <w:spacing w:val="-4"/>
                <w:kern w:val="0"/>
                <w:szCs w:val="21"/>
                <w:highlight w:val="none"/>
              </w:rPr>
              <w:t>月</w:t>
            </w:r>
            <w:r>
              <w:rPr>
                <w:rFonts w:hint="eastAsia" w:ascii="宋体" w:hAnsi="宋体" w:cs="宋体"/>
                <w:b/>
                <w:bCs/>
                <w:color w:val="auto"/>
                <w:spacing w:val="-4"/>
                <w:kern w:val="0"/>
                <w:szCs w:val="21"/>
                <w:highlight w:val="none"/>
                <w:lang w:val="en-US" w:eastAsia="zh-CN"/>
              </w:rPr>
              <w:t>11</w:t>
            </w:r>
            <w:r>
              <w:rPr>
                <w:rFonts w:hint="eastAsia" w:ascii="宋体" w:hAnsi="宋体" w:cs="宋体"/>
                <w:b/>
                <w:bCs/>
                <w:color w:val="auto"/>
                <w:spacing w:val="-4"/>
                <w:kern w:val="0"/>
                <w:szCs w:val="21"/>
                <w:highlight w:val="none"/>
              </w:rPr>
              <w:t>日</w:t>
            </w:r>
            <w:r>
              <w:rPr>
                <w:rFonts w:hint="eastAsia" w:ascii="宋体" w:hAnsi="宋体" w:cs="宋体"/>
                <w:b/>
                <w:bCs/>
                <w:color w:val="auto"/>
                <w:spacing w:val="-4"/>
                <w:kern w:val="0"/>
                <w:szCs w:val="21"/>
                <w:highlight w:val="none"/>
                <w:lang w:val="en-US" w:eastAsia="zh-CN"/>
              </w:rPr>
              <w:t>9</w:t>
            </w:r>
            <w:r>
              <w:rPr>
                <w:rFonts w:hint="eastAsia" w:ascii="宋体" w:hAnsi="宋体" w:cs="宋体"/>
                <w:b/>
                <w:bCs/>
                <w:color w:val="auto"/>
                <w:spacing w:val="-4"/>
                <w:kern w:val="0"/>
                <w:szCs w:val="21"/>
                <w:highlight w:val="none"/>
              </w:rPr>
              <w:t>时</w:t>
            </w:r>
            <w:r>
              <w:rPr>
                <w:rFonts w:hint="eastAsia" w:ascii="宋体" w:hAnsi="宋体" w:cs="宋体"/>
                <w:b/>
                <w:bCs/>
                <w:color w:val="auto"/>
                <w:spacing w:val="-4"/>
                <w:kern w:val="0"/>
                <w:szCs w:val="21"/>
                <w:highlight w:val="none"/>
                <w:lang w:val="en-US" w:eastAsia="zh-CN"/>
              </w:rPr>
              <w:t>30</w:t>
            </w:r>
            <w:r>
              <w:rPr>
                <w:rFonts w:hint="eastAsia" w:ascii="宋体" w:hAnsi="宋体" w:cs="宋体"/>
                <w:b/>
                <w:bCs/>
                <w:color w:val="auto"/>
                <w:spacing w:val="-4"/>
                <w:kern w:val="0"/>
                <w:szCs w:val="21"/>
                <w:highlight w:val="none"/>
              </w:rPr>
              <w:t>分。</w:t>
            </w:r>
          </w:p>
          <w:p w14:paraId="400808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先资格审查</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再</w:t>
            </w:r>
            <w:r>
              <w:rPr>
                <w:rFonts w:hint="eastAsia" w:ascii="宋体" w:hAnsi="宋体" w:eastAsia="宋体" w:cs="宋体"/>
                <w:color w:val="auto"/>
                <w:sz w:val="21"/>
                <w:szCs w:val="21"/>
                <w:highlight w:val="none"/>
                <w:lang w:val="en-US" w:eastAsia="zh-CN"/>
              </w:rPr>
              <w:t>进行</w:t>
            </w:r>
            <w:r>
              <w:rPr>
                <w:rFonts w:hint="eastAsia" w:ascii="宋体" w:hAnsi="宋体" w:cs="宋体"/>
                <w:color w:val="auto"/>
                <w:sz w:val="21"/>
                <w:szCs w:val="21"/>
                <w:highlight w:val="none"/>
                <w:lang w:val="en-US" w:eastAsia="zh-CN"/>
              </w:rPr>
              <w:t>综合</w:t>
            </w:r>
            <w:r>
              <w:rPr>
                <w:rFonts w:hint="eastAsia" w:ascii="宋体" w:hAnsi="宋体" w:eastAsia="宋体" w:cs="宋体"/>
                <w:color w:val="auto"/>
                <w:sz w:val="21"/>
                <w:szCs w:val="21"/>
                <w:highlight w:val="none"/>
                <w:lang w:val="en-US" w:eastAsia="zh-CN"/>
              </w:rPr>
              <w:t>评审。</w:t>
            </w:r>
          </w:p>
        </w:tc>
      </w:tr>
      <w:tr w14:paraId="7EECF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338EA4D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356" w:type="dxa"/>
            <w:gridSpan w:val="2"/>
            <w:noWrap w:val="0"/>
            <w:vAlign w:val="center"/>
          </w:tcPr>
          <w:p w14:paraId="5F1041A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824" w:type="dxa"/>
            <w:noWrap w:val="0"/>
            <w:vAlign w:val="top"/>
          </w:tcPr>
          <w:p w14:paraId="25283D63">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由招标人组建</w:t>
            </w:r>
            <w:r>
              <w:rPr>
                <w:rFonts w:hint="eastAsia" w:ascii="宋体" w:hAnsi="宋体" w:eastAsia="宋体" w:cs="宋体"/>
                <w:color w:val="auto"/>
                <w:sz w:val="21"/>
                <w:szCs w:val="21"/>
                <w:highlight w:val="none"/>
              </w:rPr>
              <w:t>。</w:t>
            </w:r>
          </w:p>
        </w:tc>
      </w:tr>
      <w:tr w14:paraId="3664FE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20" w:type="dxa"/>
            <w:noWrap w:val="0"/>
            <w:vAlign w:val="center"/>
          </w:tcPr>
          <w:p w14:paraId="39C113BE">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w:t>
            </w:r>
          </w:p>
        </w:tc>
        <w:tc>
          <w:tcPr>
            <w:tcW w:w="2356" w:type="dxa"/>
            <w:gridSpan w:val="2"/>
            <w:noWrap w:val="0"/>
            <w:vAlign w:val="center"/>
          </w:tcPr>
          <w:p w14:paraId="18DAF9A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824" w:type="dxa"/>
            <w:noWrap w:val="0"/>
            <w:vAlign w:val="center"/>
          </w:tcPr>
          <w:p w14:paraId="70B2677A">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5129A1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7AA5E14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w:t>
            </w:r>
          </w:p>
        </w:tc>
        <w:tc>
          <w:tcPr>
            <w:tcW w:w="2356" w:type="dxa"/>
            <w:gridSpan w:val="2"/>
            <w:noWrap w:val="0"/>
            <w:vAlign w:val="center"/>
          </w:tcPr>
          <w:p w14:paraId="54EDD3EF">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824" w:type="dxa"/>
            <w:noWrap w:val="0"/>
            <w:vAlign w:val="center"/>
          </w:tcPr>
          <w:p w14:paraId="7AB3A22F">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7E805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020" w:type="dxa"/>
            <w:noWrap w:val="0"/>
            <w:vAlign w:val="center"/>
          </w:tcPr>
          <w:p w14:paraId="632D810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356" w:type="dxa"/>
            <w:gridSpan w:val="2"/>
            <w:noWrap w:val="0"/>
            <w:vAlign w:val="center"/>
          </w:tcPr>
          <w:p w14:paraId="2973429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824" w:type="dxa"/>
            <w:noWrap w:val="0"/>
            <w:vAlign w:val="center"/>
          </w:tcPr>
          <w:p w14:paraId="4CD25D4B">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11FB7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21B303E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w:t>
            </w:r>
          </w:p>
        </w:tc>
        <w:tc>
          <w:tcPr>
            <w:tcW w:w="2356" w:type="dxa"/>
            <w:gridSpan w:val="2"/>
            <w:noWrap w:val="0"/>
            <w:vAlign w:val="center"/>
          </w:tcPr>
          <w:p w14:paraId="135098F0">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6824" w:type="dxa"/>
            <w:noWrap w:val="0"/>
            <w:vAlign w:val="center"/>
          </w:tcPr>
          <w:p w14:paraId="26E992C2">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如投标人对招标文件有质疑，可以于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时将疑问内容通过登录新点电子交易平台【滁州专区】线上提出异议。</w:t>
            </w:r>
            <w:r>
              <w:rPr>
                <w:rFonts w:hint="eastAsia" w:ascii="宋体" w:hAnsi="宋体" w:eastAsia="宋体" w:cs="宋体"/>
                <w:color w:val="auto"/>
                <w:sz w:val="21"/>
                <w:szCs w:val="21"/>
                <w:highlight w:val="none"/>
                <w:lang w:val="en-US" w:eastAsia="zh-CN"/>
              </w:rPr>
              <w:t xml:space="preserve">招标人不再集中召开招标答疑会；投标人自行组织勘察现场。  </w:t>
            </w:r>
          </w:p>
        </w:tc>
      </w:tr>
      <w:tr w14:paraId="59A018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08CBBC3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39.6</w:t>
            </w:r>
          </w:p>
        </w:tc>
        <w:tc>
          <w:tcPr>
            <w:tcW w:w="2356" w:type="dxa"/>
            <w:gridSpan w:val="2"/>
            <w:noWrap w:val="0"/>
            <w:vAlign w:val="center"/>
          </w:tcPr>
          <w:p w14:paraId="0940287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答复在线质疑的时间及方式</w:t>
            </w:r>
          </w:p>
        </w:tc>
        <w:tc>
          <w:tcPr>
            <w:tcW w:w="6824" w:type="dxa"/>
            <w:noWrap w:val="0"/>
            <w:vAlign w:val="center"/>
          </w:tcPr>
          <w:p w14:paraId="257C5C58">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同15.4“</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澄清的方式</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tc>
      </w:tr>
      <w:tr w14:paraId="616707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292441FC">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bookmarkStart w:id="19" w:name="_Toc449028866"/>
            <w:bookmarkStart w:id="20" w:name="_Toc58430315"/>
            <w:r>
              <w:rPr>
                <w:rFonts w:hint="eastAsia" w:ascii="宋体" w:hAnsi="宋体" w:cs="宋体"/>
                <w:color w:val="auto"/>
                <w:sz w:val="21"/>
                <w:szCs w:val="21"/>
                <w:highlight w:val="none"/>
                <w:lang w:val="en-US" w:eastAsia="zh-CN"/>
              </w:rPr>
              <w:t>其他要求</w:t>
            </w:r>
          </w:p>
        </w:tc>
        <w:tc>
          <w:tcPr>
            <w:tcW w:w="7829" w:type="dxa"/>
            <w:gridSpan w:val="2"/>
            <w:noWrap w:val="0"/>
            <w:vAlign w:val="center"/>
          </w:tcPr>
          <w:p w14:paraId="439E29DC">
            <w:pPr>
              <w:keepNext w:val="0"/>
              <w:keepLines w:val="0"/>
              <w:pageBreakBefore w:val="0"/>
              <w:widowControl/>
              <w:kinsoku/>
              <w:wordWrap w:val="0"/>
              <w:overflowPunct/>
              <w:autoSpaceDE/>
              <w:autoSpaceDN/>
              <w:bidi w:val="0"/>
              <w:spacing w:line="50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none" w:color="000000"/>
                <w:lang w:val="en-US" w:eastAsia="zh-CN"/>
              </w:rPr>
              <w:t>1.</w:t>
            </w:r>
            <w:r>
              <w:rPr>
                <w:rFonts w:hint="eastAsia" w:ascii="宋体" w:hAnsi="宋体" w:eastAsia="宋体" w:cs="宋体"/>
                <w:color w:val="auto"/>
                <w:kern w:val="0"/>
                <w:sz w:val="21"/>
                <w:szCs w:val="21"/>
                <w:highlight w:val="none"/>
                <w:u w:val="none" w:color="000000"/>
              </w:rPr>
              <w:t>本项目工程造价咨询成果文件质量标准：中国建设工程造价管理协会《建设工程造价咨询成果文件质量标准》（CECA/GC7-2012）的合格标准。</w:t>
            </w:r>
          </w:p>
          <w:p w14:paraId="706A0A47">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投标人需了解当地造价管理部门的相关规定和造价政策，项目负责人能熟练掌握使用安徽省常用的计量计价软件，如：新点造价软件安徽版、广联达算量软件。</w:t>
            </w:r>
          </w:p>
          <w:p w14:paraId="29AA20E9">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项目组成员（不含项目负责人）不少于</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人（至少有1名为安装专业），需具有二级注册造价工程师及以上证书。</w:t>
            </w:r>
          </w:p>
          <w:p w14:paraId="5E2C801A">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中标价格（费率）包干使用，中标人不得因“设计变更、施工标段划分调整、市场变化、规范和标准调整等一切可预见和不可预见因素”向采购人提出调整。中标价格（费率）在合同实施期间不因市场和政策变化因素而变动。</w:t>
            </w:r>
          </w:p>
          <w:p w14:paraId="3A8EC8ED">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项目负责人等相关人员均须配合相关工作，否则处以2000元/人/次违约金，直接从应支付的咨询费用中扣除。</w:t>
            </w:r>
          </w:p>
          <w:p w14:paraId="63D6BEA2">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项目的工程量清单及最高投标限价编制单位不可参加本项目投标。</w:t>
            </w:r>
          </w:p>
          <w:p w14:paraId="76C549F6">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项目的监理单位和设计单位不可参加本项目投标。</w:t>
            </w:r>
          </w:p>
          <w:p w14:paraId="5C572325">
            <w:pPr>
              <w:keepNext w:val="0"/>
              <w:keepLines w:val="0"/>
              <w:pageBreakBefore w:val="0"/>
              <w:kinsoku/>
              <w:overflowPunct/>
              <w:autoSpaceDE/>
              <w:autoSpaceDN/>
              <w:bidi w:val="0"/>
              <w:snapToGrid w:val="0"/>
              <w:spacing w:line="50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项目总承包单位的下属造价咨询企业不可参加本项目投标。</w:t>
            </w:r>
          </w:p>
        </w:tc>
      </w:tr>
      <w:tr w14:paraId="6B5253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10200" w:type="dxa"/>
            <w:gridSpan w:val="4"/>
            <w:noWrap w:val="0"/>
            <w:vAlign w:val="center"/>
          </w:tcPr>
          <w:p w14:paraId="64351C0B">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投标文件制作工具下载：https://download.bqpoint.com/download/downloaddetail.html?SourceFrom=Ztb&amp;ZtbSoftXiaQuCode=0128&amp;ZtbSoftType=tballinclusive</w:t>
            </w:r>
          </w:p>
        </w:tc>
      </w:tr>
    </w:tbl>
    <w:p w14:paraId="367AAA42">
      <w:pPr>
        <w:pageBreakBefore/>
        <w:spacing w:before="312" w:beforeLines="100" w:after="312" w:afterLines="100" w:line="440" w:lineRule="exact"/>
        <w:ind w:left="-420" w:leftChars="-200" w:firstLine="0" w:firstLineChars="0"/>
        <w:jc w:val="center"/>
        <w:outlineLvl w:val="1"/>
        <w:rPr>
          <w:rFonts w:hint="eastAsia" w:ascii="宋体" w:hAnsi="宋体" w:cs="宋体"/>
          <w:b/>
          <w:color w:val="auto"/>
          <w:sz w:val="28"/>
          <w:szCs w:val="32"/>
          <w:highlight w:val="none"/>
        </w:rPr>
      </w:pPr>
      <w:r>
        <w:rPr>
          <w:rFonts w:hint="eastAsia" w:ascii="宋体" w:hAnsi="宋体" w:cs="宋体"/>
          <w:b/>
          <w:color w:val="auto"/>
          <w:sz w:val="28"/>
          <w:szCs w:val="28"/>
          <w:highlight w:val="none"/>
        </w:rPr>
        <w:t>二、投标人须知</w:t>
      </w:r>
      <w:bookmarkEnd w:id="19"/>
      <w:bookmarkEnd w:id="20"/>
    </w:p>
    <w:p w14:paraId="71C5E524">
      <w:pPr>
        <w:spacing w:line="440" w:lineRule="exact"/>
        <w:ind w:left="-420" w:leftChars="-200" w:firstLine="0" w:firstLineChars="0"/>
        <w:jc w:val="center"/>
        <w:rPr>
          <w:rFonts w:hint="eastAsia" w:ascii="宋体" w:hAnsi="宋体" w:cs="宋体"/>
          <w:color w:val="auto"/>
          <w:sz w:val="28"/>
          <w:szCs w:val="28"/>
          <w:highlight w:val="none"/>
        </w:rPr>
      </w:pPr>
      <w:bookmarkStart w:id="21"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1"/>
    </w:p>
    <w:p w14:paraId="6751CB15">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1.项目概况</w:t>
      </w:r>
    </w:p>
    <w:p w14:paraId="2794C4BA">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1.1本次招标采购项目名称：见投标人须知前附表。</w:t>
      </w:r>
    </w:p>
    <w:p w14:paraId="5F0FC197">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项目编号：见投标人须知前附表。</w:t>
      </w:r>
    </w:p>
    <w:p w14:paraId="6C4DA563">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招 标 人：见投标人须知前附表。</w:t>
      </w:r>
    </w:p>
    <w:p w14:paraId="342C6A91">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期：见投标人须知前附表。</w:t>
      </w:r>
    </w:p>
    <w:p w14:paraId="357F27A4">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地点：见投标人须知前附表。</w:t>
      </w:r>
    </w:p>
    <w:p w14:paraId="4992A507">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1.2</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及联系人: 见投标人须知前附表。</w:t>
      </w:r>
    </w:p>
    <w:p w14:paraId="0C184FFA">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代理机构及联系人: 见投标人须知前附表。</w:t>
      </w:r>
    </w:p>
    <w:p w14:paraId="188B78C4">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1.3资金来源：见投标人须知前附表。</w:t>
      </w:r>
    </w:p>
    <w:p w14:paraId="313A93F2">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1.4本项目预算：见投标人须知前附表。</w:t>
      </w:r>
    </w:p>
    <w:p w14:paraId="4DB87F77">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1.5本项目最高限价：见投标人须知前附表。</w:t>
      </w:r>
    </w:p>
    <w:p w14:paraId="072B7BF8">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2.招标范围：</w:t>
      </w:r>
    </w:p>
    <w:p w14:paraId="1983D489">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2.1 采购内容：见投标人须知前附表。</w:t>
      </w:r>
    </w:p>
    <w:p w14:paraId="260899ED">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3.标包划分：</w:t>
      </w:r>
    </w:p>
    <w:p w14:paraId="3470692D">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3.1本项目划分：见投标人须知前附表。</w:t>
      </w:r>
    </w:p>
    <w:p w14:paraId="6AB9D787">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4.招标方式：</w:t>
      </w:r>
    </w:p>
    <w:p w14:paraId="62FC6562">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4.1本项目招标方式：见投标人须知前附表。</w:t>
      </w:r>
    </w:p>
    <w:p w14:paraId="00F9DE79">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5.计价方式：</w:t>
      </w:r>
    </w:p>
    <w:p w14:paraId="2CE34127">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5.1本次招标项目合同采用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固定收费标准</w:t>
      </w:r>
      <w:r>
        <w:rPr>
          <w:rFonts w:hint="eastAsia" w:ascii="宋体" w:hAnsi="宋体" w:eastAsia="宋体" w:cs="宋体"/>
          <w:color w:val="auto"/>
          <w:szCs w:val="21"/>
          <w:highlight w:val="none"/>
          <w:u w:val="none"/>
        </w:rPr>
        <w:t>。</w:t>
      </w:r>
    </w:p>
    <w:p w14:paraId="76A9A77C">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6.评标办法：</w:t>
      </w:r>
    </w:p>
    <w:p w14:paraId="4128FE8D">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6.1本次招标评标采用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综合评分法</w:t>
      </w:r>
      <w:r>
        <w:rPr>
          <w:rFonts w:hint="eastAsia" w:ascii="宋体" w:hAnsi="宋体" w:eastAsia="宋体" w:cs="宋体"/>
          <w:color w:val="auto"/>
          <w:szCs w:val="21"/>
          <w:highlight w:val="none"/>
        </w:rPr>
        <w:t>（详见第三章评标办法）</w:t>
      </w:r>
    </w:p>
    <w:p w14:paraId="2165EE83">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7.投标人资格：</w:t>
      </w:r>
    </w:p>
    <w:p w14:paraId="7691ED36">
      <w:pPr>
        <w:keepNext w:val="0"/>
        <w:keepLines w:val="0"/>
        <w:pageBreakBefore w:val="0"/>
        <w:widowControl/>
        <w:kinsoku/>
        <w:wordWrap/>
        <w:overflowPunct/>
        <w:topLinePunct w:val="0"/>
        <w:autoSpaceDE/>
        <w:autoSpaceDN/>
        <w:bidi w:val="0"/>
        <w:adjustRightInd/>
        <w:spacing w:line="500" w:lineRule="exact"/>
        <w:ind w:left="0" w:leftChars="-200" w:hanging="420" w:hanging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7.1本项目投标人资格：见投标人须知前附表。</w:t>
      </w:r>
    </w:p>
    <w:p w14:paraId="6E10BC6E">
      <w:pPr>
        <w:keepNext w:val="0"/>
        <w:keepLines w:val="0"/>
        <w:pageBreakBefore w:val="0"/>
        <w:kinsoku/>
        <w:wordWrap/>
        <w:overflowPunct/>
        <w:topLinePunct w:val="0"/>
        <w:autoSpaceDE/>
        <w:autoSpaceDN/>
        <w:bidi w:val="0"/>
        <w:adjustRightInd/>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 投标费用</w:t>
      </w:r>
    </w:p>
    <w:p w14:paraId="2948CC28">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8.1投标人准备和参加投标活动发生的费用自理。</w:t>
      </w:r>
    </w:p>
    <w:p w14:paraId="2BCAF23E">
      <w:pPr>
        <w:keepNext w:val="0"/>
        <w:keepLines w:val="0"/>
        <w:pageBreakBefore w:val="0"/>
        <w:kinsoku/>
        <w:wordWrap/>
        <w:overflowPunct/>
        <w:topLinePunct w:val="0"/>
        <w:autoSpaceDE/>
        <w:autoSpaceDN/>
        <w:bidi w:val="0"/>
        <w:adjustRightInd/>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w:t>
      </w:r>
      <w:bookmarkStart w:id="22" w:name="_Toc247527563"/>
      <w:bookmarkStart w:id="23" w:name="_Toc247592876"/>
      <w:bookmarkStart w:id="24" w:name="_Toc152045539"/>
      <w:bookmarkStart w:id="25" w:name="_Toc144974507"/>
      <w:bookmarkStart w:id="26" w:name="_Toc247513962"/>
      <w:bookmarkStart w:id="27" w:name="_Toc296602429"/>
      <w:bookmarkStart w:id="28" w:name="_Toc152042315"/>
      <w:r>
        <w:rPr>
          <w:rFonts w:hint="eastAsia" w:ascii="宋体" w:hAnsi="宋体" w:eastAsia="宋体" w:cs="宋体"/>
          <w:b/>
          <w:color w:val="auto"/>
          <w:szCs w:val="21"/>
          <w:highlight w:val="none"/>
        </w:rPr>
        <w:t xml:space="preserve"> 踏勘现场</w:t>
      </w:r>
      <w:bookmarkEnd w:id="22"/>
      <w:bookmarkEnd w:id="23"/>
      <w:bookmarkEnd w:id="24"/>
      <w:bookmarkEnd w:id="25"/>
      <w:bookmarkEnd w:id="26"/>
      <w:bookmarkEnd w:id="27"/>
      <w:bookmarkEnd w:id="28"/>
    </w:p>
    <w:p w14:paraId="75C9E8AA">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9.1 投标人须知前附表规定组织踏勘现场的，</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 xml:space="preserve">按投标人须知前附表规定的时间、地点组织投标人踏勘项目现场。 </w:t>
      </w:r>
    </w:p>
    <w:p w14:paraId="285F9261">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投标人踏勘现场发生的费用自理。</w:t>
      </w:r>
    </w:p>
    <w:p w14:paraId="23FA28D6">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 除</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的原因外，投标人自行负责在踏勘现场中所发生的人员伤亡和财产损失。</w:t>
      </w:r>
    </w:p>
    <w:p w14:paraId="36C87362">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9.4 </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在踏勘现场中介绍的场地和相关的周边环境情况，供投标人在编制投标文件时参考，</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不对投标人据此作出的判断和决策负责。</w:t>
      </w:r>
      <w:bookmarkStart w:id="29" w:name="_Toc152042316"/>
      <w:bookmarkStart w:id="30" w:name="_Toc296602430"/>
      <w:bookmarkStart w:id="31" w:name="_Toc247513963"/>
      <w:bookmarkStart w:id="32" w:name="_Toc247592877"/>
      <w:bookmarkStart w:id="33" w:name="_Toc247527564"/>
      <w:bookmarkStart w:id="34" w:name="_Toc152045540"/>
      <w:bookmarkStart w:id="35" w:name="_Toc144974508"/>
    </w:p>
    <w:p w14:paraId="72301C1F">
      <w:pPr>
        <w:keepNext w:val="0"/>
        <w:keepLines w:val="0"/>
        <w:pageBreakBefore w:val="0"/>
        <w:kinsoku/>
        <w:wordWrap/>
        <w:overflowPunct/>
        <w:topLinePunct w:val="0"/>
        <w:autoSpaceDE/>
        <w:autoSpaceDN/>
        <w:bidi w:val="0"/>
        <w:adjustRightInd/>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 投标预备会</w:t>
      </w:r>
      <w:bookmarkEnd w:id="29"/>
      <w:bookmarkEnd w:id="30"/>
      <w:bookmarkEnd w:id="31"/>
      <w:bookmarkEnd w:id="32"/>
      <w:bookmarkEnd w:id="33"/>
      <w:bookmarkEnd w:id="34"/>
      <w:bookmarkEnd w:id="35"/>
      <w:r>
        <w:rPr>
          <w:rFonts w:hint="eastAsia" w:ascii="宋体" w:hAnsi="宋体" w:eastAsia="宋体" w:cs="宋体"/>
          <w:b/>
          <w:color w:val="auto"/>
          <w:szCs w:val="21"/>
          <w:highlight w:val="none"/>
        </w:rPr>
        <w:t>（本项目不采用）</w:t>
      </w:r>
    </w:p>
    <w:p w14:paraId="151E551C">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10.1投标人须知前附表规定召开投标预备会的，</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按投标人须知前附表规定的时间和地点召开投标预备会，澄清投标人提出的问题。</w:t>
      </w:r>
    </w:p>
    <w:p w14:paraId="1711C381">
      <w:pPr>
        <w:keepNext w:val="0"/>
        <w:keepLines w:val="0"/>
        <w:pageBreakBefore w:val="0"/>
        <w:numPr>
          <w:ilvl w:val="0"/>
          <w:numId w:val="8"/>
        </w:numPr>
        <w:kinsoku/>
        <w:wordWrap/>
        <w:overflowPunct/>
        <w:topLinePunct w:val="0"/>
        <w:autoSpaceDE/>
        <w:autoSpaceDN/>
        <w:bidi w:val="0"/>
        <w:adjustRightInd/>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联合投标、合同分包（本项目不采用）</w:t>
      </w:r>
    </w:p>
    <w:p w14:paraId="5E4C1394">
      <w:pPr>
        <w:keepNext w:val="0"/>
        <w:keepLines w:val="0"/>
        <w:pageBreakBefore w:val="0"/>
        <w:numPr>
          <w:ilvl w:val="0"/>
          <w:numId w:val="0"/>
        </w:numPr>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11.1两个以上投标人可以组成一个投标联合体，以一个投标人的身份投标。以联合体形式参加投标的，联合体各方均应当符合《</w:t>
      </w:r>
      <w:r>
        <w:rPr>
          <w:rFonts w:hint="eastAsia" w:ascii="宋体" w:hAnsi="宋体" w:eastAsia="宋体" w:cs="宋体"/>
          <w:color w:val="auto"/>
          <w:highlight w:val="none"/>
        </w:rPr>
        <w:t>中华人民共和国政府采购法</w:t>
      </w:r>
      <w:r>
        <w:rPr>
          <w:rFonts w:hint="eastAsia" w:ascii="宋体" w:hAnsi="宋体" w:eastAsia="宋体" w:cs="宋体"/>
          <w:color w:val="auto"/>
          <w:szCs w:val="21"/>
          <w:highlight w:val="none"/>
        </w:rPr>
        <w:t>》第二十二条规定的条件。</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根据采购项目的特殊要求规定投标人特定条件的，联合体各方中至少应当有一方符合</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规定的特定条件。</w:t>
      </w:r>
    </w:p>
    <w:p w14:paraId="4E3E8685">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11.2联合体各方之间应当签订共同投标协议，明确约定联合体各方承担的工作和相应的责任，并将共同投标协议连同投标文件一并提交</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。联合体各方签订共同投标协议后，不得再以自己名义单独在同一项目中投标，也不得组成新的联合体参加同一项目投标。</w:t>
      </w:r>
    </w:p>
    <w:p w14:paraId="4632889C">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联合体应当确定其中一个单位为投标的全权代表，负责参加投标的一切事务，并承担投标及履约中应承担的全部责任与义务。</w:t>
      </w:r>
    </w:p>
    <w:p w14:paraId="2B079823">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11.4 联合体各方应当共同与</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签订采购合同，就采购合同约定的事项对</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承担连带责任。</w:t>
      </w:r>
    </w:p>
    <w:p w14:paraId="0552FA51">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11.5 联合体中有同类资质的供应商按照联合体分工承担相同工作的，应当按照资质等级较低的供应商确定资质等级。</w:t>
      </w:r>
    </w:p>
    <w:p w14:paraId="58FD39DE">
      <w:pPr>
        <w:pStyle w:val="33"/>
        <w:keepNext w:val="0"/>
        <w:keepLines w:val="0"/>
        <w:pageBreakBefore w:val="0"/>
        <w:kinsoku/>
        <w:wordWrap/>
        <w:overflowPunct/>
        <w:topLinePunct w:val="0"/>
        <w:autoSpaceDE/>
        <w:autoSpaceDN/>
        <w:bidi w:val="0"/>
        <w:adjustRightInd/>
        <w:spacing w:after="0" w:line="500" w:lineRule="exact"/>
        <w:ind w:left="0" w:leftChars="-200" w:hanging="420" w:hanging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11.6 非专门面向中小企业采购项目是否允许大中型企业向一家或者多家小微企业分包见投标人须知前附表。</w:t>
      </w:r>
    </w:p>
    <w:p w14:paraId="73F505EE">
      <w:pPr>
        <w:keepNext w:val="0"/>
        <w:keepLines w:val="0"/>
        <w:pageBreakBefore w:val="0"/>
        <w:kinsoku/>
        <w:wordWrap/>
        <w:overflowPunct/>
        <w:topLinePunct w:val="0"/>
        <w:autoSpaceDE/>
        <w:autoSpaceDN/>
        <w:bidi w:val="0"/>
        <w:adjustRightInd/>
        <w:spacing w:line="500" w:lineRule="exact"/>
        <w:ind w:left="2" w:leftChars="-200" w:hanging="422" w:hangingChars="200"/>
        <w:jc w:val="left"/>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12.招标代理费和</w:t>
      </w:r>
      <w:r>
        <w:rPr>
          <w:rFonts w:hint="eastAsia" w:ascii="宋体" w:hAnsi="宋体" w:eastAsia="宋体" w:cs="宋体"/>
          <w:b/>
          <w:color w:val="auto"/>
          <w:szCs w:val="21"/>
          <w:highlight w:val="none"/>
          <w:lang w:val="en-US" w:eastAsia="zh-CN"/>
        </w:rPr>
        <w:t>其他费用</w:t>
      </w:r>
    </w:p>
    <w:p w14:paraId="729DF704">
      <w:pPr>
        <w:keepNext w:val="0"/>
        <w:keepLines w:val="0"/>
        <w:pageBreakBefore w:val="0"/>
        <w:kinsoku/>
        <w:wordWrap/>
        <w:overflowPunct/>
        <w:topLinePunct w:val="0"/>
        <w:autoSpaceDE/>
        <w:autoSpaceDN/>
        <w:bidi w:val="0"/>
        <w:adjustRightInd/>
        <w:spacing w:line="500" w:lineRule="exact"/>
        <w:ind w:left="0" w:leftChars="-200" w:hanging="420" w:hangingChars="200"/>
        <w:jc w:val="left"/>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12.1</w:t>
      </w:r>
      <w:r>
        <w:rPr>
          <w:rFonts w:hint="eastAsia" w:ascii="宋体" w:hAnsi="宋体" w:eastAsia="宋体" w:cs="宋体"/>
          <w:color w:val="auto"/>
          <w:szCs w:val="21"/>
          <w:highlight w:val="none"/>
        </w:rPr>
        <w:t>见投标人须知前附表。</w:t>
      </w:r>
    </w:p>
    <w:p w14:paraId="1210020F">
      <w:pPr>
        <w:keepNext w:val="0"/>
        <w:keepLines w:val="0"/>
        <w:pageBreakBefore w:val="0"/>
        <w:kinsoku/>
        <w:wordWrap/>
        <w:overflowPunct/>
        <w:topLinePunct w:val="0"/>
        <w:autoSpaceDE/>
        <w:autoSpaceDN/>
        <w:bidi w:val="0"/>
        <w:adjustRightInd/>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13.投标人应注意的事项</w:t>
      </w:r>
    </w:p>
    <w:p w14:paraId="2ECE2C13">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13.1投标人一旦参加投标，即被认为接受了本招标文件中的所有条件和规定。投标人必须严格按招标文件的要求编制投标文件，以便评委审核。否则，由此产生的一切后果由投标人承担。</w:t>
      </w:r>
    </w:p>
    <w:p w14:paraId="06171C21">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13.2投标人对采购内容中规定的</w:t>
      </w:r>
      <w:r>
        <w:rPr>
          <w:rFonts w:hint="eastAsia" w:ascii="宋体" w:hAnsi="宋体" w:eastAsia="宋体" w:cs="宋体"/>
          <w:color w:val="auto"/>
          <w:szCs w:val="21"/>
          <w:highlight w:val="none"/>
          <w:lang w:val="en-US" w:eastAsia="zh-CN"/>
        </w:rPr>
        <w:t>服务需求</w:t>
      </w:r>
      <w:r>
        <w:rPr>
          <w:rFonts w:hint="eastAsia" w:ascii="宋体" w:hAnsi="宋体" w:eastAsia="宋体" w:cs="宋体"/>
          <w:color w:val="auto"/>
          <w:szCs w:val="21"/>
          <w:highlight w:val="none"/>
        </w:rPr>
        <w:t>和要求等必须</w:t>
      </w:r>
      <w:r>
        <w:rPr>
          <w:rFonts w:hint="eastAsia" w:ascii="宋体" w:hAnsi="宋体" w:eastAsia="宋体" w:cs="宋体"/>
          <w:color w:val="auto"/>
          <w:szCs w:val="21"/>
          <w:highlight w:val="none"/>
          <w:lang w:val="en-US" w:eastAsia="zh-CN"/>
        </w:rPr>
        <w:t>响应或优于</w:t>
      </w:r>
      <w:r>
        <w:rPr>
          <w:rFonts w:hint="eastAsia" w:ascii="宋体" w:hAnsi="宋体" w:eastAsia="宋体" w:cs="宋体"/>
          <w:color w:val="auto"/>
          <w:szCs w:val="21"/>
          <w:highlight w:val="none"/>
        </w:rPr>
        <w:t>招标文件的相关要求。</w:t>
      </w:r>
    </w:p>
    <w:p w14:paraId="50220D86">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3</w:t>
      </w:r>
      <w:r>
        <w:rPr>
          <w:rFonts w:hint="eastAsia" w:ascii="宋体" w:hAnsi="宋体" w:eastAsia="宋体" w:cs="宋体"/>
          <w:bCs/>
          <w:color w:val="auto"/>
          <w:szCs w:val="21"/>
          <w:highlight w:val="none"/>
        </w:rPr>
        <w:t>单位负责人为同一人或者存在直接控股、管理关系的不同投标人，不得参加同一合同项下的政府采购活动。</w:t>
      </w:r>
      <w:r>
        <w:rPr>
          <w:rFonts w:hint="eastAsia" w:ascii="宋体" w:hAnsi="宋体" w:eastAsia="宋体" w:cs="宋体"/>
          <w:color w:val="auto"/>
          <w:szCs w:val="21"/>
          <w:highlight w:val="none"/>
        </w:rPr>
        <w:t>为采购项目提供整体设计、规范编制或者项目管理、监理、检测等服务的投标人，不得再参加该采购项目的其他采购活动。</w:t>
      </w:r>
    </w:p>
    <w:p w14:paraId="7BBE4780">
      <w:pPr>
        <w:keepNext w:val="0"/>
        <w:keepLines w:val="0"/>
        <w:pageBreakBefore w:val="0"/>
        <w:kinsoku/>
        <w:wordWrap/>
        <w:overflowPunct/>
        <w:topLinePunct w:val="0"/>
        <w:autoSpaceDE/>
        <w:autoSpaceDN/>
        <w:bidi w:val="0"/>
        <w:adjustRightInd/>
        <w:spacing w:line="500" w:lineRule="exact"/>
        <w:ind w:left="0" w:leftChars="-200" w:hanging="420" w:hanging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投标人被视为充分熟悉本招标项目所在地的与履行合同有关的各种情况，包括但不限于：</w:t>
      </w:r>
    </w:p>
    <w:p w14:paraId="3DCA8395">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（1）国家对本次投标货物和服务的生产、安装调试、验收、维修等有关法律、法规及行业管理标准；</w:t>
      </w:r>
    </w:p>
    <w:p w14:paraId="35AE652D">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（2）安徽省及滁州市等有关管理部门的相关规定；</w:t>
      </w:r>
    </w:p>
    <w:p w14:paraId="544402F9">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的相关场地情况、基础建设、电力供应情况及相关设计标准。</w:t>
      </w:r>
    </w:p>
    <w:p w14:paraId="4F80E724">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本招标文件不再对上述情况进行描述。</w:t>
      </w:r>
    </w:p>
    <w:p w14:paraId="709FD345">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中标候选人无正当理由放弃中标候选人资格的，其将被记不良信息记录。</w:t>
      </w:r>
    </w:p>
    <w:p w14:paraId="701428F5">
      <w:pPr>
        <w:spacing w:before="312" w:beforeLines="100" w:after="312" w:afterLines="100" w:line="440" w:lineRule="exact"/>
        <w:ind w:left="-420" w:leftChars="-200" w:firstLine="0" w:firstLineChars="0"/>
        <w:jc w:val="center"/>
        <w:rPr>
          <w:rFonts w:hint="eastAsia" w:ascii="宋体" w:hAnsi="宋体" w:cs="宋体"/>
          <w:b/>
          <w:color w:val="auto"/>
          <w:sz w:val="28"/>
          <w:szCs w:val="28"/>
          <w:highlight w:val="none"/>
        </w:rPr>
      </w:pPr>
      <w:bookmarkStart w:id="36" w:name="_Toc449028868"/>
      <w:r>
        <w:rPr>
          <w:rFonts w:hint="eastAsia" w:ascii="宋体" w:hAnsi="宋体" w:cs="宋体"/>
          <w:b/>
          <w:color w:val="auto"/>
          <w:sz w:val="28"/>
          <w:szCs w:val="28"/>
          <w:highlight w:val="none"/>
        </w:rPr>
        <w:t>（二）</w:t>
      </w:r>
      <w:bookmarkEnd w:id="36"/>
      <w:r>
        <w:rPr>
          <w:rFonts w:hint="eastAsia" w:ascii="宋体" w:hAnsi="宋体" w:cs="宋体"/>
          <w:b/>
          <w:color w:val="auto"/>
          <w:sz w:val="28"/>
          <w:szCs w:val="28"/>
          <w:highlight w:val="none"/>
        </w:rPr>
        <w:t>招标文件</w:t>
      </w:r>
    </w:p>
    <w:p w14:paraId="22B409E7">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14. 招标文件的编制依据</w:t>
      </w:r>
    </w:p>
    <w:p w14:paraId="22DC08B7">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color w:val="auto"/>
          <w:spacing w:val="-2"/>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025B44AF">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15. 招标文件的组成</w:t>
      </w:r>
    </w:p>
    <w:p w14:paraId="6E6227AB">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15.1 招标文件包括内容：</w:t>
      </w:r>
    </w:p>
    <w:p w14:paraId="58CAF91F">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4A8A5114">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5BF394C0">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4D9A7EFC">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第四章  采购内容及要求</w:t>
      </w:r>
    </w:p>
    <w:p w14:paraId="6C7325F0">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  合同条款及格式</w:t>
      </w:r>
    </w:p>
    <w:p w14:paraId="29C022FF">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  投标文件格式</w:t>
      </w:r>
    </w:p>
    <w:p w14:paraId="0E9C4806">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15.2 除15.1款内容外，招标答疑亦为招标文件的组成部分，对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和投标人起约束作用。</w:t>
      </w:r>
    </w:p>
    <w:p w14:paraId="0A3D104E">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w:t>
      </w:r>
    </w:p>
    <w:p w14:paraId="60DA9C65">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投标人可以通过</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t>对招标文件提出澄清（质疑）。招标文件的澄清</w:t>
      </w:r>
      <w:r>
        <w:rPr>
          <w:rFonts w:hint="eastAsia" w:ascii="宋体" w:hAnsi="宋体" w:cs="宋体"/>
          <w:color w:val="auto"/>
          <w:szCs w:val="21"/>
          <w:highlight w:val="none"/>
          <w:lang w:val="en-US" w:eastAsia="zh-CN"/>
        </w:rPr>
        <w:t>将以更正公告形式在中新苏滁高新技术产业开发区（https://scp.chuzhou.gov.cn/index.html）、滁州市城投工程咨询管理有限公司网站（https://www.czctgczx.com/）予以公布</w:t>
      </w:r>
      <w:r>
        <w:rPr>
          <w:rFonts w:hint="eastAsia" w:ascii="宋体" w:hAnsi="宋体" w:cs="宋体"/>
          <w:color w:val="auto"/>
          <w:szCs w:val="21"/>
          <w:highlight w:val="none"/>
        </w:rPr>
        <w:t>，但不指明澄清问题的来源。如果澄清内容影响投标文件编制的，将相应延长投标截止时间。</w:t>
      </w:r>
    </w:p>
    <w:p w14:paraId="63F69C71">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16. 招标文件的修改、补充、解释</w:t>
      </w:r>
    </w:p>
    <w:p w14:paraId="619B55DB">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16.1招标文件发出后，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在规定的投标截止时间前可对招标文件进行必要的修改和补充，并以更正公告形式</w:t>
      </w:r>
      <w:r>
        <w:rPr>
          <w:rFonts w:hint="eastAsia" w:ascii="宋体" w:hAnsi="宋体" w:cs="宋体"/>
          <w:color w:val="auto"/>
          <w:szCs w:val="21"/>
          <w:highlight w:val="none"/>
          <w:lang w:val="en-US" w:eastAsia="zh-CN"/>
        </w:rPr>
        <w:t>在中新苏滁高新技术产业开发区（https://scp.chuzhou.gov.cn/index.html）、滁州市城投工程咨询管理有限公司网站（https://www.czctgczx.com/）予以公布。</w:t>
      </w:r>
      <w:r>
        <w:rPr>
          <w:rFonts w:hint="eastAsia" w:ascii="宋体" w:hAnsi="宋体" w:cs="宋体"/>
          <w:color w:val="auto"/>
          <w:szCs w:val="21"/>
          <w:highlight w:val="none"/>
        </w:rPr>
        <w:t>请各位投标人注意查看有关澄清内容，如不及时查看造成后果由投标人自负。招标文件的修改、补充等内容作为招标文件的组成部分，具有约束作用。</w:t>
      </w:r>
    </w:p>
    <w:p w14:paraId="65BFCBEB">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招标文件的解释</w:t>
      </w:r>
    </w:p>
    <w:p w14:paraId="14C616FD">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17.1</w:t>
      </w:r>
      <w:r>
        <w:rPr>
          <w:rFonts w:hint="eastAsia" w:ascii="宋体" w:hAnsi="宋体" w:cs="宋体"/>
          <w:color w:val="auto"/>
          <w:szCs w:val="21"/>
          <w:highlight w:val="none"/>
        </w:rPr>
        <w:t>构成本招标文件的各个组成文件应互为解释，互为说明；</w:t>
      </w:r>
    </w:p>
    <w:p w14:paraId="44DCD2EA">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17.2</w:t>
      </w:r>
      <w:r>
        <w:rPr>
          <w:rFonts w:hint="eastAsia" w:ascii="宋体" w:hAnsi="宋体" w:cs="宋体"/>
          <w:color w:val="auto"/>
          <w:szCs w:val="21"/>
          <w:highlight w:val="none"/>
        </w:rPr>
        <w:t>同一组成文件中就同一事项的规定或约定不一致的，以编排顺序在后者为准；</w:t>
      </w:r>
    </w:p>
    <w:p w14:paraId="7C663F7C">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如有不明确或不一致，构成合同文件组成内容的，以合同文件约定内容为准，且以专用合同条款约定的合同文件优先顺序解释；</w:t>
      </w:r>
    </w:p>
    <w:p w14:paraId="24334E61">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37CB6FC">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 招标文件的发出</w:t>
      </w:r>
    </w:p>
    <w:p w14:paraId="3E48E06F">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.1招标文件、招标文件的澄清、修改、补充及招标答疑等均应</w:t>
      </w:r>
      <w:r>
        <w:rPr>
          <w:rFonts w:hint="eastAsia" w:ascii="宋体" w:hAnsi="宋体" w:cs="宋体"/>
          <w:color w:val="auto"/>
          <w:szCs w:val="21"/>
          <w:highlight w:val="none"/>
          <w:lang w:val="en-US" w:eastAsia="zh-CN"/>
        </w:rPr>
        <w:t>招标人确认</w:t>
      </w:r>
      <w:r>
        <w:rPr>
          <w:rFonts w:hint="eastAsia" w:ascii="宋体" w:hAnsi="宋体" w:cs="宋体"/>
          <w:color w:val="auto"/>
          <w:szCs w:val="21"/>
          <w:highlight w:val="none"/>
        </w:rPr>
        <w:t>后，方可发出。</w:t>
      </w:r>
    </w:p>
    <w:p w14:paraId="087E6BAC">
      <w:pPr>
        <w:spacing w:before="312" w:beforeLines="100" w:after="312" w:afterLines="100" w:line="440" w:lineRule="exact"/>
        <w:ind w:left="-420" w:leftChars="-200" w:firstLine="0" w:firstLineChars="0"/>
        <w:jc w:val="center"/>
        <w:rPr>
          <w:rFonts w:hint="eastAsia" w:ascii="宋体" w:hAnsi="宋体" w:cs="宋体"/>
          <w:b/>
          <w:color w:val="auto"/>
          <w:sz w:val="28"/>
          <w:szCs w:val="28"/>
          <w:highlight w:val="none"/>
        </w:rPr>
      </w:pPr>
      <w:bookmarkStart w:id="37" w:name="_Toc449028869"/>
      <w:r>
        <w:rPr>
          <w:rFonts w:hint="eastAsia" w:ascii="宋体" w:hAnsi="宋体" w:cs="宋体"/>
          <w:b/>
          <w:color w:val="auto"/>
          <w:sz w:val="28"/>
          <w:szCs w:val="28"/>
          <w:highlight w:val="none"/>
        </w:rPr>
        <w:t>（三）投标文件的编制</w:t>
      </w:r>
      <w:bookmarkEnd w:id="37"/>
    </w:p>
    <w:p w14:paraId="65D2CF94">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19. 投标的语言及度量衡单位</w:t>
      </w:r>
    </w:p>
    <w:p w14:paraId="5666AB12">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1A721E07">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19.2除招标文件中另有规定外，投标文件所使用的度量衡均须采用法定计量单位。</w:t>
      </w:r>
    </w:p>
    <w:p w14:paraId="0EEAD9A7">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 投标文件的组成</w:t>
      </w:r>
    </w:p>
    <w:p w14:paraId="60580E6B">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1FCC553D">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具体内容详见第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章投标文件格式内容。</w:t>
      </w:r>
    </w:p>
    <w:p w14:paraId="1361D8CC">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投标文件的编制</w:t>
      </w:r>
    </w:p>
    <w:p w14:paraId="1365148C">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章“投标文件格式”进行编写，如有必要，可以增加附页，作为投标文件的组成部分。</w:t>
      </w:r>
    </w:p>
    <w:p w14:paraId="5675E8FC">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20.2.2</w:t>
      </w:r>
      <w:r>
        <w:rPr>
          <w:rFonts w:hint="eastAsia" w:ascii="宋体" w:hAnsi="宋体" w:cs="宋体"/>
          <w:color w:val="auto"/>
          <w:szCs w:val="21"/>
          <w:highlight w:val="none"/>
        </w:rPr>
        <w:t>投标文件应当对招标文件有关服务期限、投标有效期、质量要求、技术标准和要求、招标范围等实质性内容作出响应。</w:t>
      </w:r>
    </w:p>
    <w:p w14:paraId="71D12E53">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20.2.3</w:t>
      </w: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4C4487C7">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因投标人自身原因而导致投标文件无法导入电子交易系统电子开标、评标系统，该投标视为无效投标，投标人自行承担由此导致的全部责任。</w:t>
      </w:r>
    </w:p>
    <w:p w14:paraId="76B1B23D">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投标人中标后须递交与网上电子响应文件完全一致的纸质版投标文件，在领取中标通知书时，一并递交给代理机构。</w:t>
      </w:r>
    </w:p>
    <w:p w14:paraId="65A30418">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113D7102">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投标报价应当满足招标文件的要求。</w:t>
      </w:r>
    </w:p>
    <w:p w14:paraId="309C98BE">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21.2</w:t>
      </w:r>
      <w:r>
        <w:rPr>
          <w:rFonts w:hint="eastAsia" w:ascii="宋体" w:hAnsi="宋体" w:eastAsia="宋体" w:cs="宋体"/>
          <w:color w:val="auto"/>
          <w:szCs w:val="21"/>
          <w:highlight w:val="none"/>
        </w:rPr>
        <w:t>本项目采用固定</w:t>
      </w:r>
      <w:r>
        <w:rPr>
          <w:rFonts w:hint="eastAsia" w:ascii="宋体" w:hAnsi="宋体" w:eastAsia="宋体" w:cs="宋体"/>
          <w:color w:val="auto"/>
          <w:szCs w:val="21"/>
          <w:highlight w:val="none"/>
          <w:lang w:val="en-US" w:eastAsia="zh-CN"/>
        </w:rPr>
        <w:t>收费标准</w:t>
      </w:r>
      <w:r>
        <w:rPr>
          <w:rFonts w:hint="eastAsia" w:ascii="宋体" w:hAnsi="宋体" w:eastAsia="宋体" w:cs="宋体"/>
          <w:color w:val="auto"/>
          <w:szCs w:val="21"/>
          <w:highlight w:val="none"/>
        </w:rPr>
        <w:t>。项目审计服务费用标准执行《中新苏滁高新技术产业开发区建设项目审计服务费用标准》（苏滁财发〔2023〕13号）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服务费用</w:t>
      </w:r>
      <w:r>
        <w:rPr>
          <w:rFonts w:hint="eastAsia" w:ascii="宋体" w:hAnsi="宋体" w:eastAsia="宋体" w:cs="宋体"/>
          <w:color w:val="auto"/>
          <w:szCs w:val="21"/>
          <w:highlight w:val="none"/>
        </w:rPr>
        <w:t>应包括完成招标文件所确定的委托服务范围以及其他服务所需的全部费用。</w:t>
      </w:r>
    </w:p>
    <w:p w14:paraId="71B1907D">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0EB2C52E">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22.1投标有效期见投标人须知前附表。</w:t>
      </w:r>
    </w:p>
    <w:p w14:paraId="028F2373">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108AF371">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以书面形式通知所有投标人延长投标有效期。投标人同意延长的，不得要求或被允许修改或撤销其投标文件；投标人拒绝延长的，其投标失效。</w:t>
      </w:r>
    </w:p>
    <w:p w14:paraId="1D034C2E">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F2A595D">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23.1本项目不缴纳投标保证金。</w:t>
      </w:r>
    </w:p>
    <w:p w14:paraId="1724861B">
      <w:pPr>
        <w:spacing w:before="312" w:beforeLines="100" w:after="312" w:afterLines="100" w:line="440" w:lineRule="exact"/>
        <w:ind w:left="-420" w:leftChars="-200" w:firstLine="0" w:firstLineChars="0"/>
        <w:jc w:val="center"/>
        <w:rPr>
          <w:rFonts w:hint="eastAsia" w:ascii="宋体" w:hAnsi="宋体" w:eastAsia="宋体" w:cs="宋体"/>
          <w:b/>
          <w:color w:val="auto"/>
          <w:sz w:val="28"/>
          <w:szCs w:val="28"/>
          <w:highlight w:val="none"/>
        </w:rPr>
      </w:pPr>
      <w:bookmarkStart w:id="38" w:name="_Toc449028870"/>
      <w:r>
        <w:rPr>
          <w:rFonts w:hint="eastAsia" w:ascii="宋体" w:hAnsi="宋体" w:eastAsia="宋体" w:cs="宋体"/>
          <w:b/>
          <w:color w:val="auto"/>
          <w:sz w:val="28"/>
          <w:szCs w:val="28"/>
          <w:highlight w:val="none"/>
        </w:rPr>
        <w:t>（四）投标文件的递交</w:t>
      </w:r>
      <w:bookmarkEnd w:id="38"/>
    </w:p>
    <w:p w14:paraId="651B01A6">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24.投标文件的份数和签署</w:t>
      </w:r>
    </w:p>
    <w:p w14:paraId="1CCF219C">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bookmarkStart w:id="39" w:name="_Toc449028871"/>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1投标人中标后须递交与网上电子投标文件完全一致的纸质版投标文件，并按要求加盖单位章；份数：正本1份，副本1份；中标人领取中标通知书时，一并递交给代理机构。</w:t>
      </w:r>
    </w:p>
    <w:p w14:paraId="3D7843B5">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25.投标文件的提交</w:t>
      </w:r>
    </w:p>
    <w:p w14:paraId="0DEF7F48">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jc w:val="left"/>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25.1投标人应在投标人须知前附表规定的投标递交时间内在网上递交投标文件。将加密投标文件上传至电子交易系统。未在递交时间内上传投标文件的，不予接收，投标将被拒绝。</w:t>
      </w:r>
    </w:p>
    <w:p w14:paraId="35B17B0B">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4D57C942">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jc w:val="left"/>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eastAsia="宋体" w:cs="宋体"/>
          <w:b w:val="0"/>
          <w:bCs w:val="0"/>
          <w:color w:val="auto"/>
          <w:szCs w:val="21"/>
          <w:highlight w:val="none"/>
        </w:rPr>
        <w:t>在第一章“招标公告”规定的投标截止时间前，投标人可以自行从网上开评标系统撤回已递交的投标文件，并可修改后重新加密上传，开标时以开标截止时间前供应商最终上传的</w:t>
      </w:r>
      <w:r>
        <w:rPr>
          <w:rFonts w:hint="eastAsia" w:ascii="宋体" w:hAnsi="宋体" w:cs="宋体"/>
          <w:b w:val="0"/>
          <w:bCs w:val="0"/>
          <w:color w:val="auto"/>
          <w:szCs w:val="21"/>
          <w:highlight w:val="none"/>
          <w:lang w:val="en-US" w:eastAsia="zh-CN"/>
        </w:rPr>
        <w:t>投标</w:t>
      </w:r>
      <w:r>
        <w:rPr>
          <w:rFonts w:hint="eastAsia" w:ascii="宋体" w:hAnsi="宋体" w:eastAsia="宋体" w:cs="宋体"/>
          <w:b w:val="0"/>
          <w:bCs w:val="0"/>
          <w:color w:val="auto"/>
          <w:szCs w:val="21"/>
          <w:highlight w:val="none"/>
        </w:rPr>
        <w:t>文件为准。</w:t>
      </w:r>
    </w:p>
    <w:p w14:paraId="13CF36C7">
      <w:pPr>
        <w:spacing w:before="312" w:beforeLines="100" w:after="312" w:afterLines="100" w:line="440" w:lineRule="exact"/>
        <w:ind w:left="-420" w:leftChars="-200" w:firstLine="0" w:firstLine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39"/>
    </w:p>
    <w:p w14:paraId="1D9DFDEC">
      <w:pPr>
        <w:keepNext w:val="0"/>
        <w:keepLines w:val="0"/>
        <w:pageBreakBefore w:val="0"/>
        <w:widowControl w:val="0"/>
        <w:kinsoku/>
        <w:wordWrap/>
        <w:overflowPunct/>
        <w:topLinePunct w:val="0"/>
        <w:autoSpaceDE/>
        <w:autoSpaceDN/>
        <w:bidi w:val="0"/>
        <w:spacing w:line="500" w:lineRule="exact"/>
        <w:ind w:left="-420" w:leftChars="-20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27.开标</w:t>
      </w:r>
    </w:p>
    <w:p w14:paraId="3B1ADD34">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 开标的时间和地点</w:t>
      </w:r>
    </w:p>
    <w:p w14:paraId="463FECB4">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27.1.1</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按招标公告中的开标时间和地点公开开标，并邀请所有投标人参加。</w:t>
      </w:r>
    </w:p>
    <w:p w14:paraId="0062CDD2">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开标程序</w:t>
      </w:r>
    </w:p>
    <w:p w14:paraId="1B09DAD5">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开标会议由代理机构主持。</w:t>
      </w:r>
    </w:p>
    <w:p w14:paraId="7856B94A">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（1）宣布开标纪律；</w:t>
      </w:r>
    </w:p>
    <w:p w14:paraId="26C3C7B9">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（2）宣布招标人、代理机构主持人、见证人等有关人员姓名；</w:t>
      </w:r>
    </w:p>
    <w:p w14:paraId="2A0037D5">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（3）公布投标截止时间前，系统递交加密投标文件的投标人名称情况等； </w:t>
      </w:r>
    </w:p>
    <w:p w14:paraId="3BE49EBE">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（4）投标人在投标截止时间后，规定时间内完成投标文件解密工作；</w:t>
      </w:r>
    </w:p>
    <w:p w14:paraId="75959A4E">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（5）公布投标人投标报价、质量目标、工期及其他内容，并记录在案；</w:t>
      </w:r>
    </w:p>
    <w:p w14:paraId="6A4D3C4C">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（6）开标结束。</w:t>
      </w:r>
    </w:p>
    <w:p w14:paraId="5146B014">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27.</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开标疑义</w:t>
      </w:r>
    </w:p>
    <w:p w14:paraId="44028A3B">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投标人代表对开标过程和开标记录有疑义，以及认为</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、采购代理机构相关工作人员有需要回避的情形的，应当场提出询问或者回避申请。</w:t>
      </w:r>
    </w:p>
    <w:p w14:paraId="7D67594E">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28.评标委员会</w:t>
      </w:r>
    </w:p>
    <w:p w14:paraId="13810358">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F43ECA6">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.2 评标委员会成员有下列情形之一的，应当回避：</w:t>
      </w:r>
    </w:p>
    <w:p w14:paraId="7606EF8B">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（1）投标人或投标人主要负责人的近亲属；</w:t>
      </w:r>
    </w:p>
    <w:p w14:paraId="3DB4ABE1">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（2）项目主管部门或者行政监督部门的人员；</w:t>
      </w:r>
    </w:p>
    <w:p w14:paraId="38B14848">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（3）与投标人有经济利益关系；</w:t>
      </w:r>
    </w:p>
    <w:p w14:paraId="2EF40F98">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（4）曾因在招标、评标以及其他与招标投标有关活动中从事违法行为而受过行政处罚或刑事处罚的；</w:t>
      </w:r>
    </w:p>
    <w:p w14:paraId="63CE528A">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（5）与投标人有其他利害关系。</w:t>
      </w:r>
    </w:p>
    <w:p w14:paraId="08EA1690">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6279A94D">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color w:val="auto"/>
          <w:szCs w:val="21"/>
          <w:highlight w:val="none"/>
        </w:rPr>
      </w:pPr>
      <w:bookmarkStart w:id="40" w:name="_Toc449028873"/>
      <w:r>
        <w:rPr>
          <w:rFonts w:hint="eastAsia" w:ascii="宋体" w:hAnsi="宋体" w:eastAsia="宋体" w:cs="宋体"/>
          <w:b/>
          <w:color w:val="auto"/>
          <w:szCs w:val="21"/>
          <w:highlight w:val="none"/>
          <w:lang w:val="en-US" w:eastAsia="zh-CN"/>
        </w:rPr>
        <w:t>29</w:t>
      </w:r>
      <w:r>
        <w:rPr>
          <w:rFonts w:hint="eastAsia" w:ascii="宋体" w:hAnsi="宋体" w:eastAsia="宋体" w:cs="宋体"/>
          <w:b/>
          <w:color w:val="auto"/>
          <w:szCs w:val="21"/>
          <w:highlight w:val="none"/>
        </w:rPr>
        <w:t>.评标</w:t>
      </w:r>
    </w:p>
    <w:p w14:paraId="20712703">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.1评标委员会按照第三章“评标办法”规定的方法、评审因素、标准和程序对投标文件进行评审。第三章“评标办法”没有规定的方法、评审因素和标准，不作为评标依据。</w:t>
      </w:r>
    </w:p>
    <w:p w14:paraId="45C4A5AA">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0C07A47D">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.3评标原则：遵循公平、公正、科学和择优的原则。</w:t>
      </w:r>
    </w:p>
    <w:p w14:paraId="2336DC86">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.4投标文件的澄清</w:t>
      </w:r>
    </w:p>
    <w:p w14:paraId="6F0C2161">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.4.1在评标过程中，评标委员会认为需要，在</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的监督下，可要求投标人对投标文件中的有关问题进行澄清或提供补充说明及有关资料，投标人应做出书面答复。</w:t>
      </w:r>
    </w:p>
    <w:p w14:paraId="3AF1449E">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.4.2书面答复须经投标人法定代表人或其委托代理人签字或盖章，签字或盖章的书面答复将被视为投标文件的组成部分。</w:t>
      </w:r>
    </w:p>
    <w:p w14:paraId="4776B253">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.5报价合理性的判断</w:t>
      </w:r>
    </w:p>
    <w:p w14:paraId="57CD62B5">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A7CF531">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.6评审意见分歧的处理办法</w:t>
      </w:r>
    </w:p>
    <w:p w14:paraId="5F4FED19">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（1）评标委员会应当对投标人提供的报告、证明材料及详细说明认真研究。对存在意见分歧的，可采用投票方式表决决定（按多数评委意见为准）；</w:t>
      </w:r>
    </w:p>
    <w:p w14:paraId="298CCD75">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（2）招标投标当事人对评标结果提出异议或者投诉，</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认为需要重新进行评标的，评标委员会成员应当按照</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要求重新评标。</w:t>
      </w:r>
    </w:p>
    <w:p w14:paraId="154DB6B5">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.7评标报告的签署</w:t>
      </w:r>
    </w:p>
    <w:p w14:paraId="689BF342">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6714446">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.8评标过程的保密</w:t>
      </w:r>
    </w:p>
    <w:p w14:paraId="42B262BF">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评标委员会成员和与评标活动有关的工作人员不得透露对投标文件的评审和比较、中标人的推荐情况以及与评标有关的其他情况。</w:t>
      </w:r>
    </w:p>
    <w:p w14:paraId="6AA03486">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.9评标结果公告</w:t>
      </w:r>
    </w:p>
    <w:p w14:paraId="7F5EC5AC">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招标人应将中标人的情况在</w:t>
      </w:r>
      <w:r>
        <w:rPr>
          <w:rFonts w:hint="eastAsia" w:ascii="宋体" w:hAnsi="宋体" w:eastAsia="宋体" w:cs="宋体"/>
          <w:color w:val="auto"/>
          <w:szCs w:val="21"/>
          <w:highlight w:val="none"/>
          <w:lang w:val="en-US" w:eastAsia="zh-CN"/>
        </w:rPr>
        <w:t>中新苏滁高新技术产业开发区（https://scp.chuzhou.gov.cn/index.html）滁州市城投工程咨询管理有限公司网站（https://www.czctgczx.com/）</w:t>
      </w:r>
      <w:r>
        <w:rPr>
          <w:rFonts w:hint="eastAsia" w:ascii="宋体" w:hAnsi="宋体" w:eastAsia="宋体" w:cs="宋体"/>
          <w:color w:val="auto"/>
          <w:szCs w:val="21"/>
          <w:highlight w:val="none"/>
        </w:rPr>
        <w:t>上予以公告，公告期为3日。投标人或其他利害关系人对评标结果有异议的，应在中标候选人公示期内提出。招标人将在收到异议之日起</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日内作出答复；作出答复前，将暂停招标投标活动。</w:t>
      </w:r>
    </w:p>
    <w:p w14:paraId="1285831F">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szCs w:val="21"/>
          <w:highlight w:val="none"/>
          <w:lang w:val="en-US" w:eastAsia="zh-CN"/>
        </w:rPr>
        <w:t>0</w:t>
      </w:r>
      <w:r>
        <w:rPr>
          <w:rFonts w:hint="eastAsia" w:ascii="宋体" w:hAnsi="宋体" w:eastAsia="宋体" w:cs="宋体"/>
          <w:b/>
          <w:color w:val="auto"/>
          <w:szCs w:val="21"/>
          <w:highlight w:val="none"/>
        </w:rPr>
        <w:t>.定标</w:t>
      </w:r>
    </w:p>
    <w:p w14:paraId="485F0B11">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 中标人的确定</w:t>
      </w:r>
    </w:p>
    <w:p w14:paraId="0D8141F6">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.1.1招标人确定</w:t>
      </w:r>
      <w:r>
        <w:rPr>
          <w:rFonts w:hint="eastAsia" w:ascii="宋体" w:hAnsi="宋体" w:eastAsia="宋体" w:cs="宋体"/>
          <w:color w:val="auto"/>
          <w:szCs w:val="21"/>
          <w:highlight w:val="none"/>
          <w:lang w:val="en-US" w:eastAsia="zh-CN"/>
        </w:rPr>
        <w:t>排名第一的中标候选人为</w:t>
      </w:r>
      <w:r>
        <w:rPr>
          <w:rFonts w:hint="eastAsia" w:ascii="宋体" w:hAnsi="宋体" w:eastAsia="宋体" w:cs="宋体"/>
          <w:color w:val="auto"/>
          <w:szCs w:val="21"/>
          <w:highlight w:val="none"/>
        </w:rPr>
        <w:t>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5B847F9">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.1.2中标人确定后，招标人应将中标信息在</w:t>
      </w:r>
      <w:r>
        <w:rPr>
          <w:rFonts w:hint="eastAsia" w:ascii="宋体" w:hAnsi="宋体" w:eastAsia="宋体" w:cs="宋体"/>
          <w:color w:val="auto"/>
          <w:szCs w:val="21"/>
          <w:highlight w:val="none"/>
          <w:lang w:val="en-US" w:eastAsia="zh-CN"/>
        </w:rPr>
        <w:t>中新苏滁高新技术产业开发区（https://scp.chuzhou.gov.cn/index.html）、滁州市城投工程咨询管理有限公司网站（https://www.czctgczx.com/）</w:t>
      </w:r>
      <w:r>
        <w:rPr>
          <w:rFonts w:hint="eastAsia" w:ascii="宋体" w:hAnsi="宋体" w:eastAsia="宋体" w:cs="宋体"/>
          <w:color w:val="auto"/>
          <w:szCs w:val="21"/>
          <w:highlight w:val="none"/>
        </w:rPr>
        <w:t>上公告。</w:t>
      </w:r>
    </w:p>
    <w:p w14:paraId="36630B2B">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 中标通知书</w:t>
      </w:r>
    </w:p>
    <w:p w14:paraId="3D955D1F">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.2.1招标人或代理机构应在中标人确定之日起2个工作日内，在</w:t>
      </w:r>
      <w:r>
        <w:rPr>
          <w:rFonts w:hint="eastAsia" w:ascii="宋体" w:hAnsi="宋体" w:eastAsia="宋体" w:cs="宋体"/>
          <w:color w:val="auto"/>
          <w:szCs w:val="21"/>
          <w:highlight w:val="none"/>
          <w:lang w:val="en-US" w:eastAsia="zh-CN"/>
        </w:rPr>
        <w:t>中新苏滁高新技术产业开发区（https://scp.chuzhou.gov.cn/index.html）、</w:t>
      </w:r>
    </w:p>
    <w:p w14:paraId="20C30054">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滁州市城投工程咨询管理有限公司网站（https://www.czctgczx.com/）公告中标结果并同时向中标人发出中标通知书。</w:t>
      </w:r>
    </w:p>
    <w:p w14:paraId="3FEA5E8A">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.2.2中标通知书须加盖招标人、代理机构公章后，方可发出。</w:t>
      </w:r>
    </w:p>
    <w:p w14:paraId="27F2400B">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.2.3招标人将在发出中标通知书的同时，向未通过资格审查的投标人告知其未通过的原因。</w:t>
      </w:r>
    </w:p>
    <w:p w14:paraId="06B4880B">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.开评标异常情况处理</w:t>
      </w:r>
    </w:p>
    <w:p w14:paraId="21213BD7">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kern w:val="10"/>
          <w:szCs w:val="21"/>
          <w:highlight w:val="none"/>
        </w:rPr>
        <w:t>3</w:t>
      </w:r>
      <w:r>
        <w:rPr>
          <w:rFonts w:hint="eastAsia" w:ascii="宋体" w:hAnsi="宋体" w:eastAsia="宋体" w:cs="宋体"/>
          <w:b/>
          <w:bCs/>
          <w:color w:val="auto"/>
          <w:kern w:val="10"/>
          <w:szCs w:val="21"/>
          <w:highlight w:val="none"/>
          <w:lang w:val="en-US" w:eastAsia="zh-CN"/>
        </w:rPr>
        <w:t>1</w:t>
      </w:r>
      <w:r>
        <w:rPr>
          <w:rFonts w:hint="eastAsia" w:ascii="宋体" w:hAnsi="宋体" w:eastAsia="宋体" w:cs="宋体"/>
          <w:b/>
          <w:bCs/>
          <w:color w:val="auto"/>
          <w:kern w:val="10"/>
          <w:szCs w:val="21"/>
          <w:highlight w:val="none"/>
        </w:rPr>
        <w:t>.1</w:t>
      </w:r>
      <w:r>
        <w:rPr>
          <w:rFonts w:hint="eastAsia" w:ascii="宋体" w:hAnsi="宋体" w:eastAsia="宋体" w:cs="宋体"/>
          <w:b/>
          <w:bCs/>
          <w:color w:val="auto"/>
          <w:szCs w:val="21"/>
          <w:highlight w:val="none"/>
        </w:rPr>
        <w:t xml:space="preserve">重新招标 </w:t>
      </w:r>
    </w:p>
    <w:p w14:paraId="31A5D012">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项目有下列情形之一的，招标人将重新招标：</w:t>
      </w:r>
    </w:p>
    <w:p w14:paraId="61AA2F3A">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 xml:space="preserve">(1)投标截止时间止，投标人少于三个的； </w:t>
      </w:r>
    </w:p>
    <w:p w14:paraId="04C25708">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(2)符合专业条件的供应商或者对招标文件作实质响应的供应商不足三家的；</w:t>
      </w:r>
    </w:p>
    <w:p w14:paraId="15B0F175">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(3)出现影响招标公正的违法、违规行为的；</w:t>
      </w:r>
    </w:p>
    <w:p w14:paraId="1EA8BFE1">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(4)投标人的报价均脱离实际且无充分证据的；</w:t>
      </w:r>
    </w:p>
    <w:p w14:paraId="747198F9">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w:t>
      </w:r>
      <w:r>
        <w:rPr>
          <w:rFonts w:hint="eastAsia" w:ascii="宋体" w:hAnsi="宋体" w:eastAsia="宋体" w:cs="宋体"/>
          <w:color w:val="auto"/>
          <w:kern w:val="10"/>
          <w:szCs w:val="21"/>
          <w:highlight w:val="none"/>
          <w:lang w:val="en-US" w:eastAsia="zh-CN"/>
        </w:rPr>
        <w:t>5</w:t>
      </w:r>
      <w:r>
        <w:rPr>
          <w:rFonts w:hint="eastAsia" w:ascii="宋体" w:hAnsi="宋体" w:eastAsia="宋体" w:cs="宋体"/>
          <w:color w:val="auto"/>
          <w:kern w:val="10"/>
          <w:szCs w:val="21"/>
          <w:highlight w:val="none"/>
        </w:rPr>
        <w:t>)因重大变故，采购任务取消的。</w:t>
      </w:r>
    </w:p>
    <w:p w14:paraId="191876E3">
      <w:pPr>
        <w:spacing w:before="312" w:beforeLines="100" w:after="312" w:afterLines="100" w:line="440" w:lineRule="exact"/>
        <w:ind w:left="-420" w:leftChars="-200" w:firstLine="0" w:firstLine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0"/>
    </w:p>
    <w:p w14:paraId="4884662A">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32.合同授予标准</w:t>
      </w:r>
    </w:p>
    <w:p w14:paraId="434236C3">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color w:val="auto"/>
          <w:szCs w:val="21"/>
          <w:highlight w:val="none"/>
        </w:rPr>
      </w:pPr>
      <w:r>
        <w:rPr>
          <w:rFonts w:hint="eastAsia" w:ascii="宋体"/>
          <w:color w:val="auto"/>
          <w:szCs w:val="21"/>
          <w:highlight w:val="none"/>
        </w:rPr>
        <w:t xml:space="preserve">32.1本招标项目的合同将授予按本投标须知第30条规定所确定的中标人。 </w:t>
      </w:r>
    </w:p>
    <w:p w14:paraId="635DC074">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33.合同协议书的签订</w:t>
      </w:r>
    </w:p>
    <w:p w14:paraId="4DB0191D">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33.1招标人与中标人将于中标通知书发出之日起30日内，按照招标文件和中标人的投标文件订立书面采购合同。中标人无正当理由拒签合同的，在签订合同时向招标人提出附加条件，或不按照招标文件要求提交履约保证金的，招标人取消其中标资格；给招标人造成的损失的，中标人还应当予以赔偿。</w:t>
      </w:r>
    </w:p>
    <w:p w14:paraId="5EC2A393">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33.2发出中标通知书后，招标人无正当理由拒签合同的，给中标人造成损失的，还应当赔偿损失。</w:t>
      </w:r>
    </w:p>
    <w:p w14:paraId="5D88ED25">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依法必须进行招标的项目，除中标人以外的其他投标人存在串通投标、弄虚作假、行贿情形且在评标过程中未被发现的，视为对中标结果没有造成实质性影响，招标人可以依法继续开展招标活动。</w:t>
      </w:r>
    </w:p>
    <w:p w14:paraId="288371C3">
      <w:pPr>
        <w:keepNext w:val="0"/>
        <w:keepLines w:val="0"/>
        <w:pageBreakBefore w:val="0"/>
        <w:widowControl w:val="0"/>
        <w:kinsoku/>
        <w:wordWrap/>
        <w:overflowPunct/>
        <w:topLinePunct w:val="0"/>
        <w:autoSpaceDE/>
        <w:autoSpaceDN/>
        <w:bidi w:val="0"/>
        <w:spacing w:line="500" w:lineRule="exact"/>
        <w:ind w:left="-420" w:leftChars="-200" w:firstLine="420" w:firstLineChars="200"/>
        <w:textAlignment w:val="auto"/>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 34.</w:t>
      </w:r>
      <w:bookmarkStart w:id="41" w:name="_Toc217446068"/>
      <w:r>
        <w:rPr>
          <w:rFonts w:hint="eastAsia" w:ascii="宋体" w:hAnsi="宋体" w:cs="宋体"/>
          <w:b/>
          <w:color w:val="auto"/>
          <w:szCs w:val="21"/>
          <w:highlight w:val="none"/>
        </w:rPr>
        <w:t>履约保证金</w:t>
      </w:r>
      <w:bookmarkEnd w:id="41"/>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559919DA">
      <w:pPr>
        <w:keepNext w:val="0"/>
        <w:keepLines w:val="0"/>
        <w:pageBreakBefore w:val="0"/>
        <w:widowControl w:val="0"/>
        <w:kinsoku/>
        <w:wordWrap/>
        <w:overflowPunct/>
        <w:topLinePunct w:val="0"/>
        <w:autoSpaceDE/>
        <w:autoSpaceDN/>
        <w:bidi w:val="0"/>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3FA9EC0B">
      <w:pPr>
        <w:keepNext w:val="0"/>
        <w:keepLines w:val="0"/>
        <w:pageBreakBefore w:val="0"/>
        <w:widowControl w:val="0"/>
        <w:kinsoku/>
        <w:wordWrap/>
        <w:overflowPunct/>
        <w:topLinePunct w:val="0"/>
        <w:autoSpaceDE/>
        <w:autoSpaceDN/>
        <w:bidi w:val="0"/>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34.2中标人不能按本章第34.1款要求提交履约担保的，视为放弃中标，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2845F2C2">
      <w:pPr>
        <w:spacing w:before="312" w:beforeLines="100" w:after="312" w:afterLines="100" w:line="440" w:lineRule="exact"/>
        <w:ind w:left="-420" w:leftChars="-200" w:firstLine="0" w:firstLineChars="0"/>
        <w:jc w:val="center"/>
        <w:rPr>
          <w:rFonts w:hint="eastAsia" w:ascii="宋体" w:hAnsi="宋体" w:eastAsia="宋体" w:cs="宋体"/>
          <w:b/>
          <w:color w:val="auto"/>
          <w:sz w:val="28"/>
          <w:szCs w:val="28"/>
          <w:highlight w:val="none"/>
        </w:rPr>
      </w:pPr>
      <w:bookmarkStart w:id="42" w:name="_Toc449028874"/>
      <w:r>
        <w:rPr>
          <w:rFonts w:hint="eastAsia" w:ascii="宋体" w:hAnsi="宋体" w:eastAsia="宋体" w:cs="宋体"/>
          <w:b/>
          <w:color w:val="auto"/>
          <w:sz w:val="28"/>
          <w:szCs w:val="28"/>
          <w:highlight w:val="none"/>
        </w:rPr>
        <w:t>（七）纪律和监督</w:t>
      </w:r>
      <w:bookmarkEnd w:id="42"/>
    </w:p>
    <w:p w14:paraId="5090B799">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4C7F1D7A">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693F0AF3">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36. 对投标人的纪律要求 </w:t>
      </w:r>
    </w:p>
    <w:p w14:paraId="2542ABBD">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23CB9A1C">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39EC1424">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0510A183">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7E56DAA">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57AC920">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36F9FE4">
      <w:pPr>
        <w:spacing w:before="312" w:beforeLines="100" w:after="312" w:afterLines="100" w:line="440" w:lineRule="exact"/>
        <w:ind w:left="-420" w:leftChars="-200" w:firstLine="0" w:firstLineChars="0"/>
        <w:jc w:val="center"/>
        <w:rPr>
          <w:rFonts w:hint="eastAsia" w:ascii="宋体" w:hAnsi="宋体" w:eastAsia="宋体" w:cs="宋体"/>
          <w:b/>
          <w:color w:val="auto"/>
          <w:sz w:val="28"/>
          <w:szCs w:val="28"/>
          <w:highlight w:val="none"/>
          <w:lang w:eastAsia="zh-CN"/>
        </w:rPr>
      </w:pPr>
      <w:bookmarkStart w:id="43" w:name="_Toc449028875"/>
      <w:r>
        <w:rPr>
          <w:rFonts w:hint="eastAsia" w:ascii="宋体" w:hAnsi="宋体" w:eastAsia="宋体" w:cs="宋体"/>
          <w:b/>
          <w:color w:val="auto"/>
          <w:sz w:val="28"/>
          <w:szCs w:val="28"/>
          <w:highlight w:val="none"/>
        </w:rPr>
        <w:t>（八）</w:t>
      </w:r>
      <w:bookmarkEnd w:id="43"/>
      <w:r>
        <w:rPr>
          <w:rFonts w:hint="eastAsia" w:ascii="宋体" w:hAnsi="宋体" w:cs="宋体"/>
          <w:b/>
          <w:color w:val="auto"/>
          <w:sz w:val="28"/>
          <w:szCs w:val="28"/>
          <w:highlight w:val="none"/>
          <w:lang w:val="en-US" w:eastAsia="zh-CN"/>
        </w:rPr>
        <w:t>投诉</w:t>
      </w:r>
    </w:p>
    <w:p w14:paraId="539744AE">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39. </w:t>
      </w:r>
      <w:r>
        <w:rPr>
          <w:rFonts w:hint="eastAsia" w:ascii="宋体" w:hAnsi="宋体" w:cs="宋体"/>
          <w:b/>
          <w:color w:val="auto"/>
          <w:szCs w:val="21"/>
          <w:highlight w:val="none"/>
          <w:lang w:val="en-US" w:eastAsia="zh-CN"/>
        </w:rPr>
        <w:t>投诉</w:t>
      </w:r>
    </w:p>
    <w:p w14:paraId="1CA6CD96">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Times New Roman" w:eastAsia="宋体" w:cs="Times New Roman"/>
          <w:color w:val="auto"/>
          <w:kern w:val="10"/>
          <w:szCs w:val="21"/>
          <w:highlight w:val="none"/>
        </w:rPr>
      </w:pPr>
      <w:bookmarkStart w:id="44" w:name="_Toc58430316"/>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.1投标人或者其他利害关系人认为招标投标活动违反法律、法规和规章规定的，有权向相关行政监督部门投诉。投诉应当有明确的请求和必要的证明材料。</w:t>
      </w:r>
    </w:p>
    <w:p w14:paraId="38576950">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.2投标人和其他利害关系人对招标文件、开标和评标结果事项投诉的，应当按照投标人须知的规定先向招标人提出异议。异议答复期间不计算在规定的期限内。</w:t>
      </w:r>
    </w:p>
    <w:p w14:paraId="5368DD7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br w:type="page"/>
      </w:r>
      <w:r>
        <w:rPr>
          <w:rFonts w:hint="eastAsia" w:ascii="宋体"/>
          <w:b/>
          <w:color w:val="auto"/>
          <w:sz w:val="32"/>
          <w:szCs w:val="32"/>
          <w:highlight w:val="none"/>
        </w:rPr>
        <w:t>第三章 评标办法</w:t>
      </w:r>
      <w:bookmarkEnd w:id="44"/>
    </w:p>
    <w:p w14:paraId="77B91577">
      <w:pPr>
        <w:spacing w:before="156" w:beforeLines="50" w:after="156" w:afterLines="50" w:line="440" w:lineRule="exact"/>
        <w:jc w:val="center"/>
        <w:outlineLvl w:val="1"/>
        <w:rPr>
          <w:rFonts w:hint="eastAsia" w:ascii="宋体"/>
          <w:b/>
          <w:color w:val="auto"/>
          <w:sz w:val="28"/>
          <w:szCs w:val="28"/>
          <w:highlight w:val="none"/>
        </w:rPr>
      </w:pPr>
      <w:bookmarkStart w:id="45" w:name="_Toc362983801"/>
      <w:bookmarkStart w:id="46" w:name="_Toc58430317"/>
      <w:bookmarkStart w:id="47" w:name="_Toc449028877"/>
      <w:bookmarkStart w:id="48" w:name="_Toc267320058"/>
      <w:bookmarkStart w:id="49" w:name="_Toc363135205"/>
      <w:r>
        <w:rPr>
          <w:rFonts w:hint="eastAsia" w:ascii="宋体"/>
          <w:b/>
          <w:color w:val="auto"/>
          <w:sz w:val="28"/>
          <w:szCs w:val="28"/>
          <w:highlight w:val="none"/>
        </w:rPr>
        <w:t>一、总则</w:t>
      </w:r>
      <w:bookmarkEnd w:id="45"/>
      <w:bookmarkEnd w:id="46"/>
      <w:bookmarkEnd w:id="47"/>
    </w:p>
    <w:p w14:paraId="4DA06D06">
      <w:pPr>
        <w:keepNext w:val="0"/>
        <w:keepLines w:val="0"/>
        <w:pageBreakBefore w:val="0"/>
        <w:widowControl w:val="0"/>
        <w:kinsoku/>
        <w:wordWrap/>
        <w:overflowPunct/>
        <w:topLinePunct w:val="0"/>
        <w:autoSpaceDE/>
        <w:autoSpaceDN/>
        <w:bidi w:val="0"/>
        <w:adjustRightInd/>
        <w:snapToGrid/>
        <w:spacing w:line="500" w:lineRule="exact"/>
        <w:ind w:firstLine="316" w:firstLineChars="150"/>
        <w:jc w:val="left"/>
        <w:textAlignment w:val="auto"/>
        <w:rPr>
          <w:rFonts w:hint="eastAsia" w:ascii="宋体"/>
          <w:b/>
          <w:color w:val="auto"/>
          <w:szCs w:val="21"/>
          <w:highlight w:val="none"/>
        </w:rPr>
      </w:pPr>
      <w:bookmarkStart w:id="50" w:name="_Toc362983802"/>
      <w:bookmarkStart w:id="51" w:name="_Toc449028878"/>
      <w:bookmarkStart w:id="52" w:name="_Toc58430318"/>
      <w:r>
        <w:rPr>
          <w:rFonts w:hint="eastAsia" w:ascii="宋体"/>
          <w:b/>
          <w:color w:val="auto"/>
          <w:szCs w:val="21"/>
          <w:highlight w:val="none"/>
        </w:rPr>
        <w:t xml:space="preserve"> 1. 本次评标采用综合评分法</w:t>
      </w:r>
    </w:p>
    <w:p w14:paraId="5DD2B3C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olor w:val="auto"/>
          <w:szCs w:val="21"/>
          <w:highlight w:val="none"/>
        </w:rPr>
      </w:pPr>
      <w:r>
        <w:rPr>
          <w:rFonts w:hint="eastAsia" w:ascii="宋体"/>
          <w:color w:val="auto"/>
          <w:szCs w:val="21"/>
          <w:highlight w:val="none"/>
        </w:rPr>
        <w:t>1.1综合评分法是指投标文件满足招标文件全部实质性要求且按照评审因素的量化指标评审总得分从高到低的供应商为中标候选人的评标方法。</w:t>
      </w:r>
    </w:p>
    <w:p w14:paraId="0594B1C6">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1.2综合评分法一般适用于较为复杂、评价指标难以量化且价格为非主要因素的非标准定制商品和非通用服务项目的项目评审。</w:t>
      </w:r>
    </w:p>
    <w:p w14:paraId="7C53964E">
      <w:pPr>
        <w:keepNext w:val="0"/>
        <w:keepLines w:val="0"/>
        <w:pageBreakBefore w:val="0"/>
        <w:widowControl w:val="0"/>
        <w:kinsoku/>
        <w:wordWrap/>
        <w:overflowPunct/>
        <w:topLinePunct w:val="0"/>
        <w:autoSpaceDE/>
        <w:autoSpaceDN/>
        <w:bidi w:val="0"/>
        <w:adjustRightInd/>
        <w:snapToGrid/>
        <w:spacing w:line="500" w:lineRule="exact"/>
        <w:ind w:firstLine="422" w:firstLineChars="200"/>
        <w:jc w:val="left"/>
        <w:textAlignment w:val="auto"/>
        <w:rPr>
          <w:rFonts w:hint="eastAsia" w:ascii="宋体"/>
          <w:b/>
          <w:color w:val="auto"/>
          <w:szCs w:val="21"/>
          <w:highlight w:val="none"/>
        </w:rPr>
      </w:pPr>
      <w:r>
        <w:rPr>
          <w:rFonts w:hint="eastAsia" w:ascii="宋体"/>
          <w:b/>
          <w:color w:val="auto"/>
          <w:szCs w:val="21"/>
          <w:highlight w:val="none"/>
        </w:rPr>
        <w:t>2．评标程序</w:t>
      </w:r>
    </w:p>
    <w:p w14:paraId="26AB7B8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2.1投标文件的初审</w:t>
      </w:r>
    </w:p>
    <w:p w14:paraId="0CD1CC5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1855C4F7">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320F1CD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2.2投标文件的澄清</w:t>
      </w:r>
    </w:p>
    <w:p w14:paraId="5665DDD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w:t>
      </w:r>
      <w:r>
        <w:rPr>
          <w:rFonts w:hint="eastAsia" w:ascii="宋体"/>
          <w:color w:val="auto"/>
          <w:szCs w:val="21"/>
          <w:highlight w:val="none"/>
          <w:lang w:val="en-US" w:eastAsia="zh-CN"/>
        </w:rPr>
        <w:t>服务期限</w:t>
      </w:r>
      <w:r>
        <w:rPr>
          <w:rFonts w:hint="eastAsia" w:ascii="宋体"/>
          <w:color w:val="auto"/>
          <w:szCs w:val="21"/>
          <w:highlight w:val="none"/>
        </w:rPr>
        <w:t>、自报质量等实质性内容。</w:t>
      </w:r>
    </w:p>
    <w:p w14:paraId="666E820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66809A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2.2.3招标人不接受投标人主动提出的澄清。</w:t>
      </w:r>
    </w:p>
    <w:p w14:paraId="20AF6AF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2.3比较与评价</w:t>
      </w:r>
    </w:p>
    <w:p w14:paraId="5BD7217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w:t>
      </w:r>
      <w:r>
        <w:rPr>
          <w:rFonts w:hint="eastAsia" w:ascii="宋体"/>
          <w:color w:val="auto"/>
          <w:szCs w:val="21"/>
          <w:highlight w:val="none"/>
          <w:lang w:val="en-US" w:eastAsia="zh-CN"/>
        </w:rPr>
        <w:t>行</w:t>
      </w:r>
      <w:r>
        <w:rPr>
          <w:rFonts w:hint="eastAsia" w:ascii="宋体"/>
          <w:color w:val="auto"/>
          <w:szCs w:val="21"/>
          <w:highlight w:val="none"/>
        </w:rPr>
        <w:t xml:space="preserve">综合比较与评价。 </w:t>
      </w:r>
    </w:p>
    <w:p w14:paraId="58797B22">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2.4推荐中标候选人名单</w:t>
      </w:r>
    </w:p>
    <w:p w14:paraId="110BD1D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A6FDD7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51F0A325">
      <w:pPr>
        <w:jc w:val="center"/>
        <w:outlineLvl w:val="1"/>
        <w:rPr>
          <w:rFonts w:hint="eastAsia" w:ascii="宋体"/>
          <w:b/>
          <w:color w:val="auto"/>
          <w:sz w:val="28"/>
          <w:szCs w:val="28"/>
          <w:highlight w:val="none"/>
        </w:rPr>
      </w:pPr>
      <w:r>
        <w:rPr>
          <w:rFonts w:hint="eastAsia" w:ascii="宋体"/>
          <w:b/>
          <w:color w:val="auto"/>
          <w:sz w:val="28"/>
          <w:szCs w:val="28"/>
          <w:highlight w:val="none"/>
        </w:rPr>
        <w:t>二、投标文件初审</w:t>
      </w:r>
      <w:bookmarkEnd w:id="50"/>
      <w:bookmarkEnd w:id="51"/>
      <w:bookmarkEnd w:id="52"/>
    </w:p>
    <w:p w14:paraId="51BB9995">
      <w:pPr>
        <w:keepNext w:val="0"/>
        <w:keepLines w:val="0"/>
        <w:pageBreakBefore w:val="0"/>
        <w:widowControl w:val="0"/>
        <w:kinsoku/>
        <w:wordWrap/>
        <w:overflowPunct/>
        <w:topLinePunct w:val="0"/>
        <w:autoSpaceDE/>
        <w:autoSpaceDN/>
        <w:bidi w:val="0"/>
        <w:adjustRightInd/>
        <w:snapToGrid/>
        <w:spacing w:line="500" w:lineRule="exact"/>
        <w:ind w:firstLine="310" w:firstLineChars="147"/>
        <w:textAlignment w:val="auto"/>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6A45A2E7">
      <w:pPr>
        <w:keepNext w:val="0"/>
        <w:keepLines w:val="0"/>
        <w:pageBreakBefore w:val="0"/>
        <w:widowControl w:val="0"/>
        <w:kinsoku/>
        <w:wordWrap/>
        <w:overflowPunct/>
        <w:topLinePunct w:val="0"/>
        <w:autoSpaceDE/>
        <w:autoSpaceDN/>
        <w:bidi w:val="0"/>
        <w:adjustRightInd/>
        <w:snapToGrid/>
        <w:spacing w:line="500" w:lineRule="exact"/>
        <w:ind w:firstLine="308" w:firstLineChars="147"/>
        <w:textAlignment w:val="auto"/>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4"/>
        <w:tblW w:w="993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66"/>
        <w:gridCol w:w="3368"/>
        <w:gridCol w:w="4492"/>
      </w:tblGrid>
      <w:tr w14:paraId="6D98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noWrap w:val="0"/>
            <w:vAlign w:val="center"/>
          </w:tcPr>
          <w:p w14:paraId="256B2D8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734" w:type="dxa"/>
            <w:gridSpan w:val="2"/>
            <w:noWrap w:val="0"/>
            <w:vAlign w:val="center"/>
          </w:tcPr>
          <w:p w14:paraId="317DFDD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4492" w:type="dxa"/>
            <w:noWrap w:val="0"/>
            <w:vAlign w:val="center"/>
          </w:tcPr>
          <w:p w14:paraId="12EF04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008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4" w:type="dxa"/>
            <w:noWrap w:val="0"/>
            <w:vAlign w:val="center"/>
          </w:tcPr>
          <w:p w14:paraId="1285CBF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366" w:type="dxa"/>
            <w:noWrap w:val="0"/>
            <w:vAlign w:val="center"/>
          </w:tcPr>
          <w:p w14:paraId="3C5C53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368" w:type="dxa"/>
            <w:noWrap w:val="0"/>
            <w:vAlign w:val="center"/>
          </w:tcPr>
          <w:p w14:paraId="308A1E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4492" w:type="dxa"/>
            <w:noWrap w:val="0"/>
            <w:vAlign w:val="center"/>
          </w:tcPr>
          <w:p w14:paraId="4B0BE00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31FC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restart"/>
            <w:noWrap w:val="0"/>
            <w:vAlign w:val="center"/>
          </w:tcPr>
          <w:p w14:paraId="16220C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w:t>
            </w:r>
          </w:p>
        </w:tc>
        <w:tc>
          <w:tcPr>
            <w:tcW w:w="1366" w:type="dxa"/>
            <w:vMerge w:val="restart"/>
            <w:noWrap w:val="0"/>
            <w:vAlign w:val="center"/>
          </w:tcPr>
          <w:p w14:paraId="4C5588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368" w:type="dxa"/>
            <w:noWrap w:val="0"/>
            <w:vAlign w:val="center"/>
          </w:tcPr>
          <w:p w14:paraId="0F7F30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具有独立承担民事责任能力和相应服务能力</w:t>
            </w:r>
          </w:p>
        </w:tc>
        <w:tc>
          <w:tcPr>
            <w:tcW w:w="4492" w:type="dxa"/>
            <w:noWrap w:val="0"/>
            <w:vAlign w:val="center"/>
          </w:tcPr>
          <w:p w14:paraId="041A0B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b/>
                <w:color w:val="auto"/>
                <w:szCs w:val="21"/>
                <w:highlight w:val="none"/>
              </w:rPr>
              <w:t>评审核验</w:t>
            </w:r>
            <w:r>
              <w:rPr>
                <w:rFonts w:hint="eastAsia" w:ascii="宋体" w:hAnsi="宋体" w:cs="宋体"/>
                <w:b/>
                <w:color w:val="auto"/>
                <w:szCs w:val="21"/>
                <w:highlight w:val="none"/>
                <w:lang w:val="en-US" w:eastAsia="zh-CN"/>
              </w:rPr>
              <w:t>投标文件</w:t>
            </w:r>
            <w:r>
              <w:rPr>
                <w:rFonts w:hint="eastAsia" w:ascii="宋体" w:hAnsi="宋体" w:cs="宋体"/>
                <w:b/>
                <w:color w:val="auto"/>
                <w:szCs w:val="21"/>
                <w:highlight w:val="none"/>
              </w:rPr>
              <w:t>中的下列证书、证明材料：</w:t>
            </w:r>
          </w:p>
          <w:p w14:paraId="70F38C3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Cs w:val="21"/>
                <w:highlight w:val="none"/>
                <w:lang w:val="en-US" w:eastAsia="zh-CN"/>
              </w:rPr>
            </w:pPr>
            <w:r>
              <w:rPr>
                <w:rFonts w:hint="eastAsia" w:ascii="宋体"/>
                <w:color w:val="auto"/>
                <w:szCs w:val="21"/>
                <w:highlight w:val="none"/>
                <w:lang w:val="en-US" w:eastAsia="zh-CN"/>
              </w:rPr>
              <w:t>有效的营业执照</w:t>
            </w:r>
          </w:p>
        </w:tc>
      </w:tr>
      <w:tr w14:paraId="3BC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continue"/>
            <w:noWrap w:val="0"/>
            <w:vAlign w:val="center"/>
          </w:tcPr>
          <w:p w14:paraId="54902A1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p>
        </w:tc>
        <w:tc>
          <w:tcPr>
            <w:tcW w:w="1366" w:type="dxa"/>
            <w:vMerge w:val="continue"/>
            <w:noWrap w:val="0"/>
            <w:vAlign w:val="center"/>
          </w:tcPr>
          <w:p w14:paraId="715C6C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3368" w:type="dxa"/>
            <w:shd w:val="clear" w:color="auto" w:fill="auto"/>
            <w:noWrap w:val="0"/>
            <w:vAlign w:val="center"/>
          </w:tcPr>
          <w:p w14:paraId="67A29F1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w:t>
            </w:r>
          </w:p>
        </w:tc>
        <w:tc>
          <w:tcPr>
            <w:tcW w:w="4492" w:type="dxa"/>
            <w:shd w:val="clear" w:color="auto" w:fill="auto"/>
            <w:noWrap w:val="0"/>
            <w:vAlign w:val="center"/>
          </w:tcPr>
          <w:p w14:paraId="126BB63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03BD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1EC5F97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p>
        </w:tc>
        <w:tc>
          <w:tcPr>
            <w:tcW w:w="1366" w:type="dxa"/>
            <w:vMerge w:val="continue"/>
            <w:noWrap w:val="0"/>
            <w:vAlign w:val="center"/>
          </w:tcPr>
          <w:p w14:paraId="41C2EDC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3368" w:type="dxa"/>
            <w:shd w:val="clear" w:color="auto" w:fill="auto"/>
            <w:noWrap w:val="0"/>
            <w:vAlign w:val="center"/>
          </w:tcPr>
          <w:p w14:paraId="3B6AD35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18030"/>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4）项目组人员配备表、人员有效身份证及对应证书；</w:t>
            </w:r>
          </w:p>
        </w:tc>
        <w:tc>
          <w:tcPr>
            <w:tcW w:w="4492" w:type="dxa"/>
            <w:shd w:val="clear" w:color="auto" w:fill="auto"/>
            <w:noWrap w:val="0"/>
            <w:vAlign w:val="center"/>
          </w:tcPr>
          <w:p w14:paraId="351A35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27F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4" w:type="dxa"/>
            <w:vMerge w:val="continue"/>
            <w:noWrap w:val="0"/>
            <w:vAlign w:val="center"/>
          </w:tcPr>
          <w:p w14:paraId="5F4128C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p>
        </w:tc>
        <w:tc>
          <w:tcPr>
            <w:tcW w:w="1366" w:type="dxa"/>
            <w:vMerge w:val="continue"/>
            <w:noWrap w:val="0"/>
            <w:vAlign w:val="center"/>
          </w:tcPr>
          <w:p w14:paraId="788A23E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3368" w:type="dxa"/>
            <w:noWrap w:val="0"/>
            <w:vAlign w:val="top"/>
          </w:tcPr>
          <w:p w14:paraId="6006696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）诚信投标承诺书</w:t>
            </w:r>
          </w:p>
        </w:tc>
        <w:tc>
          <w:tcPr>
            <w:tcW w:w="4492" w:type="dxa"/>
            <w:noWrap w:val="0"/>
            <w:vAlign w:val="top"/>
          </w:tcPr>
          <w:p w14:paraId="3EDC332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4BC832D8">
      <w:pPr>
        <w:keepNext w:val="0"/>
        <w:keepLines w:val="0"/>
        <w:pageBreakBefore w:val="0"/>
        <w:widowControl w:val="0"/>
        <w:kinsoku/>
        <w:wordWrap/>
        <w:overflowPunct/>
        <w:topLinePunct w:val="0"/>
        <w:autoSpaceDE/>
        <w:autoSpaceDN/>
        <w:bidi w:val="0"/>
        <w:adjustRightInd/>
        <w:snapToGrid/>
        <w:spacing w:line="500" w:lineRule="exact"/>
        <w:ind w:firstLine="508" w:firstLineChars="241"/>
        <w:textAlignment w:val="auto"/>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w:t>
      </w:r>
      <w:r>
        <w:rPr>
          <w:rFonts w:hint="eastAsia" w:ascii="宋体" w:hAnsi="宋体" w:cs="宋体"/>
          <w:b/>
          <w:color w:val="auto"/>
          <w:szCs w:val="21"/>
          <w:highlight w:val="none"/>
          <w:lang w:val="en-US" w:eastAsia="zh-CN"/>
        </w:rPr>
        <w:t>检验</w:t>
      </w:r>
      <w:r>
        <w:rPr>
          <w:rFonts w:hint="eastAsia" w:ascii="宋体" w:hAnsi="宋体" w:cs="宋体"/>
          <w:b/>
          <w:color w:val="auto"/>
          <w:szCs w:val="21"/>
          <w:highlight w:val="none"/>
        </w:rPr>
        <w:t>投标文件过程中，如果由于投标人自身原因导致评标专家无法查看并检验投标文件中相关资料的，否决其投标。即使投标人将原件携带至现场的，同样按否决投标处理。</w:t>
      </w:r>
    </w:p>
    <w:p w14:paraId="06CA4B4D">
      <w:pPr>
        <w:keepNext w:val="0"/>
        <w:keepLines w:val="0"/>
        <w:pageBreakBefore w:val="0"/>
        <w:widowControl w:val="0"/>
        <w:kinsoku/>
        <w:wordWrap/>
        <w:overflowPunct/>
        <w:topLinePunct w:val="0"/>
        <w:autoSpaceDE/>
        <w:autoSpaceDN/>
        <w:bidi w:val="0"/>
        <w:adjustRightInd/>
        <w:snapToGrid/>
        <w:spacing w:line="500" w:lineRule="exact"/>
        <w:ind w:firstLine="310" w:firstLineChars="147"/>
        <w:textAlignment w:val="auto"/>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4C12151B">
      <w:pPr>
        <w:keepNext w:val="0"/>
        <w:keepLines w:val="0"/>
        <w:pageBreakBefore w:val="0"/>
        <w:widowControl w:val="0"/>
        <w:kinsoku/>
        <w:wordWrap/>
        <w:overflowPunct/>
        <w:topLinePunct w:val="0"/>
        <w:autoSpaceDE/>
        <w:autoSpaceDN/>
        <w:bidi w:val="0"/>
        <w:adjustRightInd/>
        <w:snapToGrid/>
        <w:spacing w:line="500" w:lineRule="exact"/>
        <w:ind w:firstLine="315" w:firstLineChars="150"/>
        <w:textAlignment w:val="auto"/>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7C64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0EE0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135" w:type="dxa"/>
            <w:gridSpan w:val="2"/>
            <w:noWrap w:val="0"/>
            <w:vAlign w:val="center"/>
          </w:tcPr>
          <w:p w14:paraId="60D2CE1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173" w:type="dxa"/>
            <w:noWrap w:val="0"/>
            <w:vAlign w:val="center"/>
          </w:tcPr>
          <w:p w14:paraId="6DE2F9B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3D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798D3F5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204" w:type="dxa"/>
            <w:vMerge w:val="restart"/>
            <w:noWrap w:val="0"/>
            <w:vAlign w:val="center"/>
          </w:tcPr>
          <w:p w14:paraId="7725307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94795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173" w:type="dxa"/>
            <w:noWrap w:val="0"/>
            <w:vAlign w:val="center"/>
          </w:tcPr>
          <w:p w14:paraId="70C044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tc>
      </w:tr>
      <w:tr w14:paraId="5E9C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463B27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14A508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099908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173" w:type="dxa"/>
            <w:noWrap w:val="0"/>
            <w:vAlign w:val="center"/>
          </w:tcPr>
          <w:p w14:paraId="4EC3E4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82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60B973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06E85D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26DCF9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173" w:type="dxa"/>
            <w:noWrap w:val="0"/>
            <w:vAlign w:val="center"/>
          </w:tcPr>
          <w:p w14:paraId="22B258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0D8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3371071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5F1813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4F2754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173" w:type="dxa"/>
            <w:noWrap w:val="0"/>
            <w:vAlign w:val="center"/>
          </w:tcPr>
          <w:p w14:paraId="3AEEF6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B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621D1E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w:t>
            </w:r>
          </w:p>
        </w:tc>
        <w:tc>
          <w:tcPr>
            <w:tcW w:w="1204" w:type="dxa"/>
            <w:vMerge w:val="restart"/>
            <w:noWrap w:val="0"/>
            <w:vAlign w:val="center"/>
          </w:tcPr>
          <w:p w14:paraId="2F38654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6B20B0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173" w:type="dxa"/>
            <w:noWrap w:val="0"/>
            <w:vAlign w:val="center"/>
          </w:tcPr>
          <w:p w14:paraId="3F3AC3A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网上递交一份</w:t>
            </w:r>
          </w:p>
        </w:tc>
      </w:tr>
      <w:tr w14:paraId="64F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FBA661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6A942C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6F3AA6E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173" w:type="dxa"/>
            <w:noWrap w:val="0"/>
            <w:vAlign w:val="center"/>
          </w:tcPr>
          <w:p w14:paraId="5F49F39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625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2A9DB8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p>
        </w:tc>
        <w:tc>
          <w:tcPr>
            <w:tcW w:w="1204" w:type="dxa"/>
            <w:vMerge w:val="restart"/>
            <w:noWrap w:val="0"/>
            <w:vAlign w:val="center"/>
          </w:tcPr>
          <w:p w14:paraId="7F90CC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2EE70FE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（7）采购需求响应程度</w:t>
            </w:r>
          </w:p>
        </w:tc>
        <w:tc>
          <w:tcPr>
            <w:tcW w:w="4173" w:type="dxa"/>
            <w:noWrap w:val="0"/>
            <w:vAlign w:val="center"/>
          </w:tcPr>
          <w:p w14:paraId="4ABF45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r w14:paraId="52D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BEC77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6258B2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5998BA8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（8）商务条款响应程度（包括供货期、售后服务、技术培训等）</w:t>
            </w:r>
          </w:p>
        </w:tc>
        <w:tc>
          <w:tcPr>
            <w:tcW w:w="4173" w:type="dxa"/>
            <w:noWrap w:val="0"/>
            <w:vAlign w:val="center"/>
          </w:tcPr>
          <w:p w14:paraId="3D5CC60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bl>
    <w:p w14:paraId="155964BF">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w:t>
      </w:r>
    </w:p>
    <w:p w14:paraId="6F602920">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5D34CF74">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B8E4D7">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1C20D872">
      <w:pPr>
        <w:jc w:val="center"/>
        <w:outlineLvl w:val="1"/>
        <w:rPr>
          <w:rFonts w:hint="eastAsia" w:ascii="宋体" w:hAnsi="Times New Roman" w:eastAsia="宋体" w:cs="Times New Roman"/>
          <w:b/>
          <w:color w:val="auto"/>
          <w:sz w:val="28"/>
          <w:szCs w:val="28"/>
          <w:highlight w:val="none"/>
        </w:rPr>
      </w:pPr>
      <w:bookmarkStart w:id="53" w:name="_Toc362983803"/>
      <w:bookmarkStart w:id="54" w:name="_Toc449028879"/>
      <w:bookmarkStart w:id="55" w:name="_Toc58430319"/>
      <w:r>
        <w:rPr>
          <w:rFonts w:hint="eastAsia" w:ascii="宋体" w:hAnsi="Times New Roman" w:eastAsia="宋体" w:cs="Times New Roman"/>
          <w:b/>
          <w:color w:val="auto"/>
          <w:sz w:val="28"/>
          <w:szCs w:val="28"/>
          <w:highlight w:val="none"/>
        </w:rPr>
        <w:t>三、投标文件的澄清和补正</w:t>
      </w:r>
      <w:bookmarkEnd w:id="53"/>
      <w:bookmarkEnd w:id="54"/>
      <w:bookmarkEnd w:id="55"/>
    </w:p>
    <w:p w14:paraId="3228516B">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F8B2EC5">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5.2投标人的澄清、说明或者补正应当在系统进行，但不得超出投标文件的范围或者改变投标文件的实质性内容。</w:t>
      </w:r>
    </w:p>
    <w:p w14:paraId="2DFB6C21">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5.3评委会修正错误的原则：</w:t>
      </w:r>
    </w:p>
    <w:p w14:paraId="4125A76F">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5DA1DB0">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5808B74A">
      <w:pPr>
        <w:keepNext w:val="0"/>
        <w:keepLines w:val="0"/>
        <w:pageBreakBefore w:val="0"/>
        <w:widowControl w:val="0"/>
        <w:kinsoku/>
        <w:wordWrap/>
        <w:overflowPunct/>
        <w:topLinePunct w:val="0"/>
        <w:autoSpaceDE/>
        <w:autoSpaceDN/>
        <w:bidi w:val="0"/>
        <w:adjustRightInd/>
        <w:snapToGrid/>
        <w:spacing w:line="500" w:lineRule="exact"/>
        <w:ind w:firstLine="403" w:firstLineChars="192"/>
        <w:jc w:val="left"/>
        <w:textAlignment w:val="auto"/>
        <w:rPr>
          <w:rFonts w:hint="eastAsia" w:ascii="宋体"/>
          <w:b/>
          <w:color w:val="auto"/>
          <w:szCs w:val="21"/>
          <w:highlight w:val="none"/>
        </w:rPr>
      </w:pPr>
      <w:r>
        <w:rPr>
          <w:rFonts w:hint="eastAsia" w:ascii="宋体"/>
          <w:color w:val="auto"/>
          <w:szCs w:val="21"/>
          <w:highlight w:val="none"/>
        </w:rPr>
        <w:t xml:space="preserve"> 5.4评委会将按上述修正错误的方法调整投标文件中的投标报价，调整后的价格应对投标人具有约束力。无论投标人是接受或是拒绝调整后的价格，都应当由投标人在系统中确认。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bookmarkStart w:id="56" w:name="_Toc449028880"/>
      <w:bookmarkStart w:id="57" w:name="_Toc58430320"/>
    </w:p>
    <w:p w14:paraId="4E078817">
      <w:pPr>
        <w:jc w:val="center"/>
        <w:outlineLvl w:val="1"/>
        <w:rPr>
          <w:rFonts w:hint="eastAsia"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四、比较与评价</w:t>
      </w:r>
      <w:bookmarkEnd w:id="56"/>
      <w:bookmarkEnd w:id="57"/>
    </w:p>
    <w:p w14:paraId="117055AF">
      <w:pPr>
        <w:keepNext w:val="0"/>
        <w:keepLines w:val="0"/>
        <w:pageBreakBefore w:val="0"/>
        <w:widowControl w:val="0"/>
        <w:kinsoku/>
        <w:wordWrap/>
        <w:overflowPunct/>
        <w:topLinePunct w:val="0"/>
        <w:autoSpaceDE/>
        <w:autoSpaceDN/>
        <w:bidi w:val="0"/>
        <w:snapToGrid/>
        <w:spacing w:line="500" w:lineRule="exact"/>
        <w:ind w:right="36" w:rightChars="17" w:firstLine="0" w:firstLineChars="0"/>
        <w:jc w:val="left"/>
        <w:textAlignment w:val="auto"/>
        <w:rPr>
          <w:rFonts w:ascii="宋体" w:hAnsi="宋体" w:cs="宋体"/>
          <w:b/>
          <w:color w:val="auto"/>
          <w:szCs w:val="21"/>
          <w:highlight w:val="none"/>
        </w:rPr>
      </w:pPr>
      <w:r>
        <w:rPr>
          <w:rFonts w:hint="eastAsia" w:ascii="宋体" w:hAnsi="宋体" w:eastAsia="宋体" w:cs="宋体"/>
          <w:b/>
          <w:color w:val="auto"/>
          <w:sz w:val="21"/>
          <w:szCs w:val="21"/>
          <w:highlight w:val="none"/>
        </w:rPr>
        <w:t xml:space="preserve"> </w:t>
      </w:r>
      <w:bookmarkStart w:id="58" w:name="_Toc449028881"/>
      <w:bookmarkStart w:id="59" w:name="_Toc362983805"/>
      <w:r>
        <w:rPr>
          <w:rFonts w:hint="eastAsia" w:ascii="宋体" w:hAnsi="宋体" w:cs="宋体"/>
          <w:b/>
          <w:color w:val="auto"/>
          <w:szCs w:val="21"/>
          <w:highlight w:val="none"/>
        </w:rPr>
        <w:t>6.详细评审即按招标文件中规定的评标方法和标准，评标委员会将对通过初审的投标文件，进行综合比较与评价。</w:t>
      </w:r>
    </w:p>
    <w:tbl>
      <w:tblPr>
        <w:tblStyle w:val="34"/>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11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2984BB7B">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bookmarkStart w:id="60" w:name="_Toc58430321"/>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6D65D72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70D6E3F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08548695">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6481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3FAA153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4493F1E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项目类似业绩</w:t>
            </w:r>
          </w:p>
        </w:tc>
        <w:tc>
          <w:tcPr>
            <w:tcW w:w="840" w:type="dxa"/>
            <w:shd w:val="clear" w:color="auto" w:fill="auto"/>
            <w:noWrap/>
            <w:vAlign w:val="center"/>
          </w:tcPr>
          <w:p w14:paraId="0B2EDEB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20分</w:t>
            </w:r>
          </w:p>
        </w:tc>
        <w:tc>
          <w:tcPr>
            <w:tcW w:w="7217" w:type="dxa"/>
            <w:shd w:val="clear" w:color="auto" w:fill="auto"/>
            <w:noWrap/>
            <w:vAlign w:val="center"/>
          </w:tcPr>
          <w:p w14:paraId="6CCFD787">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（1）企业业绩（8分）</w:t>
            </w:r>
          </w:p>
          <w:p w14:paraId="5D709CA3">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投标人自</w:t>
            </w:r>
            <w:r>
              <w:rPr>
                <w:rFonts w:hint="eastAsia" w:ascii="宋体" w:hAnsi="宋体" w:cs="宋体"/>
                <w:b w:val="0"/>
                <w:bCs w:val="0"/>
                <w:color w:val="auto"/>
                <w:sz w:val="21"/>
                <w:szCs w:val="21"/>
                <w:highlight w:val="none"/>
                <w:lang w:val="en-US" w:eastAsia="zh-CN"/>
              </w:rPr>
              <w:t>2023</w:t>
            </w:r>
            <w:r>
              <w:rPr>
                <w:rFonts w:hint="eastAsia" w:ascii="宋体" w:hAnsi="宋体" w:eastAsia="宋体" w:cs="宋体"/>
                <w:b w:val="0"/>
                <w:bCs w:val="0"/>
                <w:color w:val="auto"/>
                <w:sz w:val="21"/>
                <w:szCs w:val="21"/>
                <w:highlight w:val="none"/>
                <w:lang w:val="en-US" w:eastAsia="zh-CN"/>
              </w:rPr>
              <w:t>年1月1日至投标截止日，每完成过一个</w:t>
            </w:r>
            <w:r>
              <w:rPr>
                <w:rFonts w:hint="eastAsia" w:ascii="宋体" w:hAnsi="宋体" w:cs="宋体"/>
                <w:b w:val="0"/>
                <w:bCs w:val="0"/>
                <w:color w:val="auto"/>
                <w:sz w:val="21"/>
                <w:szCs w:val="21"/>
                <w:highlight w:val="none"/>
                <w:lang w:val="en-US" w:eastAsia="zh-CN"/>
              </w:rPr>
              <w:t>金额为1200万元及以上装饰装修</w:t>
            </w:r>
            <w:r>
              <w:rPr>
                <w:rFonts w:hint="eastAsia" w:ascii="宋体" w:hAnsi="宋体" w:eastAsia="宋体" w:cs="宋体"/>
                <w:b w:val="0"/>
                <w:bCs w:val="0"/>
                <w:color w:val="auto"/>
                <w:sz w:val="21"/>
                <w:szCs w:val="21"/>
                <w:highlight w:val="none"/>
                <w:lang w:val="en-US" w:eastAsia="zh-CN"/>
              </w:rPr>
              <w:t>项目</w:t>
            </w:r>
            <w:r>
              <w:rPr>
                <w:rFonts w:hint="eastAsia" w:ascii="宋体" w:hAnsi="宋体" w:cs="宋体"/>
                <w:b w:val="0"/>
                <w:bCs w:val="0"/>
                <w:color w:val="auto"/>
                <w:sz w:val="21"/>
                <w:szCs w:val="21"/>
                <w:highlight w:val="none"/>
                <w:lang w:val="en-US" w:eastAsia="zh-CN"/>
              </w:rPr>
              <w:t>的跟踪审计服务</w:t>
            </w:r>
            <w:r>
              <w:rPr>
                <w:rFonts w:hint="eastAsia" w:ascii="宋体" w:hAnsi="宋体" w:eastAsia="宋体" w:cs="宋体"/>
                <w:b w:val="0"/>
                <w:bCs w:val="0"/>
                <w:color w:val="auto"/>
                <w:sz w:val="21"/>
                <w:szCs w:val="21"/>
                <w:highlight w:val="none"/>
                <w:lang w:val="en-US" w:eastAsia="zh-CN"/>
              </w:rPr>
              <w:t>的得4分，本项满分8分。</w:t>
            </w:r>
          </w:p>
          <w:p w14:paraId="35D648DF">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（2）项目配备人员业绩（12分）</w:t>
            </w:r>
          </w:p>
          <w:p w14:paraId="514B713F">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投标人配备人员自</w:t>
            </w:r>
            <w:r>
              <w:rPr>
                <w:rFonts w:hint="eastAsia" w:ascii="宋体" w:hAnsi="宋体" w:cs="宋体"/>
                <w:b w:val="0"/>
                <w:bCs w:val="0"/>
                <w:color w:val="auto"/>
                <w:sz w:val="21"/>
                <w:szCs w:val="21"/>
                <w:highlight w:val="none"/>
                <w:lang w:val="en-US" w:eastAsia="zh-CN"/>
              </w:rPr>
              <w:t>2023</w:t>
            </w:r>
            <w:r>
              <w:rPr>
                <w:rFonts w:hint="eastAsia" w:ascii="宋体" w:hAnsi="宋体" w:eastAsia="宋体" w:cs="宋体"/>
                <w:b w:val="0"/>
                <w:bCs w:val="0"/>
                <w:color w:val="auto"/>
                <w:sz w:val="21"/>
                <w:szCs w:val="21"/>
                <w:highlight w:val="none"/>
                <w:lang w:val="en-US" w:eastAsia="zh-CN"/>
              </w:rPr>
              <w:t>年1月1日至投标截止日，每完成过一个</w:t>
            </w:r>
            <w:r>
              <w:rPr>
                <w:rFonts w:hint="eastAsia" w:ascii="宋体" w:hAnsi="宋体" w:cs="宋体"/>
                <w:b w:val="0"/>
                <w:bCs w:val="0"/>
                <w:color w:val="auto"/>
                <w:sz w:val="21"/>
                <w:szCs w:val="21"/>
                <w:highlight w:val="none"/>
                <w:lang w:val="en-US" w:eastAsia="zh-CN"/>
              </w:rPr>
              <w:t>金额为1200万元及以上装饰装修</w:t>
            </w:r>
            <w:r>
              <w:rPr>
                <w:rFonts w:hint="eastAsia" w:ascii="宋体" w:hAnsi="宋体" w:eastAsia="宋体" w:cs="宋体"/>
                <w:b w:val="0"/>
                <w:bCs w:val="0"/>
                <w:color w:val="auto"/>
                <w:sz w:val="21"/>
                <w:szCs w:val="21"/>
                <w:highlight w:val="none"/>
                <w:lang w:val="en-US" w:eastAsia="zh-CN"/>
              </w:rPr>
              <w:t>项目</w:t>
            </w:r>
            <w:r>
              <w:rPr>
                <w:rFonts w:hint="eastAsia" w:ascii="宋体" w:hAnsi="宋体" w:cs="宋体"/>
                <w:b w:val="0"/>
                <w:bCs w:val="0"/>
                <w:color w:val="auto"/>
                <w:sz w:val="21"/>
                <w:szCs w:val="21"/>
                <w:highlight w:val="none"/>
                <w:lang w:val="en-US" w:eastAsia="zh-CN"/>
              </w:rPr>
              <w:t>的跟踪审计服务</w:t>
            </w:r>
            <w:r>
              <w:rPr>
                <w:rFonts w:hint="eastAsia" w:ascii="宋体" w:hAnsi="宋体" w:eastAsia="宋体" w:cs="宋体"/>
                <w:b w:val="0"/>
                <w:bCs w:val="0"/>
                <w:color w:val="auto"/>
                <w:sz w:val="21"/>
                <w:szCs w:val="21"/>
                <w:highlight w:val="none"/>
                <w:lang w:val="en-US" w:eastAsia="zh-CN"/>
              </w:rPr>
              <w:t>的得4分，本项满分</w:t>
            </w:r>
            <w:r>
              <w:rPr>
                <w:rFonts w:hint="eastAsia" w:ascii="宋体" w:hAnsi="宋体" w:cs="宋体"/>
                <w:b w:val="0"/>
                <w:bCs w:val="0"/>
                <w:color w:val="auto"/>
                <w:sz w:val="21"/>
                <w:szCs w:val="21"/>
                <w:highlight w:val="none"/>
                <w:lang w:val="en-US" w:eastAsia="zh-CN"/>
              </w:rPr>
              <w:t>12</w:t>
            </w:r>
            <w:r>
              <w:rPr>
                <w:rFonts w:hint="eastAsia" w:ascii="宋体" w:hAnsi="宋体" w:eastAsia="宋体" w:cs="宋体"/>
                <w:b w:val="0"/>
                <w:bCs w:val="0"/>
                <w:color w:val="auto"/>
                <w:sz w:val="21"/>
                <w:szCs w:val="21"/>
                <w:highlight w:val="none"/>
                <w:lang w:val="en-US" w:eastAsia="zh-CN"/>
              </w:rPr>
              <w:t>分。其中项目负责人应至少有1项业绩，否则此项不得分。</w:t>
            </w:r>
          </w:p>
          <w:p w14:paraId="424D8A9A">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w:t>
            </w:r>
          </w:p>
          <w:p w14:paraId="0EF62065">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（1）一人只能提供一项业绩，项目配备人员业绩与企业业绩可重复计算；</w:t>
            </w:r>
          </w:p>
          <w:p w14:paraId="168553D2">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（2）同一项目成果文件由多人参与签字盖章的，只计算一个人业绩，其他人员不再计算；</w:t>
            </w:r>
          </w:p>
          <w:p w14:paraId="3BFBF777">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（3）投标人独立承担的或作为联合体成员参与的项目（已完成）业绩均予以认可；</w:t>
            </w:r>
          </w:p>
          <w:p w14:paraId="2C8D75BA">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（4）投标文件应提供的业绩证明材料：</w:t>
            </w:r>
          </w:p>
          <w:p w14:paraId="342C28B8">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fldChar w:fldCharType="begin"/>
            </w:r>
            <w:r>
              <w:rPr>
                <w:rFonts w:hint="eastAsia" w:ascii="宋体" w:hAnsi="宋体" w:eastAsia="宋体" w:cs="宋体"/>
                <w:b/>
                <w:bCs/>
                <w:color w:val="auto"/>
                <w:sz w:val="21"/>
                <w:szCs w:val="21"/>
                <w:highlight w:val="none"/>
                <w:lang w:val="en-US" w:eastAsia="zh-CN"/>
              </w:rPr>
              <w:instrText xml:space="preserve"> = 1 \* GB3 \* MERGEFORMAT </w:instrText>
            </w:r>
            <w:r>
              <w:rPr>
                <w:rFonts w:hint="eastAsia" w:ascii="宋体" w:hAnsi="宋体" w:eastAsia="宋体" w:cs="宋体"/>
                <w:b/>
                <w:bCs/>
                <w:color w:val="auto"/>
                <w:sz w:val="21"/>
                <w:szCs w:val="21"/>
                <w:highlight w:val="none"/>
                <w:lang w:val="en-US" w:eastAsia="zh-CN"/>
              </w:rPr>
              <w:fldChar w:fldCharType="separate"/>
            </w:r>
            <w:r>
              <w:rPr>
                <w:rFonts w:hint="eastAsia" w:ascii="宋体" w:hAnsi="宋体" w:eastAsia="宋体" w:cs="宋体"/>
                <w:b/>
                <w:bCs/>
                <w:color w:val="auto"/>
                <w:sz w:val="21"/>
                <w:szCs w:val="21"/>
                <w:highlight w:val="none"/>
                <w:lang w:val="en-US" w:eastAsia="zh-CN"/>
              </w:rPr>
              <w:t>①</w:t>
            </w:r>
            <w:r>
              <w:rPr>
                <w:rFonts w:hint="eastAsia" w:ascii="宋体" w:hAnsi="宋体" w:eastAsia="宋体" w:cs="宋体"/>
                <w:b/>
                <w:bCs/>
                <w:color w:val="auto"/>
                <w:sz w:val="21"/>
                <w:szCs w:val="21"/>
                <w:highlight w:val="none"/>
                <w:lang w:val="en-US" w:eastAsia="zh-CN"/>
              </w:rPr>
              <w:fldChar w:fldCharType="end"/>
            </w:r>
            <w:r>
              <w:rPr>
                <w:rFonts w:hint="eastAsia" w:ascii="宋体" w:hAnsi="宋体" w:eastAsia="宋体" w:cs="宋体"/>
                <w:b/>
                <w:bCs/>
                <w:color w:val="auto"/>
                <w:sz w:val="21"/>
                <w:szCs w:val="21"/>
                <w:highlight w:val="none"/>
                <w:lang w:val="en-US" w:eastAsia="zh-CN"/>
              </w:rPr>
              <w:t>业绩认定时间</w:t>
            </w:r>
            <w:r>
              <w:rPr>
                <w:rFonts w:hint="eastAsia" w:ascii="宋体" w:hAnsi="宋体" w:cs="宋体"/>
                <w:b/>
                <w:bCs/>
                <w:color w:val="auto"/>
                <w:sz w:val="21"/>
                <w:szCs w:val="21"/>
                <w:highlight w:val="none"/>
                <w:lang w:val="en-US" w:eastAsia="zh-CN"/>
              </w:rPr>
              <w:t>及金额均</w:t>
            </w:r>
            <w:r>
              <w:rPr>
                <w:rFonts w:hint="eastAsia" w:ascii="宋体" w:hAnsi="宋体" w:eastAsia="宋体" w:cs="宋体"/>
                <w:b/>
                <w:bCs/>
                <w:color w:val="auto"/>
                <w:sz w:val="21"/>
                <w:szCs w:val="21"/>
                <w:highlight w:val="none"/>
                <w:lang w:val="en-US" w:eastAsia="zh-CN"/>
              </w:rPr>
              <w:t>以成果文件出具日期为准，应同时提供咨询合同（若咨询合同为框架合同，应同时提供业主出具的任务分配证明）、造价咨询成果文件。</w:t>
            </w:r>
          </w:p>
        </w:tc>
      </w:tr>
      <w:tr w14:paraId="216D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12D3DC4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078" w:type="dxa"/>
            <w:shd w:val="clear" w:color="auto" w:fill="auto"/>
            <w:noWrap/>
            <w:vAlign w:val="center"/>
          </w:tcPr>
          <w:p w14:paraId="0F14D94A">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企业荣誉</w:t>
            </w:r>
          </w:p>
        </w:tc>
        <w:tc>
          <w:tcPr>
            <w:tcW w:w="840" w:type="dxa"/>
            <w:shd w:val="clear" w:color="auto" w:fill="auto"/>
            <w:noWrap/>
            <w:vAlign w:val="center"/>
          </w:tcPr>
          <w:p w14:paraId="60A0E37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10分</w:t>
            </w:r>
          </w:p>
        </w:tc>
        <w:tc>
          <w:tcPr>
            <w:tcW w:w="7217" w:type="dxa"/>
            <w:shd w:val="clear" w:color="auto" w:fill="auto"/>
            <w:noWrap/>
            <w:vAlign w:val="center"/>
          </w:tcPr>
          <w:p w14:paraId="66BC9AE3">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firstLine="0" w:firstLineChars="0"/>
              <w:jc w:val="left"/>
              <w:textAlignment w:val="auto"/>
              <w:rPr>
                <w:rFonts w:hint="eastAsia" w:ascii="Times New Roman"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投标人自</w:t>
            </w:r>
            <w:r>
              <w:rPr>
                <w:rFonts w:hint="eastAsia" w:hAnsi="宋体" w:cs="宋体"/>
                <w:b w:val="0"/>
                <w:bCs w:val="0"/>
                <w:color w:val="auto"/>
                <w:sz w:val="21"/>
                <w:szCs w:val="21"/>
                <w:highlight w:val="none"/>
                <w:lang w:val="en-US" w:eastAsia="zh-CN"/>
              </w:rPr>
              <w:t>2023</w:t>
            </w:r>
            <w:r>
              <w:rPr>
                <w:rFonts w:hint="eastAsia" w:ascii="宋体" w:hAnsi="宋体" w:eastAsia="宋体" w:cs="宋体"/>
                <w:b w:val="0"/>
                <w:bCs w:val="0"/>
                <w:color w:val="auto"/>
                <w:sz w:val="21"/>
                <w:szCs w:val="21"/>
                <w:highlight w:val="none"/>
                <w:lang w:val="en-US" w:eastAsia="zh-CN"/>
              </w:rPr>
              <w:t>年1月1日至投标截止日</w:t>
            </w:r>
            <w:r>
              <w:rPr>
                <w:rFonts w:hint="eastAsia" w:hAnsi="宋体" w:cs="宋体"/>
                <w:b w:val="0"/>
                <w:bCs w:val="0"/>
                <w:color w:val="auto"/>
                <w:sz w:val="21"/>
                <w:szCs w:val="21"/>
                <w:highlight w:val="none"/>
                <w:lang w:val="en-US" w:eastAsia="zh-CN"/>
              </w:rPr>
              <w:t>，具有市级及以上造价主管部门（或协会）颁发的企业荣誉证书的得10分，本项满分10分。</w:t>
            </w:r>
            <w:r>
              <w:rPr>
                <w:rFonts w:hint="eastAsia" w:hAnsi="宋体" w:cs="宋体"/>
                <w:b/>
                <w:bCs/>
                <w:color w:val="auto"/>
                <w:sz w:val="21"/>
                <w:szCs w:val="21"/>
                <w:highlight w:val="none"/>
                <w:lang w:val="en-US" w:eastAsia="zh-CN"/>
              </w:rPr>
              <w:br w:type="textWrapping"/>
            </w:r>
            <w:r>
              <w:rPr>
                <w:rFonts w:hint="eastAsia" w:ascii="Times New Roman" w:hAnsi="宋体" w:eastAsia="宋体" w:cs="宋体"/>
                <w:b/>
                <w:bCs/>
                <w:color w:val="auto"/>
                <w:sz w:val="21"/>
                <w:szCs w:val="21"/>
                <w:highlight w:val="none"/>
                <w:lang w:val="en-US" w:eastAsia="zh-CN"/>
              </w:rPr>
              <w:t>注：1.提供荣誉证书（时间以证书颁发时间为准）或网站公示截图（以网站公示时间为准）</w:t>
            </w:r>
            <w:r>
              <w:rPr>
                <w:rFonts w:hint="eastAsia" w:hAnsi="宋体" w:cs="宋体"/>
                <w:b/>
                <w:bCs/>
                <w:color w:val="auto"/>
                <w:sz w:val="21"/>
                <w:szCs w:val="21"/>
                <w:highlight w:val="none"/>
                <w:lang w:val="en-US" w:eastAsia="zh-CN"/>
              </w:rPr>
              <w:t>或红头文件</w:t>
            </w:r>
            <w:r>
              <w:rPr>
                <w:rFonts w:hint="eastAsia" w:ascii="Times New Roman" w:hAnsi="宋体" w:eastAsia="宋体" w:cs="宋体"/>
                <w:b/>
                <w:bCs/>
                <w:color w:val="auto"/>
                <w:sz w:val="21"/>
                <w:szCs w:val="21"/>
                <w:highlight w:val="none"/>
                <w:lang w:val="en-US" w:eastAsia="zh-CN"/>
              </w:rPr>
              <w:t>。</w:t>
            </w:r>
          </w:p>
          <w:p w14:paraId="08C1ED1E">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firstLine="0" w:firstLineChars="0"/>
              <w:jc w:val="left"/>
              <w:textAlignment w:val="auto"/>
              <w:rPr>
                <w:rFonts w:hint="eastAsia" w:ascii="Times New Roman" w:hAnsi="宋体" w:eastAsia="宋体" w:cs="宋体"/>
                <w:b/>
                <w:bCs/>
                <w:color w:val="auto"/>
                <w:sz w:val="21"/>
                <w:szCs w:val="21"/>
                <w:highlight w:val="none"/>
                <w:lang w:val="en-US" w:eastAsia="zh-CN"/>
              </w:rPr>
            </w:pPr>
            <w:r>
              <w:rPr>
                <w:rFonts w:hint="eastAsia" w:ascii="Times New Roman" w:hAnsi="宋体" w:eastAsia="宋体" w:cs="宋体"/>
                <w:b/>
                <w:bCs/>
                <w:color w:val="auto"/>
                <w:sz w:val="21"/>
                <w:szCs w:val="21"/>
                <w:highlight w:val="none"/>
                <w:lang w:val="en-US" w:eastAsia="zh-CN"/>
              </w:rPr>
              <w:t>2.如为造价相关协会（或学会）颁发的，还应符合下列要求:</w:t>
            </w:r>
          </w:p>
          <w:p w14:paraId="0B925C2D">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firstLine="0" w:firstLineChars="0"/>
              <w:jc w:val="left"/>
              <w:textAlignment w:val="auto"/>
              <w:rPr>
                <w:rFonts w:hint="eastAsia" w:ascii="Times New Roman" w:hAnsi="宋体" w:eastAsia="宋体" w:cs="宋体"/>
                <w:b/>
                <w:bCs/>
                <w:color w:val="auto"/>
                <w:sz w:val="21"/>
                <w:szCs w:val="21"/>
                <w:highlight w:val="none"/>
                <w:lang w:val="en-US" w:eastAsia="zh-CN"/>
              </w:rPr>
            </w:pPr>
            <w:r>
              <w:rPr>
                <w:rFonts w:hint="eastAsia" w:ascii="Times New Roman" w:hAnsi="宋体" w:eastAsia="宋体" w:cs="宋体"/>
                <w:b/>
                <w:bCs/>
                <w:color w:val="auto"/>
                <w:sz w:val="21"/>
                <w:szCs w:val="21"/>
                <w:highlight w:val="none"/>
                <w:lang w:val="en-US" w:eastAsia="zh-CN"/>
              </w:rPr>
              <w:t xml:space="preserve">2.1“国内依法登记注册”以中国社会组织政务服务平台中“全国社会组织信用信息公示平台（试运行）”查询结果为准。针对国内依法登记注册的行业协会（或学会）颁发的奖项、荣誉，投标文件中须另行提供该协会在中国社会组织政务服务平台中“全国社会组织信用信息公示平台（试运行）”查询结果截图。 </w:t>
            </w:r>
          </w:p>
          <w:p w14:paraId="6A4632E4">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firstLine="0" w:firstLineChars="0"/>
              <w:jc w:val="left"/>
              <w:textAlignment w:val="auto"/>
              <w:rPr>
                <w:rFonts w:hint="eastAsia" w:ascii="宋体" w:hAnsi="宋体" w:eastAsia="宋体" w:cs="宋体"/>
                <w:b/>
                <w:bCs/>
                <w:color w:val="auto"/>
                <w:sz w:val="21"/>
                <w:szCs w:val="21"/>
                <w:highlight w:val="none"/>
              </w:rPr>
            </w:pPr>
            <w:r>
              <w:rPr>
                <w:rFonts w:hint="eastAsia" w:ascii="Times New Roman" w:hAnsi="宋体" w:eastAsia="宋体" w:cs="宋体"/>
                <w:b/>
                <w:bCs/>
                <w:color w:val="auto"/>
                <w:sz w:val="21"/>
                <w:szCs w:val="21"/>
                <w:highlight w:val="none"/>
                <w:lang w:val="en-US" w:eastAsia="zh-CN"/>
              </w:rPr>
              <w:t xml:space="preserve">2.2民政部公布的“离岸社团”、“山寨社团”或中国社会组织政务服务平台中“全国社会组织信用信息公示平台（试运行）”公示的“涉嫌非法社会组织”颁发的荣誉、奖励均无效。 </w:t>
            </w:r>
          </w:p>
        </w:tc>
      </w:tr>
      <w:tr w14:paraId="4B62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6B9F7586">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078" w:type="dxa"/>
            <w:shd w:val="clear" w:color="auto" w:fill="auto"/>
            <w:noWrap/>
            <w:vAlign w:val="center"/>
          </w:tcPr>
          <w:p w14:paraId="12FA3B0C">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项目人员配备</w:t>
            </w:r>
          </w:p>
        </w:tc>
        <w:tc>
          <w:tcPr>
            <w:tcW w:w="840" w:type="dxa"/>
            <w:shd w:val="clear" w:color="auto" w:fill="auto"/>
            <w:noWrap/>
            <w:vAlign w:val="center"/>
          </w:tcPr>
          <w:p w14:paraId="6A5FEC0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25分</w:t>
            </w:r>
          </w:p>
        </w:tc>
        <w:tc>
          <w:tcPr>
            <w:tcW w:w="7217" w:type="dxa"/>
            <w:shd w:val="clear" w:color="auto" w:fill="auto"/>
            <w:noWrap/>
            <w:vAlign w:val="center"/>
          </w:tcPr>
          <w:p w14:paraId="224F33FB">
            <w:pPr>
              <w:keepNext w:val="0"/>
              <w:keepLines w:val="0"/>
              <w:pageBreakBefore w:val="0"/>
              <w:widowControl w:val="0"/>
              <w:numPr>
                <w:ilvl w:val="0"/>
                <w:numId w:val="0"/>
              </w:numPr>
              <w:kinsoku/>
              <w:wordWrap/>
              <w:overflowPunct/>
              <w:topLinePunct w:val="0"/>
              <w:autoSpaceDE/>
              <w:autoSpaceDN/>
              <w:bidi w:val="0"/>
              <w:snapToGrid/>
              <w:spacing w:line="500" w:lineRule="exact"/>
              <w:ind w:firstLine="0" w:firstLine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（1）人员配备（15分）：</w:t>
            </w:r>
          </w:p>
          <w:p w14:paraId="48CCA3A8">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①满足资格条件项目配备人员要求的得基本分13分；</w:t>
            </w:r>
          </w:p>
          <w:p w14:paraId="41555816">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②所配备的注册造价工程师中，同时具有工程</w:t>
            </w:r>
            <w:r>
              <w:rPr>
                <w:rFonts w:hint="eastAsia" w:hAnsi="宋体" w:cs="宋体"/>
                <w:b w:val="0"/>
                <w:bCs w:val="0"/>
                <w:color w:val="auto"/>
                <w:kern w:val="2"/>
                <w:sz w:val="21"/>
                <w:szCs w:val="21"/>
                <w:highlight w:val="none"/>
                <w:lang w:val="en-US" w:eastAsia="zh-CN" w:bidi="ar-SA"/>
              </w:rPr>
              <w:t>或</w:t>
            </w:r>
            <w:r>
              <w:rPr>
                <w:rFonts w:hint="eastAsia" w:ascii="Times New Roman" w:hAnsi="宋体" w:eastAsia="宋体" w:cs="宋体"/>
                <w:b w:val="0"/>
                <w:bCs w:val="0"/>
                <w:color w:val="auto"/>
                <w:kern w:val="2"/>
                <w:sz w:val="21"/>
                <w:szCs w:val="21"/>
                <w:highlight w:val="none"/>
                <w:lang w:val="en-US" w:eastAsia="zh-CN" w:bidi="ar-SA"/>
              </w:rPr>
              <w:t>工程经济类高级职称（社会化评审）或建筑工程类其他专业一级（国家级）注册资格（如注册建筑师、注册建造师、注册监理工程师等）的，每1人加1分，满分2分。</w:t>
            </w:r>
          </w:p>
          <w:p w14:paraId="31174CB4">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（2）人员社保（退休人员除外）缴纳时间（10分）：</w:t>
            </w:r>
          </w:p>
          <w:p w14:paraId="0992ACB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①项目所配全部人员在投标企业连续缴纳6个月社保的，得基本分6分；</w:t>
            </w:r>
          </w:p>
          <w:p w14:paraId="090E3D6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②项目所配全部人员在投标企业连续缴纳9个月社保的，另加2分；</w:t>
            </w:r>
          </w:p>
          <w:p w14:paraId="34626DD7">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default" w:ascii="Times New Roman" w:hAnsi="宋体" w:eastAsia="宋体" w:cs="宋体"/>
                <w:b w:val="0"/>
                <w:bCs w:val="0"/>
                <w:color w:val="auto"/>
                <w:kern w:val="2"/>
                <w:sz w:val="21"/>
                <w:szCs w:val="21"/>
                <w:highlight w:val="none"/>
                <w:lang w:val="en-US" w:eastAsia="zh-CN" w:bidi="ar-SA"/>
              </w:rPr>
              <w:t>③</w:t>
            </w:r>
            <w:r>
              <w:rPr>
                <w:rFonts w:hint="eastAsia" w:ascii="Times New Roman" w:hAnsi="宋体" w:eastAsia="宋体" w:cs="宋体"/>
                <w:b w:val="0"/>
                <w:bCs w:val="0"/>
                <w:color w:val="auto"/>
                <w:kern w:val="2"/>
                <w:sz w:val="21"/>
                <w:szCs w:val="21"/>
                <w:highlight w:val="none"/>
                <w:lang w:val="en-US" w:eastAsia="zh-CN" w:bidi="ar-SA"/>
              </w:rPr>
              <w:t>项目所配全部人员在投标企业连续缴纳12个月社保的，再另加2分。</w:t>
            </w:r>
          </w:p>
          <w:p w14:paraId="1BD34201">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三个打分层级，有一人不满足某层级条件的，该层级不得分。</w:t>
            </w:r>
          </w:p>
          <w:p w14:paraId="1A570023">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注：（1）社保缴纳时间自202</w:t>
            </w:r>
            <w:r>
              <w:rPr>
                <w:rFonts w:hint="eastAsia" w:hAnsi="宋体" w:cs="宋体"/>
                <w:b w:val="0"/>
                <w:bCs w:val="0"/>
                <w:color w:val="auto"/>
                <w:kern w:val="2"/>
                <w:sz w:val="21"/>
                <w:szCs w:val="21"/>
                <w:highlight w:val="none"/>
                <w:lang w:val="en-US" w:eastAsia="zh-CN" w:bidi="ar-SA"/>
              </w:rPr>
              <w:t>6</w:t>
            </w:r>
            <w:r>
              <w:rPr>
                <w:rFonts w:hint="eastAsia" w:ascii="Times New Roman" w:hAnsi="宋体" w:eastAsia="宋体" w:cs="宋体"/>
                <w:b w:val="0"/>
                <w:bCs w:val="0"/>
                <w:color w:val="auto"/>
                <w:kern w:val="2"/>
                <w:sz w:val="21"/>
                <w:szCs w:val="21"/>
                <w:highlight w:val="none"/>
                <w:lang w:val="en-US" w:eastAsia="zh-CN" w:bidi="ar-SA"/>
              </w:rPr>
              <w:t>年</w:t>
            </w:r>
            <w:r>
              <w:rPr>
                <w:rFonts w:hint="eastAsia" w:hAnsi="宋体" w:cs="宋体"/>
                <w:b w:val="0"/>
                <w:bCs w:val="0"/>
                <w:color w:val="auto"/>
                <w:kern w:val="2"/>
                <w:sz w:val="21"/>
                <w:szCs w:val="21"/>
                <w:highlight w:val="none"/>
                <w:lang w:val="en-US" w:eastAsia="zh-CN" w:bidi="ar-SA"/>
              </w:rPr>
              <w:t>7</w:t>
            </w:r>
            <w:r>
              <w:rPr>
                <w:rFonts w:hint="eastAsia" w:ascii="Times New Roman" w:hAnsi="宋体" w:eastAsia="宋体" w:cs="宋体"/>
                <w:b w:val="0"/>
                <w:bCs w:val="0"/>
                <w:color w:val="auto"/>
                <w:kern w:val="2"/>
                <w:sz w:val="21"/>
                <w:szCs w:val="21"/>
                <w:highlight w:val="none"/>
                <w:lang w:val="en-US" w:eastAsia="zh-CN" w:bidi="ar-SA"/>
              </w:rPr>
              <w:t>月起往前连续计算</w:t>
            </w:r>
            <w:r>
              <w:rPr>
                <w:rFonts w:hint="eastAsia" w:hAnsi="宋体" w:cs="宋体"/>
                <w:b w:val="0"/>
                <w:bCs w:val="0"/>
                <w:color w:val="auto"/>
                <w:kern w:val="2"/>
                <w:sz w:val="21"/>
                <w:szCs w:val="21"/>
                <w:highlight w:val="none"/>
                <w:lang w:val="en-US" w:eastAsia="zh-CN" w:bidi="ar-SA"/>
              </w:rPr>
              <w:t>。</w:t>
            </w:r>
          </w:p>
          <w:p w14:paraId="6D2E5126">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宋体" w:hAnsi="宋体" w:eastAsia="宋体" w:cs="宋体"/>
                <w:b/>
                <w:bCs/>
                <w:color w:val="auto"/>
                <w:sz w:val="21"/>
                <w:szCs w:val="21"/>
                <w:highlight w:val="none"/>
              </w:rPr>
            </w:pPr>
            <w:r>
              <w:rPr>
                <w:rFonts w:hint="eastAsia" w:ascii="Times New Roman" w:hAnsi="宋体" w:eastAsia="宋体" w:cs="宋体"/>
                <w:b w:val="0"/>
                <w:bCs w:val="0"/>
                <w:color w:val="auto"/>
                <w:kern w:val="2"/>
                <w:sz w:val="21"/>
                <w:szCs w:val="21"/>
                <w:highlight w:val="none"/>
                <w:lang w:val="en-US" w:eastAsia="zh-CN" w:bidi="ar-SA"/>
              </w:rPr>
              <w:t>（2）退休人员需提供身份证、人社部门颁发的离退休证和与企业签订的劳动合同，退休人员数量超过项目所配备总人数五分之一的，扣除基本分6分。</w:t>
            </w:r>
          </w:p>
        </w:tc>
      </w:tr>
      <w:tr w14:paraId="3ADF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60E00CD3">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w:t>
            </w:r>
          </w:p>
        </w:tc>
        <w:tc>
          <w:tcPr>
            <w:tcW w:w="1078" w:type="dxa"/>
            <w:shd w:val="clear" w:color="auto" w:fill="auto"/>
            <w:noWrap/>
            <w:vAlign w:val="center"/>
          </w:tcPr>
          <w:p w14:paraId="1F24DE65">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咨询服务方案</w:t>
            </w:r>
          </w:p>
        </w:tc>
        <w:tc>
          <w:tcPr>
            <w:tcW w:w="840" w:type="dxa"/>
            <w:shd w:val="clear" w:color="auto" w:fill="auto"/>
            <w:noWrap/>
            <w:vAlign w:val="center"/>
          </w:tcPr>
          <w:p w14:paraId="62BF9E61">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15分</w:t>
            </w:r>
          </w:p>
        </w:tc>
        <w:tc>
          <w:tcPr>
            <w:tcW w:w="7217" w:type="dxa"/>
            <w:shd w:val="clear" w:color="auto" w:fill="auto"/>
            <w:noWrap/>
            <w:vAlign w:val="center"/>
          </w:tcPr>
          <w:p w14:paraId="00AE56A7">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对工程造价咨询服务方案中组织管理、质量管理、进度管理、档案管理、信息及数据管理、合理化建议等内容，结合实际情况进行评审。</w:t>
            </w:r>
          </w:p>
          <w:p w14:paraId="5F5410AC">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1、</w:t>
            </w:r>
            <w:r>
              <w:rPr>
                <w:rFonts w:hint="eastAsia" w:ascii="Times New Roman" w:hAnsi="宋体" w:eastAsia="宋体" w:cs="宋体"/>
                <w:b w:val="0"/>
                <w:bCs w:val="0"/>
                <w:color w:val="auto"/>
                <w:kern w:val="2"/>
                <w:sz w:val="21"/>
                <w:szCs w:val="21"/>
                <w:highlight w:val="none"/>
                <w:lang w:val="en-US" w:eastAsia="zh-CN" w:bidi="ar-SA"/>
              </w:rPr>
              <w:t>方案完整、针对性强得</w:t>
            </w:r>
            <w:r>
              <w:rPr>
                <w:rFonts w:hint="eastAsia" w:hAnsi="宋体" w:cs="宋体"/>
                <w:b w:val="0"/>
                <w:bCs w:val="0"/>
                <w:color w:val="auto"/>
                <w:kern w:val="2"/>
                <w:sz w:val="21"/>
                <w:szCs w:val="21"/>
                <w:highlight w:val="none"/>
                <w:lang w:val="en-US" w:eastAsia="zh-CN" w:bidi="ar-SA"/>
              </w:rPr>
              <w:t>15</w:t>
            </w:r>
            <w:r>
              <w:rPr>
                <w:rFonts w:hint="eastAsia" w:ascii="Times New Roman" w:hAnsi="宋体" w:eastAsia="宋体" w:cs="宋体"/>
                <w:b w:val="0"/>
                <w:bCs w:val="0"/>
                <w:color w:val="auto"/>
                <w:kern w:val="2"/>
                <w:sz w:val="21"/>
                <w:szCs w:val="21"/>
                <w:highlight w:val="none"/>
                <w:lang w:val="en-US" w:eastAsia="zh-CN" w:bidi="ar-SA"/>
              </w:rPr>
              <w:t>分；</w:t>
            </w:r>
          </w:p>
          <w:p w14:paraId="6C632315">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2、</w:t>
            </w:r>
            <w:r>
              <w:rPr>
                <w:rFonts w:hint="eastAsia" w:ascii="Times New Roman" w:hAnsi="宋体" w:eastAsia="宋体" w:cs="宋体"/>
                <w:b w:val="0"/>
                <w:bCs w:val="0"/>
                <w:color w:val="auto"/>
                <w:kern w:val="2"/>
                <w:sz w:val="21"/>
                <w:szCs w:val="21"/>
                <w:highlight w:val="none"/>
                <w:lang w:val="en-US" w:eastAsia="zh-CN" w:bidi="ar-SA"/>
              </w:rPr>
              <w:t>方案较完整、有一定针对性得</w:t>
            </w:r>
            <w:r>
              <w:rPr>
                <w:rFonts w:hint="eastAsia" w:hAnsi="宋体" w:cs="宋体"/>
                <w:b w:val="0"/>
                <w:bCs w:val="0"/>
                <w:color w:val="auto"/>
                <w:kern w:val="2"/>
                <w:sz w:val="21"/>
                <w:szCs w:val="21"/>
                <w:highlight w:val="none"/>
                <w:lang w:val="en-US" w:eastAsia="zh-CN" w:bidi="ar-SA"/>
              </w:rPr>
              <w:t>13.5</w:t>
            </w:r>
            <w:r>
              <w:rPr>
                <w:rFonts w:hint="eastAsia" w:ascii="Times New Roman" w:hAnsi="宋体" w:eastAsia="宋体" w:cs="宋体"/>
                <w:b w:val="0"/>
                <w:bCs w:val="0"/>
                <w:color w:val="auto"/>
                <w:kern w:val="2"/>
                <w:sz w:val="21"/>
                <w:szCs w:val="21"/>
                <w:highlight w:val="none"/>
                <w:lang w:val="en-US" w:eastAsia="zh-CN" w:bidi="ar-SA"/>
              </w:rPr>
              <w:t>分；</w:t>
            </w:r>
          </w:p>
          <w:p w14:paraId="6EC157CB">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3、</w:t>
            </w:r>
            <w:r>
              <w:rPr>
                <w:rFonts w:hint="eastAsia" w:ascii="Times New Roman" w:hAnsi="宋体" w:eastAsia="宋体" w:cs="宋体"/>
                <w:b w:val="0"/>
                <w:bCs w:val="0"/>
                <w:color w:val="auto"/>
                <w:kern w:val="2"/>
                <w:sz w:val="21"/>
                <w:szCs w:val="21"/>
                <w:highlight w:val="none"/>
                <w:lang w:val="en-US" w:eastAsia="zh-CN" w:bidi="ar-SA"/>
              </w:rPr>
              <w:t>方案有瑕疵但能基本满足要求、针对性弱得</w:t>
            </w:r>
            <w:r>
              <w:rPr>
                <w:rFonts w:hint="eastAsia" w:hAnsi="宋体" w:cs="宋体"/>
                <w:b w:val="0"/>
                <w:bCs w:val="0"/>
                <w:color w:val="auto"/>
                <w:kern w:val="2"/>
                <w:sz w:val="21"/>
                <w:szCs w:val="21"/>
                <w:highlight w:val="none"/>
                <w:lang w:val="en-US" w:eastAsia="zh-CN" w:bidi="ar-SA"/>
              </w:rPr>
              <w:t>12</w:t>
            </w:r>
            <w:r>
              <w:rPr>
                <w:rFonts w:hint="eastAsia" w:ascii="Times New Roman" w:hAnsi="宋体" w:eastAsia="宋体" w:cs="宋体"/>
                <w:b w:val="0"/>
                <w:bCs w:val="0"/>
                <w:color w:val="auto"/>
                <w:kern w:val="2"/>
                <w:sz w:val="21"/>
                <w:szCs w:val="21"/>
                <w:highlight w:val="none"/>
                <w:lang w:val="en-US" w:eastAsia="zh-CN" w:bidi="ar-SA"/>
              </w:rPr>
              <w:t>分。</w:t>
            </w:r>
          </w:p>
          <w:p w14:paraId="0A3F196A">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default"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4、未提供不得分。</w:t>
            </w:r>
          </w:p>
          <w:p w14:paraId="51CA8202">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bCs/>
                <w:color w:val="auto"/>
                <w:kern w:val="2"/>
                <w:sz w:val="21"/>
                <w:szCs w:val="21"/>
                <w:highlight w:val="none"/>
                <w:lang w:val="en-US" w:eastAsia="zh-CN" w:bidi="ar-SA"/>
              </w:rPr>
            </w:pPr>
            <w:r>
              <w:rPr>
                <w:rFonts w:hint="eastAsia" w:ascii="Times New Roman" w:hAnsi="宋体" w:eastAsia="宋体" w:cs="宋体"/>
                <w:b/>
                <w:bCs/>
                <w:color w:val="auto"/>
                <w:kern w:val="2"/>
                <w:sz w:val="21"/>
                <w:szCs w:val="21"/>
                <w:highlight w:val="none"/>
                <w:lang w:val="en-US" w:eastAsia="zh-CN" w:bidi="ar-SA"/>
              </w:rPr>
              <w:t>注：</w:t>
            </w:r>
            <w:r>
              <w:rPr>
                <w:rFonts w:hint="eastAsia" w:hAnsi="宋体" w:cs="宋体"/>
                <w:b/>
                <w:bCs/>
                <w:color w:val="auto"/>
                <w:kern w:val="2"/>
                <w:sz w:val="21"/>
                <w:szCs w:val="21"/>
                <w:highlight w:val="none"/>
                <w:lang w:val="en-US" w:eastAsia="zh-CN" w:bidi="ar-SA"/>
              </w:rPr>
              <w:t>（1）</w:t>
            </w:r>
            <w:r>
              <w:rPr>
                <w:rFonts w:hint="eastAsia" w:ascii="Times New Roman" w:hAnsi="宋体" w:eastAsia="宋体" w:cs="宋体"/>
                <w:b/>
                <w:bCs/>
                <w:color w:val="auto"/>
                <w:kern w:val="2"/>
                <w:sz w:val="21"/>
                <w:szCs w:val="21"/>
                <w:highlight w:val="none"/>
                <w:lang w:val="en-US" w:eastAsia="zh-CN" w:bidi="ar-SA"/>
              </w:rPr>
              <w:t>如发现咨询服务方案内容背离招标文件要求的或与招标文件内容不符的，不得分。</w:t>
            </w:r>
          </w:p>
          <w:p w14:paraId="52A74DC6">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bCs/>
                <w:color w:val="auto"/>
                <w:kern w:val="2"/>
                <w:sz w:val="21"/>
                <w:szCs w:val="21"/>
                <w:highlight w:val="none"/>
                <w:lang w:val="en-US" w:eastAsia="zh-CN" w:bidi="ar-SA"/>
              </w:rPr>
              <w:t>（2）咨询服务方案</w:t>
            </w:r>
            <w:r>
              <w:rPr>
                <w:rFonts w:hint="eastAsia" w:ascii="Times New Roman" w:hAnsi="宋体" w:eastAsia="宋体" w:cs="宋体"/>
                <w:b/>
                <w:bCs/>
                <w:color w:val="auto"/>
                <w:kern w:val="2"/>
                <w:sz w:val="21"/>
                <w:szCs w:val="21"/>
                <w:highlight w:val="none"/>
                <w:lang w:val="en-US" w:eastAsia="zh-CN" w:bidi="ar-SA"/>
              </w:rPr>
              <w:t>编制页数不多于10页。具体篇幅要求及扣分标准（扣分值为0.2分）。偏离规定标准的，评标委员会应酌情扣分。</w:t>
            </w:r>
          </w:p>
        </w:tc>
      </w:tr>
      <w:tr w14:paraId="3F3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752" w:type="dxa"/>
            <w:shd w:val="clear" w:color="auto" w:fill="auto"/>
            <w:noWrap/>
            <w:vAlign w:val="center"/>
          </w:tcPr>
          <w:p w14:paraId="3DDE33A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p>
        </w:tc>
        <w:tc>
          <w:tcPr>
            <w:tcW w:w="1078" w:type="dxa"/>
            <w:shd w:val="clear" w:color="auto" w:fill="auto"/>
            <w:noWrap/>
            <w:vAlign w:val="center"/>
          </w:tcPr>
          <w:p w14:paraId="71981CC3">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报价</w:t>
            </w:r>
          </w:p>
        </w:tc>
        <w:tc>
          <w:tcPr>
            <w:tcW w:w="840" w:type="dxa"/>
            <w:shd w:val="clear" w:color="auto" w:fill="auto"/>
            <w:noWrap/>
            <w:vAlign w:val="center"/>
          </w:tcPr>
          <w:p w14:paraId="1628F88E">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30分</w:t>
            </w:r>
          </w:p>
        </w:tc>
        <w:tc>
          <w:tcPr>
            <w:tcW w:w="7217" w:type="dxa"/>
            <w:shd w:val="clear" w:color="auto" w:fill="auto"/>
            <w:noWrap/>
            <w:vAlign w:val="center"/>
          </w:tcPr>
          <w:p w14:paraId="15B7A86C">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满足招标文件要求的得30分。</w:t>
            </w:r>
          </w:p>
        </w:tc>
      </w:tr>
    </w:tbl>
    <w:p w14:paraId="3800892F">
      <w:pPr>
        <w:jc w:val="center"/>
        <w:outlineLvl w:val="1"/>
        <w:rPr>
          <w:rFonts w:hint="eastAsia"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五、推荐中标候选人</w:t>
      </w:r>
      <w:bookmarkEnd w:id="58"/>
      <w:bookmarkEnd w:id="59"/>
      <w:bookmarkEnd w:id="60"/>
    </w:p>
    <w:bookmarkEnd w:id="48"/>
    <w:p w14:paraId="2F62E0BE">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7.评标委员会按得分之和从高到低按顺序，推荐3名中标候选人。 </w:t>
      </w:r>
    </w:p>
    <w:p w14:paraId="59A643FB">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7.1总得分相同的，由</w:t>
      </w:r>
      <w:r>
        <w:rPr>
          <w:rFonts w:hint="eastAsia" w:ascii="宋体" w:hAnsi="宋体" w:cs="宋体"/>
          <w:color w:val="auto"/>
          <w:szCs w:val="21"/>
          <w:highlight w:val="none"/>
          <w:lang w:val="en-US" w:eastAsia="zh-CN"/>
        </w:rPr>
        <w:t>招标人</w:t>
      </w:r>
      <w:r>
        <w:rPr>
          <w:rFonts w:hint="eastAsia" w:ascii="宋体" w:hAnsi="宋体" w:cs="宋体"/>
          <w:color w:val="auto"/>
          <w:kern w:val="0"/>
          <w:sz w:val="21"/>
          <w:szCs w:val="21"/>
          <w:highlight w:val="none"/>
          <w:lang w:val="en-US" w:eastAsia="zh-CN" w:bidi="ar-SA"/>
        </w:rPr>
        <w:t>或评标委员会主任</w:t>
      </w:r>
      <w:r>
        <w:rPr>
          <w:rFonts w:hint="eastAsia" w:ascii="宋体" w:hAnsi="宋体" w:cs="宋体"/>
          <w:color w:val="auto"/>
          <w:szCs w:val="21"/>
          <w:highlight w:val="none"/>
        </w:rPr>
        <w:t>现场采取随机摇号的方式确定中标候选人。</w:t>
      </w:r>
    </w:p>
    <w:p w14:paraId="252BC8E5">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7.2</w:t>
      </w:r>
      <w:r>
        <w:rPr>
          <w:rFonts w:hint="eastAsia" w:ascii="宋体" w:hAnsi="宋体" w:eastAsia="宋体" w:cs="宋体"/>
          <w:color w:val="auto"/>
          <w:szCs w:val="21"/>
          <w:highlight w:val="none"/>
        </w:rPr>
        <w:t>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6DFDF3F9">
      <w:pPr>
        <w:keepNext w:val="0"/>
        <w:keepLines w:val="0"/>
        <w:pageBreakBefore w:val="0"/>
        <w:widowControl w:val="0"/>
        <w:kinsoku/>
        <w:wordWrap/>
        <w:overflowPunct/>
        <w:topLinePunct w:val="0"/>
        <w:autoSpaceDE/>
        <w:autoSpaceDN/>
        <w:bidi w:val="0"/>
        <w:adjustRightInd/>
        <w:snapToGrid w:val="0"/>
        <w:spacing w:line="500" w:lineRule="exact"/>
        <w:ind w:left="0" w:leftChars="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61" w:name="_Hlk61815781"/>
      <w:r>
        <w:rPr>
          <w:rFonts w:hint="eastAsia" w:ascii="宋体" w:hAnsi="宋体" w:cs="宋体"/>
          <w:b/>
          <w:color w:val="auto"/>
          <w:szCs w:val="21"/>
          <w:highlight w:val="none"/>
        </w:rPr>
        <w:t>无效投标条款</w:t>
      </w:r>
    </w:p>
    <w:p w14:paraId="0617F08D">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0B0D8921">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（1）未在开标截止时间前通过网上招标投标系统递交有效电子投标文件的，开标系统不予接收，投标将被拒绝。</w:t>
      </w:r>
    </w:p>
    <w:p w14:paraId="4639F7C3">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172C2E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8.2投标人有下列情形之一的,资格审查后其投标作无效投标处理：</w:t>
      </w:r>
    </w:p>
    <w:p w14:paraId="0479EB1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C606482">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627916A5">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评标专家无法查看并检验投标文件中相关资料的；</w:t>
      </w:r>
    </w:p>
    <w:p w14:paraId="009FB38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60A7265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583BC7F5">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5E43173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)投标人基本资格条件和特定资格条件中有一项及以上不符合要求的；</w:t>
      </w:r>
    </w:p>
    <w:p w14:paraId="701EB54F">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429CC881">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)招标文件规定的其它无效投标情形。</w:t>
      </w:r>
    </w:p>
    <w:p w14:paraId="70C213B1">
      <w:pPr>
        <w:keepNext w:val="0"/>
        <w:keepLines w:val="0"/>
        <w:pageBreakBefore w:val="0"/>
        <w:widowControl w:val="0"/>
        <w:kinsoku/>
        <w:wordWrap/>
        <w:overflowPunct/>
        <w:topLinePunct w:val="0"/>
        <w:autoSpaceDE/>
        <w:autoSpaceDN/>
        <w:bidi w:val="0"/>
        <w:adjustRightInd/>
        <w:snapToGrid w:val="0"/>
        <w:spacing w:line="500" w:lineRule="exact"/>
        <w:ind w:left="0" w:leftChars="0" w:firstLine="0" w:firstLineChars="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8.3 投标人有下列情形之一的,符合性审查后其投标按无效投标处理：</w:t>
      </w:r>
    </w:p>
    <w:p w14:paraId="31F25F0E">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4E51CC8F">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3088328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E777854">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0120424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648C6F3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2155D06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(7)其它情形，经评标委员会委提出按无效投标处理的；</w:t>
      </w:r>
    </w:p>
    <w:p w14:paraId="44942F7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(8)投标文件含有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65CF8ADD">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9D1E8B">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1C653D4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B688BB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15DBC9B4">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0295C31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3D266858">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0CEC172B">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)其它情形，经评标委员会委提出按无效投标处理的；</w:t>
      </w:r>
    </w:p>
    <w:p w14:paraId="3B0AA0B8">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bookmarkEnd w:id="49"/>
      <w:bookmarkEnd w:id="61"/>
      <w:bookmarkStart w:id="62" w:name="_Toc449028945"/>
      <w:bookmarkStart w:id="63" w:name="_Toc58430329"/>
      <w:r>
        <w:rPr>
          <w:rFonts w:hint="eastAsia" w:ascii="宋体" w:hAnsi="宋体" w:cs="宋体"/>
          <w:color w:val="auto"/>
          <w:szCs w:val="21"/>
          <w:highlight w:val="none"/>
          <w:lang w:eastAsia="zh-CN"/>
        </w:rPr>
        <w:t>。</w:t>
      </w:r>
    </w:p>
    <w:p w14:paraId="11564C30">
      <w:pP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br w:type="page"/>
      </w:r>
    </w:p>
    <w:p w14:paraId="5F242F47">
      <w:pPr>
        <w:keepNext w:val="0"/>
        <w:keepLines w:val="0"/>
        <w:pageBreakBefore w:val="0"/>
        <w:widowControl w:val="0"/>
        <w:numPr>
          <w:ilvl w:val="0"/>
          <w:numId w:val="9"/>
        </w:numPr>
        <w:kinsoku/>
        <w:wordWrap/>
        <w:overflowPunct/>
        <w:topLinePunct w:val="0"/>
        <w:autoSpaceDE/>
        <w:autoSpaceDN/>
        <w:bidi w:val="0"/>
        <w:adjustRightInd/>
        <w:snapToGrid w:val="0"/>
        <w:spacing w:line="500" w:lineRule="exact"/>
        <w:ind w:left="0" w:leftChars="0" w:firstLine="643" w:firstLineChars="200"/>
        <w:jc w:val="center"/>
        <w:textAlignment w:val="auto"/>
        <w:rPr>
          <w:rFonts w:hint="eastAsia"/>
          <w:b/>
          <w:bCs/>
          <w:color w:val="auto"/>
          <w:sz w:val="32"/>
          <w:szCs w:val="32"/>
          <w:highlight w:val="none"/>
        </w:rPr>
      </w:pP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 xml:space="preserve"> </w:t>
      </w:r>
      <w:r>
        <w:rPr>
          <w:rFonts w:hint="eastAsia"/>
          <w:b/>
          <w:bCs/>
          <w:color w:val="auto"/>
          <w:sz w:val="32"/>
          <w:szCs w:val="32"/>
          <w:highlight w:val="none"/>
          <w:lang w:val="en-US" w:eastAsia="zh-CN"/>
        </w:rPr>
        <w:t>采购</w:t>
      </w:r>
      <w:r>
        <w:rPr>
          <w:rFonts w:hint="eastAsia"/>
          <w:b/>
          <w:bCs/>
          <w:color w:val="auto"/>
          <w:sz w:val="32"/>
          <w:szCs w:val="32"/>
          <w:highlight w:val="none"/>
        </w:rPr>
        <w:t>内容及要求</w:t>
      </w:r>
    </w:p>
    <w:p w14:paraId="60BDE8AE">
      <w:pPr>
        <w:keepNext w:val="0"/>
        <w:keepLines w:val="0"/>
        <w:pageBreakBefore w:val="0"/>
        <w:widowControl/>
        <w:kinsoku/>
        <w:wordWrap/>
        <w:overflowPunct/>
        <w:topLinePunct w:val="0"/>
        <w:autoSpaceDE/>
        <w:autoSpaceDN/>
        <w:bidi w:val="0"/>
        <w:adjustRightInd/>
        <w:snapToGrid w:val="0"/>
        <w:spacing w:line="500" w:lineRule="exact"/>
        <w:ind w:firstLine="422" w:firstLineChars="200"/>
        <w:jc w:val="left"/>
        <w:textAlignment w:val="baseline"/>
        <w:rPr>
          <w:rFonts w:hint="eastAsia" w:ascii="宋体" w:hAnsi="宋体" w:eastAsia="宋体" w:cs="宋体"/>
          <w:b/>
          <w:color w:val="auto"/>
          <w:kern w:val="0"/>
          <w:sz w:val="21"/>
          <w:szCs w:val="21"/>
          <w:highlight w:val="none"/>
          <w:u w:val="none" w:color="000000"/>
        </w:rPr>
      </w:pPr>
      <w:r>
        <w:rPr>
          <w:rFonts w:hint="eastAsia" w:ascii="宋体" w:hAnsi="宋体" w:eastAsia="宋体" w:cs="宋体"/>
          <w:b/>
          <w:color w:val="auto"/>
          <w:kern w:val="0"/>
          <w:sz w:val="21"/>
          <w:szCs w:val="21"/>
          <w:highlight w:val="none"/>
          <w:u w:val="none" w:color="000000"/>
        </w:rPr>
        <w:t>一、项目跟踪审计内容</w:t>
      </w:r>
    </w:p>
    <w:p w14:paraId="04D9F429">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1.成立项目跟踪审计组，编制跟踪审计实施方案，确定投资控制目标、重点环节及应对措施； </w:t>
      </w:r>
    </w:p>
    <w:p w14:paraId="4691ED70">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2.审核项目前期资料（图纸、工程量清单及控制价、招标投标文件、施工合同等），向甲方提交审核结果；</w:t>
      </w:r>
    </w:p>
    <w:p w14:paraId="28AF8CBA">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3.对承包方上报的请款期已完成合格工程量的计量、计价进行审核，并提供按工程形象进度付款的意见、建议。</w:t>
      </w:r>
    </w:p>
    <w:p w14:paraId="5AD7B226">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4.及时核定分阶段完工的项目分部、分项工程价款结算，项目竣工后，及时提交完整的竣工结算审核报告；</w:t>
      </w:r>
    </w:p>
    <w:p w14:paraId="05839CF9">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5.协助甲方及时审核设计变更、经济签证等发生的费用，超过一定限额的，提请甲方履行报批程序；</w:t>
      </w:r>
    </w:p>
    <w:p w14:paraId="650B1C55">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6.项目承、发包方发生工程价款结算争议时，为甲方提供咨询意见；</w:t>
      </w:r>
    </w:p>
    <w:p w14:paraId="6189A19F">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7.参与项目建设管理的有关会议，对项目投资控制的有关事项发表独立审计意见； </w:t>
      </w:r>
    </w:p>
    <w:p w14:paraId="4359FFE0">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8.其他与项目投资控制相关的工作。</w:t>
      </w:r>
    </w:p>
    <w:p w14:paraId="6D617293">
      <w:pPr>
        <w:keepNext w:val="0"/>
        <w:keepLines w:val="0"/>
        <w:pageBreakBefore w:val="0"/>
        <w:widowControl/>
        <w:numPr>
          <w:ilvl w:val="0"/>
          <w:numId w:val="10"/>
        </w:numPr>
        <w:kinsoku/>
        <w:wordWrap/>
        <w:overflowPunct/>
        <w:topLinePunct w:val="0"/>
        <w:autoSpaceDE/>
        <w:autoSpaceDN/>
        <w:bidi w:val="0"/>
        <w:adjustRightInd/>
        <w:snapToGrid w:val="0"/>
        <w:spacing w:line="500" w:lineRule="exact"/>
        <w:ind w:firstLine="422" w:firstLineChars="200"/>
        <w:jc w:val="left"/>
        <w:textAlignment w:val="baseline"/>
        <w:rPr>
          <w:rFonts w:hint="eastAsia" w:ascii="宋体" w:hAnsi="宋体" w:eastAsia="宋体" w:cs="宋体"/>
          <w:b/>
          <w:color w:val="auto"/>
          <w:kern w:val="0"/>
          <w:sz w:val="21"/>
          <w:szCs w:val="21"/>
          <w:highlight w:val="none"/>
          <w:u w:val="none" w:color="000000"/>
          <w:lang w:val="en-US" w:eastAsia="zh-CN"/>
        </w:rPr>
      </w:pPr>
      <w:r>
        <w:rPr>
          <w:rFonts w:hint="eastAsia" w:ascii="宋体" w:hAnsi="宋体" w:eastAsia="宋体" w:cs="宋体"/>
          <w:b/>
          <w:color w:val="auto"/>
          <w:kern w:val="0"/>
          <w:sz w:val="21"/>
          <w:szCs w:val="21"/>
          <w:highlight w:val="none"/>
          <w:u w:val="none" w:color="000000"/>
        </w:rPr>
        <w:t>项目跟踪审计质量要</w:t>
      </w:r>
      <w:r>
        <w:rPr>
          <w:rFonts w:hint="eastAsia" w:ascii="宋体" w:hAnsi="宋体" w:eastAsia="宋体" w:cs="宋体"/>
          <w:b/>
          <w:color w:val="auto"/>
          <w:kern w:val="0"/>
          <w:sz w:val="21"/>
          <w:szCs w:val="21"/>
          <w:highlight w:val="none"/>
          <w:u w:val="none" w:color="000000"/>
          <w:lang w:val="en-US" w:eastAsia="zh-CN"/>
        </w:rPr>
        <w:t>求</w:t>
      </w:r>
    </w:p>
    <w:p w14:paraId="4BE60895">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对乙方出具的项目竣工结算审核报告进行复审或抽查，审查结果误差按以下办法处理：（1）审查结果误差率在2%以内（含），可按照委托协议约定收取审计服务费用；（2）审查结果误差在2%-3%（含）之间，审计服务费用扣除15%；（3）审查结果误差在3%-4%（含）之间，审计服务费用扣除30%；（4）审查结果误差超过4%, 全额扣除审计服务费用；</w:t>
      </w:r>
    </w:p>
    <w:p w14:paraId="2F177AE8">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2.若乙方出现无证人员执业、挂靠执业、执业人员不到岗等违反国家、省、市相关工程造价管理文件规定，被建设行政主管部门记两次不良行为记录或列入黑名单的，甲方将终止委托审计业务；</w:t>
      </w:r>
    </w:p>
    <w:p w14:paraId="032582D9">
      <w:pPr>
        <w:keepNext w:val="0"/>
        <w:keepLines w:val="0"/>
        <w:pageBreakBefore w:val="0"/>
        <w:widowControl/>
        <w:kinsoku/>
        <w:wordWrap/>
        <w:overflowPunct/>
        <w:topLinePunct w:val="0"/>
        <w:autoSpaceDE/>
        <w:autoSpaceDN/>
        <w:bidi w:val="0"/>
        <w:adjustRightInd/>
        <w:spacing w:line="500" w:lineRule="exact"/>
        <w:jc w:val="left"/>
        <w:rPr>
          <w:rFonts w:hint="eastAsia" w:ascii="宋体" w:hAnsi="宋体" w:eastAsia="宋体" w:cs="宋体"/>
          <w:b/>
          <w:color w:val="auto"/>
          <w:kern w:val="0"/>
          <w:sz w:val="21"/>
          <w:szCs w:val="21"/>
          <w:highlight w:val="none"/>
        </w:rPr>
      </w:pPr>
      <w:r>
        <w:rPr>
          <w:rFonts w:hint="eastAsia" w:ascii="宋体" w:hAnsi="宋体" w:eastAsia="宋体" w:cs="宋体"/>
          <w:color w:val="auto"/>
          <w:sz w:val="21"/>
          <w:szCs w:val="21"/>
          <w:highlight w:val="none"/>
        </w:rPr>
        <w:t>3.若乙方出现因违背行业准则和规范的行为被司法、纪检、检察、公安、建设行政主管部门等查处的，甲方将终止委托审计业务。</w:t>
      </w:r>
    </w:p>
    <w:p w14:paraId="0ADB5F36">
      <w:pPr>
        <w:keepNext w:val="0"/>
        <w:keepLines w:val="0"/>
        <w:pageBreakBefore w:val="0"/>
        <w:widowControl w:val="0"/>
        <w:numPr>
          <w:ilvl w:val="0"/>
          <w:numId w:val="9"/>
        </w:numPr>
        <w:kinsoku/>
        <w:wordWrap/>
        <w:overflowPunct/>
        <w:topLinePunct w:val="0"/>
        <w:autoSpaceDE/>
        <w:autoSpaceDN/>
        <w:bidi w:val="0"/>
        <w:adjustRightInd/>
        <w:snapToGrid w:val="0"/>
        <w:spacing w:line="500" w:lineRule="exact"/>
        <w:ind w:left="0" w:leftChars="0" w:firstLine="420" w:firstLineChars="2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br w:type="page"/>
      </w:r>
    </w:p>
    <w:p w14:paraId="5EAC221E">
      <w:pPr>
        <w:keepNext w:val="0"/>
        <w:keepLines w:val="0"/>
        <w:pageBreakBefore w:val="0"/>
        <w:widowControl w:val="0"/>
        <w:kinsoku/>
        <w:wordWrap/>
        <w:overflowPunct/>
        <w:topLinePunct w:val="0"/>
        <w:autoSpaceDE/>
        <w:autoSpaceDN/>
        <w:bidi w:val="0"/>
        <w:adjustRightInd/>
        <w:snapToGrid w:val="0"/>
        <w:spacing w:before="157" w:beforeLines="50" w:after="157" w:afterLines="50" w:line="440" w:lineRule="exact"/>
        <w:ind w:left="0" w:leftChars="0" w:firstLine="643" w:firstLineChars="200"/>
        <w:jc w:val="center"/>
        <w:textAlignment w:val="auto"/>
        <w:rPr>
          <w:rFonts w:hint="default" w:ascii="宋体"/>
          <w:b/>
          <w:color w:val="auto"/>
          <w:sz w:val="32"/>
          <w:szCs w:val="32"/>
          <w:highlight w:val="none"/>
          <w:lang w:val="en-US" w:eastAsia="zh-CN"/>
        </w:rPr>
      </w:pPr>
      <w:r>
        <w:rPr>
          <w:rFonts w:hint="eastAsia" w:ascii="宋体"/>
          <w:b/>
          <w:color w:val="auto"/>
          <w:sz w:val="32"/>
          <w:szCs w:val="32"/>
          <w:highlight w:val="none"/>
          <w:lang w:val="en-US" w:eastAsia="zh-CN"/>
        </w:rPr>
        <w:t xml:space="preserve">第五章  </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合同条款及格式</w:t>
      </w:r>
    </w:p>
    <w:p w14:paraId="595E018C">
      <w:pPr>
        <w:snapToGrid w:val="0"/>
        <w:spacing w:line="480" w:lineRule="exact"/>
        <w:jc w:val="center"/>
        <w:rPr>
          <w:rFonts w:hint="eastAsia" w:ascii="宋体" w:hAnsi="宋体" w:cs="宋体"/>
          <w:b/>
          <w:color w:val="auto"/>
          <w:kern w:val="0"/>
          <w:sz w:val="36"/>
          <w:szCs w:val="36"/>
          <w:highlight w:val="none"/>
        </w:rPr>
      </w:pPr>
      <w:bookmarkStart w:id="64" w:name="_Toc331685784"/>
      <w:r>
        <w:rPr>
          <w:rFonts w:hint="eastAsia" w:ascii="宋体" w:hAnsi="宋体" w:cs="宋体"/>
          <w:b/>
          <w:color w:val="auto"/>
          <w:kern w:val="0"/>
          <w:sz w:val="36"/>
          <w:szCs w:val="36"/>
          <w:highlight w:val="none"/>
          <w:lang w:val="en-US" w:eastAsia="zh-CN"/>
        </w:rPr>
        <w:t>中新苏滁高新技术产业开发区</w:t>
      </w:r>
      <w:r>
        <w:rPr>
          <w:rFonts w:hint="eastAsia" w:ascii="宋体" w:hAnsi="宋体" w:cs="宋体"/>
          <w:b/>
          <w:color w:val="auto"/>
          <w:kern w:val="0"/>
          <w:sz w:val="36"/>
          <w:szCs w:val="36"/>
          <w:highlight w:val="none"/>
          <w:lang w:eastAsia="zh-CN"/>
        </w:rPr>
        <w:t>建设</w:t>
      </w:r>
      <w:r>
        <w:rPr>
          <w:rFonts w:hint="eastAsia" w:ascii="宋体" w:hAnsi="宋体" w:cs="宋体"/>
          <w:b/>
          <w:color w:val="auto"/>
          <w:kern w:val="0"/>
          <w:sz w:val="36"/>
          <w:szCs w:val="36"/>
          <w:highlight w:val="none"/>
        </w:rPr>
        <w:t>项目</w:t>
      </w:r>
    </w:p>
    <w:p w14:paraId="75E304DB">
      <w:pPr>
        <w:snapToGrid w:val="0"/>
        <w:spacing w:line="480" w:lineRule="exact"/>
        <w:jc w:val="center"/>
        <w:rPr>
          <w:rFonts w:hint="eastAsia" w:ascii="仿宋_GB2312" w:hAnsi="仿宋" w:eastAsia="仿宋_GB2312" w:cs="宋体"/>
          <w:color w:val="auto"/>
          <w:kern w:val="0"/>
          <w:sz w:val="28"/>
          <w:szCs w:val="28"/>
          <w:highlight w:val="none"/>
        </w:rPr>
      </w:pPr>
      <w:r>
        <w:rPr>
          <w:rFonts w:hint="eastAsia" w:ascii="宋体" w:hAnsi="宋体" w:cs="宋体"/>
          <w:b/>
          <w:color w:val="auto"/>
          <w:kern w:val="0"/>
          <w:sz w:val="36"/>
          <w:szCs w:val="36"/>
          <w:highlight w:val="none"/>
        </w:rPr>
        <w:t>跟踪审计委托协议</w:t>
      </w:r>
    </w:p>
    <w:p w14:paraId="377FF67A">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rPr>
        <w:t>委托方（甲方）：</w:t>
      </w:r>
      <w:r>
        <w:rPr>
          <w:rFonts w:hint="eastAsia" w:ascii="宋体" w:hAnsi="宋体" w:eastAsia="宋体" w:cs="宋体"/>
          <w:color w:val="auto"/>
          <w:kern w:val="0"/>
          <w:sz w:val="21"/>
          <w:szCs w:val="21"/>
          <w:highlight w:val="none"/>
          <w:u w:val="single"/>
          <w:lang w:val="en-US" w:eastAsia="zh-CN"/>
        </w:rPr>
        <w:t xml:space="preserve">中新苏滁高新技术产业开发区管理委员会    </w:t>
      </w:r>
    </w:p>
    <w:p w14:paraId="37E3C296">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kern w:val="0"/>
          <w:sz w:val="21"/>
          <w:szCs w:val="21"/>
          <w:highlight w:val="none"/>
          <w:u w:val="single"/>
          <w:lang w:val="en-US"/>
        </w:rPr>
      </w:pPr>
      <w:r>
        <w:rPr>
          <w:rFonts w:hint="eastAsia" w:ascii="宋体" w:hAnsi="宋体" w:eastAsia="宋体" w:cs="宋体"/>
          <w:color w:val="auto"/>
          <w:kern w:val="0"/>
          <w:sz w:val="21"/>
          <w:szCs w:val="21"/>
          <w:highlight w:val="none"/>
        </w:rPr>
        <w:t>受托方（乙方）：</w:t>
      </w:r>
      <w:r>
        <w:rPr>
          <w:rFonts w:hint="eastAsia" w:ascii="宋体" w:hAnsi="宋体" w:eastAsia="宋体" w:cs="宋体"/>
          <w:color w:val="auto"/>
          <w:kern w:val="0"/>
          <w:sz w:val="21"/>
          <w:szCs w:val="21"/>
          <w:highlight w:val="none"/>
          <w:u w:val="single"/>
          <w:lang w:val="en-US" w:eastAsia="zh-CN"/>
        </w:rPr>
        <w:t xml:space="preserve">                                           </w:t>
      </w:r>
    </w:p>
    <w:p w14:paraId="460FE1F0">
      <w:pPr>
        <w:keepNext w:val="0"/>
        <w:keepLines w:val="0"/>
        <w:pageBreakBefore w:val="0"/>
        <w:widowControl/>
        <w:kinsoku/>
        <w:wordWrap/>
        <w:overflowPunct/>
        <w:topLinePunct w:val="0"/>
        <w:autoSpaceDE/>
        <w:autoSpaceDN/>
        <w:bidi w:val="0"/>
        <w:spacing w:line="50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为保证</w:t>
      </w:r>
      <w:r>
        <w:rPr>
          <w:rFonts w:hint="eastAsia" w:ascii="宋体" w:hAnsi="宋体" w:eastAsia="宋体" w:cs="宋体"/>
          <w:color w:val="auto"/>
          <w:kern w:val="0"/>
          <w:sz w:val="21"/>
          <w:szCs w:val="21"/>
          <w:highlight w:val="none"/>
          <w:lang w:val="en-US" w:eastAsia="zh-CN"/>
        </w:rPr>
        <w:t>中新苏滁高新技术产业开发区</w:t>
      </w:r>
      <w:r>
        <w:rPr>
          <w:rFonts w:hint="eastAsia" w:ascii="宋体" w:hAnsi="宋体" w:eastAsia="宋体" w:cs="宋体"/>
          <w:color w:val="auto"/>
          <w:kern w:val="0"/>
          <w:sz w:val="21"/>
          <w:szCs w:val="21"/>
          <w:highlight w:val="none"/>
        </w:rPr>
        <w:t>建设项目跟踪审计工作质量和效率，依据《中华人民共和国审计法》、《中华人民共和国</w:t>
      </w:r>
      <w:r>
        <w:rPr>
          <w:rFonts w:hint="eastAsia" w:ascii="宋体" w:hAnsi="宋体" w:eastAsia="宋体" w:cs="宋体"/>
          <w:color w:val="auto"/>
          <w:kern w:val="0"/>
          <w:sz w:val="21"/>
          <w:szCs w:val="21"/>
          <w:highlight w:val="none"/>
          <w:lang w:val="en-US" w:eastAsia="zh-CN"/>
        </w:rPr>
        <w:t>民法典</w:t>
      </w:r>
      <w:r>
        <w:rPr>
          <w:rFonts w:hint="eastAsia" w:ascii="宋体" w:hAnsi="宋体" w:eastAsia="宋体" w:cs="宋体"/>
          <w:color w:val="auto"/>
          <w:kern w:val="0"/>
          <w:sz w:val="21"/>
          <w:szCs w:val="21"/>
          <w:highlight w:val="none"/>
        </w:rPr>
        <w:t>》、《中新苏滁高新技术产业开发区建设项目审计监督管理办法》等有关法律法规，甲、乙双方经协商一致，自愿签订本协议。</w:t>
      </w:r>
    </w:p>
    <w:p w14:paraId="4D7C6150">
      <w:pPr>
        <w:keepNext w:val="0"/>
        <w:keepLines w:val="0"/>
        <w:pageBreakBefore w:val="0"/>
        <w:kinsoku/>
        <w:wordWrap/>
        <w:overflowPunct/>
        <w:topLinePunct w:val="0"/>
        <w:autoSpaceDE/>
        <w:autoSpaceDN/>
        <w:bidi w:val="0"/>
        <w:snapToGrid w:val="0"/>
        <w:spacing w:line="500" w:lineRule="exact"/>
        <w:ind w:firstLine="411" w:firstLineChars="19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一、跟踪审计项目</w:t>
      </w:r>
    </w:p>
    <w:p w14:paraId="2B36146D">
      <w:pPr>
        <w:keepNext w:val="0"/>
        <w:keepLines w:val="0"/>
        <w:pageBreakBefore w:val="0"/>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rPr>
        <w:t>1.项目名称：</w:t>
      </w:r>
      <w:r>
        <w:rPr>
          <w:rFonts w:hint="eastAsia" w:ascii="宋体" w:hAnsi="宋体" w:eastAsia="宋体" w:cs="宋体"/>
          <w:color w:val="auto"/>
          <w:kern w:val="0"/>
          <w:sz w:val="21"/>
          <w:szCs w:val="21"/>
          <w:highlight w:val="none"/>
          <w:u w:val="single"/>
        </w:rPr>
        <w:t>中新苏滁高新区产业转移与职业人才基地项目-人工智能OPC社区项目</w:t>
      </w:r>
    </w:p>
    <w:p w14:paraId="6217B83F">
      <w:pPr>
        <w:keepNext w:val="0"/>
        <w:keepLines w:val="0"/>
        <w:pageBreakBefore w:val="0"/>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2.项目投资额</w:t>
      </w:r>
      <w:r>
        <w:rPr>
          <w:rFonts w:hint="eastAsia" w:ascii="宋体" w:hAnsi="宋体" w:eastAsia="宋体" w:cs="宋体"/>
          <w:color w:val="auto"/>
          <w:kern w:val="0"/>
          <w:sz w:val="21"/>
          <w:szCs w:val="21"/>
          <w:highlight w:val="none"/>
          <w:u w:val="single"/>
        </w:rPr>
        <w:t>：包含建筑、结构、装饰、电气等施工图纸所包含的全部内容，总建筑面积约7795平方米，项目投资额1600万元，审计费用约</w:t>
      </w:r>
      <w:r>
        <w:rPr>
          <w:rFonts w:hint="eastAsia" w:ascii="宋体" w:hAnsi="宋体" w:eastAsia="宋体" w:cs="宋体"/>
          <w:color w:val="auto"/>
          <w:kern w:val="0"/>
          <w:sz w:val="21"/>
          <w:szCs w:val="21"/>
          <w:highlight w:val="none"/>
          <w:u w:val="single"/>
          <w:lang w:val="en-US" w:eastAsia="zh-CN"/>
        </w:rPr>
        <w:t>5.28</w:t>
      </w:r>
      <w:r>
        <w:rPr>
          <w:rFonts w:hint="eastAsia" w:ascii="宋体" w:hAnsi="宋体" w:eastAsia="宋体" w:cs="宋体"/>
          <w:color w:val="auto"/>
          <w:kern w:val="0"/>
          <w:sz w:val="21"/>
          <w:szCs w:val="21"/>
          <w:highlight w:val="none"/>
          <w:u w:val="single"/>
        </w:rPr>
        <w:t>万元</w:t>
      </w:r>
      <w:r>
        <w:rPr>
          <w:rFonts w:hint="eastAsia" w:ascii="宋体" w:hAnsi="宋体" w:eastAsia="宋体" w:cs="宋体"/>
          <w:color w:val="auto"/>
          <w:kern w:val="0"/>
          <w:sz w:val="21"/>
          <w:szCs w:val="21"/>
          <w:highlight w:val="none"/>
          <w:u w:val="single"/>
          <w:lang w:eastAsia="zh-CN"/>
        </w:rPr>
        <w:t>。</w:t>
      </w:r>
    </w:p>
    <w:p w14:paraId="350CD9FF">
      <w:pPr>
        <w:keepNext w:val="0"/>
        <w:keepLines w:val="0"/>
        <w:pageBreakBefore w:val="0"/>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二、项目跟踪审计内容</w:t>
      </w:r>
    </w:p>
    <w:p w14:paraId="034CA62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1.成立项目跟踪审计组，编制跟踪审计实施方案，确定投资控制目标、重点环节及应对措施； </w:t>
      </w:r>
    </w:p>
    <w:p w14:paraId="0827564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2.审核项目前期资料（图纸、工程量清单及控制价、招标投标文件、施工合同等），向甲方提交审核结果；</w:t>
      </w:r>
    </w:p>
    <w:p w14:paraId="113AD01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3.对承包方上报的请款期已完成合格工程量的计量、计价进行审核，并提供按工程形象进度付款的意见、建议。</w:t>
      </w:r>
    </w:p>
    <w:p w14:paraId="1913EF8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4.及时核定分阶段完工的项目分部、分项工程价款结算，项目竣工后，及时提交完整的竣工结算审核报告；</w:t>
      </w:r>
    </w:p>
    <w:p w14:paraId="24E213B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5.协助甲方及时审核设计变更、经济签证等发生的费用，超过一定限额的，提请甲方履行报批程序；</w:t>
      </w:r>
    </w:p>
    <w:p w14:paraId="0C0A8BCE">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6.项目承、发包方发生工程价款结算争议时，为甲方提供咨询意见；</w:t>
      </w:r>
    </w:p>
    <w:p w14:paraId="3142256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7.参与项目建设管理的有关会议，对项目投资控制的有关事项发表独立审计意见； </w:t>
      </w:r>
    </w:p>
    <w:p w14:paraId="64BDA1C1">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8.其他与项目投资控制相关的工作。</w:t>
      </w:r>
    </w:p>
    <w:p w14:paraId="14E2B15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三、项目跟踪审计制度及相关要求</w:t>
      </w:r>
    </w:p>
    <w:p w14:paraId="28BB3D9F">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1.滁州市政府投资项目审计“八不准制度”；</w:t>
      </w:r>
    </w:p>
    <w:p w14:paraId="75476AE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2.滁州市政府投资项目竣工结算审计结果备案制度；</w:t>
      </w:r>
    </w:p>
    <w:p w14:paraId="3134D3B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3.滁州市建设项目施工阶段全过程造价控制管理暂行办法；</w:t>
      </w:r>
    </w:p>
    <w:p w14:paraId="110A2D1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4.实行定期、分段报告制度。乙方应及时提交项目前期资料审核结果、竣工结算审核报告；</w:t>
      </w:r>
    </w:p>
    <w:p w14:paraId="1DDCAA4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5.加强对项目变更事项的合理性、经济性审核。对涉及工程造价的重大事项（如工程造价10万元以上的变更事项和设备、材料询价采购等）须及时书面报告甲方；</w:t>
      </w:r>
    </w:p>
    <w:p w14:paraId="7B6D1C9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6.协助甲方完成项目投资控制的各项工作，接受甲方的项目现场管理。</w:t>
      </w:r>
    </w:p>
    <w:p w14:paraId="3AC841C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四、项目跟踪审计组及人员配备要求</w:t>
      </w:r>
    </w:p>
    <w:p w14:paraId="44E2033A">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1.乙方须成立项目跟踪审计组，配备相应数量具有相关专业执业资质的审计人员。本项目审计组负责人为</w:t>
      </w:r>
      <w:r>
        <w:rPr>
          <w:rFonts w:hint="eastAsia" w:ascii="宋体" w:hAnsi="宋体" w:eastAsia="宋体" w:cs="宋体"/>
          <w:color w:val="auto"/>
          <w:sz w:val="21"/>
          <w:szCs w:val="21"/>
          <w:highlight w:val="none"/>
          <w:u w:val="single"/>
        </w:rPr>
        <w:t>姓名、注册造价师证书号、联系电话</w:t>
      </w:r>
      <w:r>
        <w:rPr>
          <w:rFonts w:hint="eastAsia" w:ascii="宋体" w:hAnsi="宋体" w:eastAsia="宋体" w:cs="宋体"/>
          <w:color w:val="auto"/>
          <w:sz w:val="21"/>
          <w:szCs w:val="21"/>
          <w:highlight w:val="none"/>
        </w:rPr>
        <w:t>，成员为</w:t>
      </w:r>
      <w:r>
        <w:rPr>
          <w:rFonts w:hint="eastAsia" w:ascii="宋体" w:hAnsi="宋体" w:eastAsia="宋体" w:cs="宋体"/>
          <w:color w:val="auto"/>
          <w:sz w:val="21"/>
          <w:szCs w:val="21"/>
          <w:highlight w:val="none"/>
          <w:u w:val="single"/>
        </w:rPr>
        <w:t>姓名、造价员证书号、联系电话</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姓名、造价员证书号、联系电话</w:t>
      </w:r>
      <w:r>
        <w:rPr>
          <w:rFonts w:hint="eastAsia" w:ascii="宋体" w:hAnsi="宋体" w:eastAsia="宋体" w:cs="宋体"/>
          <w:color w:val="auto"/>
          <w:sz w:val="21"/>
          <w:szCs w:val="21"/>
          <w:highlight w:val="none"/>
        </w:rPr>
        <w:t>；</w:t>
      </w:r>
    </w:p>
    <w:p w14:paraId="6F7828F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2.项目审计人员须服从甲方的工作安排，未经甲方许可，乙方不得随意更换、调整审计组人员。</w:t>
      </w:r>
    </w:p>
    <w:p w14:paraId="502B091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五、项目跟踪审计质量要求</w:t>
      </w:r>
    </w:p>
    <w:p w14:paraId="0DED7D6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对乙方出具的项目竣工结算审核报告进行复审或抽查，审查结果误差按以下办法处理：（1）审查结果误差率在2%以内（含），可按照委托协议约定收取审计服务费用；（2）审查结果误差在2%-3%（含）之间，审计服务费用扣除15%；（3）审查结果误差在3%-4%（含）之间，审计服务费用扣除30%；（4）审查结果误差超过4%, 全额扣除审计服务费用；</w:t>
      </w:r>
    </w:p>
    <w:p w14:paraId="24AE373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2.若乙方出现无证人员执业、挂靠执业、执业人员不到岗等违反国家、省、市相关工程造价管理文件规定，被建设行政主管部门记两次不良行为记录或列入黑名单的，甲方将终止委托审计业务；</w:t>
      </w:r>
    </w:p>
    <w:p w14:paraId="36E85A7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3.若乙方出现因违背行业准则和规范的行为被司法、纪检、检察、公安、建设行政主管部门等查处的，甲方将终止委托审计业务。</w:t>
      </w:r>
    </w:p>
    <w:p w14:paraId="39BEE05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六、项目跟踪审计服务费用标准及结算方式</w:t>
      </w:r>
    </w:p>
    <w:p w14:paraId="06BFE9B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1.项目跟踪审计服务费用标准</w:t>
      </w:r>
    </w:p>
    <w:p w14:paraId="22C76058">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项目跟踪审计服务费用标准执行</w:t>
      </w:r>
      <w:r>
        <w:rPr>
          <w:rFonts w:hint="eastAsia" w:ascii="宋体" w:hAnsi="宋体" w:eastAsia="宋体" w:cs="宋体"/>
          <w:color w:val="auto"/>
          <w:sz w:val="21"/>
          <w:szCs w:val="21"/>
          <w:highlight w:val="none"/>
          <w:lang w:val="en-US" w:eastAsia="zh-CN"/>
        </w:rPr>
        <w:t>《中新苏滁高新技术产业开发区建设项目审计服务费用标准》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苏滁</w:t>
      </w:r>
      <w:r>
        <w:rPr>
          <w:rFonts w:hint="eastAsia" w:ascii="宋体" w:hAnsi="宋体" w:eastAsia="宋体" w:cs="宋体"/>
          <w:color w:val="auto"/>
          <w:sz w:val="21"/>
          <w:szCs w:val="21"/>
          <w:highlight w:val="none"/>
          <w:lang w:eastAsia="zh-CN"/>
        </w:rPr>
        <w:t>财</w:t>
      </w:r>
      <w:r>
        <w:rPr>
          <w:rFonts w:hint="eastAsia" w:ascii="宋体" w:hAnsi="宋体" w:eastAsia="宋体" w:cs="宋体"/>
          <w:color w:val="auto"/>
          <w:sz w:val="21"/>
          <w:szCs w:val="21"/>
          <w:highlight w:val="none"/>
        </w:rPr>
        <w:t>发〔</w:t>
      </w:r>
      <w:r>
        <w:rPr>
          <w:rFonts w:hint="eastAsia" w:ascii="宋体" w:hAnsi="宋体" w:eastAsia="宋体" w:cs="宋体"/>
          <w:color w:val="auto"/>
          <w:sz w:val="21"/>
          <w:szCs w:val="21"/>
          <w:highlight w:val="none"/>
          <w:lang w:val="en"/>
        </w:rPr>
        <w:t>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号</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p>
    <w:p w14:paraId="64D5519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计费标准：审计服务费用按照基本费用加审核成果费用计取，具体标准如下：</w:t>
      </w:r>
    </w:p>
    <w:p w14:paraId="1518641C">
      <w:pPr>
        <w:keepNext w:val="0"/>
        <w:keepLines w:val="0"/>
        <w:pageBreakBefore w:val="0"/>
        <w:kinsoku/>
        <w:wordWrap/>
        <w:overflowPunct/>
        <w:topLinePunct w:val="0"/>
        <w:autoSpaceDE/>
        <w:autoSpaceDN/>
        <w:bidi w:val="0"/>
        <w:snapToGrid w:val="0"/>
        <w:spacing w:line="500" w:lineRule="exact"/>
        <w:ind w:firstLine="630" w:firstLineChars="3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项目跟踪审计服务费用标准</w:t>
      </w:r>
    </w:p>
    <w:tbl>
      <w:tblPr>
        <w:tblStyle w:val="34"/>
        <w:tblW w:w="0" w:type="auto"/>
        <w:tblInd w:w="108" w:type="dxa"/>
        <w:tblLayout w:type="fixed"/>
        <w:tblCellMar>
          <w:top w:w="0" w:type="dxa"/>
          <w:left w:w="108" w:type="dxa"/>
          <w:bottom w:w="0" w:type="dxa"/>
          <w:right w:w="108" w:type="dxa"/>
        </w:tblCellMar>
      </w:tblPr>
      <w:tblGrid>
        <w:gridCol w:w="3240"/>
        <w:gridCol w:w="1440"/>
        <w:gridCol w:w="1980"/>
        <w:gridCol w:w="2412"/>
      </w:tblGrid>
      <w:tr w14:paraId="72830961">
        <w:tblPrEx>
          <w:tblCellMar>
            <w:top w:w="0" w:type="dxa"/>
            <w:left w:w="108" w:type="dxa"/>
            <w:bottom w:w="0" w:type="dxa"/>
            <w:right w:w="108" w:type="dxa"/>
          </w:tblCellMar>
        </w:tblPrEx>
        <w:trPr>
          <w:trHeight w:val="435" w:hRule="atLeast"/>
        </w:trPr>
        <w:tc>
          <w:tcPr>
            <w:tcW w:w="3240" w:type="dxa"/>
            <w:tcBorders>
              <w:top w:val="single" w:color="auto" w:sz="4" w:space="0"/>
              <w:left w:val="single" w:color="auto" w:sz="4" w:space="0"/>
              <w:bottom w:val="single" w:color="auto" w:sz="4" w:space="0"/>
              <w:right w:val="single" w:color="auto" w:sz="4" w:space="0"/>
            </w:tcBorders>
            <w:noWrap w:val="0"/>
            <w:vAlign w:val="center"/>
          </w:tcPr>
          <w:p w14:paraId="5682BC47">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工程造价金额（万元）</w:t>
            </w:r>
          </w:p>
        </w:tc>
        <w:tc>
          <w:tcPr>
            <w:tcW w:w="1440" w:type="dxa"/>
            <w:tcBorders>
              <w:top w:val="single" w:color="auto" w:sz="4" w:space="0"/>
              <w:left w:val="nil"/>
              <w:bottom w:val="single" w:color="auto" w:sz="4" w:space="0"/>
              <w:right w:val="single" w:color="auto" w:sz="4" w:space="0"/>
            </w:tcBorders>
            <w:noWrap w:val="0"/>
            <w:vAlign w:val="center"/>
          </w:tcPr>
          <w:p w14:paraId="47C7667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基本费用</w:t>
            </w:r>
          </w:p>
        </w:tc>
        <w:tc>
          <w:tcPr>
            <w:tcW w:w="1980" w:type="dxa"/>
            <w:tcBorders>
              <w:top w:val="single" w:color="auto" w:sz="4" w:space="0"/>
              <w:left w:val="nil"/>
              <w:bottom w:val="single" w:color="auto" w:sz="4" w:space="0"/>
              <w:right w:val="single" w:color="auto" w:sz="4" w:space="0"/>
            </w:tcBorders>
            <w:noWrap w:val="0"/>
            <w:vAlign w:val="center"/>
          </w:tcPr>
          <w:p w14:paraId="07BC7FC4">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审核成果费用</w:t>
            </w:r>
          </w:p>
        </w:tc>
        <w:tc>
          <w:tcPr>
            <w:tcW w:w="2412" w:type="dxa"/>
            <w:tcBorders>
              <w:top w:val="single" w:color="auto" w:sz="4" w:space="0"/>
              <w:left w:val="nil"/>
              <w:bottom w:val="single" w:color="auto" w:sz="4" w:space="0"/>
              <w:right w:val="single" w:color="auto" w:sz="4" w:space="0"/>
            </w:tcBorders>
            <w:noWrap w:val="0"/>
            <w:vAlign w:val="center"/>
          </w:tcPr>
          <w:p w14:paraId="7CFD0A88">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 注</w:t>
            </w:r>
          </w:p>
        </w:tc>
      </w:tr>
      <w:tr w14:paraId="6E164904">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7C08E336">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1000以内（含）</w:t>
            </w:r>
          </w:p>
        </w:tc>
        <w:tc>
          <w:tcPr>
            <w:tcW w:w="1440" w:type="dxa"/>
            <w:tcBorders>
              <w:top w:val="nil"/>
              <w:left w:val="nil"/>
              <w:bottom w:val="single" w:color="auto" w:sz="4" w:space="0"/>
              <w:right w:val="single" w:color="auto" w:sz="4" w:space="0"/>
            </w:tcBorders>
            <w:noWrap w:val="0"/>
            <w:vAlign w:val="bottom"/>
          </w:tcPr>
          <w:p w14:paraId="0BE49CD5">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980" w:type="dxa"/>
            <w:tcBorders>
              <w:top w:val="nil"/>
              <w:left w:val="nil"/>
              <w:bottom w:val="single" w:color="auto" w:sz="4" w:space="0"/>
              <w:right w:val="single" w:color="auto" w:sz="4" w:space="0"/>
            </w:tcBorders>
            <w:noWrap w:val="0"/>
            <w:vAlign w:val="bottom"/>
          </w:tcPr>
          <w:p w14:paraId="78C2FE15">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restart"/>
            <w:tcBorders>
              <w:top w:val="nil"/>
              <w:left w:val="single" w:color="auto" w:sz="4" w:space="0"/>
              <w:bottom w:val="single" w:color="auto" w:sz="4" w:space="0"/>
              <w:right w:val="single" w:color="auto" w:sz="4" w:space="0"/>
            </w:tcBorders>
            <w:noWrap w:val="0"/>
            <w:vAlign w:val="center"/>
          </w:tcPr>
          <w:p w14:paraId="29804D3B">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审计服务费用计费基础为项目工程造价（</w:t>
            </w:r>
            <w:r>
              <w:rPr>
                <w:rFonts w:hint="eastAsia" w:ascii="宋体" w:hAnsi="宋体" w:eastAsia="宋体" w:cs="宋体"/>
                <w:color w:val="auto"/>
                <w:sz w:val="21"/>
                <w:szCs w:val="21"/>
                <w:highlight w:val="none"/>
                <w:lang w:val="en-US" w:eastAsia="zh-CN"/>
              </w:rPr>
              <w:t>苏滁财政局</w:t>
            </w:r>
            <w:r>
              <w:rPr>
                <w:rFonts w:hint="eastAsia" w:ascii="宋体" w:hAnsi="宋体" w:eastAsia="宋体" w:cs="宋体"/>
                <w:color w:val="auto"/>
                <w:sz w:val="21"/>
                <w:szCs w:val="21"/>
                <w:highlight w:val="none"/>
                <w:lang w:eastAsia="zh-CN"/>
              </w:rPr>
              <w:t>审计中心</w:t>
            </w:r>
            <w:r>
              <w:rPr>
                <w:rFonts w:hint="eastAsia" w:ascii="宋体" w:hAnsi="宋体" w:eastAsia="宋体" w:cs="宋体"/>
                <w:color w:val="auto"/>
                <w:sz w:val="21"/>
                <w:szCs w:val="21"/>
                <w:highlight w:val="none"/>
              </w:rPr>
              <w:t>备案审查确定）</w:t>
            </w:r>
          </w:p>
        </w:tc>
      </w:tr>
      <w:tr w14:paraId="0DC30140">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54342CD2">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1000-5000以内（含）</w:t>
            </w:r>
          </w:p>
        </w:tc>
        <w:tc>
          <w:tcPr>
            <w:tcW w:w="1440" w:type="dxa"/>
            <w:tcBorders>
              <w:top w:val="nil"/>
              <w:left w:val="nil"/>
              <w:bottom w:val="single" w:color="auto" w:sz="4" w:space="0"/>
              <w:right w:val="single" w:color="auto" w:sz="4" w:space="0"/>
            </w:tcBorders>
            <w:noWrap w:val="0"/>
            <w:vAlign w:val="bottom"/>
          </w:tcPr>
          <w:p w14:paraId="260C1876">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980" w:type="dxa"/>
            <w:tcBorders>
              <w:top w:val="nil"/>
              <w:left w:val="nil"/>
              <w:bottom w:val="single" w:color="auto" w:sz="4" w:space="0"/>
              <w:right w:val="single" w:color="auto" w:sz="4" w:space="0"/>
            </w:tcBorders>
            <w:noWrap w:val="0"/>
            <w:vAlign w:val="bottom"/>
          </w:tcPr>
          <w:p w14:paraId="006BD473">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continue"/>
            <w:tcBorders>
              <w:top w:val="nil"/>
              <w:left w:val="single" w:color="auto" w:sz="4" w:space="0"/>
              <w:bottom w:val="single" w:color="auto" w:sz="4" w:space="0"/>
              <w:right w:val="single" w:color="auto" w:sz="4" w:space="0"/>
            </w:tcBorders>
            <w:noWrap w:val="0"/>
            <w:vAlign w:val="center"/>
          </w:tcPr>
          <w:p w14:paraId="2BB3CF33">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r w14:paraId="206B02DA">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523D84A4">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5000-10000以内（含）</w:t>
            </w:r>
          </w:p>
        </w:tc>
        <w:tc>
          <w:tcPr>
            <w:tcW w:w="1440" w:type="dxa"/>
            <w:tcBorders>
              <w:top w:val="nil"/>
              <w:left w:val="nil"/>
              <w:bottom w:val="single" w:color="auto" w:sz="4" w:space="0"/>
              <w:right w:val="single" w:color="auto" w:sz="4" w:space="0"/>
            </w:tcBorders>
            <w:noWrap w:val="0"/>
            <w:vAlign w:val="bottom"/>
          </w:tcPr>
          <w:p w14:paraId="6E8D654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980" w:type="dxa"/>
            <w:tcBorders>
              <w:top w:val="nil"/>
              <w:left w:val="nil"/>
              <w:bottom w:val="single" w:color="auto" w:sz="4" w:space="0"/>
              <w:right w:val="single" w:color="auto" w:sz="4" w:space="0"/>
            </w:tcBorders>
            <w:noWrap w:val="0"/>
            <w:vAlign w:val="bottom"/>
          </w:tcPr>
          <w:p w14:paraId="53157149">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continue"/>
            <w:tcBorders>
              <w:top w:val="nil"/>
              <w:left w:val="single" w:color="auto" w:sz="4" w:space="0"/>
              <w:bottom w:val="single" w:color="auto" w:sz="4" w:space="0"/>
              <w:right w:val="single" w:color="auto" w:sz="4" w:space="0"/>
            </w:tcBorders>
            <w:noWrap w:val="0"/>
            <w:vAlign w:val="center"/>
          </w:tcPr>
          <w:p w14:paraId="5EC31E38">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r w14:paraId="564DAB63">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59E3F278">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10000-30000以内（含）</w:t>
            </w:r>
          </w:p>
        </w:tc>
        <w:tc>
          <w:tcPr>
            <w:tcW w:w="1440" w:type="dxa"/>
            <w:tcBorders>
              <w:top w:val="nil"/>
              <w:left w:val="nil"/>
              <w:bottom w:val="single" w:color="auto" w:sz="4" w:space="0"/>
              <w:right w:val="single" w:color="auto" w:sz="4" w:space="0"/>
            </w:tcBorders>
            <w:noWrap w:val="0"/>
            <w:vAlign w:val="center"/>
          </w:tcPr>
          <w:p w14:paraId="7DE3D5E1">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980" w:type="dxa"/>
            <w:tcBorders>
              <w:top w:val="nil"/>
              <w:left w:val="nil"/>
              <w:bottom w:val="single" w:color="auto" w:sz="4" w:space="0"/>
              <w:right w:val="single" w:color="auto" w:sz="4" w:space="0"/>
            </w:tcBorders>
            <w:noWrap w:val="0"/>
            <w:vAlign w:val="center"/>
          </w:tcPr>
          <w:p w14:paraId="402B45F5">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continue"/>
            <w:tcBorders>
              <w:top w:val="nil"/>
              <w:left w:val="single" w:color="auto" w:sz="4" w:space="0"/>
              <w:bottom w:val="single" w:color="auto" w:sz="4" w:space="0"/>
              <w:right w:val="single" w:color="auto" w:sz="4" w:space="0"/>
            </w:tcBorders>
            <w:noWrap w:val="0"/>
            <w:vAlign w:val="center"/>
          </w:tcPr>
          <w:p w14:paraId="689EC952">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r w14:paraId="7915085C">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2BCC7F4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30000以上</w:t>
            </w:r>
          </w:p>
        </w:tc>
        <w:tc>
          <w:tcPr>
            <w:tcW w:w="1440" w:type="dxa"/>
            <w:tcBorders>
              <w:top w:val="nil"/>
              <w:left w:val="nil"/>
              <w:bottom w:val="single" w:color="auto" w:sz="4" w:space="0"/>
              <w:right w:val="single" w:color="auto" w:sz="4" w:space="0"/>
            </w:tcBorders>
            <w:noWrap w:val="0"/>
            <w:vAlign w:val="center"/>
          </w:tcPr>
          <w:p w14:paraId="174E0D1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一事一议</w:t>
            </w:r>
          </w:p>
        </w:tc>
        <w:tc>
          <w:tcPr>
            <w:tcW w:w="1980" w:type="dxa"/>
            <w:tcBorders>
              <w:top w:val="nil"/>
              <w:left w:val="nil"/>
              <w:bottom w:val="single" w:color="auto" w:sz="4" w:space="0"/>
              <w:right w:val="single" w:color="auto" w:sz="4" w:space="0"/>
            </w:tcBorders>
            <w:noWrap w:val="0"/>
            <w:vAlign w:val="center"/>
          </w:tcPr>
          <w:p w14:paraId="04F33946">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一事一议</w:t>
            </w:r>
          </w:p>
        </w:tc>
        <w:tc>
          <w:tcPr>
            <w:tcW w:w="2412" w:type="dxa"/>
            <w:vMerge w:val="continue"/>
            <w:tcBorders>
              <w:top w:val="nil"/>
              <w:left w:val="single" w:color="auto" w:sz="4" w:space="0"/>
              <w:bottom w:val="single" w:color="auto" w:sz="4" w:space="0"/>
              <w:right w:val="single" w:color="auto" w:sz="4" w:space="0"/>
            </w:tcBorders>
            <w:noWrap w:val="0"/>
            <w:vAlign w:val="center"/>
          </w:tcPr>
          <w:p w14:paraId="242CF69A">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bl>
    <w:p w14:paraId="0272C34B">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说明：（1）跟踪审计费用计算方式为：基本费用+审核成果费用;</w:t>
      </w:r>
    </w:p>
    <w:p w14:paraId="0B069901">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（2）工程造价审减率超过10%的，其超过部分审计服务费用由施工单位承担，无审减额的，按基本费用收取。</w:t>
      </w:r>
    </w:p>
    <w:p w14:paraId="22765DF0">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2.项目跟踪审计费用结算方式</w:t>
      </w:r>
    </w:p>
    <w:p w14:paraId="59949F0E">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须按照《建设工程价款结算暂行办法》（财建﹝2004﹞369号）有关规定，及时完成项目审计工作并出具审核报告，交付甲方审查确认后，按照审计委托协议约定收取审计服务费用。经甲方确定，对工程造价5000万元以上（含）、实际工期超过六个月的项目，可按费用标准的30%预付审计服务费用；</w:t>
      </w:r>
    </w:p>
    <w:p w14:paraId="4932E38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（2）乙方未按要求完成跟踪审计工作并移交相关资料，甲方有权拒付审计服务费用，并按照《政府投资项目跟踪审计协审机构跟踪审计工作考核办法》的有关规定追究项目协审机构相关责任。</w:t>
      </w:r>
    </w:p>
    <w:p w14:paraId="452214C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七、项目跟踪审计工作考核奖惩</w:t>
      </w:r>
    </w:p>
    <w:p w14:paraId="4ED48F3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1.及时提出整改和加强管理的合理化建议得到采纳，对节约政府投资产生明显效果的，给予0.5万元-3万元的奖励；</w:t>
      </w:r>
    </w:p>
    <w:p w14:paraId="03911BDF">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2.发现案件线索并经纪检、检察机关等立案查实的，根据案值大小和性质情节，给予1万元－10万元的奖励；</w:t>
      </w:r>
    </w:p>
    <w:p w14:paraId="0299FCC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3.经核实，乙方有下列情形之一的，甲方可对乙方警告、扣减审计服务费用、终止审计委托协议等：</w:t>
      </w:r>
    </w:p>
    <w:p w14:paraId="342440E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（1）工程结算审核报告存在重大失误或质量低劣；</w:t>
      </w:r>
    </w:p>
    <w:p w14:paraId="03C6F72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（2）因自身工作错误或过失造成重大损失；</w:t>
      </w:r>
    </w:p>
    <w:p w14:paraId="089E222B">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（3）未经允许私自向施工单位透露审核情况或信息；</w:t>
      </w:r>
    </w:p>
    <w:p w14:paraId="4FC642FC">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（4）向相关单位或个人索要财物等谋取不正当利益；</w:t>
      </w:r>
    </w:p>
    <w:p w14:paraId="3B26127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（5）单独或与其他各方串通舞弊、弄虚作假虚增；</w:t>
      </w:r>
    </w:p>
    <w:p w14:paraId="43A29308">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（6）其他违反法律法规和政策的行为。</w:t>
      </w:r>
    </w:p>
    <w:p w14:paraId="57FBA754">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八、甲乙双方的权利和义务 </w:t>
      </w:r>
    </w:p>
    <w:p w14:paraId="351F148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1.甲方权利和义务 </w:t>
      </w:r>
    </w:p>
    <w:p w14:paraId="2C23A22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（1）甲方有权对乙方的跟踪审计项目实施监督，对乙方审计工作程序、质量和效率等进行检查考核；</w:t>
      </w:r>
    </w:p>
    <w:p w14:paraId="019E4ED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（2）项目跟踪审计过程中，甲方如发现乙方所派审计人员不符合要求或不能胜任岗位工作职责的，甲方有权要求乙方及时调换，或视情况给予相应的处理、处罚；</w:t>
      </w:r>
    </w:p>
    <w:p w14:paraId="1E9DAFBF">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（3）甲方保证乙方审计服务费用的按时到位。</w:t>
      </w:r>
    </w:p>
    <w:p w14:paraId="648DFF9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2.乙方权利和义务</w:t>
      </w:r>
    </w:p>
    <w:p w14:paraId="18AC462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（1）乙方在完成审计任务后，有权及时取得审计服务费用；</w:t>
      </w:r>
    </w:p>
    <w:p w14:paraId="07FDB98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（2）乙方须依照甲方工作要求及行业准则、规范，按时、保质、保量完成所承担的审计任务；</w:t>
      </w:r>
    </w:p>
    <w:p w14:paraId="714176DB">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（3）乙方必须对审计人员进行廉政教育，如发现有违反廉洁自律规定的行为，应立即更换人员，并对其严肃处理。同时，甲方可根据性质及情节，扣减相应审计服务费用。</w:t>
      </w:r>
    </w:p>
    <w:p w14:paraId="465B7CB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九、附则</w:t>
      </w:r>
    </w:p>
    <w:p w14:paraId="4BED855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1.本协议一式</w:t>
      </w:r>
      <w:r>
        <w:rPr>
          <w:rFonts w:hint="eastAsia" w:ascii="宋体" w:hAnsi="宋体" w:eastAsia="宋体" w:cs="宋体"/>
          <w:color w:val="auto"/>
          <w:sz w:val="21"/>
          <w:szCs w:val="21"/>
          <w:highlight w:val="none"/>
          <w:lang w:val="en-US" w:eastAsia="zh-CN"/>
        </w:rPr>
        <w:t>贰</w:t>
      </w:r>
      <w:r>
        <w:rPr>
          <w:rFonts w:hint="eastAsia" w:ascii="宋体" w:hAnsi="宋体" w:eastAsia="宋体" w:cs="宋体"/>
          <w:color w:val="auto"/>
          <w:sz w:val="21"/>
          <w:szCs w:val="21"/>
          <w:highlight w:val="none"/>
        </w:rPr>
        <w:t>份，具有同等法律效力，甲方、乙方各执</w:t>
      </w:r>
      <w:r>
        <w:rPr>
          <w:rFonts w:hint="eastAsia" w:ascii="宋体" w:hAnsi="宋体" w:eastAsia="宋体" w:cs="宋体"/>
          <w:color w:val="auto"/>
          <w:sz w:val="21"/>
          <w:szCs w:val="21"/>
          <w:highlight w:val="none"/>
          <w:lang w:val="en-US" w:eastAsia="zh-CN"/>
        </w:rPr>
        <w:t>壹</w:t>
      </w:r>
      <w:r>
        <w:rPr>
          <w:rFonts w:hint="eastAsia" w:ascii="宋体" w:hAnsi="宋体" w:eastAsia="宋体" w:cs="宋体"/>
          <w:color w:val="auto"/>
          <w:sz w:val="21"/>
          <w:szCs w:val="21"/>
          <w:highlight w:val="none"/>
        </w:rPr>
        <w:t>份。</w:t>
      </w:r>
    </w:p>
    <w:p w14:paraId="7D2FABD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2.本协议未尽事宜，由甲乙双方协商解决。协商不成，可向滁州市南谯区人民法院提起诉讼。</w:t>
      </w:r>
    </w:p>
    <w:p w14:paraId="2A4DD261">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3.本合同自双方签章后生效。</w:t>
      </w:r>
    </w:p>
    <w:p w14:paraId="76F461FB">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eastAsia="宋体" w:cs="宋体"/>
          <w:color w:val="auto"/>
          <w:sz w:val="21"/>
          <w:szCs w:val="21"/>
          <w:highlight w:val="none"/>
        </w:rPr>
      </w:pPr>
    </w:p>
    <w:p w14:paraId="48372113">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甲方（签章）                   乙方（签章）</w:t>
      </w:r>
    </w:p>
    <w:p w14:paraId="7A12548C">
      <w:pPr>
        <w:pStyle w:val="29"/>
        <w:keepNext w:val="0"/>
        <w:keepLines w:val="0"/>
        <w:pageBreakBefore w:val="0"/>
        <w:kinsoku/>
        <w:wordWrap/>
        <w:overflowPunct/>
        <w:topLinePunct w:val="0"/>
        <w:autoSpaceDE/>
        <w:autoSpaceDN/>
        <w:bidi w:val="0"/>
        <w:snapToGrid w:val="0"/>
        <w:spacing w:before="0" w:beforeAutospacing="0" w:after="0" w:afterAutospacing="0" w:line="500" w:lineRule="exact"/>
        <w:textAlignment w:val="auto"/>
        <w:rPr>
          <w:rFonts w:hint="eastAsia" w:ascii="宋体" w:hAnsi="宋体" w:eastAsia="宋体" w:cs="宋体"/>
          <w:color w:val="auto"/>
          <w:sz w:val="21"/>
          <w:szCs w:val="21"/>
          <w:highlight w:val="none"/>
        </w:rPr>
      </w:pPr>
    </w:p>
    <w:p w14:paraId="231A4546">
      <w:pPr>
        <w:pStyle w:val="29"/>
        <w:keepNext w:val="0"/>
        <w:keepLines w:val="0"/>
        <w:pageBreakBefore w:val="0"/>
        <w:kinsoku/>
        <w:wordWrap/>
        <w:overflowPunct/>
        <w:topLinePunct w:val="0"/>
        <w:autoSpaceDE/>
        <w:autoSpaceDN/>
        <w:bidi w:val="0"/>
        <w:snapToGrid w:val="0"/>
        <w:spacing w:before="0" w:beforeAutospacing="0" w:after="0" w:afterAutospacing="0" w:line="500" w:lineRule="exact"/>
        <w:ind w:firstLine="1365" w:firstLineChars="650"/>
        <w:textAlignment w:val="auto"/>
        <w:rPr>
          <w:rFonts w:hint="eastAsia" w:ascii="宋体" w:hAnsi="宋体" w:eastAsia="宋体" w:cs="宋体"/>
          <w:color w:val="auto"/>
          <w:sz w:val="21"/>
          <w:szCs w:val="21"/>
          <w:highlight w:val="none"/>
        </w:rPr>
      </w:pPr>
    </w:p>
    <w:p w14:paraId="1300616C">
      <w:pPr>
        <w:pStyle w:val="29"/>
        <w:keepNext w:val="0"/>
        <w:keepLines w:val="0"/>
        <w:pageBreakBefore w:val="0"/>
        <w:kinsoku/>
        <w:wordWrap/>
        <w:overflowPunct/>
        <w:topLinePunct w:val="0"/>
        <w:autoSpaceDE/>
        <w:autoSpaceDN/>
        <w:bidi w:val="0"/>
        <w:snapToGrid w:val="0"/>
        <w:spacing w:before="0" w:beforeAutospacing="0" w:after="0" w:afterAutospacing="0" w:line="500" w:lineRule="exact"/>
        <w:ind w:firstLine="1365" w:firstLineChars="650"/>
        <w:textAlignment w:val="auto"/>
        <w:rPr>
          <w:rFonts w:hint="eastAsia" w:ascii="宋体" w:hAnsi="宋体" w:eastAsia="宋体" w:cs="宋体"/>
          <w:color w:val="auto"/>
          <w:sz w:val="21"/>
          <w:szCs w:val="21"/>
          <w:highlight w:val="none"/>
        </w:rPr>
      </w:pPr>
    </w:p>
    <w:p w14:paraId="0B0E76EA">
      <w:pPr>
        <w:pStyle w:val="29"/>
        <w:keepNext w:val="0"/>
        <w:keepLines w:val="0"/>
        <w:pageBreakBefore w:val="0"/>
        <w:kinsoku/>
        <w:wordWrap/>
        <w:overflowPunct/>
        <w:topLinePunct w:val="0"/>
        <w:autoSpaceDE/>
        <w:autoSpaceDN/>
        <w:bidi w:val="0"/>
        <w:snapToGrid w:val="0"/>
        <w:spacing w:before="0" w:beforeAutospacing="0" w:after="0" w:afterAutospacing="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年    月    日                 年   月   日</w:t>
      </w:r>
      <w:r>
        <w:rPr>
          <w:rFonts w:hint="eastAsia" w:ascii="宋体" w:hAnsi="宋体" w:eastAsia="宋体" w:cs="宋体"/>
          <w:color w:val="auto"/>
          <w:kern w:val="2"/>
          <w:sz w:val="21"/>
          <w:szCs w:val="21"/>
          <w:highlight w:val="none"/>
        </w:rPr>
        <w:t xml:space="preserve"> </w:t>
      </w:r>
    </w:p>
    <w:p w14:paraId="5BC3344F">
      <w:pPr>
        <w:pStyle w:val="29"/>
        <w:snapToGrid w:val="0"/>
        <w:spacing w:before="0" w:beforeAutospacing="0" w:after="0" w:afterAutospacing="0" w:line="480" w:lineRule="exact"/>
        <w:ind w:firstLine="640" w:firstLineChars="200"/>
        <w:rPr>
          <w:rFonts w:ascii="宋体" w:hAnsi="宋体" w:cs="宋体"/>
          <w:bCs/>
          <w:color w:val="auto"/>
          <w:sz w:val="32"/>
          <w:szCs w:val="32"/>
          <w:highlight w:val="none"/>
        </w:rPr>
        <w:sectPr>
          <w:footerReference r:id="rId8" w:type="default"/>
          <w:pgSz w:w="11906" w:h="16838"/>
          <w:pgMar w:top="1134" w:right="1134" w:bottom="1134" w:left="1134" w:header="680" w:footer="680" w:gutter="0"/>
          <w:pgNumType w:fmt="numberInDash"/>
          <w:cols w:space="720" w:num="1"/>
          <w:docGrid w:type="lines" w:linePitch="312" w:charSpace="0"/>
        </w:sectPr>
      </w:pPr>
    </w:p>
    <w:bookmarkEnd w:id="64"/>
    <w:p w14:paraId="6E698501">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六</w:t>
      </w:r>
      <w:r>
        <w:rPr>
          <w:rFonts w:hint="eastAsia" w:ascii="宋体"/>
          <w:b/>
          <w:color w:val="auto"/>
          <w:sz w:val="32"/>
          <w:szCs w:val="32"/>
          <w:highlight w:val="none"/>
        </w:rPr>
        <w:t>章  投标文件格式</w:t>
      </w:r>
    </w:p>
    <w:p w14:paraId="50187447">
      <w:pPr>
        <w:jc w:val="center"/>
        <w:rPr>
          <w:rFonts w:hint="eastAsia" w:eastAsia="黑体"/>
          <w:color w:val="auto"/>
          <w:sz w:val="20"/>
          <w:highlight w:val="none"/>
        </w:rPr>
      </w:pPr>
    </w:p>
    <w:p w14:paraId="2A05EDCE">
      <w:pPr>
        <w:rPr>
          <w:rFonts w:hint="eastAsia" w:eastAsia="黑体"/>
          <w:color w:val="auto"/>
          <w:sz w:val="20"/>
          <w:highlight w:val="none"/>
        </w:rPr>
      </w:pPr>
    </w:p>
    <w:p w14:paraId="43327C74">
      <w:pPr>
        <w:rPr>
          <w:rFonts w:hint="eastAsia" w:eastAsia="黑体"/>
          <w:color w:val="auto"/>
          <w:sz w:val="20"/>
          <w:highlight w:val="none"/>
        </w:rPr>
      </w:pPr>
    </w:p>
    <w:p w14:paraId="50C1D7A8">
      <w:pPr>
        <w:rPr>
          <w:rFonts w:hint="eastAsia" w:eastAsia="黑体"/>
          <w:color w:val="auto"/>
          <w:sz w:val="20"/>
          <w:highlight w:val="none"/>
        </w:rPr>
      </w:pPr>
    </w:p>
    <w:p w14:paraId="7672EDBC">
      <w:pPr>
        <w:jc w:val="center"/>
        <w:rPr>
          <w:rFonts w:hint="eastAsia" w:ascii="宋体"/>
          <w:b/>
          <w:color w:val="auto"/>
          <w:sz w:val="44"/>
          <w:szCs w:val="44"/>
          <w:highlight w:val="none"/>
        </w:rPr>
      </w:pPr>
      <w:bookmarkStart w:id="65" w:name="_Toc449028949"/>
      <w:bookmarkStart w:id="66" w:name="_Toc350698753"/>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65"/>
      <w:bookmarkEnd w:id="66"/>
    </w:p>
    <w:p w14:paraId="5F0F4C41">
      <w:pPr>
        <w:jc w:val="center"/>
        <w:rPr>
          <w:rFonts w:hint="eastAsia" w:eastAsia="黑体"/>
          <w:color w:val="auto"/>
          <w:sz w:val="44"/>
          <w:szCs w:val="44"/>
          <w:highlight w:val="none"/>
        </w:rPr>
      </w:pPr>
    </w:p>
    <w:p w14:paraId="6295494C">
      <w:pPr>
        <w:jc w:val="center"/>
        <w:rPr>
          <w:rFonts w:hint="eastAsia" w:eastAsia="黑体"/>
          <w:color w:val="auto"/>
          <w:sz w:val="44"/>
          <w:szCs w:val="44"/>
          <w:highlight w:val="none"/>
        </w:rPr>
      </w:pPr>
    </w:p>
    <w:p w14:paraId="1D0816D5">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E78CC73">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BB06E75">
      <w:pPr>
        <w:rPr>
          <w:rFonts w:hint="eastAsia" w:ascii="宋体"/>
          <w:color w:val="auto"/>
          <w:sz w:val="28"/>
          <w:szCs w:val="28"/>
          <w:highlight w:val="none"/>
        </w:rPr>
      </w:pPr>
    </w:p>
    <w:p w14:paraId="309E9F1C">
      <w:pPr>
        <w:rPr>
          <w:rFonts w:hint="eastAsia" w:ascii="宋体"/>
          <w:color w:val="auto"/>
          <w:sz w:val="28"/>
          <w:szCs w:val="28"/>
          <w:highlight w:val="none"/>
        </w:rPr>
      </w:pPr>
    </w:p>
    <w:p w14:paraId="3E137C7D">
      <w:pPr>
        <w:rPr>
          <w:rFonts w:hint="eastAsia" w:ascii="宋体"/>
          <w:color w:val="auto"/>
          <w:sz w:val="28"/>
          <w:szCs w:val="28"/>
          <w:highlight w:val="none"/>
        </w:rPr>
      </w:pPr>
    </w:p>
    <w:p w14:paraId="13D25D07">
      <w:pPr>
        <w:rPr>
          <w:rFonts w:hint="eastAsia" w:ascii="宋体"/>
          <w:color w:val="auto"/>
          <w:sz w:val="28"/>
          <w:szCs w:val="28"/>
          <w:highlight w:val="none"/>
        </w:rPr>
      </w:pPr>
    </w:p>
    <w:p w14:paraId="1EB524F1">
      <w:pPr>
        <w:rPr>
          <w:rFonts w:hint="eastAsia" w:ascii="宋体"/>
          <w:color w:val="auto"/>
          <w:sz w:val="28"/>
          <w:szCs w:val="28"/>
          <w:highlight w:val="none"/>
        </w:rPr>
      </w:pPr>
    </w:p>
    <w:p w14:paraId="5ACE49DD">
      <w:pPr>
        <w:rPr>
          <w:rFonts w:hint="eastAsia" w:ascii="宋体"/>
          <w:color w:val="auto"/>
          <w:sz w:val="28"/>
          <w:szCs w:val="28"/>
          <w:highlight w:val="none"/>
        </w:rPr>
      </w:pPr>
    </w:p>
    <w:p w14:paraId="25C5C5E6">
      <w:pPr>
        <w:rPr>
          <w:rFonts w:hint="eastAsia" w:ascii="宋体"/>
          <w:color w:val="auto"/>
          <w:sz w:val="28"/>
          <w:szCs w:val="28"/>
          <w:highlight w:val="none"/>
        </w:rPr>
      </w:pPr>
    </w:p>
    <w:p w14:paraId="787FD766">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561284B">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75FE166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D822820">
      <w:pPr>
        <w:spacing w:line="720" w:lineRule="auto"/>
        <w:jc w:val="center"/>
        <w:rPr>
          <w:rFonts w:hint="eastAsia" w:ascii="宋体"/>
          <w:b/>
          <w:color w:val="auto"/>
          <w:sz w:val="36"/>
          <w:szCs w:val="36"/>
          <w:highlight w:val="none"/>
        </w:rPr>
      </w:pPr>
    </w:p>
    <w:p w14:paraId="3B7FC3EE">
      <w:pPr>
        <w:spacing w:line="400" w:lineRule="exact"/>
        <w:ind w:firstLine="4130" w:firstLineChars="935"/>
        <w:rPr>
          <w:rFonts w:hint="eastAsia"/>
          <w:b/>
          <w:color w:val="auto"/>
          <w:sz w:val="44"/>
          <w:szCs w:val="44"/>
          <w:highlight w:val="none"/>
        </w:rPr>
      </w:pPr>
    </w:p>
    <w:p w14:paraId="692DC988">
      <w:pPr>
        <w:spacing w:line="400" w:lineRule="exact"/>
        <w:ind w:firstLine="4130" w:firstLineChars="935"/>
        <w:rPr>
          <w:rFonts w:hint="eastAsia"/>
          <w:b/>
          <w:color w:val="auto"/>
          <w:sz w:val="44"/>
          <w:szCs w:val="44"/>
          <w:highlight w:val="none"/>
        </w:rPr>
      </w:pPr>
    </w:p>
    <w:p w14:paraId="5746488A">
      <w:pPr>
        <w:spacing w:line="400" w:lineRule="exact"/>
        <w:ind w:firstLine="4130" w:firstLineChars="935"/>
        <w:rPr>
          <w:rFonts w:hint="eastAsia"/>
          <w:b/>
          <w:color w:val="auto"/>
          <w:sz w:val="44"/>
          <w:szCs w:val="44"/>
          <w:highlight w:val="none"/>
        </w:rPr>
      </w:pPr>
    </w:p>
    <w:p w14:paraId="1026DC8D">
      <w:pPr>
        <w:jc w:val="center"/>
        <w:rPr>
          <w:rFonts w:hint="eastAsia"/>
          <w:b/>
          <w:color w:val="auto"/>
          <w:sz w:val="44"/>
          <w:szCs w:val="44"/>
          <w:highlight w:val="none"/>
        </w:rPr>
      </w:pPr>
      <w:r>
        <w:rPr>
          <w:rFonts w:hint="eastAsia"/>
          <w:b/>
          <w:color w:val="auto"/>
          <w:sz w:val="36"/>
          <w:szCs w:val="36"/>
          <w:highlight w:val="none"/>
        </w:rPr>
        <w:t>目   录</w:t>
      </w:r>
    </w:p>
    <w:p w14:paraId="66A8ACC8">
      <w:pPr>
        <w:spacing w:line="400" w:lineRule="exact"/>
        <w:ind w:firstLine="562" w:firstLineChars="200"/>
        <w:rPr>
          <w:rFonts w:hint="eastAsia"/>
          <w:b/>
          <w:color w:val="auto"/>
          <w:sz w:val="28"/>
          <w:szCs w:val="28"/>
          <w:highlight w:val="none"/>
        </w:rPr>
      </w:pPr>
    </w:p>
    <w:p w14:paraId="261FB3A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（1）法定代表人身份证明及其有效身份证复印件（或法定代表人授权委托书及其有效身份证复印件）（格式见附件）；                                                                                                                                                                                                                                                                                                                                                                                                                                                                                                                                                                                                                                                                                                                                                                                                                                                                                                                                                                                                                                                                                                                                                                                                                                                                                                                                                                                                                                                                                                                                                                                                                                                                                        </w:t>
      </w:r>
    </w:p>
    <w:p w14:paraId="40418CEE">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hAnsi="宋体"/>
          <w:color w:val="auto"/>
          <w:szCs w:val="21"/>
          <w:highlight w:val="none"/>
        </w:rPr>
        <w:t>投标人</w:t>
      </w:r>
      <w:r>
        <w:rPr>
          <w:rFonts w:hint="eastAsia" w:hAnsi="宋体"/>
          <w:color w:val="auto"/>
          <w:szCs w:val="21"/>
          <w:highlight w:val="none"/>
          <w:lang w:val="en-US" w:eastAsia="zh-CN"/>
        </w:rPr>
        <w:t>有效的营业执照</w:t>
      </w:r>
      <w:r>
        <w:rPr>
          <w:rFonts w:hint="eastAsia" w:ascii="宋体"/>
          <w:color w:val="auto"/>
          <w:szCs w:val="21"/>
          <w:highlight w:val="none"/>
        </w:rPr>
        <w:t>；</w:t>
      </w:r>
    </w:p>
    <w:p w14:paraId="4EB04C27">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w:t>
      </w:r>
    </w:p>
    <w:p w14:paraId="63323ABE">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4）项目组人员配备表、人员有效身份证及对应证书；</w:t>
      </w:r>
    </w:p>
    <w:p w14:paraId="72E58AC2">
      <w:pPr>
        <w:spacing w:line="500" w:lineRule="exact"/>
        <w:ind w:firstLine="420" w:firstLineChars="200"/>
        <w:jc w:val="left"/>
        <w:rPr>
          <w:rFonts w:hint="eastAsia" w:ascii="宋体"/>
          <w:color w:val="auto"/>
          <w:szCs w:val="21"/>
          <w:highlight w:val="none"/>
        </w:rPr>
      </w:pPr>
      <w:r>
        <w:rPr>
          <w:rFonts w:hint="eastAsia" w:ascii="宋体" w:hAnsi="宋体" w:cs="宋体-18030"/>
          <w:color w:val="auto"/>
          <w:szCs w:val="21"/>
          <w:highlight w:val="none"/>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rPr>
        <w:t>）</w:t>
      </w:r>
      <w:r>
        <w:rPr>
          <w:rFonts w:hint="eastAsia" w:ascii="宋体"/>
          <w:color w:val="auto"/>
          <w:szCs w:val="21"/>
          <w:highlight w:val="none"/>
        </w:rPr>
        <w:t>诚信投标承诺书（格式见附件）；</w:t>
      </w:r>
    </w:p>
    <w:p w14:paraId="12FBC190">
      <w:pPr>
        <w:spacing w:line="500" w:lineRule="exact"/>
        <w:ind w:firstLine="420" w:firstLineChars="200"/>
        <w:jc w:val="left"/>
        <w:rPr>
          <w:rFonts w:hint="eastAsia" w:ascii="宋体" w:cs="Times New Roman"/>
          <w:color w:val="auto"/>
          <w:szCs w:val="21"/>
          <w:highlight w:val="none"/>
          <w:lang w:val="en-US"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6）服务承诺书</w:t>
      </w:r>
      <w:r>
        <w:rPr>
          <w:rFonts w:hint="eastAsia" w:ascii="宋体"/>
          <w:color w:val="auto"/>
          <w:szCs w:val="21"/>
          <w:highlight w:val="none"/>
        </w:rPr>
        <w:t>（格式见附件）；</w:t>
      </w:r>
    </w:p>
    <w:p w14:paraId="4B5FC9B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7</w:t>
      </w:r>
      <w:r>
        <w:rPr>
          <w:rFonts w:hint="eastAsia" w:ascii="宋体" w:eastAsia="宋体"/>
          <w:color w:val="auto"/>
          <w:szCs w:val="21"/>
          <w:highlight w:val="none"/>
        </w:rPr>
        <w:t>）投标函（格式见附件）；</w:t>
      </w:r>
    </w:p>
    <w:p w14:paraId="4B9F1141">
      <w:pPr>
        <w:spacing w:line="440" w:lineRule="exact"/>
        <w:ind w:left="420"/>
        <w:rPr>
          <w:rFonts w:hint="default" w:ascii="宋体" w:eastAsia="宋体"/>
          <w:color w:val="auto"/>
          <w:szCs w:val="21"/>
          <w:highlight w:val="none"/>
          <w:lang w:val="en-US" w:eastAsia="zh-CN"/>
        </w:rPr>
        <w:sectPr>
          <w:footerReference r:id="rId9" w:type="default"/>
          <w:pgSz w:w="11906" w:h="16838"/>
          <w:pgMar w:top="1440" w:right="1800" w:bottom="1440" w:left="1800" w:header="851" w:footer="992" w:gutter="0"/>
          <w:pgNumType w:fmt="decimal"/>
          <w:cols w:space="720" w:num="1"/>
          <w:docGrid w:type="lines" w:linePitch="312" w:charSpace="0"/>
        </w:sectPr>
      </w:pPr>
      <w:r>
        <w:rPr>
          <w:rFonts w:hint="eastAsia" w:ascii="宋体" w:eastAsia="宋体"/>
          <w:color w:val="auto"/>
          <w:szCs w:val="21"/>
          <w:highlight w:val="none"/>
          <w:lang w:eastAsia="zh-CN"/>
        </w:rPr>
        <w:t>（</w:t>
      </w:r>
      <w:r>
        <w:rPr>
          <w:rFonts w:hint="eastAsia" w:ascii="宋体"/>
          <w:color w:val="auto"/>
          <w:szCs w:val="21"/>
          <w:highlight w:val="none"/>
          <w:lang w:val="en-US" w:eastAsia="zh-CN"/>
        </w:rPr>
        <w:t>8</w:t>
      </w:r>
      <w:r>
        <w:rPr>
          <w:rFonts w:hint="eastAsia" w:ascii="宋体" w:eastAsia="宋体"/>
          <w:color w:val="auto"/>
          <w:szCs w:val="21"/>
          <w:highlight w:val="none"/>
          <w:lang w:val="en-US" w:eastAsia="zh-CN"/>
        </w:rPr>
        <w:t>）</w:t>
      </w:r>
      <w:r>
        <w:rPr>
          <w:rFonts w:hint="eastAsia" w:ascii="宋体"/>
          <w:color w:val="auto"/>
          <w:szCs w:val="21"/>
          <w:highlight w:val="none"/>
          <w:lang w:val="en-US" w:eastAsia="zh-CN"/>
        </w:rPr>
        <w:t>招标文件中评分细则所需提供的证明材料。</w:t>
      </w:r>
    </w:p>
    <w:p w14:paraId="12A309E3">
      <w:pPr>
        <w:spacing w:line="360" w:lineRule="auto"/>
        <w:rPr>
          <w:rFonts w:hint="eastAsia"/>
          <w:b/>
          <w:color w:val="auto"/>
          <w:sz w:val="28"/>
          <w:szCs w:val="28"/>
          <w:highlight w:val="none"/>
        </w:rPr>
      </w:pPr>
      <w:r>
        <w:rPr>
          <w:rFonts w:hint="eastAsia"/>
          <w:b/>
          <w:color w:val="auto"/>
          <w:sz w:val="28"/>
          <w:szCs w:val="28"/>
          <w:highlight w:val="none"/>
        </w:rPr>
        <w:t>附件1</w:t>
      </w:r>
    </w:p>
    <w:p w14:paraId="0297AD0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83D3138">
      <w:pPr>
        <w:pStyle w:val="120"/>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753793">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019663A">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B5DF856">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B1CBFB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DA2303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BB6CD85">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B53ECF3">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3DC411F5">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643A4456">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6726C062">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3F1660A">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D691DB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23EFDA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B3C3182">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F2C4FEE">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F2B62F9">
      <w:pPr>
        <w:spacing w:line="480" w:lineRule="exact"/>
        <w:rPr>
          <w:rFonts w:hint="eastAsia" w:ascii="宋体"/>
          <w:color w:val="auto"/>
          <w:sz w:val="24"/>
          <w:highlight w:val="none"/>
        </w:rPr>
      </w:pPr>
      <w:r>
        <w:rPr>
          <w:rFonts w:hint="eastAsia" w:ascii="宋体"/>
          <w:color w:val="auto"/>
          <w:sz w:val="24"/>
          <w:highlight w:val="none"/>
        </w:rPr>
        <w:t xml:space="preserve">                                     投标人：             </w:t>
      </w:r>
      <w:r>
        <w:rPr>
          <w:rFonts w:hint="eastAsia" w:ascii="宋体"/>
          <w:color w:val="auto"/>
          <w:sz w:val="28"/>
          <w:szCs w:val="28"/>
          <w:highlight w:val="none"/>
        </w:rPr>
        <w:t>（盖单位章）</w:t>
      </w:r>
    </w:p>
    <w:p w14:paraId="2F96CCFC">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1CCB353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3DFB8282">
      <w:pPr>
        <w:spacing w:line="360" w:lineRule="exact"/>
        <w:ind w:firstLine="413" w:firstLineChars="147"/>
        <w:rPr>
          <w:rFonts w:hint="eastAsia"/>
          <w:b/>
          <w:color w:val="auto"/>
          <w:sz w:val="28"/>
          <w:szCs w:val="28"/>
          <w:highlight w:val="none"/>
          <w:u w:val="single"/>
        </w:rPr>
      </w:pPr>
    </w:p>
    <w:p w14:paraId="454DA86A">
      <w:pPr>
        <w:spacing w:line="360" w:lineRule="exact"/>
        <w:ind w:firstLine="413" w:firstLineChars="147"/>
        <w:rPr>
          <w:rFonts w:hint="eastAsia"/>
          <w:b/>
          <w:color w:val="auto"/>
          <w:sz w:val="28"/>
          <w:szCs w:val="28"/>
          <w:highlight w:val="none"/>
          <w:u w:val="single"/>
        </w:rPr>
      </w:pPr>
    </w:p>
    <w:p w14:paraId="5D81EF35">
      <w:pPr>
        <w:spacing w:line="360" w:lineRule="exact"/>
        <w:ind w:firstLine="443" w:firstLineChars="147"/>
        <w:rPr>
          <w:rFonts w:hint="eastAsia" w:ascii="宋体"/>
          <w:b/>
          <w:color w:val="auto"/>
          <w:sz w:val="30"/>
          <w:szCs w:val="30"/>
          <w:highlight w:val="none"/>
        </w:rPr>
      </w:pPr>
      <w:r>
        <w:rPr>
          <w:rFonts w:hint="eastAsia" w:ascii="宋体"/>
          <w:b/>
          <w:color w:val="auto"/>
          <w:sz w:val="30"/>
          <w:szCs w:val="30"/>
          <w:highlight w:val="none"/>
        </w:rPr>
        <w:t>附件2</w:t>
      </w:r>
    </w:p>
    <w:p w14:paraId="66A28F69">
      <w:pPr>
        <w:spacing w:line="360" w:lineRule="auto"/>
        <w:jc w:val="center"/>
        <w:rPr>
          <w:rFonts w:hint="eastAsia"/>
          <w:b/>
          <w:color w:val="auto"/>
          <w:sz w:val="28"/>
          <w:szCs w:val="28"/>
          <w:highlight w:val="none"/>
        </w:rPr>
      </w:pPr>
      <w:bookmarkStart w:id="67" w:name="_Toc440443268"/>
      <w:bookmarkStart w:id="68" w:name="_Toc449028950"/>
      <w:r>
        <w:rPr>
          <w:rFonts w:hint="eastAsia"/>
          <w:b/>
          <w:color w:val="auto"/>
          <w:sz w:val="28"/>
          <w:szCs w:val="28"/>
          <w:highlight w:val="none"/>
        </w:rPr>
        <w:t>诚信投标承诺书 </w:t>
      </w:r>
    </w:p>
    <w:p w14:paraId="3B4959A1">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17BEDF11">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3250ACD7">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ascii="宋体" w:hAnsi="宋体"/>
          <w:color w:val="auto"/>
          <w:szCs w:val="21"/>
          <w:highlight w:val="none"/>
        </w:rPr>
      </w:pPr>
      <w:r>
        <w:rPr>
          <w:rFonts w:hint="eastAsia" w:ascii="宋体" w:hAnsi="宋体"/>
          <w:color w:val="auto"/>
          <w:szCs w:val="21"/>
          <w:highlight w:val="none"/>
        </w:rPr>
        <w:t>二、本单位郑重声明，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35915449">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3988BD8D">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AAA7A7B">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6455B08">
      <w:pPr>
        <w:keepNext w:val="0"/>
        <w:keepLines w:val="0"/>
        <w:pageBreakBefore w:val="0"/>
        <w:widowControl w:val="0"/>
        <w:kinsoku/>
        <w:wordWrap/>
        <w:overflowPunct/>
        <w:topLinePunct w:val="0"/>
        <w:autoSpaceDE/>
        <w:autoSpaceDN/>
        <w:bidi w:val="0"/>
        <w:adjustRightInd w:val="0"/>
        <w:snapToGrid w:val="0"/>
        <w:spacing w:line="500" w:lineRule="exact"/>
        <w:ind w:left="-615" w:leftChars="-293" w:right="-512" w:rightChars="-244" w:firstLine="415" w:firstLineChars="198"/>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宋体" w:hAnsi="宋体"/>
          <w:color w:val="auto"/>
          <w:szCs w:val="21"/>
          <w:highlight w:val="none"/>
        </w:rPr>
        <w:t>没有下列情形：</w:t>
      </w:r>
      <w:bookmarkStart w:id="69" w:name="OLE_LINK134"/>
      <w:bookmarkStart w:id="70" w:name="OLE_LINK133"/>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bookmarkEnd w:id="69"/>
      <w:bookmarkEnd w:id="70"/>
      <w:r>
        <w:rPr>
          <w:rFonts w:hint="eastAsia" w:ascii="宋体" w:hAnsi="宋体"/>
          <w:color w:val="auto"/>
          <w:szCs w:val="21"/>
          <w:highlight w:val="none"/>
          <w:lang w:eastAsia="zh-CN"/>
        </w:rPr>
        <w:t>。</w:t>
      </w:r>
    </w:p>
    <w:p w14:paraId="20CDDA7F">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77F25EE6">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、保证中标后不转包，若有分包征得招标人同意；</w:t>
      </w:r>
    </w:p>
    <w:p w14:paraId="17199933">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、保证中标之后，按照投标文件要求提供相关后续服务；</w:t>
      </w:r>
    </w:p>
    <w:p w14:paraId="2E012909">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36D1E74">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5912448">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6BF6B4A5">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w:t>
      </w:r>
    </w:p>
    <w:p w14:paraId="3C713C1E">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开户银行：                          基本账户：</w:t>
      </w:r>
    </w:p>
    <w:p w14:paraId="560E2902">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投标单位（盖单位章）：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410B7592">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p>
    <w:p w14:paraId="02DBA31F">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69AF867">
      <w:pPr>
        <w:spacing w:line="360" w:lineRule="auto"/>
        <w:jc w:val="center"/>
        <w:rPr>
          <w:rFonts w:hint="eastAsia"/>
          <w:b/>
          <w:color w:val="auto"/>
          <w:sz w:val="28"/>
          <w:szCs w:val="28"/>
          <w:highlight w:val="none"/>
        </w:rPr>
      </w:pPr>
    </w:p>
    <w:p w14:paraId="330836B9">
      <w:pPr>
        <w:spacing w:line="360" w:lineRule="exact"/>
        <w:ind w:firstLine="443" w:firstLineChars="147"/>
        <w:rPr>
          <w:rFonts w:hint="eastAsia" w:ascii="宋体"/>
          <w:b/>
          <w:color w:val="auto"/>
          <w:sz w:val="30"/>
          <w:szCs w:val="30"/>
          <w:highlight w:val="none"/>
        </w:rPr>
      </w:pPr>
    </w:p>
    <w:p w14:paraId="3A5E1A1C">
      <w:pPr>
        <w:spacing w:line="360" w:lineRule="exact"/>
        <w:ind w:firstLine="443" w:firstLineChars="147"/>
        <w:rPr>
          <w:rFonts w:hint="eastAsia" w:ascii="宋体"/>
          <w:b/>
          <w:color w:val="auto"/>
          <w:sz w:val="30"/>
          <w:szCs w:val="30"/>
          <w:highlight w:val="none"/>
        </w:rPr>
      </w:pPr>
    </w:p>
    <w:p w14:paraId="75C0279C">
      <w:pPr>
        <w:spacing w:line="360" w:lineRule="exact"/>
        <w:ind w:firstLine="443" w:firstLineChars="147"/>
        <w:rPr>
          <w:rFonts w:hint="eastAsia" w:ascii="宋体"/>
          <w:b/>
          <w:color w:val="auto"/>
          <w:sz w:val="30"/>
          <w:szCs w:val="30"/>
          <w:highlight w:val="none"/>
        </w:rPr>
      </w:pPr>
    </w:p>
    <w:p w14:paraId="2C30AD6E">
      <w:pPr>
        <w:spacing w:line="360" w:lineRule="exact"/>
        <w:ind w:firstLine="443" w:firstLineChars="147"/>
        <w:rPr>
          <w:rFonts w:hint="eastAsia" w:ascii="宋体"/>
          <w:b/>
          <w:color w:val="auto"/>
          <w:sz w:val="30"/>
          <w:szCs w:val="30"/>
          <w:highlight w:val="none"/>
        </w:rPr>
      </w:pPr>
    </w:p>
    <w:p w14:paraId="5EB60544">
      <w:pPr>
        <w:spacing w:line="360" w:lineRule="exact"/>
        <w:ind w:firstLine="443" w:firstLineChars="147"/>
        <w:rPr>
          <w:rFonts w:hint="eastAsia" w:ascii="宋体"/>
          <w:b/>
          <w:color w:val="auto"/>
          <w:sz w:val="30"/>
          <w:szCs w:val="30"/>
          <w:highlight w:val="none"/>
        </w:rPr>
      </w:pPr>
    </w:p>
    <w:p w14:paraId="5B74BB13">
      <w:pPr>
        <w:spacing w:line="360" w:lineRule="exact"/>
        <w:ind w:firstLine="443" w:firstLineChars="147"/>
        <w:rPr>
          <w:rFonts w:hint="eastAsia" w:ascii="宋体"/>
          <w:b/>
          <w:color w:val="auto"/>
          <w:sz w:val="30"/>
          <w:szCs w:val="30"/>
          <w:highlight w:val="none"/>
        </w:rPr>
      </w:pPr>
    </w:p>
    <w:p w14:paraId="43D732B4">
      <w:pPr>
        <w:spacing w:line="360" w:lineRule="exact"/>
        <w:ind w:firstLine="443" w:firstLineChars="147"/>
        <w:rPr>
          <w:rFonts w:hint="eastAsia" w:ascii="宋体"/>
          <w:b/>
          <w:color w:val="auto"/>
          <w:sz w:val="30"/>
          <w:szCs w:val="30"/>
          <w:highlight w:val="none"/>
        </w:rPr>
      </w:pPr>
    </w:p>
    <w:p w14:paraId="1C046224">
      <w:pPr>
        <w:spacing w:line="360" w:lineRule="exact"/>
        <w:ind w:firstLine="443" w:firstLineChars="147"/>
        <w:rPr>
          <w:rFonts w:hint="eastAsia" w:ascii="宋体"/>
          <w:b/>
          <w:color w:val="auto"/>
          <w:sz w:val="30"/>
          <w:szCs w:val="30"/>
          <w:highlight w:val="none"/>
        </w:rPr>
      </w:pPr>
    </w:p>
    <w:p w14:paraId="3FB6AE73">
      <w:pPr>
        <w:rPr>
          <w:rFonts w:hint="eastAsia" w:ascii="宋体"/>
          <w:b/>
          <w:color w:val="auto"/>
          <w:sz w:val="44"/>
          <w:szCs w:val="44"/>
          <w:highlight w:val="none"/>
          <w:lang w:val="en-US" w:eastAsia="zh-CN"/>
        </w:rPr>
      </w:pPr>
      <w:r>
        <w:rPr>
          <w:rFonts w:hint="eastAsia" w:ascii="宋体"/>
          <w:b/>
          <w:color w:val="auto"/>
          <w:sz w:val="44"/>
          <w:szCs w:val="44"/>
          <w:highlight w:val="none"/>
          <w:lang w:val="en-US" w:eastAsia="zh-CN"/>
        </w:rPr>
        <w:br w:type="page"/>
      </w:r>
    </w:p>
    <w:p w14:paraId="039EADB3">
      <w:pPr>
        <w:spacing w:line="360" w:lineRule="exact"/>
        <w:rPr>
          <w:rFonts w:hint="eastAsia" w:ascii="宋体"/>
          <w:b/>
          <w:color w:val="auto"/>
          <w:sz w:val="30"/>
          <w:szCs w:val="30"/>
          <w:highlight w:val="none"/>
        </w:rPr>
      </w:pPr>
    </w:p>
    <w:bookmarkEnd w:id="67"/>
    <w:bookmarkEnd w:id="68"/>
    <w:p w14:paraId="63A73FBD">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r>
        <w:rPr>
          <w:rFonts w:hint="eastAsia"/>
          <w:b/>
          <w:color w:val="auto"/>
          <w:sz w:val="28"/>
          <w:szCs w:val="28"/>
          <w:highlight w:val="none"/>
          <w:lang w:val="en-US" w:eastAsia="zh-CN"/>
        </w:rPr>
        <w:t>3</w:t>
      </w:r>
    </w:p>
    <w:p w14:paraId="4372AF6B">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4EF38558">
      <w:pPr>
        <w:ind w:firstLine="480" w:firstLineChars="200"/>
        <w:rPr>
          <w:rFonts w:hint="eastAsia" w:ascii="宋体"/>
          <w:color w:val="auto"/>
          <w:sz w:val="24"/>
          <w:highlight w:val="none"/>
        </w:rPr>
      </w:pPr>
    </w:p>
    <w:p w14:paraId="3D773E43">
      <w:pPr>
        <w:ind w:firstLine="480" w:firstLineChars="200"/>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75567643">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2786272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50D0C2D">
      <w:pPr>
        <w:spacing w:line="600" w:lineRule="exact"/>
        <w:rPr>
          <w:rFonts w:hint="eastAsia" w:ascii="宋体"/>
          <w:color w:val="auto"/>
          <w:sz w:val="24"/>
          <w:highlight w:val="none"/>
        </w:rPr>
      </w:pPr>
      <w:r>
        <w:rPr>
          <w:rFonts w:hint="eastAsia" w:ascii="宋体"/>
          <w:color w:val="auto"/>
          <w:sz w:val="24"/>
          <w:highlight w:val="none"/>
        </w:rPr>
        <w:t> </w:t>
      </w:r>
    </w:p>
    <w:p w14:paraId="2B82BB2D">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2CCD3DE">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2DB5FF85">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00CDC893">
      <w:pPr>
        <w:pStyle w:val="13"/>
        <w:rPr>
          <w:color w:val="auto"/>
          <w:highlight w:val="none"/>
        </w:rPr>
      </w:pPr>
    </w:p>
    <w:p w14:paraId="29454810">
      <w:pPr>
        <w:spacing w:line="400" w:lineRule="exact"/>
        <w:ind w:firstLine="562" w:firstLineChars="200"/>
        <w:rPr>
          <w:rFonts w:hint="eastAsia"/>
          <w:b/>
          <w:color w:val="auto"/>
          <w:sz w:val="28"/>
          <w:szCs w:val="28"/>
          <w:highlight w:val="none"/>
        </w:rPr>
      </w:pPr>
    </w:p>
    <w:p w14:paraId="4C709C56">
      <w:pPr>
        <w:spacing w:line="400" w:lineRule="exact"/>
        <w:ind w:firstLine="562" w:firstLineChars="200"/>
        <w:rPr>
          <w:rFonts w:hint="eastAsia"/>
          <w:b/>
          <w:color w:val="auto"/>
          <w:sz w:val="28"/>
          <w:szCs w:val="28"/>
          <w:highlight w:val="none"/>
        </w:rPr>
      </w:pPr>
    </w:p>
    <w:p w14:paraId="164AFB4D">
      <w:pPr>
        <w:spacing w:line="400" w:lineRule="exact"/>
        <w:ind w:firstLine="562" w:firstLineChars="200"/>
        <w:rPr>
          <w:rFonts w:hint="eastAsia"/>
          <w:b/>
          <w:color w:val="auto"/>
          <w:sz w:val="28"/>
          <w:szCs w:val="28"/>
          <w:highlight w:val="none"/>
        </w:rPr>
      </w:pPr>
    </w:p>
    <w:p w14:paraId="007E467B">
      <w:pPr>
        <w:spacing w:line="400" w:lineRule="exact"/>
        <w:ind w:firstLine="562" w:firstLineChars="200"/>
        <w:rPr>
          <w:rFonts w:hint="eastAsia"/>
          <w:b/>
          <w:color w:val="auto"/>
          <w:sz w:val="28"/>
          <w:szCs w:val="28"/>
          <w:highlight w:val="none"/>
        </w:rPr>
      </w:pPr>
    </w:p>
    <w:p w14:paraId="3D4B71C3">
      <w:pPr>
        <w:spacing w:line="400" w:lineRule="exact"/>
        <w:ind w:firstLine="562" w:firstLineChars="200"/>
        <w:rPr>
          <w:rFonts w:hint="eastAsia"/>
          <w:b/>
          <w:color w:val="auto"/>
          <w:sz w:val="28"/>
          <w:szCs w:val="28"/>
          <w:highlight w:val="none"/>
        </w:rPr>
      </w:pPr>
    </w:p>
    <w:p w14:paraId="526AA94C">
      <w:pPr>
        <w:spacing w:line="400" w:lineRule="exact"/>
        <w:ind w:firstLine="562" w:firstLineChars="200"/>
        <w:rPr>
          <w:rFonts w:hint="eastAsia"/>
          <w:b/>
          <w:color w:val="auto"/>
          <w:sz w:val="28"/>
          <w:szCs w:val="28"/>
          <w:highlight w:val="none"/>
        </w:rPr>
      </w:pPr>
    </w:p>
    <w:p w14:paraId="27246F98">
      <w:pPr>
        <w:spacing w:line="400" w:lineRule="exact"/>
        <w:ind w:firstLine="562" w:firstLineChars="200"/>
        <w:rPr>
          <w:rFonts w:hint="eastAsia"/>
          <w:b/>
          <w:color w:val="auto"/>
          <w:sz w:val="28"/>
          <w:szCs w:val="28"/>
          <w:highlight w:val="none"/>
        </w:rPr>
      </w:pPr>
    </w:p>
    <w:p w14:paraId="73164738">
      <w:pPr>
        <w:spacing w:line="400" w:lineRule="exact"/>
        <w:ind w:firstLine="562" w:firstLineChars="200"/>
        <w:rPr>
          <w:rFonts w:hint="eastAsia"/>
          <w:b/>
          <w:color w:val="auto"/>
          <w:sz w:val="28"/>
          <w:szCs w:val="28"/>
          <w:highlight w:val="none"/>
        </w:rPr>
      </w:pPr>
    </w:p>
    <w:p w14:paraId="75908629">
      <w:pPr>
        <w:spacing w:line="400" w:lineRule="exact"/>
        <w:rPr>
          <w:b/>
          <w:color w:val="auto"/>
          <w:sz w:val="28"/>
          <w:szCs w:val="28"/>
          <w:highlight w:val="none"/>
        </w:rPr>
      </w:pPr>
    </w:p>
    <w:p w14:paraId="00EFC75B">
      <w:pPr>
        <w:pStyle w:val="33"/>
        <w:rPr>
          <w:color w:val="auto"/>
          <w:highlight w:val="none"/>
        </w:rPr>
      </w:pPr>
    </w:p>
    <w:p w14:paraId="1574F26B">
      <w:pPr>
        <w:spacing w:line="400" w:lineRule="exact"/>
        <w:ind w:firstLine="562" w:firstLineChars="200"/>
        <w:rPr>
          <w:rFonts w:hint="eastAsia"/>
          <w:b/>
          <w:color w:val="auto"/>
          <w:sz w:val="28"/>
          <w:szCs w:val="28"/>
          <w:highlight w:val="none"/>
        </w:rPr>
      </w:pPr>
    </w:p>
    <w:p w14:paraId="7E31D460">
      <w:pPr>
        <w:spacing w:line="440" w:lineRule="exact"/>
        <w:ind w:left="420"/>
        <w:rPr>
          <w:rFonts w:hint="eastAsia" w:ascii="宋体" w:eastAsia="宋体"/>
          <w:color w:val="auto"/>
          <w:szCs w:val="21"/>
          <w:highlight w:val="none"/>
        </w:rPr>
      </w:pPr>
    </w:p>
    <w:p w14:paraId="7FEE9387">
      <w:pPr>
        <w:spacing w:line="360" w:lineRule="exact"/>
        <w:ind w:firstLine="443" w:firstLineChars="147"/>
        <w:rPr>
          <w:rFonts w:hint="eastAsia" w:ascii="宋体" w:hAnsi="宋体"/>
          <w:b/>
          <w:color w:val="auto"/>
          <w:sz w:val="30"/>
          <w:szCs w:val="30"/>
          <w:highlight w:val="none"/>
        </w:rPr>
      </w:pPr>
    </w:p>
    <w:p w14:paraId="373B0AB5">
      <w:pPr>
        <w:rPr>
          <w:rFonts w:hint="eastAsia" w:ascii="宋体"/>
          <w:b/>
          <w:color w:val="auto"/>
          <w:sz w:val="30"/>
          <w:szCs w:val="30"/>
          <w:highlight w:val="none"/>
        </w:rPr>
      </w:pPr>
      <w:r>
        <w:rPr>
          <w:rFonts w:hint="eastAsia" w:ascii="宋体" w:hAnsi="宋体"/>
          <w:b/>
          <w:color w:val="auto"/>
          <w:sz w:val="30"/>
          <w:szCs w:val="30"/>
          <w:highlight w:val="none"/>
        </w:rPr>
        <w:br w:type="page"/>
      </w:r>
    </w:p>
    <w:p w14:paraId="3A59290A">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674CCC9D">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34B5E12F">
      <w:pPr>
        <w:spacing w:line="440" w:lineRule="exact"/>
        <w:rPr>
          <w:rFonts w:hint="eastAsia" w:ascii="宋体"/>
          <w:color w:val="auto"/>
          <w:sz w:val="24"/>
          <w:highlight w:val="none"/>
        </w:rPr>
      </w:pPr>
    </w:p>
    <w:p w14:paraId="0A42BD5A">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致：</w:t>
      </w:r>
      <w:r>
        <w:rPr>
          <w:rFonts w:hint="eastAsia" w:ascii="宋体" w:hAnsi="宋体" w:cs="宋体"/>
          <w:color w:val="auto"/>
          <w:kern w:val="0"/>
          <w:szCs w:val="20"/>
          <w:highlight w:val="none"/>
          <w:u w:val="single" w:color="000000"/>
        </w:rPr>
        <w:t xml:space="preserve">        （招标人）     </w:t>
      </w:r>
    </w:p>
    <w:p w14:paraId="4FD778D3">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1、根据你方招标项目的</w:t>
      </w:r>
      <w:r>
        <w:rPr>
          <w:rFonts w:hint="eastAsia" w:ascii="宋体" w:hAnsi="宋体" w:cs="宋体"/>
          <w:color w:val="auto"/>
          <w:kern w:val="0"/>
          <w:szCs w:val="20"/>
          <w:highlight w:val="none"/>
          <w:u w:val="single"/>
        </w:rPr>
        <w:t xml:space="preserve">        （项目名称）</w:t>
      </w:r>
      <w:r>
        <w:rPr>
          <w:rFonts w:hint="eastAsia" w:ascii="宋体" w:hAnsi="宋体" w:cs="宋体"/>
          <w:color w:val="auto"/>
          <w:kern w:val="0"/>
          <w:szCs w:val="20"/>
          <w:highlight w:val="none"/>
          <w:u w:val="none" w:color="000000"/>
        </w:rPr>
        <w:t>招标文件，遵照有关规定，经踏勘项目现场和研究上述采购文件的投标人须知、合同条件、技术规范和其他有关文件后，我方同意本项目</w:t>
      </w:r>
      <w:r>
        <w:rPr>
          <w:rFonts w:hint="eastAsia" w:ascii="宋体" w:hAnsi="宋体" w:cs="宋体"/>
          <w:color w:val="auto"/>
          <w:kern w:val="0"/>
          <w:szCs w:val="20"/>
          <w:highlight w:val="none"/>
          <w:u w:val="single" w:color="auto"/>
        </w:rPr>
        <w:t>《中新苏滁高新技术产业开发区建设项目审计服务费用标准》</w:t>
      </w:r>
      <w:r>
        <w:rPr>
          <w:rFonts w:hint="eastAsia"/>
          <w:color w:val="auto"/>
          <w:szCs w:val="21"/>
          <w:highlight w:val="none"/>
          <w:u w:val="single"/>
          <w:lang w:eastAsia="zh-CN"/>
        </w:rPr>
        <w:t>的固定费率报价</w:t>
      </w:r>
      <w:r>
        <w:rPr>
          <w:rFonts w:hint="eastAsia" w:ascii="宋体" w:hAnsi="宋体" w:cs="宋体"/>
          <w:color w:val="auto"/>
          <w:kern w:val="0"/>
          <w:szCs w:val="20"/>
          <w:highlight w:val="none"/>
          <w:u w:val="none" w:color="000000"/>
        </w:rPr>
        <w:t>，</w:t>
      </w:r>
      <w:r>
        <w:rPr>
          <w:rFonts w:hint="eastAsia" w:ascii="宋体" w:hAnsi="宋体" w:cs="宋体"/>
          <w:color w:val="auto"/>
          <w:kern w:val="0"/>
          <w:szCs w:val="20"/>
          <w:highlight w:val="none"/>
        </w:rPr>
        <w:t>按照招标人要求</w:t>
      </w:r>
      <w:r>
        <w:rPr>
          <w:rFonts w:hint="eastAsia" w:ascii="宋体" w:hAnsi="宋体" w:cs="宋体"/>
          <w:color w:val="auto"/>
          <w:kern w:val="0"/>
          <w:szCs w:val="20"/>
          <w:highlight w:val="none"/>
          <w:u w:val="none" w:color="000000"/>
        </w:rPr>
        <w:t>完成本项目</w:t>
      </w:r>
      <w:r>
        <w:rPr>
          <w:rFonts w:hint="eastAsia" w:ascii="宋体" w:hAnsi="宋体" w:cs="宋体"/>
          <w:color w:val="auto"/>
          <w:kern w:val="0"/>
          <w:szCs w:val="20"/>
          <w:highlight w:val="none"/>
          <w:u w:val="none" w:color="000000"/>
          <w:lang w:val="en-US" w:eastAsia="zh-CN"/>
        </w:rPr>
        <w:t>服务</w:t>
      </w:r>
      <w:r>
        <w:rPr>
          <w:rFonts w:hint="eastAsia" w:ascii="宋体" w:hAnsi="宋体" w:cs="宋体"/>
          <w:color w:val="auto"/>
          <w:kern w:val="0"/>
          <w:szCs w:val="20"/>
          <w:highlight w:val="none"/>
          <w:u w:val="none" w:color="000000"/>
        </w:rPr>
        <w:t>工作，向委托人出具合格的成果文件。</w:t>
      </w:r>
    </w:p>
    <w:p w14:paraId="3013B219">
      <w:pPr>
        <w:keepNext w:val="0"/>
        <w:keepLines w:val="0"/>
        <w:pageBreakBefore w:val="0"/>
        <w:widowControl/>
        <w:kinsoku/>
        <w:wordWrap/>
        <w:overflowPunct/>
        <w:topLinePunct w:val="0"/>
        <w:autoSpaceDE/>
        <w:autoSpaceDN/>
        <w:bidi w:val="0"/>
        <w:adjustRightInd/>
        <w:snapToGrid/>
        <w:spacing w:line="560" w:lineRule="exact"/>
        <w:ind w:left="420" w:leftChars="200"/>
        <w:jc w:val="left"/>
        <w:textAlignment w:val="baseline"/>
        <w:rPr>
          <w:rFonts w:ascii="宋体" w:hAnsi="宋体" w:cs="宋体"/>
          <w:color w:val="auto"/>
          <w:spacing w:val="-4"/>
          <w:kern w:val="0"/>
          <w:szCs w:val="20"/>
          <w:highlight w:val="none"/>
          <w:u w:val="none" w:color="000000"/>
        </w:rPr>
      </w:pPr>
      <w:r>
        <w:rPr>
          <w:rFonts w:hint="eastAsia" w:ascii="宋体" w:hAnsi="宋体" w:cs="宋体"/>
          <w:color w:val="auto"/>
          <w:spacing w:val="-4"/>
          <w:kern w:val="0"/>
          <w:szCs w:val="20"/>
          <w:highlight w:val="none"/>
          <w:u w:val="none" w:color="000000"/>
        </w:rPr>
        <w:t>2、我方已详细审核全部招标文件及有关附件，承诺招标文件及有关附件中所有条款。</w:t>
      </w:r>
    </w:p>
    <w:p w14:paraId="6200B7AB">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2"/>
          <w:highlight w:val="none"/>
          <w:u w:val="none" w:color="000000"/>
        </w:rPr>
      </w:pPr>
      <w:r>
        <w:rPr>
          <w:rFonts w:hint="eastAsia" w:ascii="宋体" w:hAnsi="宋体" w:cs="宋体"/>
          <w:color w:val="auto"/>
          <w:kern w:val="0"/>
          <w:szCs w:val="20"/>
          <w:highlight w:val="none"/>
          <w:u w:val="none" w:color="000000"/>
        </w:rPr>
        <w:t>3、一旦我方中标，我方将派出</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为项目负责人，</w:t>
      </w:r>
      <w:r>
        <w:rPr>
          <w:rFonts w:hint="eastAsia" w:ascii="宋体" w:hAnsi="宋体" w:cs="宋体"/>
          <w:color w:val="auto"/>
          <w:kern w:val="0"/>
          <w:szCs w:val="22"/>
          <w:highlight w:val="none"/>
          <w:u w:val="none" w:color="000000"/>
        </w:rPr>
        <w:t>保证本项目</w:t>
      </w:r>
      <w:r>
        <w:rPr>
          <w:rFonts w:hint="eastAsia" w:ascii="宋体" w:hAnsi="宋体" w:cs="宋体"/>
          <w:color w:val="auto"/>
          <w:kern w:val="0"/>
          <w:szCs w:val="22"/>
          <w:highlight w:val="none"/>
          <w:u w:val="none" w:color="000000"/>
          <w:lang w:val="en-US" w:eastAsia="zh-CN"/>
        </w:rPr>
        <w:t>服务</w:t>
      </w:r>
      <w:r>
        <w:rPr>
          <w:rFonts w:hint="eastAsia" w:ascii="宋体" w:hAnsi="宋体" w:cs="宋体"/>
          <w:color w:val="auto"/>
          <w:kern w:val="0"/>
          <w:szCs w:val="22"/>
          <w:highlight w:val="none"/>
          <w:u w:val="none" w:color="000000"/>
        </w:rPr>
        <w:t>工作，成果文件质量符合造价咨询合同要求。</w:t>
      </w:r>
    </w:p>
    <w:p w14:paraId="2F713986">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4、随本投标文件，我方同时按照招标文件的要求提交</w:t>
      </w:r>
      <w:r>
        <w:rPr>
          <w:rFonts w:hint="eastAsia" w:ascii="宋体" w:hAnsi="宋体" w:cs="宋体"/>
          <w:color w:val="auto"/>
          <w:kern w:val="0"/>
          <w:szCs w:val="20"/>
          <w:highlight w:val="none"/>
          <w:u w:val="single" w:color="000000"/>
        </w:rPr>
        <w:t xml:space="preserve">  0  </w:t>
      </w:r>
      <w:r>
        <w:rPr>
          <w:rFonts w:hint="eastAsia" w:ascii="宋体" w:hAnsi="宋体" w:cs="宋体"/>
          <w:color w:val="auto"/>
          <w:kern w:val="0"/>
          <w:szCs w:val="20"/>
          <w:highlight w:val="none"/>
          <w:u w:val="none" w:color="000000"/>
        </w:rPr>
        <w:t>万元的投标保证金。如果我方在本投标文件有效期内撤回投标文件，或在</w:t>
      </w:r>
      <w:r>
        <w:rPr>
          <w:rFonts w:hint="eastAsia" w:ascii="宋体" w:hAnsi="宋体" w:cs="宋体"/>
          <w:color w:val="auto"/>
          <w:szCs w:val="21"/>
          <w:highlight w:val="none"/>
        </w:rPr>
        <w:t>中标/中标通知书发出之日起</w:t>
      </w:r>
      <w:r>
        <w:rPr>
          <w:rFonts w:hint="eastAsia" w:ascii="宋体" w:hAnsi="宋体" w:cs="宋体"/>
          <w:color w:val="auto"/>
          <w:szCs w:val="21"/>
          <w:highlight w:val="none"/>
          <w:u w:val="single"/>
        </w:rPr>
        <w:t>7个日历天</w:t>
      </w:r>
      <w:r>
        <w:rPr>
          <w:rFonts w:hint="eastAsia" w:ascii="宋体" w:hAnsi="宋体" w:cs="宋体"/>
          <w:color w:val="auto"/>
          <w:szCs w:val="21"/>
          <w:highlight w:val="none"/>
        </w:rPr>
        <w:t>内</w:t>
      </w:r>
      <w:r>
        <w:rPr>
          <w:rFonts w:hint="eastAsia" w:ascii="宋体" w:hAnsi="宋体" w:cs="宋体"/>
          <w:color w:val="auto"/>
          <w:kern w:val="0"/>
          <w:szCs w:val="20"/>
          <w:highlight w:val="none"/>
          <w:u w:val="none" w:color="000000"/>
        </w:rPr>
        <w:t>未能或拒绝签订合同书，或自行转标，贵单位有权没收投标保证金，并另选中标人。</w:t>
      </w:r>
    </w:p>
    <w:p w14:paraId="779E5456">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lang w:val="en-US" w:eastAsia="zh-CN"/>
        </w:rPr>
        <w:t>6</w:t>
      </w:r>
      <w:r>
        <w:rPr>
          <w:rFonts w:hint="eastAsia" w:ascii="宋体" w:hAnsi="宋体" w:cs="宋体"/>
          <w:color w:val="auto"/>
          <w:kern w:val="0"/>
          <w:szCs w:val="20"/>
          <w:highlight w:val="none"/>
          <w:u w:val="none" w:color="000000"/>
        </w:rPr>
        <w:t>、我单位提供如下通讯地址：</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电子邮箱（地址），确认本项目相关法律文书均通过提供的以上地址送达，相关文书只要发送至以上电子邮箱（地址）即视为送达，投标人愿意承担一切法律后果。</w:t>
      </w:r>
    </w:p>
    <w:p w14:paraId="51BD92EE">
      <w:pPr>
        <w:spacing w:line="440" w:lineRule="exact"/>
        <w:ind w:firstLine="480" w:firstLineChars="200"/>
        <w:rPr>
          <w:rFonts w:hint="eastAsia" w:ascii="宋体"/>
          <w:color w:val="auto"/>
          <w:sz w:val="24"/>
          <w:highlight w:val="none"/>
        </w:rPr>
      </w:pPr>
    </w:p>
    <w:p w14:paraId="7B105019">
      <w:pPr>
        <w:spacing w:line="440" w:lineRule="exact"/>
        <w:rPr>
          <w:rFonts w:hint="eastAsia" w:ascii="宋体"/>
          <w:color w:val="auto"/>
          <w:sz w:val="24"/>
          <w:highlight w:val="none"/>
        </w:rPr>
      </w:pPr>
      <w:r>
        <w:rPr>
          <w:rFonts w:hint="eastAsia" w:ascii="宋体"/>
          <w:color w:val="auto"/>
          <w:sz w:val="24"/>
          <w:highlight w:val="none"/>
        </w:rPr>
        <w:t> </w:t>
      </w:r>
    </w:p>
    <w:p w14:paraId="5B2F7393">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投标人：</w:t>
      </w:r>
      <w:r>
        <w:rPr>
          <w:rFonts w:hint="eastAsia" w:ascii="宋体" w:hAnsi="宋体" w:cs="宋体"/>
          <w:color w:val="auto"/>
          <w:kern w:val="0"/>
          <w:szCs w:val="20"/>
          <w:highlight w:val="none"/>
          <w:u w:val="single" w:color="000000"/>
        </w:rPr>
        <w:t xml:space="preserve">                             （盖章）   </w:t>
      </w:r>
    </w:p>
    <w:p w14:paraId="2159EFBE">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法定代表人：</w:t>
      </w:r>
      <w:r>
        <w:rPr>
          <w:rFonts w:hint="eastAsia" w:ascii="宋体" w:hAnsi="宋体" w:cs="宋体"/>
          <w:color w:val="auto"/>
          <w:kern w:val="0"/>
          <w:szCs w:val="20"/>
          <w:highlight w:val="none"/>
          <w:u w:val="single" w:color="000000"/>
        </w:rPr>
        <w:t xml:space="preserve">                         （签字或盖章）</w:t>
      </w:r>
    </w:p>
    <w:p w14:paraId="310F9424">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单位地址：</w:t>
      </w:r>
      <w:r>
        <w:rPr>
          <w:rFonts w:hint="eastAsia" w:ascii="宋体" w:hAnsi="宋体" w:cs="宋体"/>
          <w:color w:val="auto"/>
          <w:kern w:val="0"/>
          <w:szCs w:val="20"/>
          <w:highlight w:val="none"/>
          <w:u w:val="single" w:color="000000"/>
        </w:rPr>
        <w:t xml:space="preserve">                                   </w:t>
      </w:r>
    </w:p>
    <w:p w14:paraId="1BB58C45">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邮政编码：</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电话：</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传真：</w:t>
      </w:r>
      <w:r>
        <w:rPr>
          <w:rFonts w:hint="eastAsia" w:ascii="宋体" w:hAnsi="宋体" w:cs="宋体"/>
          <w:color w:val="auto"/>
          <w:kern w:val="0"/>
          <w:szCs w:val="20"/>
          <w:highlight w:val="none"/>
          <w:u w:val="single" w:color="000000"/>
        </w:rPr>
        <w:t xml:space="preserve">       </w:t>
      </w:r>
    </w:p>
    <w:p w14:paraId="4CF6C540">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日期：</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 xml:space="preserve">年 </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 xml:space="preserve">月 </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日</w:t>
      </w:r>
    </w:p>
    <w:p w14:paraId="72591FD6">
      <w:pPr>
        <w:ind w:right="-178" w:rightChars="-85" w:firstLine="2520" w:firstLineChars="1050"/>
        <w:rPr>
          <w:rFonts w:hint="eastAsia" w:ascii="宋体"/>
          <w:color w:val="auto"/>
          <w:sz w:val="24"/>
          <w:highlight w:val="none"/>
          <w:u w:val="single"/>
        </w:rPr>
      </w:pPr>
      <w:r>
        <w:rPr>
          <w:rFonts w:hint="eastAsia" w:ascii="宋体"/>
          <w:color w:val="auto"/>
          <w:sz w:val="24"/>
          <w:highlight w:val="none"/>
          <w:u w:val="single"/>
        </w:rPr>
        <w:t xml:space="preserve">               </w:t>
      </w:r>
    </w:p>
    <w:p w14:paraId="7462BBD4">
      <w:pPr>
        <w:spacing w:line="360" w:lineRule="exact"/>
        <w:rPr>
          <w:rFonts w:hint="eastAsia" w:ascii="宋体"/>
          <w:b/>
          <w:color w:val="auto"/>
          <w:sz w:val="28"/>
          <w:szCs w:val="28"/>
          <w:highlight w:val="none"/>
        </w:rPr>
      </w:pPr>
    </w:p>
    <w:p w14:paraId="15D7A257">
      <w:pPr>
        <w:rPr>
          <w:rFonts w:hint="eastAsia" w:ascii="宋体"/>
          <w:b/>
          <w:color w:val="auto"/>
          <w:sz w:val="32"/>
          <w:szCs w:val="32"/>
          <w:highlight w:val="none"/>
        </w:rPr>
      </w:pPr>
      <w:r>
        <w:rPr>
          <w:rFonts w:hint="eastAsia" w:ascii="宋体"/>
          <w:b/>
          <w:color w:val="auto"/>
          <w:sz w:val="32"/>
          <w:szCs w:val="32"/>
          <w:highlight w:val="none"/>
        </w:rPr>
        <w:br w:type="page"/>
      </w:r>
    </w:p>
    <w:p w14:paraId="3648DADC">
      <w:pPr>
        <w:spacing w:line="360" w:lineRule="exact"/>
        <w:ind w:firstLine="443" w:firstLineChars="147"/>
        <w:rPr>
          <w:rFonts w:hint="eastAsia" w:ascii="宋体" w:hAnsi="宋体"/>
          <w:b/>
          <w:color w:val="auto"/>
          <w:sz w:val="30"/>
          <w:szCs w:val="30"/>
          <w:highlight w:val="none"/>
        </w:rPr>
        <w:sectPr>
          <w:headerReference r:id="rId10" w:type="default"/>
          <w:footerReference r:id="rId11" w:type="default"/>
          <w:pgSz w:w="11906" w:h="16838"/>
          <w:pgMar w:top="1440" w:right="1800" w:bottom="1440" w:left="1600" w:header="851" w:footer="992" w:gutter="0"/>
          <w:pgNumType w:fmt="decimal"/>
          <w:cols w:space="720" w:num="1"/>
          <w:docGrid w:type="lines" w:linePitch="312" w:charSpace="0"/>
        </w:sectPr>
      </w:pPr>
    </w:p>
    <w:bookmarkEnd w:id="62"/>
    <w:bookmarkEnd w:id="63"/>
    <w:p w14:paraId="59C5F8C7">
      <w:pPr>
        <w:spacing w:line="440" w:lineRule="exact"/>
        <w:jc w:val="center"/>
        <w:outlineLvl w:val="0"/>
        <w:rPr>
          <w:rFonts w:hint="eastAsia" w:ascii="宋体"/>
          <w:b/>
          <w:color w:val="auto"/>
          <w:sz w:val="32"/>
          <w:szCs w:val="32"/>
          <w:highlight w:val="none"/>
        </w:rPr>
      </w:pPr>
      <w:bookmarkStart w:id="71" w:name="_Toc449028957"/>
      <w:bookmarkStart w:id="72" w:name="_Toc58430333"/>
      <w:r>
        <w:rPr>
          <w:rFonts w:hint="eastAsia" w:ascii="宋体"/>
          <w:b/>
          <w:color w:val="auto"/>
          <w:sz w:val="32"/>
          <w:szCs w:val="32"/>
          <w:highlight w:val="none"/>
          <w:lang w:val="en-US" w:eastAsia="zh-CN"/>
        </w:rPr>
        <w:t>招标人</w:t>
      </w:r>
      <w:r>
        <w:rPr>
          <w:rFonts w:hint="eastAsia" w:ascii="宋体"/>
          <w:b/>
          <w:color w:val="auto"/>
          <w:sz w:val="32"/>
          <w:szCs w:val="32"/>
          <w:highlight w:val="none"/>
        </w:rPr>
        <w:t>、</w:t>
      </w: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代理机构对本招标文件的确认</w:t>
      </w:r>
      <w:bookmarkEnd w:id="71"/>
      <w:bookmarkEnd w:id="72"/>
    </w:p>
    <w:p w14:paraId="4A117D56">
      <w:pPr>
        <w:spacing w:line="440" w:lineRule="exact"/>
        <w:rPr>
          <w:rFonts w:hint="eastAsia" w:ascii="宋体"/>
          <w:color w:val="auto"/>
          <w:sz w:val="24"/>
          <w:highlight w:val="none"/>
          <w:u w:val="single"/>
        </w:rPr>
      </w:pPr>
    </w:p>
    <w:tbl>
      <w:tblPr>
        <w:tblStyle w:val="34"/>
        <w:tblW w:w="0" w:type="auto"/>
        <w:jc w:val="center"/>
        <w:tblLayout w:type="fixed"/>
        <w:tblCellMar>
          <w:top w:w="0" w:type="dxa"/>
          <w:left w:w="108" w:type="dxa"/>
          <w:bottom w:w="0" w:type="dxa"/>
          <w:right w:w="108" w:type="dxa"/>
        </w:tblCellMar>
      </w:tblPr>
      <w:tblGrid>
        <w:gridCol w:w="9374"/>
      </w:tblGrid>
      <w:tr w14:paraId="1EC1C46D">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009B1F59">
            <w:pPr>
              <w:spacing w:line="440" w:lineRule="exact"/>
              <w:ind w:firstLine="560" w:firstLineChars="200"/>
              <w:rPr>
                <w:rFonts w:hint="eastAsia" w:ascii="宋体" w:cs="宋体"/>
                <w:color w:val="auto"/>
                <w:sz w:val="28"/>
                <w:szCs w:val="28"/>
                <w:highlight w:val="none"/>
              </w:rPr>
            </w:pPr>
          </w:p>
          <w:p w14:paraId="2559CCFF">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 中新苏滁高新区产业转移与职业人才基地项目-人工智能OPC社区项目跟踪审计 </w:t>
            </w:r>
            <w:r>
              <w:rPr>
                <w:rFonts w:hint="eastAsia" w:ascii="宋体" w:cs="宋体"/>
                <w:color w:val="auto"/>
                <w:sz w:val="28"/>
                <w:szCs w:val="28"/>
                <w:highlight w:val="none"/>
              </w:rPr>
              <w:t>的招标文件进行确认。</w:t>
            </w:r>
          </w:p>
          <w:p w14:paraId="01C28100">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 xml:space="preserve">中新苏滁高新技术产业开发区管理委员会 </w:t>
            </w:r>
          </w:p>
          <w:p w14:paraId="282E17B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张工</w:t>
            </w:r>
          </w:p>
          <w:p w14:paraId="03FA0A4D">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val="en-US" w:eastAsia="zh-CN"/>
              </w:rPr>
              <w:t>0550-3755706</w:t>
            </w:r>
          </w:p>
          <w:p w14:paraId="08C7D105">
            <w:pPr>
              <w:spacing w:line="540" w:lineRule="exact"/>
              <w:ind w:firstLine="7140" w:firstLineChars="2550"/>
              <w:rPr>
                <w:rFonts w:hint="eastAsia" w:ascii="宋体" w:cs="宋体"/>
                <w:color w:val="auto"/>
                <w:sz w:val="28"/>
                <w:szCs w:val="28"/>
                <w:highlight w:val="none"/>
              </w:rPr>
            </w:pPr>
          </w:p>
          <w:p w14:paraId="4B439C7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0E60DF71">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r w14:paraId="25ABA1CD">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4A946AEB">
            <w:pPr>
              <w:spacing w:line="440" w:lineRule="exact"/>
              <w:rPr>
                <w:rFonts w:hint="eastAsia" w:ascii="宋体" w:cs="宋体"/>
                <w:color w:val="auto"/>
                <w:sz w:val="28"/>
                <w:szCs w:val="28"/>
                <w:highlight w:val="none"/>
              </w:rPr>
            </w:pPr>
          </w:p>
          <w:p w14:paraId="19E5576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4E53E8F1">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经办人：杨韦</w:t>
            </w:r>
          </w:p>
          <w:p w14:paraId="033529C4">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电  话：0550-3519590、18005501210</w:t>
            </w:r>
          </w:p>
          <w:p w14:paraId="2348145A">
            <w:pPr>
              <w:spacing w:line="520" w:lineRule="exact"/>
              <w:ind w:firstLine="6300" w:firstLineChars="2250"/>
              <w:rPr>
                <w:rFonts w:hint="eastAsia" w:ascii="宋体" w:cs="宋体"/>
                <w:color w:val="auto"/>
                <w:sz w:val="28"/>
                <w:szCs w:val="28"/>
                <w:highlight w:val="none"/>
              </w:rPr>
            </w:pPr>
          </w:p>
          <w:p w14:paraId="0F0721F1">
            <w:pPr>
              <w:pStyle w:val="33"/>
              <w:rPr>
                <w:rFonts w:hint="eastAsia"/>
                <w:color w:val="auto"/>
                <w:highlight w:val="none"/>
              </w:rPr>
            </w:pPr>
          </w:p>
          <w:p w14:paraId="6927545C">
            <w:pPr>
              <w:spacing w:line="520" w:lineRule="exact"/>
              <w:ind w:firstLine="6580" w:firstLineChars="2350"/>
              <w:rPr>
                <w:rFonts w:hint="eastAsia" w:ascii="宋体" w:cs="宋体"/>
                <w:color w:val="auto"/>
                <w:sz w:val="28"/>
                <w:szCs w:val="28"/>
                <w:highlight w:val="none"/>
              </w:rPr>
            </w:pPr>
          </w:p>
          <w:p w14:paraId="60BFBA44">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5E5BB42">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bookmarkEnd w:id="0"/>
    </w:tbl>
    <w:p w14:paraId="122B3745">
      <w:pPr>
        <w:rPr>
          <w:color w:val="auto"/>
          <w:highlight w:val="none"/>
        </w:rPr>
      </w:pPr>
    </w:p>
    <w:sectPr>
      <w:pgSz w:w="11906" w:h="16838"/>
      <w:pgMar w:top="1440" w:right="1800" w:bottom="1440" w:left="16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1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okChampa">
    <w:altName w:val="Leelawadee UI"/>
    <w:panose1 w:val="020B0604020202020204"/>
    <w:charset w:val="00"/>
    <w:family w:val="swiss"/>
    <w:pitch w:val="default"/>
    <w:sig w:usb0="00000000" w:usb1="00000000" w:usb2="00000000" w:usb3="00000000" w:csb0="40010001" w:csb1="00000000"/>
  </w:font>
  <w:font w:name="Leelawadee UI">
    <w:panose1 w:val="020B0502040204020203"/>
    <w:charset w:val="00"/>
    <w:family w:val="auto"/>
    <w:pitch w:val="default"/>
    <w:sig w:usb0="83000003" w:usb1="00000000" w:usb2="00010000" w:usb3="00000001" w:csb0="000101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2010609060101010101"/>
    <w:charset w:val="86"/>
    <w:family w:val="modern"/>
    <w:pitch w:val="default"/>
    <w:sig w:usb0="00000000" w:usb1="00000000" w:usb2="000A005E"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1052">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2DF4">
    <w:pPr>
      <w:pStyle w:val="22"/>
      <w:framePr w:wrap="around" w:vAnchor="text" w:hAnchor="margin" w:xAlign="center" w:y="1"/>
      <w:tabs>
        <w:tab w:val="clear" w:pos="4153"/>
        <w:tab w:val="clear" w:pos="8306"/>
      </w:tabs>
      <w:rPr>
        <w:rStyle w:val="38"/>
      </w:rPr>
    </w:pPr>
    <w:r>
      <w:fldChar w:fldCharType="begin"/>
    </w:r>
    <w:r>
      <w:rPr>
        <w:rStyle w:val="38"/>
      </w:rPr>
      <w:instrText xml:space="preserve">PAGE  </w:instrText>
    </w:r>
    <w:r>
      <w:fldChar w:fldCharType="separate"/>
    </w:r>
    <w:r>
      <w:t xml:space="preserve"> </w:t>
    </w:r>
    <w:r>
      <w:fldChar w:fldCharType="end"/>
    </w:r>
  </w:p>
  <w:p w14:paraId="324148DB">
    <w:pPr>
      <w:pStyle w:val="2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C08">
    <w:pPr>
      <w:pStyle w:val="22"/>
      <w:framePr w:wrap="around" w:vAnchor="text" w:hAnchor="margin" w:xAlign="center" w:y="1"/>
      <w:tabs>
        <w:tab w:val="clear" w:pos="4153"/>
        <w:tab w:val="clear" w:pos="8306"/>
      </w:tabs>
      <w:rPr>
        <w:rStyle w:val="38"/>
        <w:rFonts w:hint="eastAsia"/>
      </w:rPr>
    </w:pPr>
  </w:p>
  <w:p w14:paraId="7F1FF381">
    <w:pPr>
      <w:pStyle w:val="22"/>
      <w:tabs>
        <w:tab w:val="clear" w:pos="4153"/>
        <w:tab w:val="clear" w:pos="8306"/>
      </w:tabs>
      <w:rPr>
        <w:rFonts w:hint="eastAsia"/>
        <w:szCs w:val="21"/>
      </w:rPr>
    </w:pPr>
  </w:p>
  <w:p w14:paraId="56EDCA8C">
    <w:pPr>
      <w:pStyle w:val="22"/>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4C9D6">
    <w:pPr>
      <w:pStyle w:val="22"/>
      <w:tabs>
        <w:tab w:val="clear" w:pos="4153"/>
        <w:tab w:val="clear" w:pos="8306"/>
      </w:tabs>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049F1">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3049F1">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2EF9">
    <w:pPr>
      <w:pStyle w:val="22"/>
      <w:rPr>
        <w:rStyle w:val="38"/>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8131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8131E">
                    <w:pPr>
                      <w:pStyle w:val="22"/>
                    </w:pPr>
                    <w:r>
                      <w:fldChar w:fldCharType="begin"/>
                    </w:r>
                    <w:r>
                      <w:instrText xml:space="preserve"> PAGE  \* MERGEFORMAT </w:instrText>
                    </w:r>
                    <w:r>
                      <w:fldChar w:fldCharType="separate"/>
                    </w:r>
                    <w:r>
                      <w:t>1</w:t>
                    </w:r>
                    <w:r>
                      <w:fldChar w:fldCharType="end"/>
                    </w:r>
                  </w:p>
                </w:txbxContent>
              </v:textbox>
            </v:shape>
          </w:pict>
        </mc:Fallback>
      </mc:AlternateContent>
    </w:r>
  </w:p>
  <w:p w14:paraId="7BCCB1CB">
    <w:pPr>
      <w:pStyle w:val="22"/>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59C866FC"/>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59C866FC"/>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2A2F">
    <w:pPr>
      <w:pStyle w:val="22"/>
      <w:tabs>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D17E">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05D17E">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742E">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192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0A6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EAAAA971"/>
    <w:multiLevelType w:val="singleLevel"/>
    <w:tmpl w:val="EAAAA971"/>
    <w:lvl w:ilvl="0" w:tentative="0">
      <w:start w:val="4"/>
      <w:numFmt w:val="chineseCounting"/>
      <w:suff w:val="space"/>
      <w:lvlText w:val="第%1章"/>
      <w:lvlJc w:val="left"/>
      <w:rPr>
        <w:rFonts w:hint="eastAsia"/>
      </w:rPr>
    </w:lvl>
  </w:abstractNum>
  <w:abstractNum w:abstractNumId="2">
    <w:nsid w:val="EAAE9BD2"/>
    <w:multiLevelType w:val="singleLevel"/>
    <w:tmpl w:val="EAAE9BD2"/>
    <w:lvl w:ilvl="0" w:tentative="0">
      <w:start w:val="2"/>
      <w:numFmt w:val="chineseCounting"/>
      <w:suff w:val="nothing"/>
      <w:lvlText w:val="%1、"/>
      <w:lvlJc w:val="left"/>
      <w:rPr>
        <w:rFonts w:hint="eastAsia"/>
      </w:rPr>
    </w:lvl>
  </w:abstractNum>
  <w:abstractNum w:abstractNumId="3">
    <w:nsid w:val="00000019"/>
    <w:multiLevelType w:val="multilevel"/>
    <w:tmpl w:val="00000019"/>
    <w:lvl w:ilvl="0" w:tentative="0">
      <w:start w:val="1"/>
      <w:numFmt w:val="chineseCountingThousand"/>
      <w:pStyle w:val="11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4">
    <w:nsid w:val="18995355"/>
    <w:multiLevelType w:val="multilevel"/>
    <w:tmpl w:val="18995355"/>
    <w:lvl w:ilvl="0" w:tentative="0">
      <w:start w:val="1"/>
      <w:numFmt w:val="decimal"/>
      <w:pStyle w:val="102"/>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323379E"/>
    <w:multiLevelType w:val="multilevel"/>
    <w:tmpl w:val="2323379E"/>
    <w:lvl w:ilvl="0" w:tentative="0">
      <w:start w:val="1"/>
      <w:numFmt w:val="chineseCountingThousand"/>
      <w:pStyle w:val="31"/>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6857717"/>
    <w:multiLevelType w:val="multilevel"/>
    <w:tmpl w:val="26857717"/>
    <w:lvl w:ilvl="0" w:tentative="0">
      <w:start w:val="1"/>
      <w:numFmt w:val="chineseCountingThousand"/>
      <w:pStyle w:val="100"/>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7">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8">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9">
    <w:nsid w:val="6F1D7D26"/>
    <w:multiLevelType w:val="multilevel"/>
    <w:tmpl w:val="6F1D7D26"/>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8"/>
  </w:num>
  <w:num w:numId="3">
    <w:abstractNumId w:val="9"/>
  </w:num>
  <w:num w:numId="4">
    <w:abstractNumId w:val="5"/>
  </w:num>
  <w:num w:numId="5">
    <w:abstractNumId w:val="6"/>
  </w:num>
  <w:num w:numId="6">
    <w:abstractNumId w:val="4"/>
  </w:num>
  <w:num w:numId="7">
    <w:abstractNumId w:val="3"/>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1"/>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GRkMjg0ZWRjZjM1MTM4OGNiMGViY2YyN2VjZjU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07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267"/>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4F42"/>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5BC8"/>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23584C"/>
    <w:rsid w:val="01317BAC"/>
    <w:rsid w:val="0156352C"/>
    <w:rsid w:val="0160078A"/>
    <w:rsid w:val="016025FC"/>
    <w:rsid w:val="016A6FD7"/>
    <w:rsid w:val="01727AD4"/>
    <w:rsid w:val="018C519F"/>
    <w:rsid w:val="01910A08"/>
    <w:rsid w:val="01A56261"/>
    <w:rsid w:val="01CE57B8"/>
    <w:rsid w:val="01E00D2D"/>
    <w:rsid w:val="01F30A1B"/>
    <w:rsid w:val="02136A35"/>
    <w:rsid w:val="02263E9A"/>
    <w:rsid w:val="02276CDB"/>
    <w:rsid w:val="02510197"/>
    <w:rsid w:val="02602E58"/>
    <w:rsid w:val="026A14A8"/>
    <w:rsid w:val="0284108D"/>
    <w:rsid w:val="02846ED2"/>
    <w:rsid w:val="0295277A"/>
    <w:rsid w:val="029F0F02"/>
    <w:rsid w:val="02AB3F80"/>
    <w:rsid w:val="02CD5A6F"/>
    <w:rsid w:val="02D50DC8"/>
    <w:rsid w:val="02F92D08"/>
    <w:rsid w:val="02FF011F"/>
    <w:rsid w:val="0306625F"/>
    <w:rsid w:val="0314369E"/>
    <w:rsid w:val="032B6C3A"/>
    <w:rsid w:val="03433F84"/>
    <w:rsid w:val="034D095E"/>
    <w:rsid w:val="034D4E02"/>
    <w:rsid w:val="03636F78"/>
    <w:rsid w:val="038E49F0"/>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BD2AAB"/>
    <w:rsid w:val="04C00E1E"/>
    <w:rsid w:val="04C90D1F"/>
    <w:rsid w:val="050138D2"/>
    <w:rsid w:val="05037796"/>
    <w:rsid w:val="05046416"/>
    <w:rsid w:val="05072DB3"/>
    <w:rsid w:val="051D0A23"/>
    <w:rsid w:val="05584639"/>
    <w:rsid w:val="056621AB"/>
    <w:rsid w:val="057013EC"/>
    <w:rsid w:val="05713E65"/>
    <w:rsid w:val="05777F14"/>
    <w:rsid w:val="057B29B4"/>
    <w:rsid w:val="057F7413"/>
    <w:rsid w:val="059302F0"/>
    <w:rsid w:val="05B55DC4"/>
    <w:rsid w:val="05C56ED2"/>
    <w:rsid w:val="05EB7E30"/>
    <w:rsid w:val="0600615C"/>
    <w:rsid w:val="0619721E"/>
    <w:rsid w:val="06235109"/>
    <w:rsid w:val="062459A5"/>
    <w:rsid w:val="062478E7"/>
    <w:rsid w:val="06304C93"/>
    <w:rsid w:val="064510DB"/>
    <w:rsid w:val="06581AF4"/>
    <w:rsid w:val="06620B3A"/>
    <w:rsid w:val="066E7569"/>
    <w:rsid w:val="06954AF6"/>
    <w:rsid w:val="069717B9"/>
    <w:rsid w:val="06D0451E"/>
    <w:rsid w:val="06DA6FC6"/>
    <w:rsid w:val="06EB6E0C"/>
    <w:rsid w:val="06F10417"/>
    <w:rsid w:val="06F34B4B"/>
    <w:rsid w:val="06FF299A"/>
    <w:rsid w:val="070A729C"/>
    <w:rsid w:val="07342561"/>
    <w:rsid w:val="073C599D"/>
    <w:rsid w:val="073E5575"/>
    <w:rsid w:val="074128B0"/>
    <w:rsid w:val="074A10F8"/>
    <w:rsid w:val="074D3623"/>
    <w:rsid w:val="0761194E"/>
    <w:rsid w:val="076432D3"/>
    <w:rsid w:val="0781151E"/>
    <w:rsid w:val="078D1C71"/>
    <w:rsid w:val="07987BFE"/>
    <w:rsid w:val="07B54D24"/>
    <w:rsid w:val="07B63215"/>
    <w:rsid w:val="07B77A9C"/>
    <w:rsid w:val="07BC624E"/>
    <w:rsid w:val="07D63618"/>
    <w:rsid w:val="07DC7A53"/>
    <w:rsid w:val="08000695"/>
    <w:rsid w:val="08081FA5"/>
    <w:rsid w:val="080B7557"/>
    <w:rsid w:val="08181E21"/>
    <w:rsid w:val="08184EC7"/>
    <w:rsid w:val="081C0B89"/>
    <w:rsid w:val="082B48A9"/>
    <w:rsid w:val="082D6348"/>
    <w:rsid w:val="084F5179"/>
    <w:rsid w:val="085264A2"/>
    <w:rsid w:val="0858227F"/>
    <w:rsid w:val="085D7896"/>
    <w:rsid w:val="08684A24"/>
    <w:rsid w:val="0878647D"/>
    <w:rsid w:val="08924472"/>
    <w:rsid w:val="08A62997"/>
    <w:rsid w:val="08A969C4"/>
    <w:rsid w:val="08AA2A59"/>
    <w:rsid w:val="08AF6108"/>
    <w:rsid w:val="08B001C4"/>
    <w:rsid w:val="08D00FFA"/>
    <w:rsid w:val="08EF5F46"/>
    <w:rsid w:val="08FF094D"/>
    <w:rsid w:val="090441B5"/>
    <w:rsid w:val="09086D86"/>
    <w:rsid w:val="090F12E9"/>
    <w:rsid w:val="09367BAA"/>
    <w:rsid w:val="09381D73"/>
    <w:rsid w:val="09473B2C"/>
    <w:rsid w:val="096A3477"/>
    <w:rsid w:val="097C361B"/>
    <w:rsid w:val="09866978"/>
    <w:rsid w:val="09AB5942"/>
    <w:rsid w:val="09B064D1"/>
    <w:rsid w:val="09BF2ED7"/>
    <w:rsid w:val="09BF7674"/>
    <w:rsid w:val="09F45FD8"/>
    <w:rsid w:val="09F806A3"/>
    <w:rsid w:val="0A0B50CF"/>
    <w:rsid w:val="0A0D1190"/>
    <w:rsid w:val="0A164D7F"/>
    <w:rsid w:val="0A2456C5"/>
    <w:rsid w:val="0A2543E3"/>
    <w:rsid w:val="0A474057"/>
    <w:rsid w:val="0A53598C"/>
    <w:rsid w:val="0A641E3D"/>
    <w:rsid w:val="0AA34B1B"/>
    <w:rsid w:val="0AAD7CD9"/>
    <w:rsid w:val="0AB6328D"/>
    <w:rsid w:val="0ABD15CE"/>
    <w:rsid w:val="0ABF263A"/>
    <w:rsid w:val="0AD12B8F"/>
    <w:rsid w:val="0AF02C43"/>
    <w:rsid w:val="0AF618DB"/>
    <w:rsid w:val="0B0A6314"/>
    <w:rsid w:val="0B183F48"/>
    <w:rsid w:val="0B330D82"/>
    <w:rsid w:val="0B335CF7"/>
    <w:rsid w:val="0B5C5BE2"/>
    <w:rsid w:val="0B6B051B"/>
    <w:rsid w:val="0B6E6353"/>
    <w:rsid w:val="0B7B2E88"/>
    <w:rsid w:val="0B8415DD"/>
    <w:rsid w:val="0B842ECF"/>
    <w:rsid w:val="0BA53A0C"/>
    <w:rsid w:val="0BA8462C"/>
    <w:rsid w:val="0BD10EF4"/>
    <w:rsid w:val="0BEC0639"/>
    <w:rsid w:val="0BED19DF"/>
    <w:rsid w:val="0C087B18"/>
    <w:rsid w:val="0C130BB2"/>
    <w:rsid w:val="0C193B8E"/>
    <w:rsid w:val="0C1C4E30"/>
    <w:rsid w:val="0C2653A0"/>
    <w:rsid w:val="0C271088"/>
    <w:rsid w:val="0C392862"/>
    <w:rsid w:val="0C403BDE"/>
    <w:rsid w:val="0C447B66"/>
    <w:rsid w:val="0C4B726D"/>
    <w:rsid w:val="0C563442"/>
    <w:rsid w:val="0C56723C"/>
    <w:rsid w:val="0C6172A8"/>
    <w:rsid w:val="0C64762A"/>
    <w:rsid w:val="0C782EF0"/>
    <w:rsid w:val="0C7B0EF4"/>
    <w:rsid w:val="0C825B1D"/>
    <w:rsid w:val="0C8E44C1"/>
    <w:rsid w:val="0C9C7EE1"/>
    <w:rsid w:val="0C9F66CF"/>
    <w:rsid w:val="0CA20839"/>
    <w:rsid w:val="0CA21D1B"/>
    <w:rsid w:val="0CAA5073"/>
    <w:rsid w:val="0CB14648"/>
    <w:rsid w:val="0CB21A52"/>
    <w:rsid w:val="0CB63A18"/>
    <w:rsid w:val="0CBD3A66"/>
    <w:rsid w:val="0CD72DE2"/>
    <w:rsid w:val="0CED2FC7"/>
    <w:rsid w:val="0CF1374F"/>
    <w:rsid w:val="0D0429D6"/>
    <w:rsid w:val="0D0B3D64"/>
    <w:rsid w:val="0D126D3D"/>
    <w:rsid w:val="0D194DAA"/>
    <w:rsid w:val="0D3D634E"/>
    <w:rsid w:val="0D4472E3"/>
    <w:rsid w:val="0D5374B9"/>
    <w:rsid w:val="0D56790F"/>
    <w:rsid w:val="0D622EB4"/>
    <w:rsid w:val="0D63594E"/>
    <w:rsid w:val="0D83708C"/>
    <w:rsid w:val="0D854328"/>
    <w:rsid w:val="0DDB1F25"/>
    <w:rsid w:val="0DE34346"/>
    <w:rsid w:val="0DF465A6"/>
    <w:rsid w:val="0DFC545B"/>
    <w:rsid w:val="0E004116"/>
    <w:rsid w:val="0E077E36"/>
    <w:rsid w:val="0E0E22E1"/>
    <w:rsid w:val="0E110D22"/>
    <w:rsid w:val="0E193424"/>
    <w:rsid w:val="0E554C8F"/>
    <w:rsid w:val="0E574D87"/>
    <w:rsid w:val="0E5A2C39"/>
    <w:rsid w:val="0E736B11"/>
    <w:rsid w:val="0E7F3562"/>
    <w:rsid w:val="0E8E126E"/>
    <w:rsid w:val="0E9E6512"/>
    <w:rsid w:val="0EAC6E81"/>
    <w:rsid w:val="0EBD2885"/>
    <w:rsid w:val="0EC34B2B"/>
    <w:rsid w:val="0ECA6B2D"/>
    <w:rsid w:val="0ECB5D10"/>
    <w:rsid w:val="0ECC1E18"/>
    <w:rsid w:val="0EE11257"/>
    <w:rsid w:val="0EE35EF2"/>
    <w:rsid w:val="0EEE7499"/>
    <w:rsid w:val="0EFA5849"/>
    <w:rsid w:val="0F16254C"/>
    <w:rsid w:val="0F1E6594"/>
    <w:rsid w:val="0F295746"/>
    <w:rsid w:val="0F2B6888"/>
    <w:rsid w:val="0F4F5F19"/>
    <w:rsid w:val="0F547B71"/>
    <w:rsid w:val="0F590199"/>
    <w:rsid w:val="0F721F8C"/>
    <w:rsid w:val="0F7936CC"/>
    <w:rsid w:val="0F882744"/>
    <w:rsid w:val="0F8F3081"/>
    <w:rsid w:val="0FA5195F"/>
    <w:rsid w:val="0FAD4701"/>
    <w:rsid w:val="0FC621C4"/>
    <w:rsid w:val="0FE825FD"/>
    <w:rsid w:val="0FF61E2B"/>
    <w:rsid w:val="10260FB8"/>
    <w:rsid w:val="10280789"/>
    <w:rsid w:val="104D6442"/>
    <w:rsid w:val="106F4618"/>
    <w:rsid w:val="10735462"/>
    <w:rsid w:val="10760938"/>
    <w:rsid w:val="10771710"/>
    <w:rsid w:val="107A6B0B"/>
    <w:rsid w:val="1092654A"/>
    <w:rsid w:val="10934AB9"/>
    <w:rsid w:val="109E4EEF"/>
    <w:rsid w:val="10B64B12"/>
    <w:rsid w:val="10B7072A"/>
    <w:rsid w:val="10B93AD7"/>
    <w:rsid w:val="10C04E65"/>
    <w:rsid w:val="10C34956"/>
    <w:rsid w:val="10D57578"/>
    <w:rsid w:val="10D73F5D"/>
    <w:rsid w:val="10E83584"/>
    <w:rsid w:val="10F245C8"/>
    <w:rsid w:val="10FD18AA"/>
    <w:rsid w:val="11136BE5"/>
    <w:rsid w:val="112244C7"/>
    <w:rsid w:val="113E38BD"/>
    <w:rsid w:val="114E06C3"/>
    <w:rsid w:val="11531836"/>
    <w:rsid w:val="11633A20"/>
    <w:rsid w:val="11700B96"/>
    <w:rsid w:val="117A7D9D"/>
    <w:rsid w:val="117B6FDE"/>
    <w:rsid w:val="117D1895"/>
    <w:rsid w:val="1189681F"/>
    <w:rsid w:val="118D065E"/>
    <w:rsid w:val="119111DD"/>
    <w:rsid w:val="119D0D92"/>
    <w:rsid w:val="11B01C7F"/>
    <w:rsid w:val="11C049F1"/>
    <w:rsid w:val="11C72224"/>
    <w:rsid w:val="11D16BFE"/>
    <w:rsid w:val="11E20E0C"/>
    <w:rsid w:val="11EB5F12"/>
    <w:rsid w:val="11F63B39"/>
    <w:rsid w:val="11F811A4"/>
    <w:rsid w:val="121534BC"/>
    <w:rsid w:val="12303925"/>
    <w:rsid w:val="12321755"/>
    <w:rsid w:val="12392DC6"/>
    <w:rsid w:val="123A0C48"/>
    <w:rsid w:val="125735A8"/>
    <w:rsid w:val="125C6E10"/>
    <w:rsid w:val="125E4649"/>
    <w:rsid w:val="12653E6A"/>
    <w:rsid w:val="127658D7"/>
    <w:rsid w:val="12864FA7"/>
    <w:rsid w:val="12957C2C"/>
    <w:rsid w:val="12CC7D65"/>
    <w:rsid w:val="12F466E5"/>
    <w:rsid w:val="12FB3F33"/>
    <w:rsid w:val="130D010A"/>
    <w:rsid w:val="130E5DFE"/>
    <w:rsid w:val="1318492B"/>
    <w:rsid w:val="13195D86"/>
    <w:rsid w:val="133415D2"/>
    <w:rsid w:val="13390EFF"/>
    <w:rsid w:val="134659BB"/>
    <w:rsid w:val="13534D6F"/>
    <w:rsid w:val="135D699C"/>
    <w:rsid w:val="1362355A"/>
    <w:rsid w:val="136B46BF"/>
    <w:rsid w:val="13860D94"/>
    <w:rsid w:val="13863BCF"/>
    <w:rsid w:val="138A779A"/>
    <w:rsid w:val="138D2BCA"/>
    <w:rsid w:val="139879D4"/>
    <w:rsid w:val="13A12FBB"/>
    <w:rsid w:val="13C44C6D"/>
    <w:rsid w:val="13E9022F"/>
    <w:rsid w:val="13EB044B"/>
    <w:rsid w:val="13F53078"/>
    <w:rsid w:val="13FD017F"/>
    <w:rsid w:val="1400703C"/>
    <w:rsid w:val="14024E31"/>
    <w:rsid w:val="14033D19"/>
    <w:rsid w:val="142F0857"/>
    <w:rsid w:val="1436652A"/>
    <w:rsid w:val="1437543F"/>
    <w:rsid w:val="1444680B"/>
    <w:rsid w:val="14473B09"/>
    <w:rsid w:val="14526E7B"/>
    <w:rsid w:val="145853B5"/>
    <w:rsid w:val="147246C9"/>
    <w:rsid w:val="14834C84"/>
    <w:rsid w:val="14840D97"/>
    <w:rsid w:val="14861F22"/>
    <w:rsid w:val="148D4AEF"/>
    <w:rsid w:val="1493647B"/>
    <w:rsid w:val="14A32AD4"/>
    <w:rsid w:val="14CA62B3"/>
    <w:rsid w:val="14CF3D47"/>
    <w:rsid w:val="14D94AE9"/>
    <w:rsid w:val="14EB2AE0"/>
    <w:rsid w:val="14F50E56"/>
    <w:rsid w:val="14F7288F"/>
    <w:rsid w:val="14F751FA"/>
    <w:rsid w:val="14FC59FF"/>
    <w:rsid w:val="15063688"/>
    <w:rsid w:val="151E65FF"/>
    <w:rsid w:val="15336151"/>
    <w:rsid w:val="155251A4"/>
    <w:rsid w:val="156275CE"/>
    <w:rsid w:val="156F3D9C"/>
    <w:rsid w:val="15724254"/>
    <w:rsid w:val="157952EA"/>
    <w:rsid w:val="157B75AD"/>
    <w:rsid w:val="15876E40"/>
    <w:rsid w:val="158C2DC7"/>
    <w:rsid w:val="15A718D7"/>
    <w:rsid w:val="15BF001A"/>
    <w:rsid w:val="15BF64B6"/>
    <w:rsid w:val="15D373E9"/>
    <w:rsid w:val="15D975F0"/>
    <w:rsid w:val="15EC6D9F"/>
    <w:rsid w:val="15F64207"/>
    <w:rsid w:val="15FB6C69"/>
    <w:rsid w:val="16016360"/>
    <w:rsid w:val="160B3752"/>
    <w:rsid w:val="161B13E4"/>
    <w:rsid w:val="1626576B"/>
    <w:rsid w:val="163F2811"/>
    <w:rsid w:val="16442095"/>
    <w:rsid w:val="164E7686"/>
    <w:rsid w:val="165322D8"/>
    <w:rsid w:val="16535142"/>
    <w:rsid w:val="165665A6"/>
    <w:rsid w:val="165C2B80"/>
    <w:rsid w:val="16630A92"/>
    <w:rsid w:val="16704820"/>
    <w:rsid w:val="16850E26"/>
    <w:rsid w:val="16893F4C"/>
    <w:rsid w:val="1699418F"/>
    <w:rsid w:val="16A22419"/>
    <w:rsid w:val="16B26FFE"/>
    <w:rsid w:val="16B86283"/>
    <w:rsid w:val="16BB08D6"/>
    <w:rsid w:val="16C33CD0"/>
    <w:rsid w:val="16C86EEE"/>
    <w:rsid w:val="16CF74AC"/>
    <w:rsid w:val="16D62899"/>
    <w:rsid w:val="16D86AD9"/>
    <w:rsid w:val="16DC407B"/>
    <w:rsid w:val="16E24DAF"/>
    <w:rsid w:val="16E478E9"/>
    <w:rsid w:val="16E86EC4"/>
    <w:rsid w:val="16F21AF1"/>
    <w:rsid w:val="16F45869"/>
    <w:rsid w:val="17025136"/>
    <w:rsid w:val="17080CB3"/>
    <w:rsid w:val="17104E33"/>
    <w:rsid w:val="172779EC"/>
    <w:rsid w:val="172C5003"/>
    <w:rsid w:val="17435B9A"/>
    <w:rsid w:val="17481711"/>
    <w:rsid w:val="17530278"/>
    <w:rsid w:val="1770488D"/>
    <w:rsid w:val="177251DB"/>
    <w:rsid w:val="179F403B"/>
    <w:rsid w:val="17B46DA6"/>
    <w:rsid w:val="17E07B23"/>
    <w:rsid w:val="17F04282"/>
    <w:rsid w:val="181D21AB"/>
    <w:rsid w:val="18241EFA"/>
    <w:rsid w:val="182551D2"/>
    <w:rsid w:val="18302625"/>
    <w:rsid w:val="183C5221"/>
    <w:rsid w:val="184B770B"/>
    <w:rsid w:val="188056B2"/>
    <w:rsid w:val="1887731B"/>
    <w:rsid w:val="18A312F5"/>
    <w:rsid w:val="18A71570"/>
    <w:rsid w:val="18AF5EEB"/>
    <w:rsid w:val="18B06992"/>
    <w:rsid w:val="18BF29A5"/>
    <w:rsid w:val="18C43019"/>
    <w:rsid w:val="18D07C10"/>
    <w:rsid w:val="18D95C4B"/>
    <w:rsid w:val="18E33521"/>
    <w:rsid w:val="18EB67F8"/>
    <w:rsid w:val="18FA4C8D"/>
    <w:rsid w:val="18FF7748"/>
    <w:rsid w:val="19133920"/>
    <w:rsid w:val="19296091"/>
    <w:rsid w:val="193C34F7"/>
    <w:rsid w:val="19526877"/>
    <w:rsid w:val="196C36C2"/>
    <w:rsid w:val="19733208"/>
    <w:rsid w:val="1978271D"/>
    <w:rsid w:val="197E7B00"/>
    <w:rsid w:val="19933B34"/>
    <w:rsid w:val="19C96DDB"/>
    <w:rsid w:val="19CD084B"/>
    <w:rsid w:val="19CF01B9"/>
    <w:rsid w:val="19DC46F7"/>
    <w:rsid w:val="19DE34A8"/>
    <w:rsid w:val="19E52623"/>
    <w:rsid w:val="19EF2318"/>
    <w:rsid w:val="19FA6457"/>
    <w:rsid w:val="19FB3754"/>
    <w:rsid w:val="1A09162B"/>
    <w:rsid w:val="1A0B2274"/>
    <w:rsid w:val="1A187AC0"/>
    <w:rsid w:val="1A393B90"/>
    <w:rsid w:val="1A4E703E"/>
    <w:rsid w:val="1A535B25"/>
    <w:rsid w:val="1A7208D9"/>
    <w:rsid w:val="1A764FB0"/>
    <w:rsid w:val="1A767F97"/>
    <w:rsid w:val="1A8C60A2"/>
    <w:rsid w:val="1A932C82"/>
    <w:rsid w:val="1A9D1D74"/>
    <w:rsid w:val="1A9F789A"/>
    <w:rsid w:val="1AA37850"/>
    <w:rsid w:val="1AA650CC"/>
    <w:rsid w:val="1AA864FA"/>
    <w:rsid w:val="1AB97B24"/>
    <w:rsid w:val="1AC90DBB"/>
    <w:rsid w:val="1AD930B1"/>
    <w:rsid w:val="1AFA71C6"/>
    <w:rsid w:val="1B267FBB"/>
    <w:rsid w:val="1B3C77DE"/>
    <w:rsid w:val="1B3E1360"/>
    <w:rsid w:val="1B453F87"/>
    <w:rsid w:val="1B4A02FA"/>
    <w:rsid w:val="1B6D0A69"/>
    <w:rsid w:val="1B7D2468"/>
    <w:rsid w:val="1B886580"/>
    <w:rsid w:val="1BAB30F2"/>
    <w:rsid w:val="1BB64807"/>
    <w:rsid w:val="1BC45815"/>
    <w:rsid w:val="1BCA6B98"/>
    <w:rsid w:val="1BEC2FB3"/>
    <w:rsid w:val="1BEE345E"/>
    <w:rsid w:val="1BF209FD"/>
    <w:rsid w:val="1BF530EC"/>
    <w:rsid w:val="1BFD529F"/>
    <w:rsid w:val="1C044843"/>
    <w:rsid w:val="1C165429"/>
    <w:rsid w:val="1C4C7B54"/>
    <w:rsid w:val="1C6D30D8"/>
    <w:rsid w:val="1C7911F1"/>
    <w:rsid w:val="1C7B60E4"/>
    <w:rsid w:val="1C821221"/>
    <w:rsid w:val="1CCB47C0"/>
    <w:rsid w:val="1CE27F12"/>
    <w:rsid w:val="1CF3330B"/>
    <w:rsid w:val="1D0B3F40"/>
    <w:rsid w:val="1D0C2883"/>
    <w:rsid w:val="1D1F4CC2"/>
    <w:rsid w:val="1D3B1144"/>
    <w:rsid w:val="1D44297A"/>
    <w:rsid w:val="1D4E4561"/>
    <w:rsid w:val="1D703128"/>
    <w:rsid w:val="1D7C5FBA"/>
    <w:rsid w:val="1D807E56"/>
    <w:rsid w:val="1D81336E"/>
    <w:rsid w:val="1D8B67FB"/>
    <w:rsid w:val="1D9F19C4"/>
    <w:rsid w:val="1DA575B0"/>
    <w:rsid w:val="1DAF24EA"/>
    <w:rsid w:val="1DB375C5"/>
    <w:rsid w:val="1DB46449"/>
    <w:rsid w:val="1DBC69B5"/>
    <w:rsid w:val="1DC332DD"/>
    <w:rsid w:val="1DDB0E18"/>
    <w:rsid w:val="1DE80C95"/>
    <w:rsid w:val="1DEF6D8A"/>
    <w:rsid w:val="1E061E25"/>
    <w:rsid w:val="1E226345"/>
    <w:rsid w:val="1E37428D"/>
    <w:rsid w:val="1E384EE7"/>
    <w:rsid w:val="1E3A6C06"/>
    <w:rsid w:val="1E424E8A"/>
    <w:rsid w:val="1E5B441F"/>
    <w:rsid w:val="1E6C5E06"/>
    <w:rsid w:val="1E736290"/>
    <w:rsid w:val="1E8C6387"/>
    <w:rsid w:val="1E8F5E77"/>
    <w:rsid w:val="1E9A6CF6"/>
    <w:rsid w:val="1EAA4A5F"/>
    <w:rsid w:val="1EB06519"/>
    <w:rsid w:val="1EB458DE"/>
    <w:rsid w:val="1EC00497"/>
    <w:rsid w:val="1EDA5344"/>
    <w:rsid w:val="1EE613D0"/>
    <w:rsid w:val="1EF1268E"/>
    <w:rsid w:val="1EF21855"/>
    <w:rsid w:val="1EF501D6"/>
    <w:rsid w:val="1EF80AEE"/>
    <w:rsid w:val="1F1830CB"/>
    <w:rsid w:val="1F1D4CEA"/>
    <w:rsid w:val="1F3431EF"/>
    <w:rsid w:val="1F412ACD"/>
    <w:rsid w:val="1F703EFB"/>
    <w:rsid w:val="1F717B90"/>
    <w:rsid w:val="1F896D6A"/>
    <w:rsid w:val="1FA51C58"/>
    <w:rsid w:val="1FA7649E"/>
    <w:rsid w:val="1FBE7B22"/>
    <w:rsid w:val="1FCD4EA9"/>
    <w:rsid w:val="1FF02C39"/>
    <w:rsid w:val="20061562"/>
    <w:rsid w:val="200A7EAB"/>
    <w:rsid w:val="2017317A"/>
    <w:rsid w:val="201D0468"/>
    <w:rsid w:val="202857A9"/>
    <w:rsid w:val="202D76F6"/>
    <w:rsid w:val="203D7B26"/>
    <w:rsid w:val="20A749AE"/>
    <w:rsid w:val="20B10327"/>
    <w:rsid w:val="20B15A28"/>
    <w:rsid w:val="20C655D1"/>
    <w:rsid w:val="20C77B4A"/>
    <w:rsid w:val="20C92795"/>
    <w:rsid w:val="20D65FDF"/>
    <w:rsid w:val="20DB0CE4"/>
    <w:rsid w:val="20E961FA"/>
    <w:rsid w:val="20EE6F43"/>
    <w:rsid w:val="211A14D6"/>
    <w:rsid w:val="211F34E2"/>
    <w:rsid w:val="2132735C"/>
    <w:rsid w:val="21564CC5"/>
    <w:rsid w:val="21725E20"/>
    <w:rsid w:val="217F21D3"/>
    <w:rsid w:val="21894835"/>
    <w:rsid w:val="219F6403"/>
    <w:rsid w:val="21A148C9"/>
    <w:rsid w:val="21A84B20"/>
    <w:rsid w:val="21A97250"/>
    <w:rsid w:val="21C347B6"/>
    <w:rsid w:val="21D06ED2"/>
    <w:rsid w:val="21D547D9"/>
    <w:rsid w:val="21E36C06"/>
    <w:rsid w:val="21F841CB"/>
    <w:rsid w:val="22094970"/>
    <w:rsid w:val="220A4192"/>
    <w:rsid w:val="2224426F"/>
    <w:rsid w:val="224551CB"/>
    <w:rsid w:val="224C10D0"/>
    <w:rsid w:val="225222AD"/>
    <w:rsid w:val="22541289"/>
    <w:rsid w:val="22560474"/>
    <w:rsid w:val="225C24EF"/>
    <w:rsid w:val="226433E0"/>
    <w:rsid w:val="22685BE4"/>
    <w:rsid w:val="22786DC6"/>
    <w:rsid w:val="228F018F"/>
    <w:rsid w:val="22951269"/>
    <w:rsid w:val="22952C4B"/>
    <w:rsid w:val="22A07A2E"/>
    <w:rsid w:val="22AE1FD7"/>
    <w:rsid w:val="22B00DA9"/>
    <w:rsid w:val="22B1460E"/>
    <w:rsid w:val="22B81E40"/>
    <w:rsid w:val="22DF73CD"/>
    <w:rsid w:val="22F10EAE"/>
    <w:rsid w:val="2305495A"/>
    <w:rsid w:val="230D3F37"/>
    <w:rsid w:val="231128EB"/>
    <w:rsid w:val="23130BB1"/>
    <w:rsid w:val="23151041"/>
    <w:rsid w:val="23307C29"/>
    <w:rsid w:val="233415C5"/>
    <w:rsid w:val="234C07DB"/>
    <w:rsid w:val="23566F63"/>
    <w:rsid w:val="2362143C"/>
    <w:rsid w:val="23645B24"/>
    <w:rsid w:val="236C75A7"/>
    <w:rsid w:val="23887A65"/>
    <w:rsid w:val="238E2BA1"/>
    <w:rsid w:val="239A6033"/>
    <w:rsid w:val="23A418A2"/>
    <w:rsid w:val="23AE1EA3"/>
    <w:rsid w:val="23C40371"/>
    <w:rsid w:val="23D11B74"/>
    <w:rsid w:val="23D5432C"/>
    <w:rsid w:val="23EE71CC"/>
    <w:rsid w:val="2404346B"/>
    <w:rsid w:val="24172B97"/>
    <w:rsid w:val="24292475"/>
    <w:rsid w:val="242977C5"/>
    <w:rsid w:val="24351601"/>
    <w:rsid w:val="24375486"/>
    <w:rsid w:val="24390A60"/>
    <w:rsid w:val="243E33BC"/>
    <w:rsid w:val="246F7026"/>
    <w:rsid w:val="2495534F"/>
    <w:rsid w:val="24A773D3"/>
    <w:rsid w:val="24B65FDB"/>
    <w:rsid w:val="24C364CA"/>
    <w:rsid w:val="24DB6D9D"/>
    <w:rsid w:val="24F904EE"/>
    <w:rsid w:val="25237319"/>
    <w:rsid w:val="25276E09"/>
    <w:rsid w:val="253311F6"/>
    <w:rsid w:val="253B3193"/>
    <w:rsid w:val="25552E9E"/>
    <w:rsid w:val="255866F6"/>
    <w:rsid w:val="25654FC9"/>
    <w:rsid w:val="25851E17"/>
    <w:rsid w:val="2586379D"/>
    <w:rsid w:val="25A91F14"/>
    <w:rsid w:val="25DF1492"/>
    <w:rsid w:val="25EB1207"/>
    <w:rsid w:val="25F723E2"/>
    <w:rsid w:val="26377520"/>
    <w:rsid w:val="263C274B"/>
    <w:rsid w:val="264B7744"/>
    <w:rsid w:val="2651082C"/>
    <w:rsid w:val="26690388"/>
    <w:rsid w:val="267E7EE2"/>
    <w:rsid w:val="26A804CA"/>
    <w:rsid w:val="26C66AA9"/>
    <w:rsid w:val="26CD578F"/>
    <w:rsid w:val="26CF59AB"/>
    <w:rsid w:val="26DB434F"/>
    <w:rsid w:val="26DD1E76"/>
    <w:rsid w:val="26F64CE5"/>
    <w:rsid w:val="26F87EF2"/>
    <w:rsid w:val="271138CD"/>
    <w:rsid w:val="271703C5"/>
    <w:rsid w:val="27351CB2"/>
    <w:rsid w:val="27361586"/>
    <w:rsid w:val="27392E24"/>
    <w:rsid w:val="27483067"/>
    <w:rsid w:val="275163C0"/>
    <w:rsid w:val="2753038A"/>
    <w:rsid w:val="275B5309"/>
    <w:rsid w:val="27675BE3"/>
    <w:rsid w:val="277D1B2D"/>
    <w:rsid w:val="27835FFC"/>
    <w:rsid w:val="27914A0E"/>
    <w:rsid w:val="2794279E"/>
    <w:rsid w:val="279E7050"/>
    <w:rsid w:val="27A466B8"/>
    <w:rsid w:val="27AF6D80"/>
    <w:rsid w:val="27B0198F"/>
    <w:rsid w:val="27B92AB7"/>
    <w:rsid w:val="27D43FB1"/>
    <w:rsid w:val="27DE552A"/>
    <w:rsid w:val="27E022D4"/>
    <w:rsid w:val="27F84A8D"/>
    <w:rsid w:val="27FC3AE4"/>
    <w:rsid w:val="2800288E"/>
    <w:rsid w:val="28065AFB"/>
    <w:rsid w:val="280C4E96"/>
    <w:rsid w:val="281B7D88"/>
    <w:rsid w:val="282E4FCE"/>
    <w:rsid w:val="28342B35"/>
    <w:rsid w:val="2834568E"/>
    <w:rsid w:val="283F0442"/>
    <w:rsid w:val="28497097"/>
    <w:rsid w:val="284E32AF"/>
    <w:rsid w:val="286D1F27"/>
    <w:rsid w:val="287E1436"/>
    <w:rsid w:val="28924EE2"/>
    <w:rsid w:val="28975940"/>
    <w:rsid w:val="28A2738B"/>
    <w:rsid w:val="28A86838"/>
    <w:rsid w:val="28AE1756"/>
    <w:rsid w:val="28C4031B"/>
    <w:rsid w:val="28CB6760"/>
    <w:rsid w:val="28DA7C9C"/>
    <w:rsid w:val="28EC71CA"/>
    <w:rsid w:val="28F7242D"/>
    <w:rsid w:val="290B259E"/>
    <w:rsid w:val="291D0C4F"/>
    <w:rsid w:val="2924258A"/>
    <w:rsid w:val="29274E04"/>
    <w:rsid w:val="292E22E0"/>
    <w:rsid w:val="293F46A3"/>
    <w:rsid w:val="296D1EE4"/>
    <w:rsid w:val="298B44EB"/>
    <w:rsid w:val="29944EB8"/>
    <w:rsid w:val="299C4433"/>
    <w:rsid w:val="29DB4666"/>
    <w:rsid w:val="29E4351B"/>
    <w:rsid w:val="29E736D3"/>
    <w:rsid w:val="29EC0622"/>
    <w:rsid w:val="29FB1FE8"/>
    <w:rsid w:val="29FE68AE"/>
    <w:rsid w:val="2A031B89"/>
    <w:rsid w:val="2A070C32"/>
    <w:rsid w:val="2A0B0AA8"/>
    <w:rsid w:val="2A1C2CB5"/>
    <w:rsid w:val="2A1F6D8E"/>
    <w:rsid w:val="2A32072A"/>
    <w:rsid w:val="2A3C5105"/>
    <w:rsid w:val="2A444271"/>
    <w:rsid w:val="2A491993"/>
    <w:rsid w:val="2A567D20"/>
    <w:rsid w:val="2A6F4131"/>
    <w:rsid w:val="2A782154"/>
    <w:rsid w:val="2A821832"/>
    <w:rsid w:val="2A8C2357"/>
    <w:rsid w:val="2A8E16D9"/>
    <w:rsid w:val="2AA77572"/>
    <w:rsid w:val="2ABC3312"/>
    <w:rsid w:val="2AC50660"/>
    <w:rsid w:val="2ACE42A1"/>
    <w:rsid w:val="2AD156A5"/>
    <w:rsid w:val="2AD73080"/>
    <w:rsid w:val="2AE44BDB"/>
    <w:rsid w:val="2AFA0B1C"/>
    <w:rsid w:val="2B1334DC"/>
    <w:rsid w:val="2B1505A0"/>
    <w:rsid w:val="2B165951"/>
    <w:rsid w:val="2B165956"/>
    <w:rsid w:val="2B214434"/>
    <w:rsid w:val="2B3559A3"/>
    <w:rsid w:val="2B3B716B"/>
    <w:rsid w:val="2B471B7C"/>
    <w:rsid w:val="2B4E474F"/>
    <w:rsid w:val="2B553EE9"/>
    <w:rsid w:val="2B674404"/>
    <w:rsid w:val="2B6E1B3C"/>
    <w:rsid w:val="2B801021"/>
    <w:rsid w:val="2B91322F"/>
    <w:rsid w:val="2B9A7696"/>
    <w:rsid w:val="2B9C153F"/>
    <w:rsid w:val="2BA56CDA"/>
    <w:rsid w:val="2BB255CF"/>
    <w:rsid w:val="2BBE3714"/>
    <w:rsid w:val="2BD24D2D"/>
    <w:rsid w:val="2BD27F42"/>
    <w:rsid w:val="2BDE71AB"/>
    <w:rsid w:val="2BEE51CA"/>
    <w:rsid w:val="2BF8505C"/>
    <w:rsid w:val="2C1529D1"/>
    <w:rsid w:val="2C3B319A"/>
    <w:rsid w:val="2C3C1A6A"/>
    <w:rsid w:val="2C540D91"/>
    <w:rsid w:val="2C6537E2"/>
    <w:rsid w:val="2C6C7279"/>
    <w:rsid w:val="2C8965FC"/>
    <w:rsid w:val="2C903C46"/>
    <w:rsid w:val="2CA14AE9"/>
    <w:rsid w:val="2CAB6572"/>
    <w:rsid w:val="2CAC2D20"/>
    <w:rsid w:val="2CBC42DB"/>
    <w:rsid w:val="2CC10625"/>
    <w:rsid w:val="2CC47634"/>
    <w:rsid w:val="2CD326FB"/>
    <w:rsid w:val="2CD33D72"/>
    <w:rsid w:val="2CDD2170"/>
    <w:rsid w:val="2CEA7FC6"/>
    <w:rsid w:val="2CEF46B1"/>
    <w:rsid w:val="2CF220D0"/>
    <w:rsid w:val="2CF241A1"/>
    <w:rsid w:val="2D032370"/>
    <w:rsid w:val="2D056154"/>
    <w:rsid w:val="2D085772"/>
    <w:rsid w:val="2D094BEA"/>
    <w:rsid w:val="2D0A773C"/>
    <w:rsid w:val="2D2A52C6"/>
    <w:rsid w:val="2D4D7629"/>
    <w:rsid w:val="2D880661"/>
    <w:rsid w:val="2D8F1DD6"/>
    <w:rsid w:val="2D915A33"/>
    <w:rsid w:val="2D954534"/>
    <w:rsid w:val="2D9800A5"/>
    <w:rsid w:val="2DC3712A"/>
    <w:rsid w:val="2DE171DF"/>
    <w:rsid w:val="2DEF1551"/>
    <w:rsid w:val="2E0200C9"/>
    <w:rsid w:val="2E24482E"/>
    <w:rsid w:val="2E3507E9"/>
    <w:rsid w:val="2E3C6ABB"/>
    <w:rsid w:val="2E4345B4"/>
    <w:rsid w:val="2E5A3DAC"/>
    <w:rsid w:val="2E5D53FD"/>
    <w:rsid w:val="2E61599C"/>
    <w:rsid w:val="2E6332CF"/>
    <w:rsid w:val="2E6E7857"/>
    <w:rsid w:val="2E7D7A9A"/>
    <w:rsid w:val="2EA63495"/>
    <w:rsid w:val="2EBA0298"/>
    <w:rsid w:val="2EBF09B3"/>
    <w:rsid w:val="2ED22F7C"/>
    <w:rsid w:val="2ED73784"/>
    <w:rsid w:val="2EDF3673"/>
    <w:rsid w:val="2EE213C2"/>
    <w:rsid w:val="2EFC30B5"/>
    <w:rsid w:val="2F0529C7"/>
    <w:rsid w:val="2F486989"/>
    <w:rsid w:val="2F4C403D"/>
    <w:rsid w:val="2F653004"/>
    <w:rsid w:val="2F684953"/>
    <w:rsid w:val="2F8135BA"/>
    <w:rsid w:val="2F8D622E"/>
    <w:rsid w:val="2F9037FD"/>
    <w:rsid w:val="2F917CA1"/>
    <w:rsid w:val="2F982E42"/>
    <w:rsid w:val="2FCB7EDC"/>
    <w:rsid w:val="2FD951A4"/>
    <w:rsid w:val="2FDB7940"/>
    <w:rsid w:val="2FE60F0B"/>
    <w:rsid w:val="2FFE3400"/>
    <w:rsid w:val="300541EB"/>
    <w:rsid w:val="301B0290"/>
    <w:rsid w:val="303C4D07"/>
    <w:rsid w:val="306461F7"/>
    <w:rsid w:val="30647164"/>
    <w:rsid w:val="306C3ED5"/>
    <w:rsid w:val="306C6C6A"/>
    <w:rsid w:val="306D3F93"/>
    <w:rsid w:val="30711C4D"/>
    <w:rsid w:val="30801AC4"/>
    <w:rsid w:val="308A649E"/>
    <w:rsid w:val="308E5A68"/>
    <w:rsid w:val="30A2226B"/>
    <w:rsid w:val="30BB2AFC"/>
    <w:rsid w:val="30C22649"/>
    <w:rsid w:val="30DC08E6"/>
    <w:rsid w:val="30E81B43"/>
    <w:rsid w:val="30E97669"/>
    <w:rsid w:val="312E022B"/>
    <w:rsid w:val="314221E6"/>
    <w:rsid w:val="314A45AB"/>
    <w:rsid w:val="314D7BF8"/>
    <w:rsid w:val="31534D0D"/>
    <w:rsid w:val="317118EE"/>
    <w:rsid w:val="31794E91"/>
    <w:rsid w:val="318555E4"/>
    <w:rsid w:val="318A3760"/>
    <w:rsid w:val="31C64FD5"/>
    <w:rsid w:val="31C84C92"/>
    <w:rsid w:val="31D163B5"/>
    <w:rsid w:val="31D976DD"/>
    <w:rsid w:val="31DE4220"/>
    <w:rsid w:val="3201528F"/>
    <w:rsid w:val="320E382B"/>
    <w:rsid w:val="322F3FB8"/>
    <w:rsid w:val="32391589"/>
    <w:rsid w:val="32454D73"/>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429F1"/>
    <w:rsid w:val="33171483"/>
    <w:rsid w:val="332C4891"/>
    <w:rsid w:val="332E38A7"/>
    <w:rsid w:val="332F3D9F"/>
    <w:rsid w:val="33380434"/>
    <w:rsid w:val="334703EE"/>
    <w:rsid w:val="33482D6D"/>
    <w:rsid w:val="335E1849"/>
    <w:rsid w:val="335F4F26"/>
    <w:rsid w:val="33625BED"/>
    <w:rsid w:val="337F6063"/>
    <w:rsid w:val="3380392C"/>
    <w:rsid w:val="3381627F"/>
    <w:rsid w:val="33865643"/>
    <w:rsid w:val="339935C8"/>
    <w:rsid w:val="33A37FA3"/>
    <w:rsid w:val="33B73A4E"/>
    <w:rsid w:val="33B946F2"/>
    <w:rsid w:val="33B95A18"/>
    <w:rsid w:val="33D4718D"/>
    <w:rsid w:val="33DC0716"/>
    <w:rsid w:val="33E54418"/>
    <w:rsid w:val="33F07509"/>
    <w:rsid w:val="33F627C9"/>
    <w:rsid w:val="340C0FA6"/>
    <w:rsid w:val="341A5E10"/>
    <w:rsid w:val="34272982"/>
    <w:rsid w:val="342804A8"/>
    <w:rsid w:val="343C7EFD"/>
    <w:rsid w:val="34472085"/>
    <w:rsid w:val="34572B3B"/>
    <w:rsid w:val="346D0033"/>
    <w:rsid w:val="3474193F"/>
    <w:rsid w:val="347A4AA6"/>
    <w:rsid w:val="347C3D10"/>
    <w:rsid w:val="34BA5036"/>
    <w:rsid w:val="34BC5AFA"/>
    <w:rsid w:val="34C91AA1"/>
    <w:rsid w:val="34D337DA"/>
    <w:rsid w:val="34D6600F"/>
    <w:rsid w:val="34EE34A0"/>
    <w:rsid w:val="34FA7F15"/>
    <w:rsid w:val="34FB24F0"/>
    <w:rsid w:val="352930DB"/>
    <w:rsid w:val="353B59DD"/>
    <w:rsid w:val="35534E88"/>
    <w:rsid w:val="355A32BB"/>
    <w:rsid w:val="35633752"/>
    <w:rsid w:val="3569521C"/>
    <w:rsid w:val="357C6CFE"/>
    <w:rsid w:val="35823489"/>
    <w:rsid w:val="35897E8C"/>
    <w:rsid w:val="35953A4C"/>
    <w:rsid w:val="35A66D4C"/>
    <w:rsid w:val="35B53FBD"/>
    <w:rsid w:val="35B5404A"/>
    <w:rsid w:val="35CA6E6E"/>
    <w:rsid w:val="35F950CF"/>
    <w:rsid w:val="35FA1CB2"/>
    <w:rsid w:val="36050AA1"/>
    <w:rsid w:val="360B0081"/>
    <w:rsid w:val="361E1B63"/>
    <w:rsid w:val="361E6D32"/>
    <w:rsid w:val="36301896"/>
    <w:rsid w:val="36320657"/>
    <w:rsid w:val="36321AB2"/>
    <w:rsid w:val="365C2A91"/>
    <w:rsid w:val="36673AC2"/>
    <w:rsid w:val="367E2EED"/>
    <w:rsid w:val="3683401A"/>
    <w:rsid w:val="369D7707"/>
    <w:rsid w:val="36AB2FBA"/>
    <w:rsid w:val="36C3270A"/>
    <w:rsid w:val="3701395E"/>
    <w:rsid w:val="371448CE"/>
    <w:rsid w:val="371D2877"/>
    <w:rsid w:val="372A0A3B"/>
    <w:rsid w:val="372A4537"/>
    <w:rsid w:val="373C4996"/>
    <w:rsid w:val="374A1E98"/>
    <w:rsid w:val="37533C0B"/>
    <w:rsid w:val="375F68D7"/>
    <w:rsid w:val="37794D4F"/>
    <w:rsid w:val="37A02925"/>
    <w:rsid w:val="37B3277F"/>
    <w:rsid w:val="37B34CA4"/>
    <w:rsid w:val="37BD7469"/>
    <w:rsid w:val="37D9327F"/>
    <w:rsid w:val="37E93A81"/>
    <w:rsid w:val="37F75EE1"/>
    <w:rsid w:val="38172D0E"/>
    <w:rsid w:val="38317A04"/>
    <w:rsid w:val="38430BE0"/>
    <w:rsid w:val="384B5B0E"/>
    <w:rsid w:val="38591578"/>
    <w:rsid w:val="385B0E4C"/>
    <w:rsid w:val="385C66C2"/>
    <w:rsid w:val="38645F08"/>
    <w:rsid w:val="38697E97"/>
    <w:rsid w:val="387168C2"/>
    <w:rsid w:val="3888121E"/>
    <w:rsid w:val="389B1BDF"/>
    <w:rsid w:val="38A1659F"/>
    <w:rsid w:val="38AF2F46"/>
    <w:rsid w:val="38B16CBE"/>
    <w:rsid w:val="38C95821"/>
    <w:rsid w:val="38D35964"/>
    <w:rsid w:val="38F02478"/>
    <w:rsid w:val="390239BE"/>
    <w:rsid w:val="39180C1C"/>
    <w:rsid w:val="392A1B36"/>
    <w:rsid w:val="392A34F7"/>
    <w:rsid w:val="392A4E38"/>
    <w:rsid w:val="393A6E69"/>
    <w:rsid w:val="39675500"/>
    <w:rsid w:val="396B1563"/>
    <w:rsid w:val="39754190"/>
    <w:rsid w:val="399B0348"/>
    <w:rsid w:val="39BF57BB"/>
    <w:rsid w:val="39C60050"/>
    <w:rsid w:val="39CD2DB0"/>
    <w:rsid w:val="39D92970"/>
    <w:rsid w:val="39DB0D6F"/>
    <w:rsid w:val="39FE7012"/>
    <w:rsid w:val="3A0D5454"/>
    <w:rsid w:val="3A1172F4"/>
    <w:rsid w:val="3A23599A"/>
    <w:rsid w:val="3A255086"/>
    <w:rsid w:val="3A2E4C8D"/>
    <w:rsid w:val="3A35147E"/>
    <w:rsid w:val="3A377636"/>
    <w:rsid w:val="3A446EBF"/>
    <w:rsid w:val="3A4B4EF0"/>
    <w:rsid w:val="3A514258"/>
    <w:rsid w:val="3A6802CC"/>
    <w:rsid w:val="3A684F47"/>
    <w:rsid w:val="3A6A4A9F"/>
    <w:rsid w:val="3A7D77A0"/>
    <w:rsid w:val="3A810023"/>
    <w:rsid w:val="3A816B64"/>
    <w:rsid w:val="3A860F49"/>
    <w:rsid w:val="3A9D05C4"/>
    <w:rsid w:val="3AA1177A"/>
    <w:rsid w:val="3ABC194A"/>
    <w:rsid w:val="3AD2116E"/>
    <w:rsid w:val="3AF37A62"/>
    <w:rsid w:val="3AF61300"/>
    <w:rsid w:val="3AFB6916"/>
    <w:rsid w:val="3AFD73E8"/>
    <w:rsid w:val="3B0529DF"/>
    <w:rsid w:val="3B381919"/>
    <w:rsid w:val="3B615DAA"/>
    <w:rsid w:val="3B944458"/>
    <w:rsid w:val="3B954675"/>
    <w:rsid w:val="3B9823B7"/>
    <w:rsid w:val="3BAF7463"/>
    <w:rsid w:val="3BB271C7"/>
    <w:rsid w:val="3BB557AB"/>
    <w:rsid w:val="3BBF5B96"/>
    <w:rsid w:val="3BC744EA"/>
    <w:rsid w:val="3BCE135D"/>
    <w:rsid w:val="3BD60968"/>
    <w:rsid w:val="3BFA4E77"/>
    <w:rsid w:val="3C1C08F2"/>
    <w:rsid w:val="3C4414D2"/>
    <w:rsid w:val="3C595B04"/>
    <w:rsid w:val="3C5C17D2"/>
    <w:rsid w:val="3C5F42F8"/>
    <w:rsid w:val="3C6C0F9B"/>
    <w:rsid w:val="3C7301F1"/>
    <w:rsid w:val="3C7356FA"/>
    <w:rsid w:val="3C860462"/>
    <w:rsid w:val="3CA1704A"/>
    <w:rsid w:val="3CAF5C0A"/>
    <w:rsid w:val="3CC86CCC"/>
    <w:rsid w:val="3CD4741F"/>
    <w:rsid w:val="3CFB3A43"/>
    <w:rsid w:val="3CFB661F"/>
    <w:rsid w:val="3D0B626C"/>
    <w:rsid w:val="3D0F4D1C"/>
    <w:rsid w:val="3D167A38"/>
    <w:rsid w:val="3D487A50"/>
    <w:rsid w:val="3D5139EC"/>
    <w:rsid w:val="3D687B67"/>
    <w:rsid w:val="3D7A6218"/>
    <w:rsid w:val="3D7C3859"/>
    <w:rsid w:val="3D8552FA"/>
    <w:rsid w:val="3D8C367A"/>
    <w:rsid w:val="3DA908AC"/>
    <w:rsid w:val="3DB039E8"/>
    <w:rsid w:val="3DCF2188"/>
    <w:rsid w:val="3DD1570D"/>
    <w:rsid w:val="3DDE7492"/>
    <w:rsid w:val="3DF2026B"/>
    <w:rsid w:val="3DF80EEB"/>
    <w:rsid w:val="3DFA1107"/>
    <w:rsid w:val="3DFF04CC"/>
    <w:rsid w:val="3E0E6961"/>
    <w:rsid w:val="3E1321C9"/>
    <w:rsid w:val="3E1A3557"/>
    <w:rsid w:val="3E212D16"/>
    <w:rsid w:val="3E24689A"/>
    <w:rsid w:val="3E557A55"/>
    <w:rsid w:val="3E5D2794"/>
    <w:rsid w:val="3E612F34"/>
    <w:rsid w:val="3E8134BC"/>
    <w:rsid w:val="3E864749"/>
    <w:rsid w:val="3E8D1F7B"/>
    <w:rsid w:val="3E9073D3"/>
    <w:rsid w:val="3EAC582F"/>
    <w:rsid w:val="3EC80F65"/>
    <w:rsid w:val="3ED35D96"/>
    <w:rsid w:val="3EE0310F"/>
    <w:rsid w:val="3F192FDE"/>
    <w:rsid w:val="3F21764F"/>
    <w:rsid w:val="3F270382"/>
    <w:rsid w:val="3F4D34B9"/>
    <w:rsid w:val="3F5C61BC"/>
    <w:rsid w:val="3F7E18C4"/>
    <w:rsid w:val="3F821E5A"/>
    <w:rsid w:val="3F826617"/>
    <w:rsid w:val="3F882148"/>
    <w:rsid w:val="3FAD5B09"/>
    <w:rsid w:val="3FAF5707"/>
    <w:rsid w:val="3FD61700"/>
    <w:rsid w:val="3FD85683"/>
    <w:rsid w:val="3FF130F6"/>
    <w:rsid w:val="3FF878C8"/>
    <w:rsid w:val="3FFA5B87"/>
    <w:rsid w:val="3FFF6096"/>
    <w:rsid w:val="40044B90"/>
    <w:rsid w:val="40153FD6"/>
    <w:rsid w:val="402042D4"/>
    <w:rsid w:val="40273D0A"/>
    <w:rsid w:val="40310071"/>
    <w:rsid w:val="4045485F"/>
    <w:rsid w:val="405640FA"/>
    <w:rsid w:val="4081166C"/>
    <w:rsid w:val="40975D69"/>
    <w:rsid w:val="40A01D3A"/>
    <w:rsid w:val="40C652D1"/>
    <w:rsid w:val="40C92CD2"/>
    <w:rsid w:val="40EE1315"/>
    <w:rsid w:val="410B7187"/>
    <w:rsid w:val="411249BA"/>
    <w:rsid w:val="41166258"/>
    <w:rsid w:val="414172BF"/>
    <w:rsid w:val="416A190F"/>
    <w:rsid w:val="416E7E42"/>
    <w:rsid w:val="416F3BBA"/>
    <w:rsid w:val="418770B8"/>
    <w:rsid w:val="41B6712E"/>
    <w:rsid w:val="41BA6A45"/>
    <w:rsid w:val="41C85859"/>
    <w:rsid w:val="41CA339C"/>
    <w:rsid w:val="41D103D1"/>
    <w:rsid w:val="41D758D6"/>
    <w:rsid w:val="41DF2F7B"/>
    <w:rsid w:val="41F63994"/>
    <w:rsid w:val="42277327"/>
    <w:rsid w:val="422F448D"/>
    <w:rsid w:val="42312C1E"/>
    <w:rsid w:val="42366258"/>
    <w:rsid w:val="424514EC"/>
    <w:rsid w:val="424B0183"/>
    <w:rsid w:val="424C228D"/>
    <w:rsid w:val="424E40FE"/>
    <w:rsid w:val="427E4A81"/>
    <w:rsid w:val="428C524B"/>
    <w:rsid w:val="42927D62"/>
    <w:rsid w:val="429B3874"/>
    <w:rsid w:val="429F5DD9"/>
    <w:rsid w:val="42AD499A"/>
    <w:rsid w:val="42B61086"/>
    <w:rsid w:val="42C26869"/>
    <w:rsid w:val="42DD6902"/>
    <w:rsid w:val="42E3216A"/>
    <w:rsid w:val="42ED02B3"/>
    <w:rsid w:val="42FE6FA4"/>
    <w:rsid w:val="43040332"/>
    <w:rsid w:val="430F518E"/>
    <w:rsid w:val="43152860"/>
    <w:rsid w:val="43162488"/>
    <w:rsid w:val="431762B8"/>
    <w:rsid w:val="431A4176"/>
    <w:rsid w:val="431B17D2"/>
    <w:rsid w:val="434370AD"/>
    <w:rsid w:val="434A043B"/>
    <w:rsid w:val="434D3A87"/>
    <w:rsid w:val="43560B8E"/>
    <w:rsid w:val="43607C5E"/>
    <w:rsid w:val="436F7EA2"/>
    <w:rsid w:val="43772A58"/>
    <w:rsid w:val="438761B4"/>
    <w:rsid w:val="4389474A"/>
    <w:rsid w:val="438F3327"/>
    <w:rsid w:val="43923B90"/>
    <w:rsid w:val="43A4707C"/>
    <w:rsid w:val="43D67B4D"/>
    <w:rsid w:val="43DF0926"/>
    <w:rsid w:val="43F15324"/>
    <w:rsid w:val="440B706C"/>
    <w:rsid w:val="44110F59"/>
    <w:rsid w:val="441A605F"/>
    <w:rsid w:val="441D70DF"/>
    <w:rsid w:val="441E176A"/>
    <w:rsid w:val="441F5424"/>
    <w:rsid w:val="44292D63"/>
    <w:rsid w:val="443B0E5E"/>
    <w:rsid w:val="44426C0E"/>
    <w:rsid w:val="4445330B"/>
    <w:rsid w:val="44484B78"/>
    <w:rsid w:val="44550816"/>
    <w:rsid w:val="445826E4"/>
    <w:rsid w:val="44592AFA"/>
    <w:rsid w:val="445C06B9"/>
    <w:rsid w:val="445F3A72"/>
    <w:rsid w:val="446077EA"/>
    <w:rsid w:val="44665E49"/>
    <w:rsid w:val="446C618F"/>
    <w:rsid w:val="448E3562"/>
    <w:rsid w:val="448F024A"/>
    <w:rsid w:val="44B26298"/>
    <w:rsid w:val="44BE2E8F"/>
    <w:rsid w:val="44C86593"/>
    <w:rsid w:val="44CF7202"/>
    <w:rsid w:val="44D02189"/>
    <w:rsid w:val="44D73F50"/>
    <w:rsid w:val="44FC1D24"/>
    <w:rsid w:val="44FE1514"/>
    <w:rsid w:val="451008C2"/>
    <w:rsid w:val="451277B0"/>
    <w:rsid w:val="45236DDF"/>
    <w:rsid w:val="45246F22"/>
    <w:rsid w:val="452470E5"/>
    <w:rsid w:val="45280308"/>
    <w:rsid w:val="45435142"/>
    <w:rsid w:val="45464C32"/>
    <w:rsid w:val="45492AC0"/>
    <w:rsid w:val="4550785F"/>
    <w:rsid w:val="45513D03"/>
    <w:rsid w:val="45675331"/>
    <w:rsid w:val="456D0411"/>
    <w:rsid w:val="45801494"/>
    <w:rsid w:val="458021A9"/>
    <w:rsid w:val="45834749"/>
    <w:rsid w:val="458D7ACD"/>
    <w:rsid w:val="45AB63C3"/>
    <w:rsid w:val="45CD7101"/>
    <w:rsid w:val="45D73ADC"/>
    <w:rsid w:val="45D93CF8"/>
    <w:rsid w:val="45DB537A"/>
    <w:rsid w:val="45F20395"/>
    <w:rsid w:val="45F27684"/>
    <w:rsid w:val="45FE72BB"/>
    <w:rsid w:val="45FE7CC8"/>
    <w:rsid w:val="46053A9B"/>
    <w:rsid w:val="460A3EB2"/>
    <w:rsid w:val="46121C64"/>
    <w:rsid w:val="46162856"/>
    <w:rsid w:val="46226EB0"/>
    <w:rsid w:val="462C207A"/>
    <w:rsid w:val="4658671E"/>
    <w:rsid w:val="465C2A22"/>
    <w:rsid w:val="466E205D"/>
    <w:rsid w:val="467632F5"/>
    <w:rsid w:val="467911B3"/>
    <w:rsid w:val="46812B8D"/>
    <w:rsid w:val="46832413"/>
    <w:rsid w:val="46885E2A"/>
    <w:rsid w:val="469F2601"/>
    <w:rsid w:val="46A82FBF"/>
    <w:rsid w:val="46AB40C3"/>
    <w:rsid w:val="46AC31BB"/>
    <w:rsid w:val="46BA58D8"/>
    <w:rsid w:val="46C439A8"/>
    <w:rsid w:val="46CE7995"/>
    <w:rsid w:val="46D7323F"/>
    <w:rsid w:val="46E0501A"/>
    <w:rsid w:val="46FC1214"/>
    <w:rsid w:val="47021DBA"/>
    <w:rsid w:val="471F2FD5"/>
    <w:rsid w:val="47484C91"/>
    <w:rsid w:val="475278BE"/>
    <w:rsid w:val="475C698F"/>
    <w:rsid w:val="475D3DAD"/>
    <w:rsid w:val="47705F96"/>
    <w:rsid w:val="479C5383"/>
    <w:rsid w:val="479F646B"/>
    <w:rsid w:val="47A3636C"/>
    <w:rsid w:val="47A56FB4"/>
    <w:rsid w:val="47AD7CF1"/>
    <w:rsid w:val="47B9547A"/>
    <w:rsid w:val="47D67F88"/>
    <w:rsid w:val="47F20CC9"/>
    <w:rsid w:val="4803505C"/>
    <w:rsid w:val="480831B5"/>
    <w:rsid w:val="480D66CD"/>
    <w:rsid w:val="480F105A"/>
    <w:rsid w:val="48194880"/>
    <w:rsid w:val="481A5421"/>
    <w:rsid w:val="482849BA"/>
    <w:rsid w:val="48286871"/>
    <w:rsid w:val="483D056E"/>
    <w:rsid w:val="483F2BC9"/>
    <w:rsid w:val="485A1120"/>
    <w:rsid w:val="48A7549C"/>
    <w:rsid w:val="48B545A9"/>
    <w:rsid w:val="48BA15B1"/>
    <w:rsid w:val="48D273AC"/>
    <w:rsid w:val="48D76D49"/>
    <w:rsid w:val="48E97759"/>
    <w:rsid w:val="491F1E48"/>
    <w:rsid w:val="492139EC"/>
    <w:rsid w:val="492B3567"/>
    <w:rsid w:val="49337978"/>
    <w:rsid w:val="493E4BFE"/>
    <w:rsid w:val="494E0559"/>
    <w:rsid w:val="495D26EB"/>
    <w:rsid w:val="49600707"/>
    <w:rsid w:val="49656EDC"/>
    <w:rsid w:val="49793828"/>
    <w:rsid w:val="4987138C"/>
    <w:rsid w:val="49883A6B"/>
    <w:rsid w:val="49B91793"/>
    <w:rsid w:val="49C37596"/>
    <w:rsid w:val="49CD147E"/>
    <w:rsid w:val="49CF169A"/>
    <w:rsid w:val="49D348F2"/>
    <w:rsid w:val="49E204D8"/>
    <w:rsid w:val="49FA66B9"/>
    <w:rsid w:val="4A0D3F70"/>
    <w:rsid w:val="4A103FF4"/>
    <w:rsid w:val="4A1277D9"/>
    <w:rsid w:val="4A2F2139"/>
    <w:rsid w:val="4A5D0A54"/>
    <w:rsid w:val="4A666565"/>
    <w:rsid w:val="4A7B66E4"/>
    <w:rsid w:val="4A7D5113"/>
    <w:rsid w:val="4A7F4FCB"/>
    <w:rsid w:val="4A812A30"/>
    <w:rsid w:val="4A89523C"/>
    <w:rsid w:val="4AAA6714"/>
    <w:rsid w:val="4AB019AF"/>
    <w:rsid w:val="4AB60164"/>
    <w:rsid w:val="4AC54E91"/>
    <w:rsid w:val="4AD5154D"/>
    <w:rsid w:val="4AEA3364"/>
    <w:rsid w:val="4AF73617"/>
    <w:rsid w:val="4B101F6A"/>
    <w:rsid w:val="4B257098"/>
    <w:rsid w:val="4B593BC4"/>
    <w:rsid w:val="4B6A463C"/>
    <w:rsid w:val="4B902FB1"/>
    <w:rsid w:val="4B9E0E3F"/>
    <w:rsid w:val="4BB63B5B"/>
    <w:rsid w:val="4BB9615E"/>
    <w:rsid w:val="4BCC283D"/>
    <w:rsid w:val="4BD35E6D"/>
    <w:rsid w:val="4BDC1E4C"/>
    <w:rsid w:val="4BE1231B"/>
    <w:rsid w:val="4BFF5353"/>
    <w:rsid w:val="4C177328"/>
    <w:rsid w:val="4C1F6EFC"/>
    <w:rsid w:val="4C2F265F"/>
    <w:rsid w:val="4C5B5DF1"/>
    <w:rsid w:val="4C6D6DCE"/>
    <w:rsid w:val="4C752052"/>
    <w:rsid w:val="4C7D3694"/>
    <w:rsid w:val="4C9F27AB"/>
    <w:rsid w:val="4CBD2C33"/>
    <w:rsid w:val="4CBD4A44"/>
    <w:rsid w:val="4CD40D75"/>
    <w:rsid w:val="4CDE3815"/>
    <w:rsid w:val="4CED2983"/>
    <w:rsid w:val="4D0D2958"/>
    <w:rsid w:val="4D145493"/>
    <w:rsid w:val="4D16313C"/>
    <w:rsid w:val="4D2D4855"/>
    <w:rsid w:val="4D393332"/>
    <w:rsid w:val="4D3B01A7"/>
    <w:rsid w:val="4D4746C5"/>
    <w:rsid w:val="4D4D1254"/>
    <w:rsid w:val="4D5A74CD"/>
    <w:rsid w:val="4D6759FB"/>
    <w:rsid w:val="4D6E3517"/>
    <w:rsid w:val="4DB14B03"/>
    <w:rsid w:val="4DB639B0"/>
    <w:rsid w:val="4DB7491F"/>
    <w:rsid w:val="4DE70682"/>
    <w:rsid w:val="4DF53699"/>
    <w:rsid w:val="4DFD50C1"/>
    <w:rsid w:val="4E2B70BB"/>
    <w:rsid w:val="4E4645AE"/>
    <w:rsid w:val="4E467A51"/>
    <w:rsid w:val="4E496865"/>
    <w:rsid w:val="4E58321E"/>
    <w:rsid w:val="4E66521C"/>
    <w:rsid w:val="4E6B2193"/>
    <w:rsid w:val="4E9B1B4B"/>
    <w:rsid w:val="4EB91CD7"/>
    <w:rsid w:val="4EDE7C89"/>
    <w:rsid w:val="4EE72FE2"/>
    <w:rsid w:val="4EFF135C"/>
    <w:rsid w:val="4F035942"/>
    <w:rsid w:val="4F0E00E7"/>
    <w:rsid w:val="4F22412F"/>
    <w:rsid w:val="4F285863"/>
    <w:rsid w:val="4F2A1121"/>
    <w:rsid w:val="4F6264CF"/>
    <w:rsid w:val="4F6E6D3E"/>
    <w:rsid w:val="4F7F68E8"/>
    <w:rsid w:val="4F864B42"/>
    <w:rsid w:val="4F926200"/>
    <w:rsid w:val="4F9A0295"/>
    <w:rsid w:val="4FA1745C"/>
    <w:rsid w:val="4FBA4253"/>
    <w:rsid w:val="4FC55461"/>
    <w:rsid w:val="4FCE7CFE"/>
    <w:rsid w:val="4FDC12AC"/>
    <w:rsid w:val="4FE20FB2"/>
    <w:rsid w:val="50055E16"/>
    <w:rsid w:val="501C4F0D"/>
    <w:rsid w:val="502B7CA9"/>
    <w:rsid w:val="503046E2"/>
    <w:rsid w:val="5038679F"/>
    <w:rsid w:val="50414974"/>
    <w:rsid w:val="50463D38"/>
    <w:rsid w:val="5047222E"/>
    <w:rsid w:val="505A4AE2"/>
    <w:rsid w:val="50670571"/>
    <w:rsid w:val="50970476"/>
    <w:rsid w:val="50B95E75"/>
    <w:rsid w:val="50C54952"/>
    <w:rsid w:val="50CA6916"/>
    <w:rsid w:val="50CD6207"/>
    <w:rsid w:val="51015649"/>
    <w:rsid w:val="51034416"/>
    <w:rsid w:val="510A745C"/>
    <w:rsid w:val="512151F2"/>
    <w:rsid w:val="512656C9"/>
    <w:rsid w:val="5139564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E77F87"/>
    <w:rsid w:val="51EA372D"/>
    <w:rsid w:val="51EE696A"/>
    <w:rsid w:val="51F15F26"/>
    <w:rsid w:val="51F37EF0"/>
    <w:rsid w:val="51F6353C"/>
    <w:rsid w:val="51F87B88"/>
    <w:rsid w:val="520B6FE7"/>
    <w:rsid w:val="520D0FB1"/>
    <w:rsid w:val="521142C4"/>
    <w:rsid w:val="5224097B"/>
    <w:rsid w:val="522508B8"/>
    <w:rsid w:val="52270DB8"/>
    <w:rsid w:val="5238556C"/>
    <w:rsid w:val="523E1BC7"/>
    <w:rsid w:val="523F6E00"/>
    <w:rsid w:val="524B22B7"/>
    <w:rsid w:val="52692D61"/>
    <w:rsid w:val="527728CF"/>
    <w:rsid w:val="528172AA"/>
    <w:rsid w:val="52A636F2"/>
    <w:rsid w:val="52B256B5"/>
    <w:rsid w:val="52B8492E"/>
    <w:rsid w:val="52CD201A"/>
    <w:rsid w:val="52DB316A"/>
    <w:rsid w:val="52DF5523"/>
    <w:rsid w:val="52F1442F"/>
    <w:rsid w:val="52F21F55"/>
    <w:rsid w:val="530C01BA"/>
    <w:rsid w:val="530F02BC"/>
    <w:rsid w:val="53130F14"/>
    <w:rsid w:val="53191BD8"/>
    <w:rsid w:val="531C6A38"/>
    <w:rsid w:val="534972AB"/>
    <w:rsid w:val="5373169B"/>
    <w:rsid w:val="53747D16"/>
    <w:rsid w:val="5378497F"/>
    <w:rsid w:val="53895AE9"/>
    <w:rsid w:val="53C6061F"/>
    <w:rsid w:val="53E544DB"/>
    <w:rsid w:val="53F046E7"/>
    <w:rsid w:val="53F82EC8"/>
    <w:rsid w:val="54063F0A"/>
    <w:rsid w:val="540B1521"/>
    <w:rsid w:val="5415227F"/>
    <w:rsid w:val="542258CB"/>
    <w:rsid w:val="542D741B"/>
    <w:rsid w:val="543211F5"/>
    <w:rsid w:val="54330AC6"/>
    <w:rsid w:val="543547EF"/>
    <w:rsid w:val="543640C4"/>
    <w:rsid w:val="544B4013"/>
    <w:rsid w:val="544D7D8B"/>
    <w:rsid w:val="5456472A"/>
    <w:rsid w:val="54667951"/>
    <w:rsid w:val="548C1FAB"/>
    <w:rsid w:val="549E4143"/>
    <w:rsid w:val="54B5148C"/>
    <w:rsid w:val="54E63064"/>
    <w:rsid w:val="54F41028"/>
    <w:rsid w:val="54F75F49"/>
    <w:rsid w:val="54FE72D7"/>
    <w:rsid w:val="550F5D8E"/>
    <w:rsid w:val="552F326D"/>
    <w:rsid w:val="553D5D3A"/>
    <w:rsid w:val="554D7917"/>
    <w:rsid w:val="55663533"/>
    <w:rsid w:val="556F6CD4"/>
    <w:rsid w:val="5577790D"/>
    <w:rsid w:val="558B0806"/>
    <w:rsid w:val="55944949"/>
    <w:rsid w:val="559C154A"/>
    <w:rsid w:val="55A21094"/>
    <w:rsid w:val="55B24181"/>
    <w:rsid w:val="55B96238"/>
    <w:rsid w:val="560501F2"/>
    <w:rsid w:val="560B3A5A"/>
    <w:rsid w:val="561548D9"/>
    <w:rsid w:val="561A5A4B"/>
    <w:rsid w:val="564447FE"/>
    <w:rsid w:val="56466840"/>
    <w:rsid w:val="565467A5"/>
    <w:rsid w:val="56644224"/>
    <w:rsid w:val="566559D7"/>
    <w:rsid w:val="5666680E"/>
    <w:rsid w:val="5669634B"/>
    <w:rsid w:val="56735DD8"/>
    <w:rsid w:val="567A473C"/>
    <w:rsid w:val="5685797A"/>
    <w:rsid w:val="568C1A21"/>
    <w:rsid w:val="569F4D37"/>
    <w:rsid w:val="56AB2F3F"/>
    <w:rsid w:val="56C42FEC"/>
    <w:rsid w:val="56DE34AA"/>
    <w:rsid w:val="56EA73AE"/>
    <w:rsid w:val="56F0657B"/>
    <w:rsid w:val="56F20621"/>
    <w:rsid w:val="56F20776"/>
    <w:rsid w:val="56F37AB8"/>
    <w:rsid w:val="56FC15F5"/>
    <w:rsid w:val="57122BC6"/>
    <w:rsid w:val="571E156B"/>
    <w:rsid w:val="572D6623"/>
    <w:rsid w:val="57364C46"/>
    <w:rsid w:val="575A47E7"/>
    <w:rsid w:val="575C02E5"/>
    <w:rsid w:val="577473DD"/>
    <w:rsid w:val="57911484"/>
    <w:rsid w:val="57B40121"/>
    <w:rsid w:val="57BE00CF"/>
    <w:rsid w:val="57C33EC0"/>
    <w:rsid w:val="57CF104F"/>
    <w:rsid w:val="57CF47C9"/>
    <w:rsid w:val="57D939CD"/>
    <w:rsid w:val="57FF0946"/>
    <w:rsid w:val="58075B26"/>
    <w:rsid w:val="580A355F"/>
    <w:rsid w:val="58127ED2"/>
    <w:rsid w:val="58172F6B"/>
    <w:rsid w:val="58281E5B"/>
    <w:rsid w:val="582C247D"/>
    <w:rsid w:val="583D29A8"/>
    <w:rsid w:val="58406187"/>
    <w:rsid w:val="584E614D"/>
    <w:rsid w:val="58537A63"/>
    <w:rsid w:val="58643CC2"/>
    <w:rsid w:val="588075E9"/>
    <w:rsid w:val="588C2AEC"/>
    <w:rsid w:val="58975A79"/>
    <w:rsid w:val="58A81A34"/>
    <w:rsid w:val="58CA7BFC"/>
    <w:rsid w:val="58CF5213"/>
    <w:rsid w:val="58E83887"/>
    <w:rsid w:val="58F90DE0"/>
    <w:rsid w:val="59044790"/>
    <w:rsid w:val="59106321"/>
    <w:rsid w:val="59140C82"/>
    <w:rsid w:val="59202A8D"/>
    <w:rsid w:val="59372DB8"/>
    <w:rsid w:val="593B01E1"/>
    <w:rsid w:val="59493F76"/>
    <w:rsid w:val="59550FA6"/>
    <w:rsid w:val="595650B7"/>
    <w:rsid w:val="59576FB6"/>
    <w:rsid w:val="596005C1"/>
    <w:rsid w:val="59622FBF"/>
    <w:rsid w:val="59651728"/>
    <w:rsid w:val="5978642A"/>
    <w:rsid w:val="597C6A1D"/>
    <w:rsid w:val="597F1341"/>
    <w:rsid w:val="599057E7"/>
    <w:rsid w:val="599F4CD5"/>
    <w:rsid w:val="59A27420"/>
    <w:rsid w:val="59AD1F85"/>
    <w:rsid w:val="59D654A8"/>
    <w:rsid w:val="59D80CBB"/>
    <w:rsid w:val="5A011459"/>
    <w:rsid w:val="5A013CE4"/>
    <w:rsid w:val="5A0141A4"/>
    <w:rsid w:val="5A053904"/>
    <w:rsid w:val="5A196B54"/>
    <w:rsid w:val="5A1E47AC"/>
    <w:rsid w:val="5A2A57A8"/>
    <w:rsid w:val="5A3D61AC"/>
    <w:rsid w:val="5A447687"/>
    <w:rsid w:val="5A4C2893"/>
    <w:rsid w:val="5A603305"/>
    <w:rsid w:val="5A701838"/>
    <w:rsid w:val="5A706581"/>
    <w:rsid w:val="5A8156DE"/>
    <w:rsid w:val="5A955FE8"/>
    <w:rsid w:val="5AAD1584"/>
    <w:rsid w:val="5ADF3707"/>
    <w:rsid w:val="5AE3249E"/>
    <w:rsid w:val="5AE56545"/>
    <w:rsid w:val="5AE57473"/>
    <w:rsid w:val="5AE92129"/>
    <w:rsid w:val="5AF102AB"/>
    <w:rsid w:val="5B163201"/>
    <w:rsid w:val="5B1A473F"/>
    <w:rsid w:val="5B2E3D47"/>
    <w:rsid w:val="5B37709F"/>
    <w:rsid w:val="5B6149A2"/>
    <w:rsid w:val="5B636D7E"/>
    <w:rsid w:val="5B7A6DEA"/>
    <w:rsid w:val="5B7E6A7C"/>
    <w:rsid w:val="5BA20303"/>
    <w:rsid w:val="5BB26726"/>
    <w:rsid w:val="5BB701E0"/>
    <w:rsid w:val="5BB926FC"/>
    <w:rsid w:val="5BF54320"/>
    <w:rsid w:val="5C1633F6"/>
    <w:rsid w:val="5C246971"/>
    <w:rsid w:val="5C4867F4"/>
    <w:rsid w:val="5C49715E"/>
    <w:rsid w:val="5C6737F1"/>
    <w:rsid w:val="5C8F5ED1"/>
    <w:rsid w:val="5C9C18B0"/>
    <w:rsid w:val="5C9E7970"/>
    <w:rsid w:val="5CBD1826"/>
    <w:rsid w:val="5CC37F37"/>
    <w:rsid w:val="5CE943C9"/>
    <w:rsid w:val="5CF96FBB"/>
    <w:rsid w:val="5CFD1C22"/>
    <w:rsid w:val="5D044DFB"/>
    <w:rsid w:val="5D0E2082"/>
    <w:rsid w:val="5D2A3C5C"/>
    <w:rsid w:val="5D2E4206"/>
    <w:rsid w:val="5D3B5F6E"/>
    <w:rsid w:val="5D42012A"/>
    <w:rsid w:val="5D55380D"/>
    <w:rsid w:val="5D6F2B20"/>
    <w:rsid w:val="5D8B5480"/>
    <w:rsid w:val="5DA21809"/>
    <w:rsid w:val="5DAB5B22"/>
    <w:rsid w:val="5DC32E6C"/>
    <w:rsid w:val="5DD0374A"/>
    <w:rsid w:val="5DD064FA"/>
    <w:rsid w:val="5DDA30BD"/>
    <w:rsid w:val="5DDC7EB6"/>
    <w:rsid w:val="5DE33611"/>
    <w:rsid w:val="5DE50E0B"/>
    <w:rsid w:val="5DEA03F9"/>
    <w:rsid w:val="5DEB5F1F"/>
    <w:rsid w:val="5DEB608F"/>
    <w:rsid w:val="5E0266B8"/>
    <w:rsid w:val="5E211941"/>
    <w:rsid w:val="5E2719AF"/>
    <w:rsid w:val="5E2C7B5F"/>
    <w:rsid w:val="5E324CBD"/>
    <w:rsid w:val="5E37388C"/>
    <w:rsid w:val="5E386485"/>
    <w:rsid w:val="5E49652D"/>
    <w:rsid w:val="5E55621E"/>
    <w:rsid w:val="5E556A51"/>
    <w:rsid w:val="5E6C7060"/>
    <w:rsid w:val="5EA7453C"/>
    <w:rsid w:val="5EAE0F71"/>
    <w:rsid w:val="5ED27BE1"/>
    <w:rsid w:val="5ED35BB4"/>
    <w:rsid w:val="5ED75612"/>
    <w:rsid w:val="5F1E2A19"/>
    <w:rsid w:val="5F1F1B33"/>
    <w:rsid w:val="5F2136D8"/>
    <w:rsid w:val="5F2D0AE0"/>
    <w:rsid w:val="5F432EF8"/>
    <w:rsid w:val="5F47659C"/>
    <w:rsid w:val="5F4D7ADC"/>
    <w:rsid w:val="5F526256"/>
    <w:rsid w:val="5F5433E2"/>
    <w:rsid w:val="5F555D46"/>
    <w:rsid w:val="5F5B16CF"/>
    <w:rsid w:val="5F765539"/>
    <w:rsid w:val="5F7E529D"/>
    <w:rsid w:val="5FB40CBE"/>
    <w:rsid w:val="5FC2239B"/>
    <w:rsid w:val="5FCA04E2"/>
    <w:rsid w:val="5FDF1F8A"/>
    <w:rsid w:val="5FE356A8"/>
    <w:rsid w:val="5FF40024"/>
    <w:rsid w:val="602676E1"/>
    <w:rsid w:val="602E4F74"/>
    <w:rsid w:val="603418A5"/>
    <w:rsid w:val="60366D51"/>
    <w:rsid w:val="604D4C6F"/>
    <w:rsid w:val="606002D2"/>
    <w:rsid w:val="607628FE"/>
    <w:rsid w:val="60936B26"/>
    <w:rsid w:val="60A457EB"/>
    <w:rsid w:val="60A74497"/>
    <w:rsid w:val="60B61030"/>
    <w:rsid w:val="60BE1C9B"/>
    <w:rsid w:val="60C356C4"/>
    <w:rsid w:val="60C75253"/>
    <w:rsid w:val="60E92BEA"/>
    <w:rsid w:val="60FF41BB"/>
    <w:rsid w:val="61020C7F"/>
    <w:rsid w:val="611759A9"/>
    <w:rsid w:val="612B3202"/>
    <w:rsid w:val="612C0D28"/>
    <w:rsid w:val="61406582"/>
    <w:rsid w:val="61543299"/>
    <w:rsid w:val="61592960"/>
    <w:rsid w:val="615A5A4D"/>
    <w:rsid w:val="6166248C"/>
    <w:rsid w:val="61706E67"/>
    <w:rsid w:val="61AC41D6"/>
    <w:rsid w:val="61D70DF9"/>
    <w:rsid w:val="61D77A00"/>
    <w:rsid w:val="61EE148D"/>
    <w:rsid w:val="621B3277"/>
    <w:rsid w:val="6228211F"/>
    <w:rsid w:val="6229771A"/>
    <w:rsid w:val="622C555D"/>
    <w:rsid w:val="623B7475"/>
    <w:rsid w:val="624D53FA"/>
    <w:rsid w:val="625E7607"/>
    <w:rsid w:val="626478C2"/>
    <w:rsid w:val="626529F4"/>
    <w:rsid w:val="626C4988"/>
    <w:rsid w:val="62854B94"/>
    <w:rsid w:val="62922E0D"/>
    <w:rsid w:val="62C610B8"/>
    <w:rsid w:val="62E224E8"/>
    <w:rsid w:val="62F13FD7"/>
    <w:rsid w:val="62FE497B"/>
    <w:rsid w:val="62FF03D9"/>
    <w:rsid w:val="62FF64C2"/>
    <w:rsid w:val="630E4B89"/>
    <w:rsid w:val="633345F0"/>
    <w:rsid w:val="63352116"/>
    <w:rsid w:val="63377DE5"/>
    <w:rsid w:val="633B5253"/>
    <w:rsid w:val="633C769A"/>
    <w:rsid w:val="63452A53"/>
    <w:rsid w:val="63485127"/>
    <w:rsid w:val="635B58F5"/>
    <w:rsid w:val="637531A0"/>
    <w:rsid w:val="63966FB4"/>
    <w:rsid w:val="63973036"/>
    <w:rsid w:val="639B6291"/>
    <w:rsid w:val="639C2D33"/>
    <w:rsid w:val="63A105E6"/>
    <w:rsid w:val="63AD6150"/>
    <w:rsid w:val="63C416EC"/>
    <w:rsid w:val="63C96D02"/>
    <w:rsid w:val="63D36046"/>
    <w:rsid w:val="63D6255C"/>
    <w:rsid w:val="63E61F5F"/>
    <w:rsid w:val="63F00811"/>
    <w:rsid w:val="63F657AA"/>
    <w:rsid w:val="64065861"/>
    <w:rsid w:val="64144421"/>
    <w:rsid w:val="643A7DF2"/>
    <w:rsid w:val="644D7933"/>
    <w:rsid w:val="645152C2"/>
    <w:rsid w:val="64607667"/>
    <w:rsid w:val="64800394"/>
    <w:rsid w:val="648814BB"/>
    <w:rsid w:val="64975171"/>
    <w:rsid w:val="64A15589"/>
    <w:rsid w:val="64AA0614"/>
    <w:rsid w:val="64AB4ABB"/>
    <w:rsid w:val="64BE5FF1"/>
    <w:rsid w:val="64C549E2"/>
    <w:rsid w:val="64D4770D"/>
    <w:rsid w:val="64E831B8"/>
    <w:rsid w:val="64EA2425"/>
    <w:rsid w:val="64F1206D"/>
    <w:rsid w:val="65031DA0"/>
    <w:rsid w:val="65220A06"/>
    <w:rsid w:val="65384140"/>
    <w:rsid w:val="653A1C66"/>
    <w:rsid w:val="65426D6C"/>
    <w:rsid w:val="65540C76"/>
    <w:rsid w:val="65635F1D"/>
    <w:rsid w:val="656E7B61"/>
    <w:rsid w:val="657753A5"/>
    <w:rsid w:val="657A5833"/>
    <w:rsid w:val="65812DF0"/>
    <w:rsid w:val="65841133"/>
    <w:rsid w:val="65842EE1"/>
    <w:rsid w:val="658630FD"/>
    <w:rsid w:val="659B022A"/>
    <w:rsid w:val="65A767B0"/>
    <w:rsid w:val="65AE3104"/>
    <w:rsid w:val="65B838A4"/>
    <w:rsid w:val="65C94D98"/>
    <w:rsid w:val="65CB4FB4"/>
    <w:rsid w:val="65D96BC2"/>
    <w:rsid w:val="65E6594A"/>
    <w:rsid w:val="6602534E"/>
    <w:rsid w:val="66065FEC"/>
    <w:rsid w:val="660A5F17"/>
    <w:rsid w:val="66332DC3"/>
    <w:rsid w:val="66373CE0"/>
    <w:rsid w:val="6639006E"/>
    <w:rsid w:val="663C7C5F"/>
    <w:rsid w:val="663F7785"/>
    <w:rsid w:val="664804B3"/>
    <w:rsid w:val="665E7BD6"/>
    <w:rsid w:val="66632EA0"/>
    <w:rsid w:val="66633E9A"/>
    <w:rsid w:val="66651C8A"/>
    <w:rsid w:val="66656C51"/>
    <w:rsid w:val="66664CDC"/>
    <w:rsid w:val="668D3AA7"/>
    <w:rsid w:val="668D6304"/>
    <w:rsid w:val="669C6028"/>
    <w:rsid w:val="669F0689"/>
    <w:rsid w:val="669F53E8"/>
    <w:rsid w:val="66A87A0F"/>
    <w:rsid w:val="66B20509"/>
    <w:rsid w:val="66C50541"/>
    <w:rsid w:val="66C509D5"/>
    <w:rsid w:val="66DA2CB3"/>
    <w:rsid w:val="66F40793"/>
    <w:rsid w:val="6717038D"/>
    <w:rsid w:val="671706D3"/>
    <w:rsid w:val="67286A44"/>
    <w:rsid w:val="672F48CC"/>
    <w:rsid w:val="6730396A"/>
    <w:rsid w:val="67346B89"/>
    <w:rsid w:val="6739419F"/>
    <w:rsid w:val="6751773B"/>
    <w:rsid w:val="6760797E"/>
    <w:rsid w:val="67801EB9"/>
    <w:rsid w:val="67A71109"/>
    <w:rsid w:val="67C76B2D"/>
    <w:rsid w:val="67CE0D8B"/>
    <w:rsid w:val="67EE2A60"/>
    <w:rsid w:val="68036CFD"/>
    <w:rsid w:val="681A38D9"/>
    <w:rsid w:val="68324E76"/>
    <w:rsid w:val="6839795B"/>
    <w:rsid w:val="683E5252"/>
    <w:rsid w:val="68456C28"/>
    <w:rsid w:val="684C67E9"/>
    <w:rsid w:val="685118DE"/>
    <w:rsid w:val="685E101E"/>
    <w:rsid w:val="68702AEA"/>
    <w:rsid w:val="688233FF"/>
    <w:rsid w:val="68883E6D"/>
    <w:rsid w:val="68AD6BF3"/>
    <w:rsid w:val="68B7537B"/>
    <w:rsid w:val="68D56A00"/>
    <w:rsid w:val="68DA1F54"/>
    <w:rsid w:val="68EB078F"/>
    <w:rsid w:val="691D1B71"/>
    <w:rsid w:val="69280C5E"/>
    <w:rsid w:val="693115D2"/>
    <w:rsid w:val="693A3226"/>
    <w:rsid w:val="693E4935"/>
    <w:rsid w:val="694D54E1"/>
    <w:rsid w:val="699944EC"/>
    <w:rsid w:val="69995724"/>
    <w:rsid w:val="69B31FE7"/>
    <w:rsid w:val="69B47EE5"/>
    <w:rsid w:val="69C4686C"/>
    <w:rsid w:val="69CE0ADD"/>
    <w:rsid w:val="6A176F2F"/>
    <w:rsid w:val="6A23687A"/>
    <w:rsid w:val="6A240036"/>
    <w:rsid w:val="6A3550F2"/>
    <w:rsid w:val="6A372756"/>
    <w:rsid w:val="6A3B19C7"/>
    <w:rsid w:val="6A4B20C8"/>
    <w:rsid w:val="6A4B5F33"/>
    <w:rsid w:val="6A577BBA"/>
    <w:rsid w:val="6A590439"/>
    <w:rsid w:val="6A597D4C"/>
    <w:rsid w:val="6A680FC7"/>
    <w:rsid w:val="6A880A74"/>
    <w:rsid w:val="6A942216"/>
    <w:rsid w:val="6A9B0075"/>
    <w:rsid w:val="6AB57FE0"/>
    <w:rsid w:val="6AC51D73"/>
    <w:rsid w:val="6AC82C33"/>
    <w:rsid w:val="6AD67F71"/>
    <w:rsid w:val="6AE213F9"/>
    <w:rsid w:val="6AE85CC0"/>
    <w:rsid w:val="6AF7771D"/>
    <w:rsid w:val="6B036F9E"/>
    <w:rsid w:val="6B105217"/>
    <w:rsid w:val="6B2F7A95"/>
    <w:rsid w:val="6B311795"/>
    <w:rsid w:val="6B4D0219"/>
    <w:rsid w:val="6BA17867"/>
    <w:rsid w:val="6BA8544F"/>
    <w:rsid w:val="6BB141CE"/>
    <w:rsid w:val="6BBA58AE"/>
    <w:rsid w:val="6BBE4C73"/>
    <w:rsid w:val="6BD45513"/>
    <w:rsid w:val="6BEC17E0"/>
    <w:rsid w:val="6BEF0C80"/>
    <w:rsid w:val="6BF41DBA"/>
    <w:rsid w:val="6C102618"/>
    <w:rsid w:val="6C1F3963"/>
    <w:rsid w:val="6C1F5711"/>
    <w:rsid w:val="6C276CBC"/>
    <w:rsid w:val="6C2A0D97"/>
    <w:rsid w:val="6C3664AD"/>
    <w:rsid w:val="6C3D203B"/>
    <w:rsid w:val="6C477211"/>
    <w:rsid w:val="6C62746F"/>
    <w:rsid w:val="6C7B0D4F"/>
    <w:rsid w:val="6C7C7008"/>
    <w:rsid w:val="6C895281"/>
    <w:rsid w:val="6CA36342"/>
    <w:rsid w:val="6CAB3449"/>
    <w:rsid w:val="6CAE2F39"/>
    <w:rsid w:val="6CAF118B"/>
    <w:rsid w:val="6CB22A29"/>
    <w:rsid w:val="6CBA18DE"/>
    <w:rsid w:val="6CBD0545"/>
    <w:rsid w:val="6CC30793"/>
    <w:rsid w:val="6CC37BAF"/>
    <w:rsid w:val="6CC73DF6"/>
    <w:rsid w:val="6CE13277"/>
    <w:rsid w:val="6CEA6058"/>
    <w:rsid w:val="6CF92FDB"/>
    <w:rsid w:val="6D0F2115"/>
    <w:rsid w:val="6D237483"/>
    <w:rsid w:val="6D2F6D0B"/>
    <w:rsid w:val="6D3173EA"/>
    <w:rsid w:val="6D323012"/>
    <w:rsid w:val="6D385E21"/>
    <w:rsid w:val="6D737889"/>
    <w:rsid w:val="6D787B59"/>
    <w:rsid w:val="6D7F4662"/>
    <w:rsid w:val="6D832E39"/>
    <w:rsid w:val="6D8A7542"/>
    <w:rsid w:val="6D916E4E"/>
    <w:rsid w:val="6DA94419"/>
    <w:rsid w:val="6DB3108B"/>
    <w:rsid w:val="6DBD5004"/>
    <w:rsid w:val="6DC63E68"/>
    <w:rsid w:val="6DCF4F15"/>
    <w:rsid w:val="6DD447A6"/>
    <w:rsid w:val="6DEF4626"/>
    <w:rsid w:val="6E066FBB"/>
    <w:rsid w:val="6E1152C9"/>
    <w:rsid w:val="6E4678CD"/>
    <w:rsid w:val="6E531FEA"/>
    <w:rsid w:val="6E5C6B75"/>
    <w:rsid w:val="6E6D037E"/>
    <w:rsid w:val="6E7837FF"/>
    <w:rsid w:val="6E95214E"/>
    <w:rsid w:val="6E9B7282"/>
    <w:rsid w:val="6EA3225C"/>
    <w:rsid w:val="6EA63EC8"/>
    <w:rsid w:val="6EA84CF4"/>
    <w:rsid w:val="6EAC10F7"/>
    <w:rsid w:val="6EB135A6"/>
    <w:rsid w:val="6EBF1FE4"/>
    <w:rsid w:val="6EC5163F"/>
    <w:rsid w:val="6F003A11"/>
    <w:rsid w:val="6F0230C8"/>
    <w:rsid w:val="6F0A08FB"/>
    <w:rsid w:val="6F153111"/>
    <w:rsid w:val="6F2474E3"/>
    <w:rsid w:val="6F3B3D99"/>
    <w:rsid w:val="6F415A91"/>
    <w:rsid w:val="6F5479EB"/>
    <w:rsid w:val="6F5558BD"/>
    <w:rsid w:val="6F5C177F"/>
    <w:rsid w:val="6F5E47A3"/>
    <w:rsid w:val="6F622446"/>
    <w:rsid w:val="6F6373A3"/>
    <w:rsid w:val="6F6B6EC0"/>
    <w:rsid w:val="6F866FBD"/>
    <w:rsid w:val="6F870169"/>
    <w:rsid w:val="6F8B1310"/>
    <w:rsid w:val="6F927913"/>
    <w:rsid w:val="6F9D176F"/>
    <w:rsid w:val="6F9E1043"/>
    <w:rsid w:val="6FA13625"/>
    <w:rsid w:val="6FA77FDB"/>
    <w:rsid w:val="6FBB1BF5"/>
    <w:rsid w:val="6FBB5193"/>
    <w:rsid w:val="6FDE7692"/>
    <w:rsid w:val="6FE3114C"/>
    <w:rsid w:val="6FE77690"/>
    <w:rsid w:val="6FE949B4"/>
    <w:rsid w:val="6FF6159B"/>
    <w:rsid w:val="6FF8081F"/>
    <w:rsid w:val="70032313"/>
    <w:rsid w:val="70057314"/>
    <w:rsid w:val="700A492A"/>
    <w:rsid w:val="701049D0"/>
    <w:rsid w:val="701653C9"/>
    <w:rsid w:val="70195AED"/>
    <w:rsid w:val="702F13E2"/>
    <w:rsid w:val="70335C2F"/>
    <w:rsid w:val="70476FEF"/>
    <w:rsid w:val="704C1556"/>
    <w:rsid w:val="705D5373"/>
    <w:rsid w:val="706109EE"/>
    <w:rsid w:val="707D50FC"/>
    <w:rsid w:val="707E0FD5"/>
    <w:rsid w:val="70867402"/>
    <w:rsid w:val="70A95654"/>
    <w:rsid w:val="70C312D3"/>
    <w:rsid w:val="70C66AA3"/>
    <w:rsid w:val="70D43718"/>
    <w:rsid w:val="70F73101"/>
    <w:rsid w:val="7116172E"/>
    <w:rsid w:val="71241D10"/>
    <w:rsid w:val="712437CA"/>
    <w:rsid w:val="712D0854"/>
    <w:rsid w:val="713B389B"/>
    <w:rsid w:val="7142463B"/>
    <w:rsid w:val="71910D2E"/>
    <w:rsid w:val="71A010A2"/>
    <w:rsid w:val="71AC2056"/>
    <w:rsid w:val="71C1345D"/>
    <w:rsid w:val="71C72AD3"/>
    <w:rsid w:val="71CB2462"/>
    <w:rsid w:val="71D445CE"/>
    <w:rsid w:val="71DA38CD"/>
    <w:rsid w:val="71E25B41"/>
    <w:rsid w:val="71F650B9"/>
    <w:rsid w:val="71FB277D"/>
    <w:rsid w:val="720F6001"/>
    <w:rsid w:val="72473CB6"/>
    <w:rsid w:val="72686E3D"/>
    <w:rsid w:val="727A26CE"/>
    <w:rsid w:val="729379EC"/>
    <w:rsid w:val="72964253"/>
    <w:rsid w:val="72983176"/>
    <w:rsid w:val="72AB51FE"/>
    <w:rsid w:val="72BE2D27"/>
    <w:rsid w:val="72D92A8F"/>
    <w:rsid w:val="72DA2EC0"/>
    <w:rsid w:val="72F739A7"/>
    <w:rsid w:val="73016068"/>
    <w:rsid w:val="7306762B"/>
    <w:rsid w:val="73504D4A"/>
    <w:rsid w:val="735E7467"/>
    <w:rsid w:val="7363682B"/>
    <w:rsid w:val="73816CB2"/>
    <w:rsid w:val="73893830"/>
    <w:rsid w:val="73A125FD"/>
    <w:rsid w:val="73C03C7E"/>
    <w:rsid w:val="73C81640"/>
    <w:rsid w:val="73CD6A9A"/>
    <w:rsid w:val="73D628A1"/>
    <w:rsid w:val="73DD6D17"/>
    <w:rsid w:val="73E2776E"/>
    <w:rsid w:val="73F52103"/>
    <w:rsid w:val="73FE0302"/>
    <w:rsid w:val="74022067"/>
    <w:rsid w:val="74097116"/>
    <w:rsid w:val="740A4EF9"/>
    <w:rsid w:val="740A7DB8"/>
    <w:rsid w:val="740E54D1"/>
    <w:rsid w:val="741B5358"/>
    <w:rsid w:val="742170E9"/>
    <w:rsid w:val="745B4F58"/>
    <w:rsid w:val="748527D2"/>
    <w:rsid w:val="74921493"/>
    <w:rsid w:val="74A509B1"/>
    <w:rsid w:val="74B01B4A"/>
    <w:rsid w:val="74CA3328"/>
    <w:rsid w:val="74DF4B7F"/>
    <w:rsid w:val="74DF4EF4"/>
    <w:rsid w:val="74F62CED"/>
    <w:rsid w:val="74F83595"/>
    <w:rsid w:val="75120509"/>
    <w:rsid w:val="75133BF1"/>
    <w:rsid w:val="7518727D"/>
    <w:rsid w:val="752173ED"/>
    <w:rsid w:val="7524023C"/>
    <w:rsid w:val="75355FA6"/>
    <w:rsid w:val="75370EA5"/>
    <w:rsid w:val="7538094B"/>
    <w:rsid w:val="754730F9"/>
    <w:rsid w:val="7548286D"/>
    <w:rsid w:val="754937FF"/>
    <w:rsid w:val="75502B1F"/>
    <w:rsid w:val="75544BB9"/>
    <w:rsid w:val="75752A67"/>
    <w:rsid w:val="75D35377"/>
    <w:rsid w:val="75F93477"/>
    <w:rsid w:val="76063D02"/>
    <w:rsid w:val="760B3E0F"/>
    <w:rsid w:val="7631116A"/>
    <w:rsid w:val="76312C11"/>
    <w:rsid w:val="76345B3A"/>
    <w:rsid w:val="764346F2"/>
    <w:rsid w:val="76454D95"/>
    <w:rsid w:val="76697F5B"/>
    <w:rsid w:val="767317AC"/>
    <w:rsid w:val="76790114"/>
    <w:rsid w:val="7686064F"/>
    <w:rsid w:val="769474D0"/>
    <w:rsid w:val="769E4F43"/>
    <w:rsid w:val="76A95033"/>
    <w:rsid w:val="76B858B5"/>
    <w:rsid w:val="76BF021D"/>
    <w:rsid w:val="76DF0673"/>
    <w:rsid w:val="77176354"/>
    <w:rsid w:val="773310E1"/>
    <w:rsid w:val="773D3F97"/>
    <w:rsid w:val="774910E8"/>
    <w:rsid w:val="774950AA"/>
    <w:rsid w:val="774A0F8C"/>
    <w:rsid w:val="774A385E"/>
    <w:rsid w:val="77951A25"/>
    <w:rsid w:val="77960CE5"/>
    <w:rsid w:val="77996CC0"/>
    <w:rsid w:val="77AF0127"/>
    <w:rsid w:val="77B04009"/>
    <w:rsid w:val="77CB650B"/>
    <w:rsid w:val="77CC2A1C"/>
    <w:rsid w:val="77CE4490"/>
    <w:rsid w:val="77E67A2B"/>
    <w:rsid w:val="7803238B"/>
    <w:rsid w:val="78042DEB"/>
    <w:rsid w:val="78236589"/>
    <w:rsid w:val="78261305"/>
    <w:rsid w:val="784974F5"/>
    <w:rsid w:val="784B19A6"/>
    <w:rsid w:val="78540E39"/>
    <w:rsid w:val="78681083"/>
    <w:rsid w:val="786F17CF"/>
    <w:rsid w:val="78872218"/>
    <w:rsid w:val="788B24B1"/>
    <w:rsid w:val="789079E5"/>
    <w:rsid w:val="7891016B"/>
    <w:rsid w:val="789B0816"/>
    <w:rsid w:val="78A04C44"/>
    <w:rsid w:val="78C338C8"/>
    <w:rsid w:val="78DF00CF"/>
    <w:rsid w:val="78E57CE3"/>
    <w:rsid w:val="78E72828"/>
    <w:rsid w:val="78EA7B9F"/>
    <w:rsid w:val="79224F56"/>
    <w:rsid w:val="79336CA0"/>
    <w:rsid w:val="793A7966"/>
    <w:rsid w:val="793B1C09"/>
    <w:rsid w:val="7947274B"/>
    <w:rsid w:val="79526D7F"/>
    <w:rsid w:val="79BA79F3"/>
    <w:rsid w:val="79BB215E"/>
    <w:rsid w:val="79CE4C1B"/>
    <w:rsid w:val="79D87646"/>
    <w:rsid w:val="79E82BC7"/>
    <w:rsid w:val="7A1067EC"/>
    <w:rsid w:val="7A192CE7"/>
    <w:rsid w:val="7A2E2EA3"/>
    <w:rsid w:val="7A3007C8"/>
    <w:rsid w:val="7A3231AD"/>
    <w:rsid w:val="7A4A77F3"/>
    <w:rsid w:val="7A5A72EE"/>
    <w:rsid w:val="7A6169E0"/>
    <w:rsid w:val="7A844288"/>
    <w:rsid w:val="7AA02113"/>
    <w:rsid w:val="7AA82540"/>
    <w:rsid w:val="7AB931D5"/>
    <w:rsid w:val="7ADC02AF"/>
    <w:rsid w:val="7AE56AF0"/>
    <w:rsid w:val="7B002DC3"/>
    <w:rsid w:val="7B080E99"/>
    <w:rsid w:val="7B0C23FF"/>
    <w:rsid w:val="7B110428"/>
    <w:rsid w:val="7B113011"/>
    <w:rsid w:val="7B205002"/>
    <w:rsid w:val="7B220D7A"/>
    <w:rsid w:val="7B2F5349"/>
    <w:rsid w:val="7B5666FB"/>
    <w:rsid w:val="7B5C232E"/>
    <w:rsid w:val="7B5E12BB"/>
    <w:rsid w:val="7B637C47"/>
    <w:rsid w:val="7B780AEF"/>
    <w:rsid w:val="7BA43E85"/>
    <w:rsid w:val="7BAB6FC2"/>
    <w:rsid w:val="7BBF4208"/>
    <w:rsid w:val="7BC0312E"/>
    <w:rsid w:val="7BC62E25"/>
    <w:rsid w:val="7BD02203"/>
    <w:rsid w:val="7BD22006"/>
    <w:rsid w:val="7BE269EA"/>
    <w:rsid w:val="7BE349AD"/>
    <w:rsid w:val="7BEC6B07"/>
    <w:rsid w:val="7BFC0690"/>
    <w:rsid w:val="7BFE17E7"/>
    <w:rsid w:val="7C013085"/>
    <w:rsid w:val="7C0E2B1C"/>
    <w:rsid w:val="7C0E57A2"/>
    <w:rsid w:val="7C151079"/>
    <w:rsid w:val="7C2253BC"/>
    <w:rsid w:val="7C2E374F"/>
    <w:rsid w:val="7C4756C9"/>
    <w:rsid w:val="7C582C3F"/>
    <w:rsid w:val="7C593EE8"/>
    <w:rsid w:val="7C753C13"/>
    <w:rsid w:val="7C7A6994"/>
    <w:rsid w:val="7C855A65"/>
    <w:rsid w:val="7C9932BE"/>
    <w:rsid w:val="7C9B286D"/>
    <w:rsid w:val="7C9B7FF0"/>
    <w:rsid w:val="7C9C44FE"/>
    <w:rsid w:val="7CB2612E"/>
    <w:rsid w:val="7CB53251"/>
    <w:rsid w:val="7CB62D19"/>
    <w:rsid w:val="7CD93821"/>
    <w:rsid w:val="7CD95805"/>
    <w:rsid w:val="7D13314E"/>
    <w:rsid w:val="7D230DDA"/>
    <w:rsid w:val="7D365DD8"/>
    <w:rsid w:val="7D3A23FC"/>
    <w:rsid w:val="7D4C0330"/>
    <w:rsid w:val="7D625FC7"/>
    <w:rsid w:val="7D650CA3"/>
    <w:rsid w:val="7D6A0419"/>
    <w:rsid w:val="7D6B7727"/>
    <w:rsid w:val="7D7A5D33"/>
    <w:rsid w:val="7DA0242A"/>
    <w:rsid w:val="7DB12889"/>
    <w:rsid w:val="7DB52379"/>
    <w:rsid w:val="7DBC3708"/>
    <w:rsid w:val="7DD018F6"/>
    <w:rsid w:val="7DD4016C"/>
    <w:rsid w:val="7DEE5D3D"/>
    <w:rsid w:val="7E167D92"/>
    <w:rsid w:val="7E1A50EB"/>
    <w:rsid w:val="7E1D2CB4"/>
    <w:rsid w:val="7E222BD7"/>
    <w:rsid w:val="7E2412AD"/>
    <w:rsid w:val="7E24305B"/>
    <w:rsid w:val="7E290672"/>
    <w:rsid w:val="7E4266E2"/>
    <w:rsid w:val="7E576F8D"/>
    <w:rsid w:val="7E6C2A49"/>
    <w:rsid w:val="7E6D4A02"/>
    <w:rsid w:val="7E722A66"/>
    <w:rsid w:val="7E794FBB"/>
    <w:rsid w:val="7E806AA4"/>
    <w:rsid w:val="7E8F4979"/>
    <w:rsid w:val="7E9C305C"/>
    <w:rsid w:val="7EA06B86"/>
    <w:rsid w:val="7EA26042"/>
    <w:rsid w:val="7EAA17B2"/>
    <w:rsid w:val="7EAF6879"/>
    <w:rsid w:val="7EB45D48"/>
    <w:rsid w:val="7EC17031"/>
    <w:rsid w:val="7ECA2F01"/>
    <w:rsid w:val="7ED71E7C"/>
    <w:rsid w:val="7EDE2253"/>
    <w:rsid w:val="7EEA7E01"/>
    <w:rsid w:val="7F0417A2"/>
    <w:rsid w:val="7F360FA8"/>
    <w:rsid w:val="7F3D43D5"/>
    <w:rsid w:val="7F427C3D"/>
    <w:rsid w:val="7F517E80"/>
    <w:rsid w:val="7F565496"/>
    <w:rsid w:val="7F7211CD"/>
    <w:rsid w:val="7F8B3961"/>
    <w:rsid w:val="7F8F3102"/>
    <w:rsid w:val="7F912972"/>
    <w:rsid w:val="7F9C0E05"/>
    <w:rsid w:val="7F9F140C"/>
    <w:rsid w:val="7FA76140"/>
    <w:rsid w:val="7FAE0E2E"/>
    <w:rsid w:val="7FC17096"/>
    <w:rsid w:val="7FE82E11"/>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5"/>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6"/>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8"/>
    <w:autoRedefine/>
    <w:qFormat/>
    <w:uiPriority w:val="0"/>
    <w:pPr>
      <w:keepNext/>
      <w:keepLines/>
      <w:spacing w:before="240" w:after="64" w:line="320" w:lineRule="auto"/>
      <w:outlineLvl w:val="6"/>
    </w:pPr>
    <w:rPr>
      <w:b/>
      <w:bCs/>
      <w:sz w:val="24"/>
    </w:rPr>
  </w:style>
  <w:style w:type="character" w:default="1" w:styleId="36">
    <w:name w:val="Default Paragraph Font"/>
    <w:autoRedefine/>
    <w:semiHidden/>
    <w:qFormat/>
    <w:uiPriority w:val="0"/>
  </w:style>
  <w:style w:type="table" w:default="1" w:styleId="34">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annotation text"/>
    <w:basedOn w:val="1"/>
    <w:link w:val="59"/>
    <w:autoRedefine/>
    <w:qFormat/>
    <w:uiPriority w:val="0"/>
    <w:pPr>
      <w:jc w:val="left"/>
    </w:pPr>
  </w:style>
  <w:style w:type="paragraph" w:styleId="13">
    <w:name w:val="Body Text"/>
    <w:basedOn w:val="1"/>
    <w:next w:val="1"/>
    <w:autoRedefine/>
    <w:semiHidden/>
    <w:qFormat/>
    <w:uiPriority w:val="0"/>
    <w:pPr>
      <w:spacing w:after="120"/>
    </w:pPr>
  </w:style>
  <w:style w:type="paragraph" w:styleId="14">
    <w:name w:val="Body Text Indent"/>
    <w:basedOn w:val="1"/>
    <w:next w:val="15"/>
    <w:link w:val="52"/>
    <w:autoRedefine/>
    <w:qFormat/>
    <w:uiPriority w:val="0"/>
    <w:pPr>
      <w:spacing w:after="120"/>
      <w:ind w:left="200" w:leftChars="200"/>
    </w:pPr>
  </w:style>
  <w:style w:type="paragraph" w:styleId="15">
    <w:name w:val="envelope return"/>
    <w:basedOn w:val="1"/>
    <w:next w:val="9"/>
    <w:autoRedefine/>
    <w:qFormat/>
    <w:uiPriority w:val="0"/>
    <w:pPr>
      <w:snapToGrid w:val="0"/>
    </w:pPr>
    <w:rPr>
      <w:rFonts w:ascii="Arial" w:hAnsi="Arial"/>
    </w:rPr>
  </w:style>
  <w:style w:type="paragraph" w:styleId="16">
    <w:name w:val="toc 3"/>
    <w:basedOn w:val="1"/>
    <w:next w:val="1"/>
    <w:autoRedefine/>
    <w:qFormat/>
    <w:uiPriority w:val="39"/>
    <w:pPr>
      <w:tabs>
        <w:tab w:val="right" w:leader="dot" w:pos="9288"/>
      </w:tabs>
      <w:ind w:left="400" w:leftChars="400"/>
    </w:pPr>
    <w:rPr>
      <w:rFonts w:ascii="宋体"/>
    </w:rPr>
  </w:style>
  <w:style w:type="paragraph" w:styleId="17">
    <w:name w:val="Plain Text"/>
    <w:basedOn w:val="1"/>
    <w:next w:val="1"/>
    <w:link w:val="60"/>
    <w:autoRedefine/>
    <w:qFormat/>
    <w:uiPriority w:val="99"/>
    <w:rPr>
      <w:rFonts w:ascii="宋体"/>
      <w:color w:val="000000"/>
      <w:szCs w:val="20"/>
      <w:u w:val="none" w:color="000000"/>
    </w:rPr>
  </w:style>
  <w:style w:type="paragraph" w:styleId="18">
    <w:name w:val="Date"/>
    <w:basedOn w:val="1"/>
    <w:next w:val="1"/>
    <w:link w:val="61"/>
    <w:autoRedefine/>
    <w:qFormat/>
    <w:uiPriority w:val="0"/>
    <w:rPr>
      <w:rFonts w:ascii="Arial" w:hAnsi="Arial" w:eastAsia="仿宋_GB2312"/>
      <w:color w:val="000000"/>
      <w:sz w:val="32"/>
      <w:szCs w:val="20"/>
      <w:u w:val="none" w:color="000000"/>
    </w:rPr>
  </w:style>
  <w:style w:type="paragraph" w:styleId="19">
    <w:name w:val="Body Text Indent 2"/>
    <w:basedOn w:val="1"/>
    <w:link w:val="62"/>
    <w:autoRedefine/>
    <w:qFormat/>
    <w:uiPriority w:val="0"/>
    <w:pPr>
      <w:spacing w:after="120" w:line="480" w:lineRule="auto"/>
      <w:ind w:left="420" w:leftChars="200"/>
    </w:pPr>
  </w:style>
  <w:style w:type="paragraph" w:styleId="20">
    <w:name w:val="endnote text"/>
    <w:basedOn w:val="1"/>
    <w:autoRedefine/>
    <w:qFormat/>
    <w:uiPriority w:val="99"/>
    <w:pPr>
      <w:snapToGrid w:val="0"/>
    </w:pPr>
    <w:rPr>
      <w:rFonts w:ascii="仿宋" w:hAnsi="仿宋"/>
    </w:rPr>
  </w:style>
  <w:style w:type="paragraph" w:styleId="21">
    <w:name w:val="Balloon Text"/>
    <w:basedOn w:val="1"/>
    <w:link w:val="63"/>
    <w:autoRedefine/>
    <w:qFormat/>
    <w:uiPriority w:val="0"/>
    <w:rPr>
      <w:sz w:val="18"/>
      <w:szCs w:val="18"/>
    </w:rPr>
  </w:style>
  <w:style w:type="paragraph" w:styleId="22">
    <w:name w:val="footer"/>
    <w:basedOn w:val="1"/>
    <w:link w:val="64"/>
    <w:autoRedefine/>
    <w:qFormat/>
    <w:uiPriority w:val="0"/>
    <w:pPr>
      <w:tabs>
        <w:tab w:val="center" w:pos="4153"/>
        <w:tab w:val="right" w:pos="8306"/>
      </w:tabs>
      <w:snapToGrid w:val="0"/>
      <w:jc w:val="left"/>
    </w:pPr>
    <w:rPr>
      <w:sz w:val="18"/>
      <w:szCs w:val="18"/>
    </w:rPr>
  </w:style>
  <w:style w:type="paragraph" w:styleId="23">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6">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7">
    <w:name w:val="toc 2"/>
    <w:basedOn w:val="1"/>
    <w:next w:val="1"/>
    <w:autoRedefine/>
    <w:qFormat/>
    <w:uiPriority w:val="39"/>
    <w:pPr>
      <w:ind w:left="200" w:leftChars="200"/>
    </w:pPr>
  </w:style>
  <w:style w:type="paragraph" w:styleId="28">
    <w:name w:val="Body Text 2"/>
    <w:basedOn w:val="1"/>
    <w:qFormat/>
    <w:uiPriority w:val="0"/>
    <w:pPr>
      <w:spacing w:after="120" w:line="480" w:lineRule="auto"/>
    </w:pPr>
  </w:style>
  <w:style w:type="paragraph" w:styleId="2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30">
    <w:name w:val="index 1"/>
    <w:basedOn w:val="1"/>
    <w:next w:val="1"/>
    <w:autoRedefine/>
    <w:qFormat/>
    <w:uiPriority w:val="0"/>
    <w:pPr>
      <w:jc w:val="center"/>
    </w:pPr>
    <w:rPr>
      <w:rFonts w:ascii="Arial" w:hAnsi="Arial" w:eastAsia="Arial" w:cs="Arial"/>
      <w:b/>
      <w:bCs/>
      <w:sz w:val="28"/>
    </w:rPr>
  </w:style>
  <w:style w:type="paragraph" w:styleId="31">
    <w:name w:val="Title"/>
    <w:basedOn w:val="1"/>
    <w:next w:val="1"/>
    <w:autoRedefine/>
    <w:qFormat/>
    <w:uiPriority w:val="0"/>
    <w:pPr>
      <w:numPr>
        <w:ilvl w:val="0"/>
        <w:numId w:val="4"/>
      </w:numPr>
      <w:spacing w:line="360" w:lineRule="auto"/>
      <w:jc w:val="left"/>
      <w:outlineLvl w:val="0"/>
    </w:pPr>
    <w:rPr>
      <w:rFonts w:ascii="Cambria" w:hAnsi="Cambria" w:cs="Times New Roman"/>
      <w:b/>
      <w:bCs/>
      <w:sz w:val="28"/>
      <w:szCs w:val="32"/>
    </w:rPr>
  </w:style>
  <w:style w:type="paragraph" w:styleId="32">
    <w:name w:val="annotation subject"/>
    <w:basedOn w:val="12"/>
    <w:next w:val="12"/>
    <w:link w:val="66"/>
    <w:autoRedefine/>
    <w:qFormat/>
    <w:uiPriority w:val="0"/>
    <w:rPr>
      <w:b/>
      <w:bCs/>
    </w:rPr>
  </w:style>
  <w:style w:type="paragraph" w:styleId="33">
    <w:name w:val="Body Text First Indent 2"/>
    <w:basedOn w:val="14"/>
    <w:next w:val="1"/>
    <w:link w:val="53"/>
    <w:autoRedefine/>
    <w:qFormat/>
    <w:uiPriority w:val="0"/>
    <w:pPr>
      <w:ind w:left="420" w:firstLine="420" w:firstLineChars="200"/>
    </w:pPr>
  </w:style>
  <w:style w:type="table" w:styleId="35">
    <w:name w:val="Table Grid"/>
    <w:basedOn w:val="3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autoRedefine/>
    <w:qFormat/>
    <w:uiPriority w:val="0"/>
    <w:rPr>
      <w:b/>
    </w:rPr>
  </w:style>
  <w:style w:type="character" w:styleId="38">
    <w:name w:val="page number"/>
    <w:basedOn w:val="36"/>
    <w:autoRedefine/>
    <w:qFormat/>
    <w:uiPriority w:val="0"/>
  </w:style>
  <w:style w:type="character" w:styleId="39">
    <w:name w:val="FollowedHyperlink"/>
    <w:autoRedefine/>
    <w:qFormat/>
    <w:uiPriority w:val="0"/>
    <w:rPr>
      <w:color w:val="333333"/>
      <w:u w:val="none"/>
    </w:rPr>
  </w:style>
  <w:style w:type="character" w:styleId="40">
    <w:name w:val="Emphasis"/>
    <w:autoRedefine/>
    <w:qFormat/>
    <w:uiPriority w:val="20"/>
    <w:rPr>
      <w:i/>
      <w:iCs/>
    </w:rPr>
  </w:style>
  <w:style w:type="character" w:styleId="41">
    <w:name w:val="HTML Definition"/>
    <w:autoRedefine/>
    <w:qFormat/>
    <w:uiPriority w:val="0"/>
  </w:style>
  <w:style w:type="character" w:styleId="42">
    <w:name w:val="HTML Typewriter"/>
    <w:autoRedefine/>
    <w:qFormat/>
    <w:uiPriority w:val="0"/>
    <w:rPr>
      <w:rFonts w:ascii="monospace" w:hAnsi="monospace" w:eastAsia="monospace" w:cs="monospace"/>
      <w:sz w:val="20"/>
    </w:rPr>
  </w:style>
  <w:style w:type="character" w:styleId="43">
    <w:name w:val="HTML Acronym"/>
    <w:autoRedefine/>
    <w:qFormat/>
    <w:uiPriority w:val="0"/>
  </w:style>
  <w:style w:type="character" w:styleId="44">
    <w:name w:val="HTML Variable"/>
    <w:autoRedefine/>
    <w:qFormat/>
    <w:uiPriority w:val="0"/>
  </w:style>
  <w:style w:type="character" w:styleId="45">
    <w:name w:val="Hyperlink"/>
    <w:autoRedefine/>
    <w:qFormat/>
    <w:uiPriority w:val="99"/>
    <w:rPr>
      <w:color w:val="333333"/>
      <w:u w:val="none"/>
    </w:rPr>
  </w:style>
  <w:style w:type="character" w:styleId="46">
    <w:name w:val="HTML Code"/>
    <w:autoRedefine/>
    <w:qFormat/>
    <w:uiPriority w:val="0"/>
    <w:rPr>
      <w:rFonts w:hint="default" w:ascii="monospace" w:hAnsi="monospace" w:eastAsia="monospace" w:cs="monospace"/>
      <w:sz w:val="20"/>
    </w:rPr>
  </w:style>
  <w:style w:type="character" w:styleId="47">
    <w:name w:val="annotation reference"/>
    <w:autoRedefine/>
    <w:qFormat/>
    <w:uiPriority w:val="0"/>
    <w:rPr>
      <w:sz w:val="21"/>
      <w:szCs w:val="21"/>
    </w:rPr>
  </w:style>
  <w:style w:type="character" w:styleId="48">
    <w:name w:val="HTML Cite"/>
    <w:autoRedefine/>
    <w:qFormat/>
    <w:uiPriority w:val="0"/>
  </w:style>
  <w:style w:type="character" w:styleId="49">
    <w:name w:val="HTML Keyboard"/>
    <w:autoRedefine/>
    <w:qFormat/>
    <w:uiPriority w:val="0"/>
    <w:rPr>
      <w:rFonts w:hint="default" w:ascii="monospace" w:hAnsi="monospace" w:eastAsia="monospace" w:cs="monospace"/>
      <w:sz w:val="20"/>
    </w:rPr>
  </w:style>
  <w:style w:type="character" w:styleId="50">
    <w:name w:val="HTML Sample"/>
    <w:autoRedefine/>
    <w:qFormat/>
    <w:uiPriority w:val="0"/>
    <w:rPr>
      <w:rFonts w:hint="default" w:ascii="monospace" w:hAnsi="monospace" w:eastAsia="monospace" w:cs="monospace"/>
    </w:rPr>
  </w:style>
  <w:style w:type="paragraph" w:customStyle="1" w:styleId="51">
    <w:name w:val="正文文字 8"/>
    <w:basedOn w:val="1"/>
    <w:next w:val="1"/>
    <w:autoRedefine/>
    <w:qFormat/>
    <w:uiPriority w:val="0"/>
    <w:pPr>
      <w:ind w:left="240"/>
    </w:pPr>
    <w:rPr>
      <w:sz w:val="16"/>
    </w:rPr>
  </w:style>
  <w:style w:type="character" w:customStyle="1" w:styleId="52">
    <w:name w:val="正文文本缩进 字符"/>
    <w:link w:val="14"/>
    <w:autoRedefine/>
    <w:qFormat/>
    <w:uiPriority w:val="0"/>
    <w:rPr>
      <w:kern w:val="2"/>
      <w:sz w:val="21"/>
      <w:szCs w:val="24"/>
    </w:rPr>
  </w:style>
  <w:style w:type="character" w:customStyle="1" w:styleId="53">
    <w:name w:val="正文文本首行缩进 2 字符"/>
    <w:link w:val="33"/>
    <w:autoRedefine/>
    <w:qFormat/>
    <w:uiPriority w:val="0"/>
  </w:style>
  <w:style w:type="character" w:customStyle="1" w:styleId="54">
    <w:name w:val="标题 1 字符"/>
    <w:link w:val="2"/>
    <w:autoRedefine/>
    <w:qFormat/>
    <w:uiPriority w:val="0"/>
    <w:rPr>
      <w:b/>
      <w:bCs/>
      <w:kern w:val="44"/>
      <w:sz w:val="44"/>
      <w:szCs w:val="44"/>
    </w:rPr>
  </w:style>
  <w:style w:type="character" w:customStyle="1" w:styleId="55">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6">
    <w:name w:val="标题 5 字符"/>
    <w:link w:val="6"/>
    <w:autoRedefine/>
    <w:semiHidden/>
    <w:qFormat/>
    <w:uiPriority w:val="0"/>
    <w:rPr>
      <w:b/>
      <w:bCs/>
      <w:kern w:val="2"/>
      <w:sz w:val="28"/>
      <w:szCs w:val="28"/>
    </w:rPr>
  </w:style>
  <w:style w:type="character" w:customStyle="1" w:styleId="57">
    <w:name w:val="标题 6 字符"/>
    <w:link w:val="7"/>
    <w:autoRedefine/>
    <w:semiHidden/>
    <w:qFormat/>
    <w:uiPriority w:val="0"/>
    <w:rPr>
      <w:rFonts w:ascii="Cambria" w:hAnsi="Cambria" w:eastAsia="宋体" w:cs="Times New Roman"/>
      <w:b/>
      <w:bCs/>
      <w:kern w:val="2"/>
      <w:sz w:val="24"/>
      <w:szCs w:val="24"/>
    </w:rPr>
  </w:style>
  <w:style w:type="character" w:customStyle="1" w:styleId="58">
    <w:name w:val="标题 7 字符"/>
    <w:link w:val="8"/>
    <w:autoRedefine/>
    <w:semiHidden/>
    <w:qFormat/>
    <w:uiPriority w:val="0"/>
    <w:rPr>
      <w:b/>
      <w:bCs/>
      <w:kern w:val="2"/>
      <w:sz w:val="24"/>
      <w:szCs w:val="24"/>
    </w:rPr>
  </w:style>
  <w:style w:type="character" w:customStyle="1" w:styleId="59">
    <w:name w:val="批注文字 字符"/>
    <w:link w:val="12"/>
    <w:autoRedefine/>
    <w:qFormat/>
    <w:uiPriority w:val="0"/>
    <w:rPr>
      <w:kern w:val="2"/>
      <w:sz w:val="21"/>
      <w:szCs w:val="24"/>
    </w:rPr>
  </w:style>
  <w:style w:type="character" w:customStyle="1" w:styleId="60">
    <w:name w:val="纯文本 字符"/>
    <w:link w:val="17"/>
    <w:autoRedefine/>
    <w:qFormat/>
    <w:uiPriority w:val="99"/>
    <w:rPr>
      <w:rFonts w:ascii="宋体" w:eastAsia="宋体"/>
      <w:color w:val="000000"/>
      <w:kern w:val="2"/>
      <w:sz w:val="21"/>
      <w:u w:val="none" w:color="000000"/>
      <w:lang w:val="en-US" w:eastAsia="zh-CN" w:bidi="ar-SA"/>
    </w:rPr>
  </w:style>
  <w:style w:type="character" w:customStyle="1" w:styleId="61">
    <w:name w:val="日期 字符"/>
    <w:link w:val="18"/>
    <w:autoRedefine/>
    <w:qFormat/>
    <w:uiPriority w:val="0"/>
    <w:rPr>
      <w:rFonts w:ascii="Arial" w:hAnsi="Arial" w:eastAsia="仿宋_GB2312"/>
      <w:color w:val="000000"/>
      <w:kern w:val="2"/>
      <w:sz w:val="32"/>
      <w:u w:val="none" w:color="000000"/>
    </w:rPr>
  </w:style>
  <w:style w:type="character" w:customStyle="1" w:styleId="62">
    <w:name w:val="正文文本缩进 2 字符"/>
    <w:link w:val="19"/>
    <w:autoRedefine/>
    <w:qFormat/>
    <w:uiPriority w:val="0"/>
    <w:rPr>
      <w:kern w:val="2"/>
      <w:sz w:val="21"/>
      <w:szCs w:val="24"/>
    </w:rPr>
  </w:style>
  <w:style w:type="character" w:customStyle="1" w:styleId="63">
    <w:name w:val="批注框文本 字符"/>
    <w:link w:val="21"/>
    <w:autoRedefine/>
    <w:qFormat/>
    <w:uiPriority w:val="0"/>
    <w:rPr>
      <w:kern w:val="2"/>
      <w:sz w:val="18"/>
      <w:szCs w:val="18"/>
    </w:rPr>
  </w:style>
  <w:style w:type="character" w:customStyle="1" w:styleId="64">
    <w:name w:val="页脚 字符"/>
    <w:link w:val="22"/>
    <w:autoRedefine/>
    <w:qFormat/>
    <w:locked/>
    <w:uiPriority w:val="0"/>
    <w:rPr>
      <w:kern w:val="2"/>
      <w:sz w:val="18"/>
      <w:szCs w:val="18"/>
    </w:rPr>
  </w:style>
  <w:style w:type="character" w:customStyle="1" w:styleId="65">
    <w:name w:val="页眉 字符"/>
    <w:link w:val="23"/>
    <w:autoRedefine/>
    <w:qFormat/>
    <w:locked/>
    <w:uiPriority w:val="0"/>
    <w:rPr>
      <w:kern w:val="2"/>
      <w:sz w:val="18"/>
      <w:szCs w:val="18"/>
    </w:rPr>
  </w:style>
  <w:style w:type="character" w:customStyle="1" w:styleId="66">
    <w:name w:val="批注主题 字符"/>
    <w:link w:val="32"/>
    <w:autoRedefine/>
    <w:qFormat/>
    <w:uiPriority w:val="0"/>
    <w:rPr>
      <w:b/>
      <w:bCs/>
      <w:kern w:val="2"/>
      <w:sz w:val="21"/>
      <w:szCs w:val="24"/>
    </w:rPr>
  </w:style>
  <w:style w:type="character" w:customStyle="1" w:styleId="67">
    <w:name w:val="font121"/>
    <w:autoRedefine/>
    <w:qFormat/>
    <w:uiPriority w:val="0"/>
    <w:rPr>
      <w:rFonts w:hint="eastAsia" w:ascii="宋体" w:hAnsi="宋体" w:eastAsia="宋体" w:cs="宋体"/>
      <w:color w:val="000000"/>
      <w:sz w:val="24"/>
      <w:szCs w:val="24"/>
      <w:u w:val="none"/>
    </w:rPr>
  </w:style>
  <w:style w:type="character" w:customStyle="1" w:styleId="68">
    <w:name w:val="font141"/>
    <w:autoRedefine/>
    <w:qFormat/>
    <w:uiPriority w:val="0"/>
    <w:rPr>
      <w:rFonts w:ascii="Arial" w:hAnsi="Arial" w:cs="Arial"/>
      <w:color w:val="000000"/>
      <w:sz w:val="24"/>
      <w:szCs w:val="24"/>
      <w:u w:val="none"/>
    </w:rPr>
  </w:style>
  <w:style w:type="character" w:customStyle="1" w:styleId="69">
    <w:name w:val="_37aak"/>
    <w:autoRedefine/>
    <w:qFormat/>
    <w:uiPriority w:val="0"/>
  </w:style>
  <w:style w:type="character" w:customStyle="1" w:styleId="70">
    <w:name w:val="图表 Char"/>
    <w:link w:val="71"/>
    <w:autoRedefine/>
    <w:qFormat/>
    <w:uiPriority w:val="0"/>
    <w:rPr>
      <w:kern w:val="2"/>
      <w:sz w:val="21"/>
      <w:szCs w:val="21"/>
    </w:rPr>
  </w:style>
  <w:style w:type="paragraph" w:customStyle="1" w:styleId="71">
    <w:name w:val="图表"/>
    <w:basedOn w:val="1"/>
    <w:next w:val="1"/>
    <w:link w:val="70"/>
    <w:autoRedefine/>
    <w:qFormat/>
    <w:uiPriority w:val="0"/>
    <w:pPr>
      <w:jc w:val="center"/>
    </w:pPr>
    <w:rPr>
      <w:szCs w:val="21"/>
    </w:rPr>
  </w:style>
  <w:style w:type="character" w:customStyle="1" w:styleId="72">
    <w:name w:val="font01"/>
    <w:basedOn w:val="36"/>
    <w:autoRedefine/>
    <w:qFormat/>
    <w:uiPriority w:val="0"/>
    <w:rPr>
      <w:rFonts w:hint="eastAsia" w:ascii="宋体" w:hAnsi="宋体" w:eastAsia="宋体" w:cs="宋体"/>
      <w:color w:val="000000"/>
      <w:sz w:val="22"/>
      <w:szCs w:val="22"/>
      <w:u w:val="none"/>
    </w:rPr>
  </w:style>
  <w:style w:type="character" w:customStyle="1" w:styleId="73">
    <w:name w:val="hover4"/>
    <w:autoRedefine/>
    <w:qFormat/>
    <w:uiPriority w:val="0"/>
    <w:rPr>
      <w:color w:val="2590EB"/>
      <w:shd w:val="clear" w:color="auto" w:fill="E9F4FD"/>
    </w:rPr>
  </w:style>
  <w:style w:type="character" w:customStyle="1" w:styleId="74">
    <w:name w:val="font101"/>
    <w:autoRedefine/>
    <w:qFormat/>
    <w:uiPriority w:val="0"/>
    <w:rPr>
      <w:rFonts w:hint="eastAsia" w:ascii="宋体" w:hAnsi="宋体" w:eastAsia="宋体" w:cs="宋体"/>
      <w:color w:val="000000"/>
      <w:sz w:val="18"/>
      <w:szCs w:val="18"/>
      <w:u w:val="none"/>
    </w:rPr>
  </w:style>
  <w:style w:type="character" w:customStyle="1" w:styleId="75">
    <w:name w:val="font161"/>
    <w:autoRedefine/>
    <w:qFormat/>
    <w:uiPriority w:val="0"/>
    <w:rPr>
      <w:rFonts w:hint="eastAsia" w:ascii="宋体" w:hAnsi="宋体" w:eastAsia="宋体" w:cs="宋体"/>
      <w:b/>
      <w:bCs/>
      <w:color w:val="333333"/>
      <w:sz w:val="27"/>
      <w:szCs w:val="27"/>
      <w:u w:val="none"/>
    </w:rPr>
  </w:style>
  <w:style w:type="character" w:customStyle="1" w:styleId="76">
    <w:name w:val="first-child"/>
    <w:autoRedefine/>
    <w:qFormat/>
    <w:uiPriority w:val="0"/>
  </w:style>
  <w:style w:type="character" w:customStyle="1" w:styleId="77">
    <w:name w:val="【正文】 Char"/>
    <w:link w:val="78"/>
    <w:autoRedefine/>
    <w:qFormat/>
    <w:uiPriority w:val="0"/>
    <w:rPr>
      <w:rFonts w:cs="DokChampa"/>
      <w:kern w:val="2"/>
      <w:sz w:val="24"/>
      <w:szCs w:val="22"/>
    </w:rPr>
  </w:style>
  <w:style w:type="paragraph" w:customStyle="1" w:styleId="78">
    <w:name w:val="【正文】"/>
    <w:basedOn w:val="1"/>
    <w:link w:val="77"/>
    <w:autoRedefine/>
    <w:qFormat/>
    <w:uiPriority w:val="0"/>
    <w:pPr>
      <w:spacing w:line="360" w:lineRule="auto"/>
      <w:ind w:firstLine="480" w:firstLineChars="200"/>
    </w:pPr>
    <w:rPr>
      <w:sz w:val="24"/>
      <w:szCs w:val="22"/>
    </w:rPr>
  </w:style>
  <w:style w:type="character" w:customStyle="1" w:styleId="79">
    <w:name w:val="font131"/>
    <w:autoRedefine/>
    <w:qFormat/>
    <w:uiPriority w:val="0"/>
    <w:rPr>
      <w:rFonts w:ascii="仿宋" w:hAnsi="仿宋" w:eastAsia="仿宋" w:cs="仿宋"/>
      <w:color w:val="000000"/>
      <w:sz w:val="24"/>
      <w:szCs w:val="24"/>
      <w:u w:val="none"/>
    </w:rPr>
  </w:style>
  <w:style w:type="character" w:customStyle="1" w:styleId="80">
    <w:name w:val="font181"/>
    <w:autoRedefine/>
    <w:qFormat/>
    <w:uiPriority w:val="0"/>
    <w:rPr>
      <w:rFonts w:hint="eastAsia" w:ascii="宋体" w:hAnsi="宋体" w:eastAsia="宋体" w:cs="宋体"/>
      <w:color w:val="1A66B3"/>
      <w:sz w:val="18"/>
      <w:szCs w:val="18"/>
      <w:u w:val="none"/>
    </w:rPr>
  </w:style>
  <w:style w:type="character" w:customStyle="1" w:styleId="81">
    <w:name w:val="hover3"/>
    <w:autoRedefine/>
    <w:qFormat/>
    <w:uiPriority w:val="0"/>
  </w:style>
  <w:style w:type="character" w:customStyle="1" w:styleId="82">
    <w:name w:val="font112"/>
    <w:autoRedefine/>
    <w:qFormat/>
    <w:uiPriority w:val="0"/>
    <w:rPr>
      <w:rFonts w:ascii="Verdana" w:hAnsi="Verdana" w:cs="Verdana"/>
      <w:color w:val="000000"/>
      <w:sz w:val="18"/>
      <w:szCs w:val="18"/>
      <w:u w:val="none"/>
    </w:rPr>
  </w:style>
  <w:style w:type="character" w:customStyle="1" w:styleId="83">
    <w:name w:val="font81"/>
    <w:autoRedefine/>
    <w:qFormat/>
    <w:uiPriority w:val="0"/>
    <w:rPr>
      <w:rFonts w:hint="default" w:ascii="Verdana" w:hAnsi="Verdana" w:cs="Verdana"/>
      <w:color w:val="000000"/>
      <w:sz w:val="18"/>
      <w:szCs w:val="18"/>
      <w:u w:val="none"/>
    </w:rPr>
  </w:style>
  <w:style w:type="character" w:customStyle="1" w:styleId="84">
    <w:name w:val="hover"/>
    <w:autoRedefine/>
    <w:qFormat/>
    <w:uiPriority w:val="0"/>
    <w:rPr>
      <w:color w:val="2590EB"/>
      <w:shd w:val="clear" w:color="auto" w:fill="E9F4FD"/>
    </w:rPr>
  </w:style>
  <w:style w:type="character" w:customStyle="1" w:styleId="85">
    <w:name w:val="font41"/>
    <w:autoRedefine/>
    <w:qFormat/>
    <w:uiPriority w:val="0"/>
    <w:rPr>
      <w:rFonts w:hint="eastAsia" w:ascii="宋体" w:hAnsi="宋体" w:eastAsia="宋体" w:cs="宋体"/>
      <w:color w:val="000000"/>
      <w:sz w:val="22"/>
      <w:szCs w:val="22"/>
      <w:u w:val="none"/>
    </w:rPr>
  </w:style>
  <w:style w:type="character" w:customStyle="1" w:styleId="86">
    <w:name w:val="hover2"/>
    <w:autoRedefine/>
    <w:qFormat/>
    <w:uiPriority w:val="0"/>
    <w:rPr>
      <w:color w:val="2590EB"/>
    </w:rPr>
  </w:style>
  <w:style w:type="character" w:customStyle="1" w:styleId="87">
    <w:name w:val="hover1"/>
    <w:autoRedefine/>
    <w:qFormat/>
    <w:uiPriority w:val="0"/>
    <w:rPr>
      <w:color w:val="2590EB"/>
    </w:rPr>
  </w:style>
  <w:style w:type="character" w:customStyle="1" w:styleId="88">
    <w:name w:val="first-child1"/>
    <w:autoRedefine/>
    <w:qFormat/>
    <w:uiPriority w:val="0"/>
  </w:style>
  <w:style w:type="character" w:customStyle="1" w:styleId="89">
    <w:name w:val="selected"/>
    <w:autoRedefine/>
    <w:qFormat/>
    <w:uiPriority w:val="0"/>
    <w:rPr>
      <w:shd w:val="clear" w:color="auto" w:fill="B00006"/>
    </w:rPr>
  </w:style>
  <w:style w:type="character" w:customStyle="1" w:styleId="90">
    <w:name w:val="gpa"/>
    <w:autoRedefine/>
    <w:qFormat/>
    <w:uiPriority w:val="0"/>
    <w:rPr>
      <w:rFonts w:ascii="Arial" w:hAnsi="Arial" w:cs="Arial"/>
      <w:sz w:val="15"/>
      <w:szCs w:val="15"/>
    </w:rPr>
  </w:style>
  <w:style w:type="character" w:customStyle="1" w:styleId="91">
    <w:name w:val="apple-converted-space"/>
    <w:autoRedefine/>
    <w:qFormat/>
    <w:uiPriority w:val="0"/>
  </w:style>
  <w:style w:type="character" w:customStyle="1" w:styleId="92">
    <w:name w:val="列出段落 Char"/>
    <w:link w:val="93"/>
    <w:autoRedefine/>
    <w:qFormat/>
    <w:locked/>
    <w:uiPriority w:val="0"/>
    <w:rPr>
      <w:rFonts w:ascii="Calibri" w:hAnsi="Calibri" w:eastAsia="宋体"/>
      <w:kern w:val="2"/>
      <w:sz w:val="21"/>
      <w:szCs w:val="22"/>
      <w:lang w:val="en-US" w:eastAsia="zh-CN" w:bidi="ar-SA"/>
    </w:rPr>
  </w:style>
  <w:style w:type="paragraph" w:customStyle="1" w:styleId="93">
    <w:name w:val="List Paragraph1"/>
    <w:basedOn w:val="1"/>
    <w:link w:val="92"/>
    <w:autoRedefine/>
    <w:qFormat/>
    <w:uiPriority w:val="0"/>
    <w:pPr>
      <w:spacing w:line="312" w:lineRule="auto"/>
      <w:ind w:firstLine="420" w:firstLineChars="200"/>
    </w:pPr>
    <w:rPr>
      <w:rFonts w:ascii="Calibri" w:hAnsi="Calibri"/>
      <w:szCs w:val="22"/>
    </w:rPr>
  </w:style>
  <w:style w:type="character" w:customStyle="1" w:styleId="94">
    <w:name w:val="displayarti"/>
    <w:autoRedefine/>
    <w:qFormat/>
    <w:uiPriority w:val="0"/>
    <w:rPr>
      <w:color w:val="FFFFFF"/>
      <w:shd w:val="clear" w:color="auto" w:fill="A00000"/>
    </w:rPr>
  </w:style>
  <w:style w:type="character" w:customStyle="1" w:styleId="95">
    <w:name w:val="正文首行缩进 2 Char1"/>
    <w:autoRedefine/>
    <w:qFormat/>
    <w:uiPriority w:val="0"/>
  </w:style>
  <w:style w:type="character" w:customStyle="1" w:styleId="96">
    <w:name w:val="layui-this"/>
    <w:autoRedefine/>
    <w:qFormat/>
    <w:uiPriority w:val="0"/>
    <w:rPr>
      <w:bdr w:val="single" w:color="EEEEEE" w:sz="6" w:space="0"/>
      <w:shd w:val="clear" w:color="auto" w:fill="FFFFFF"/>
    </w:rPr>
  </w:style>
  <w:style w:type="character" w:customStyle="1" w:styleId="97">
    <w:name w:val="font151"/>
    <w:autoRedefine/>
    <w:qFormat/>
    <w:uiPriority w:val="0"/>
    <w:rPr>
      <w:rFonts w:hint="default" w:ascii="Verdana" w:hAnsi="Verdana" w:cs="Verdana"/>
      <w:b/>
      <w:bCs/>
      <w:color w:val="333333"/>
      <w:sz w:val="27"/>
      <w:szCs w:val="27"/>
      <w:u w:val="none"/>
    </w:rPr>
  </w:style>
  <w:style w:type="character" w:customStyle="1" w:styleId="98">
    <w:name w:val="font171"/>
    <w:autoRedefine/>
    <w:qFormat/>
    <w:uiPriority w:val="0"/>
    <w:rPr>
      <w:rFonts w:hint="eastAsia" w:ascii="宋体" w:hAnsi="宋体" w:eastAsia="宋体" w:cs="宋体"/>
      <w:color w:val="646464"/>
      <w:sz w:val="18"/>
      <w:szCs w:val="18"/>
      <w:u w:val="none"/>
    </w:rPr>
  </w:style>
  <w:style w:type="character" w:customStyle="1" w:styleId="99">
    <w:name w:val="hover7"/>
    <w:autoRedefine/>
    <w:qFormat/>
    <w:uiPriority w:val="0"/>
    <w:rPr>
      <w:color w:val="315EFB"/>
    </w:rPr>
  </w:style>
  <w:style w:type="paragraph" w:customStyle="1" w:styleId="100">
    <w:name w:val="列表2"/>
    <w:basedOn w:val="1"/>
    <w:next w:val="1"/>
    <w:autoRedefine/>
    <w:qFormat/>
    <w:uiPriority w:val="0"/>
    <w:pPr>
      <w:numPr>
        <w:ilvl w:val="0"/>
        <w:numId w:val="5"/>
      </w:numPr>
      <w:spacing w:line="200" w:lineRule="atLeast"/>
    </w:pPr>
    <w:rPr>
      <w:rFonts w:eastAsia="仿宋"/>
      <w:sz w:val="28"/>
    </w:rPr>
  </w:style>
  <w:style w:type="paragraph" w:customStyle="1" w:styleId="10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2">
    <w:name w:val="标题4"/>
    <w:basedOn w:val="1"/>
    <w:autoRedefine/>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3">
    <w:name w:val="Char"/>
    <w:basedOn w:val="1"/>
    <w:next w:val="1"/>
    <w:autoRedefine/>
    <w:qFormat/>
    <w:uiPriority w:val="0"/>
    <w:pPr>
      <w:widowControl/>
      <w:spacing w:line="360" w:lineRule="auto"/>
      <w:jc w:val="left"/>
    </w:pPr>
    <w:rPr>
      <w:kern w:val="0"/>
      <w:szCs w:val="20"/>
      <w:lang w:eastAsia="en-US"/>
    </w:rPr>
  </w:style>
  <w:style w:type="paragraph" w:customStyle="1" w:styleId="104">
    <w:name w:val="样式1"/>
    <w:basedOn w:val="1"/>
    <w:autoRedefine/>
    <w:qFormat/>
    <w:uiPriority w:val="0"/>
    <w:pPr>
      <w:spacing w:line="360" w:lineRule="auto"/>
      <w:jc w:val="center"/>
    </w:pPr>
    <w:rPr>
      <w:rFonts w:ascii="Times New Roman" w:hAnsi="Times New Roman" w:cs="Times New Roman"/>
      <w:b/>
      <w:sz w:val="30"/>
      <w:szCs w:val="30"/>
    </w:rPr>
  </w:style>
  <w:style w:type="paragraph" w:customStyle="1" w:styleId="105">
    <w:name w:val=" Char Char Char Char"/>
    <w:basedOn w:val="1"/>
    <w:autoRedefine/>
    <w:qFormat/>
    <w:uiPriority w:val="0"/>
    <w:rPr>
      <w:rFonts w:ascii="Tahoma" w:hAnsi="Tahoma"/>
      <w:sz w:val="24"/>
      <w:szCs w:val="20"/>
    </w:rPr>
  </w:style>
  <w:style w:type="paragraph" w:customStyle="1" w:styleId="106">
    <w:name w:val="_Style 4"/>
    <w:basedOn w:val="1"/>
    <w:autoRedefine/>
    <w:qFormat/>
    <w:uiPriority w:val="34"/>
    <w:pPr>
      <w:adjustRightInd w:val="0"/>
      <w:ind w:firstLine="420" w:firstLineChars="200"/>
      <w:jc w:val="left"/>
      <w:textAlignment w:val="baseline"/>
    </w:pPr>
    <w:rPr>
      <w:kern w:val="0"/>
      <w:szCs w:val="20"/>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09">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0">
    <w:name w:val="_Style 10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Paragraph"/>
    <w:basedOn w:val="1"/>
    <w:autoRedefine/>
    <w:qFormat/>
    <w:uiPriority w:val="1"/>
    <w:rPr>
      <w:rFonts w:ascii="宋体" w:hAnsi="宋体" w:eastAsia="宋体" w:cs="宋体"/>
      <w:lang w:val="zh-CN" w:eastAsia="zh-CN" w:bidi="zh-CN"/>
    </w:rPr>
  </w:style>
  <w:style w:type="paragraph" w:customStyle="1" w:styleId="112">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3">
    <w:name w:val="列出段落1"/>
    <w:basedOn w:val="1"/>
    <w:autoRedefine/>
    <w:qFormat/>
    <w:uiPriority w:val="34"/>
    <w:pPr>
      <w:ind w:firstLine="420" w:firstLineChars="200"/>
    </w:pPr>
  </w:style>
  <w:style w:type="paragraph" w:customStyle="1" w:styleId="114">
    <w:name w:val="Char Char Char Char Char Char Char1 Char"/>
    <w:basedOn w:val="1"/>
    <w:autoRedefine/>
    <w:qFormat/>
    <w:uiPriority w:val="0"/>
    <w:rPr>
      <w:rFonts w:ascii="Tahoma" w:hAnsi="Tahoma"/>
      <w:sz w:val="24"/>
      <w:szCs w:val="20"/>
    </w:rPr>
  </w:style>
  <w:style w:type="paragraph" w:styleId="115">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6">
    <w:name w:val="List Paragraph2"/>
    <w:basedOn w:val="1"/>
    <w:autoRedefine/>
    <w:qFormat/>
    <w:uiPriority w:val="0"/>
    <w:pPr>
      <w:spacing w:line="360" w:lineRule="auto"/>
      <w:ind w:firstLine="420"/>
    </w:pPr>
    <w:rPr>
      <w:color w:val="000000"/>
      <w:sz w:val="24"/>
      <w:szCs w:val="21"/>
    </w:rPr>
  </w:style>
  <w:style w:type="paragraph" w:customStyle="1" w:styleId="117">
    <w:name w:val="（无样式）"/>
    <w:basedOn w:val="1"/>
    <w:autoRedefine/>
    <w:qFormat/>
    <w:uiPriority w:val="0"/>
    <w:pPr>
      <w:widowControl/>
      <w:numPr>
        <w:ilvl w:val="0"/>
        <w:numId w:val="7"/>
      </w:numPr>
      <w:spacing w:line="360" w:lineRule="auto"/>
      <w:ind w:firstLine="0"/>
    </w:pPr>
    <w:rPr>
      <w:sz w:val="24"/>
      <w:szCs w:val="20"/>
    </w:rPr>
  </w:style>
  <w:style w:type="paragraph" w:customStyle="1" w:styleId="11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19">
    <w:name w:val="标题3-副本"/>
    <w:basedOn w:val="25"/>
    <w:autoRedefine/>
    <w:qFormat/>
    <w:uiPriority w:val="0"/>
    <w:pPr>
      <w:numPr>
        <w:ilvl w:val="0"/>
        <w:numId w:val="0"/>
      </w:numPr>
      <w:ind w:left="840"/>
    </w:pPr>
  </w:style>
  <w:style w:type="paragraph" w:customStyle="1" w:styleId="120">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1">
    <w:name w:val="_Style 2"/>
    <w:basedOn w:val="1"/>
    <w:autoRedefine/>
    <w:qFormat/>
    <w:uiPriority w:val="0"/>
  </w:style>
  <w:style w:type="paragraph" w:customStyle="1" w:styleId="122">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4">
    <w:name w:val=" Char"/>
    <w:basedOn w:val="1"/>
    <w:autoRedefine/>
    <w:qFormat/>
    <w:uiPriority w:val="0"/>
  </w:style>
  <w:style w:type="paragraph" w:customStyle="1" w:styleId="12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6">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7">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28">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29">
    <w:name w:val="num"/>
    <w:basedOn w:val="36"/>
    <w:autoRedefine/>
    <w:qFormat/>
    <w:uiPriority w:val="0"/>
    <w:rPr>
      <w:b/>
      <w:bCs/>
      <w:color w:val="FF7800"/>
    </w:rPr>
  </w:style>
  <w:style w:type="character" w:customStyle="1" w:styleId="130">
    <w:name w:val="a-desc"/>
    <w:basedOn w:val="36"/>
    <w:autoRedefine/>
    <w:qFormat/>
    <w:uiPriority w:val="0"/>
    <w:rPr>
      <w:color w:val="315EFB"/>
    </w:rPr>
  </w:style>
  <w:style w:type="character" w:customStyle="1" w:styleId="131">
    <w:name w:val="bg"/>
    <w:basedOn w:val="36"/>
    <w:autoRedefine/>
    <w:qFormat/>
    <w:uiPriority w:val="0"/>
    <w:rPr>
      <w:shd w:val="clear" w:color="auto" w:fill="000000"/>
    </w:rPr>
  </w:style>
  <w:style w:type="character" w:customStyle="1" w:styleId="132">
    <w:name w:val="bg1"/>
    <w:basedOn w:val="36"/>
    <w:autoRedefine/>
    <w:qFormat/>
    <w:uiPriority w:val="0"/>
    <w:rPr>
      <w:shd w:val="clear" w:color="auto" w:fill="000000"/>
    </w:rPr>
  </w:style>
  <w:style w:type="character" w:customStyle="1" w:styleId="133">
    <w:name w:val="bg2"/>
    <w:basedOn w:val="36"/>
    <w:autoRedefine/>
    <w:qFormat/>
    <w:uiPriority w:val="0"/>
    <w:rPr>
      <w:shd w:val="clear" w:color="auto" w:fill="000000"/>
    </w:rPr>
  </w:style>
  <w:style w:type="character" w:customStyle="1" w:styleId="134">
    <w:name w:val="iknow-qb-ad-sou-icon"/>
    <w:basedOn w:val="36"/>
    <w:autoRedefine/>
    <w:qFormat/>
    <w:uiPriority w:val="0"/>
  </w:style>
  <w:style w:type="character" w:customStyle="1" w:styleId="135">
    <w:name w:val="del-btn"/>
    <w:basedOn w:val="36"/>
    <w:autoRedefine/>
    <w:qFormat/>
    <w:uiPriority w:val="0"/>
  </w:style>
  <w:style w:type="character" w:customStyle="1" w:styleId="136">
    <w:name w:val="del-btn1"/>
    <w:basedOn w:val="36"/>
    <w:autoRedefine/>
    <w:qFormat/>
    <w:uiPriority w:val="0"/>
  </w:style>
  <w:style w:type="character" w:customStyle="1" w:styleId="137">
    <w:name w:val="del-btn2"/>
    <w:basedOn w:val="36"/>
    <w:autoRedefine/>
    <w:qFormat/>
    <w:uiPriority w:val="0"/>
  </w:style>
  <w:style w:type="character" w:customStyle="1" w:styleId="138">
    <w:name w:val="answer-title"/>
    <w:basedOn w:val="36"/>
    <w:autoRedefine/>
    <w:qFormat/>
    <w:uiPriority w:val="0"/>
  </w:style>
  <w:style w:type="character" w:customStyle="1" w:styleId="139">
    <w:name w:val="new-icon2"/>
    <w:basedOn w:val="36"/>
    <w:autoRedefine/>
    <w:qFormat/>
    <w:uiPriority w:val="0"/>
  </w:style>
  <w:style w:type="character" w:customStyle="1" w:styleId="140">
    <w:name w:val="new-icon3"/>
    <w:basedOn w:val="36"/>
    <w:autoRedefine/>
    <w:qFormat/>
    <w:uiPriority w:val="0"/>
  </w:style>
  <w:style w:type="character" w:customStyle="1" w:styleId="141">
    <w:name w:val="green"/>
    <w:basedOn w:val="36"/>
    <w:autoRedefine/>
    <w:qFormat/>
    <w:uiPriority w:val="0"/>
    <w:rPr>
      <w:color w:val="3B6FFF"/>
    </w:rPr>
  </w:style>
  <w:style w:type="character" w:customStyle="1" w:styleId="142">
    <w:name w:val="green1"/>
    <w:basedOn w:val="36"/>
    <w:autoRedefine/>
    <w:qFormat/>
    <w:uiPriority w:val="0"/>
    <w:rPr>
      <w:color w:val="3B6FFF"/>
    </w:rPr>
  </w:style>
  <w:style w:type="character" w:customStyle="1" w:styleId="143">
    <w:name w:val="green2"/>
    <w:basedOn w:val="36"/>
    <w:autoRedefine/>
    <w:qFormat/>
    <w:uiPriority w:val="0"/>
    <w:rPr>
      <w:color w:val="4DC86F"/>
    </w:rPr>
  </w:style>
  <w:style w:type="character" w:customStyle="1" w:styleId="144">
    <w:name w:val="green3"/>
    <w:basedOn w:val="36"/>
    <w:autoRedefine/>
    <w:qFormat/>
    <w:uiPriority w:val="0"/>
    <w:rPr>
      <w:color w:val="4DC86F"/>
    </w:rPr>
  </w:style>
  <w:style w:type="character" w:customStyle="1" w:styleId="145">
    <w:name w:val="answer-title2"/>
    <w:basedOn w:val="36"/>
    <w:autoRedefine/>
    <w:qFormat/>
    <w:uiPriority w:val="0"/>
  </w:style>
  <w:style w:type="character" w:customStyle="1" w:styleId="146">
    <w:name w:val="new-icon"/>
    <w:basedOn w:val="36"/>
    <w:autoRedefine/>
    <w:qFormat/>
    <w:uiPriority w:val="0"/>
  </w:style>
  <w:style w:type="character" w:customStyle="1" w:styleId="147">
    <w:name w:val="new-icon1"/>
    <w:basedOn w:val="36"/>
    <w:autoRedefine/>
    <w:qFormat/>
    <w:uiPriority w:val="0"/>
  </w:style>
  <w:style w:type="character" w:customStyle="1" w:styleId="148">
    <w:name w:val="font31"/>
    <w:basedOn w:val="36"/>
    <w:autoRedefine/>
    <w:qFormat/>
    <w:uiPriority w:val="0"/>
    <w:rPr>
      <w:rFonts w:hint="eastAsia" w:ascii="宋体" w:hAnsi="宋体" w:eastAsia="宋体" w:cs="宋体"/>
      <w:color w:val="000000"/>
      <w:sz w:val="21"/>
      <w:szCs w:val="21"/>
      <w:u w:val="none"/>
    </w:rPr>
  </w:style>
  <w:style w:type="character" w:customStyle="1" w:styleId="149">
    <w:name w:val="font51"/>
    <w:basedOn w:val="36"/>
    <w:autoRedefine/>
    <w:qFormat/>
    <w:uiPriority w:val="0"/>
    <w:rPr>
      <w:rFonts w:hint="default" w:ascii="Times New Roman" w:hAnsi="Times New Roman" w:cs="Times New Roman"/>
      <w:color w:val="000000"/>
      <w:sz w:val="21"/>
      <w:szCs w:val="21"/>
      <w:u w:val="none"/>
    </w:rPr>
  </w:style>
  <w:style w:type="paragraph" w:customStyle="1" w:styleId="150">
    <w:name w:val="无列表1"/>
    <w:autoRedefine/>
    <w:semiHidden/>
    <w:qFormat/>
    <w:uiPriority w:val="0"/>
    <w:rPr>
      <w:rFonts w:ascii="Times New Roman" w:hAnsi="Times New Roman" w:eastAsia="宋体" w:cs="Times New Roman"/>
      <w:sz w:val="21"/>
      <w:szCs w:val="22"/>
      <w:lang w:val="en-US" w:eastAsia="zh-CN" w:bidi="ar-SA"/>
    </w:rPr>
  </w:style>
  <w:style w:type="paragraph" w:customStyle="1" w:styleId="1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12804</Words>
  <Characters>14569</Characters>
  <Lines>358</Lines>
  <Paragraphs>100</Paragraphs>
  <TotalTime>8</TotalTime>
  <ScaleCrop>false</ScaleCrop>
  <LinksUpToDate>false</LinksUpToDate>
  <CharactersWithSpaces>14877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韦韦</cp:lastModifiedBy>
  <cp:lastPrinted>2023-12-15T01:51:00Z</cp:lastPrinted>
  <dcterms:modified xsi:type="dcterms:W3CDTF">2026-08-03T01:55:28Z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9DE97A078242434B8B3280E52CDBE9A2_13</vt:lpwstr>
  </property>
  <property fmtid="{D5CDD505-2E9C-101B-9397-08002B2CF9AE}" pid="4" name="KSOTemplateDocerSaveRecord">
    <vt:lpwstr>eyJoZGlkIjoiZmQ5MGI3YTdkMjVkZTZjM2ZjZTQ5YjMxYTJjZjRlOWEiLCJ1c2VySWQiOiIzNjE4MjQ5In0=</vt:lpwstr>
  </property>
</Properties>
</file>