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5E583">
      <w:pPr>
        <w:rPr>
          <w:rFonts w:hint="eastAsia"/>
          <w:color w:val="auto"/>
          <w:highlight w:val="none"/>
        </w:rPr>
      </w:pPr>
      <w:bookmarkStart w:id="0" w:name="OLE_LINK1"/>
    </w:p>
    <w:p w14:paraId="1447CB71">
      <w:pPr>
        <w:keepNext w:val="0"/>
        <w:keepLines w:val="0"/>
        <w:pageBreakBefore w:val="0"/>
        <w:widowControl w:val="0"/>
        <w:kinsoku/>
        <w:wordWrap/>
        <w:overflowPunct/>
        <w:topLinePunct w:val="0"/>
        <w:autoSpaceDE/>
        <w:autoSpaceDN/>
        <w:bidi w:val="0"/>
        <w:adjustRightInd/>
        <w:snapToGrid/>
        <w:spacing w:after="156" w:afterLines="50" w:line="1000" w:lineRule="exact"/>
        <w:ind w:left="-850" w:leftChars="-405" w:right="-624"/>
        <w:jc w:val="center"/>
        <w:textAlignment w:val="auto"/>
        <w:rPr>
          <w:rFonts w:hint="eastAsia"/>
          <w:color w:val="auto"/>
          <w:sz w:val="24"/>
          <w:highlight w:val="none"/>
          <w:lang w:val="en-US" w:eastAsia="zh-CN"/>
        </w:rPr>
      </w:pPr>
      <w:r>
        <w:rPr>
          <w:rFonts w:hint="eastAsia" w:ascii="宋体" w:hAnsi="宋体" w:cs="宋体"/>
          <w:b/>
          <w:bCs/>
          <w:color w:val="auto"/>
          <w:w w:val="85"/>
          <w:sz w:val="44"/>
          <w:szCs w:val="44"/>
          <w:highlight w:val="none"/>
          <w:lang w:val="en-US" w:eastAsia="zh-CN"/>
        </w:rPr>
        <w:t>凤阳县灵山～木屐山矿区新2号段石英岩矿深部开采工程对官塘水库影响分析报告编制服务项目</w:t>
      </w:r>
    </w:p>
    <w:p w14:paraId="52EB0FA7">
      <w:pPr>
        <w:spacing w:after="156" w:afterLines="50"/>
        <w:ind w:left="-850" w:leftChars="-405" w:right="-625"/>
        <w:jc w:val="center"/>
        <w:rPr>
          <w:rFonts w:hint="eastAsia"/>
          <w:color w:val="auto"/>
          <w:sz w:val="24"/>
          <w:highlight w:val="none"/>
          <w:lang w:val="en-US" w:eastAsia="zh-CN"/>
        </w:rPr>
      </w:pPr>
    </w:p>
    <w:p w14:paraId="3BD6BBEC">
      <w:pPr>
        <w:spacing w:after="156" w:afterLines="50"/>
        <w:ind w:left="-850" w:leftChars="-405" w:right="-625"/>
        <w:jc w:val="center"/>
        <w:rPr>
          <w:rFonts w:hint="default" w:eastAsia="宋体"/>
          <w:color w:val="auto"/>
          <w:sz w:val="24"/>
          <w:highlight w:val="none"/>
          <w:lang w:val="en-US" w:eastAsia="zh-CN"/>
        </w:rPr>
      </w:pPr>
      <w:r>
        <w:rPr>
          <w:rFonts w:hint="eastAsia"/>
          <w:color w:val="auto"/>
          <w:sz w:val="24"/>
          <w:highlight w:val="none"/>
          <w:lang w:val="en-US" w:eastAsia="zh-CN"/>
        </w:rPr>
        <w:t>项目编号：HXJY1110001057838001</w:t>
      </w:r>
    </w:p>
    <w:p w14:paraId="45A26883">
      <w:pPr>
        <w:rPr>
          <w:rFonts w:hint="eastAsia" w:ascii="宋体"/>
          <w:bCs/>
          <w:color w:val="auto"/>
          <w:szCs w:val="21"/>
          <w:highlight w:val="none"/>
        </w:rPr>
      </w:pPr>
    </w:p>
    <w:p w14:paraId="51F2E5EC">
      <w:pPr>
        <w:rPr>
          <w:rFonts w:hint="eastAsia" w:ascii="宋体"/>
          <w:bCs/>
          <w:color w:val="auto"/>
          <w:szCs w:val="21"/>
          <w:highlight w:val="none"/>
        </w:rPr>
      </w:pPr>
    </w:p>
    <w:p w14:paraId="15F70DA0">
      <w:pPr>
        <w:rPr>
          <w:rFonts w:hint="eastAsia" w:ascii="宋体"/>
          <w:bCs/>
          <w:color w:val="auto"/>
          <w:szCs w:val="21"/>
          <w:highlight w:val="none"/>
        </w:rPr>
      </w:pPr>
    </w:p>
    <w:p w14:paraId="2829B16E">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rPr>
        <w:t>招 标 文 件</w:t>
      </w:r>
    </w:p>
    <w:p w14:paraId="7155E296">
      <w:pPr>
        <w:rPr>
          <w:rFonts w:hint="eastAsia" w:ascii="宋体" w:hAnsi="宋体"/>
          <w:b/>
          <w:color w:val="auto"/>
          <w:sz w:val="84"/>
          <w:szCs w:val="84"/>
          <w:highlight w:val="none"/>
        </w:rPr>
      </w:pPr>
    </w:p>
    <w:p w14:paraId="174ACA8D">
      <w:pPr>
        <w:pStyle w:val="34"/>
        <w:rPr>
          <w:rFonts w:hint="eastAsia"/>
          <w:color w:val="auto"/>
          <w:highlight w:val="none"/>
        </w:rPr>
      </w:pPr>
    </w:p>
    <w:p w14:paraId="1C3A0EAB">
      <w:pPr>
        <w:rPr>
          <w:rFonts w:hint="eastAsia"/>
          <w:color w:val="auto"/>
          <w:highlight w:val="none"/>
        </w:rPr>
      </w:pPr>
    </w:p>
    <w:p w14:paraId="0A597669">
      <w:pPr>
        <w:rPr>
          <w:rFonts w:hint="eastAsia" w:ascii="宋体"/>
          <w:color w:val="auto"/>
          <w:sz w:val="28"/>
          <w:szCs w:val="28"/>
          <w:highlight w:val="none"/>
        </w:rPr>
      </w:pPr>
    </w:p>
    <w:p w14:paraId="0469AE0B">
      <w:pPr>
        <w:pStyle w:val="20"/>
        <w:rPr>
          <w:rFonts w:hint="eastAsia"/>
          <w:color w:val="auto"/>
          <w:highlight w:val="none"/>
        </w:rPr>
      </w:pPr>
    </w:p>
    <w:p w14:paraId="4D721402">
      <w:pPr>
        <w:rPr>
          <w:rFonts w:hint="eastAsia" w:ascii="宋体"/>
          <w:b/>
          <w:color w:val="auto"/>
          <w:sz w:val="32"/>
          <w:szCs w:val="32"/>
          <w:highlight w:val="none"/>
        </w:rPr>
      </w:pPr>
    </w:p>
    <w:p w14:paraId="1FE0A0EC">
      <w:pPr>
        <w:rPr>
          <w:rFonts w:hint="eastAsia"/>
          <w:color w:val="auto"/>
          <w:highlight w:val="none"/>
        </w:rPr>
      </w:pPr>
    </w:p>
    <w:p w14:paraId="7A1A492E">
      <w:pPr>
        <w:pStyle w:val="26"/>
        <w:ind w:left="0" w:leftChars="0" w:firstLine="0" w:firstLineChars="0"/>
        <w:rPr>
          <w:rFonts w:hint="eastAsia"/>
          <w:color w:val="auto"/>
          <w:highlight w:val="none"/>
        </w:rPr>
      </w:pPr>
    </w:p>
    <w:p w14:paraId="2B747959">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 xml:space="preserve">招   标   </w:t>
      </w:r>
      <w:r>
        <w:rPr>
          <w:rFonts w:hint="eastAsia" w:ascii="宋体"/>
          <w:b/>
          <w:color w:val="auto"/>
          <w:sz w:val="32"/>
          <w:szCs w:val="32"/>
          <w:highlight w:val="none"/>
        </w:rPr>
        <w:t>人：</w:t>
      </w:r>
      <w:r>
        <w:rPr>
          <w:rFonts w:hint="eastAsia" w:ascii="宋体"/>
          <w:b/>
          <w:color w:val="auto"/>
          <w:sz w:val="32"/>
          <w:szCs w:val="32"/>
          <w:highlight w:val="none"/>
          <w:u w:val="single"/>
          <w:lang w:eastAsia="zh-CN"/>
        </w:rPr>
        <w:t>滁州中都瑞华矿业发展有限公司</w:t>
      </w:r>
      <w:r>
        <w:rPr>
          <w:rFonts w:hint="eastAsia" w:ascii="宋体"/>
          <w:b/>
          <w:color w:val="auto"/>
          <w:sz w:val="32"/>
          <w:szCs w:val="32"/>
          <w:highlight w:val="none"/>
        </w:rPr>
        <w:t>（盖单位章）</w:t>
      </w:r>
    </w:p>
    <w:p w14:paraId="3BFB7B58">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u w:val="single"/>
        </w:rPr>
      </w:pP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（盖单位章）</w:t>
      </w:r>
    </w:p>
    <w:p w14:paraId="33E03B06">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月</w:t>
      </w:r>
    </w:p>
    <w:p w14:paraId="791C115A">
      <w:pPr>
        <w:spacing w:line="360" w:lineRule="exact"/>
        <w:jc w:val="both"/>
        <w:rPr>
          <w:rFonts w:hint="eastAsia"/>
          <w:b/>
          <w:color w:val="auto"/>
          <w:sz w:val="36"/>
          <w:highlight w:val="none"/>
        </w:rPr>
      </w:pPr>
      <w:r>
        <w:rPr>
          <w:rFonts w:hint="eastAsia"/>
          <w:b/>
          <w:color w:val="auto"/>
          <w:sz w:val="36"/>
          <w:highlight w:val="none"/>
        </w:rPr>
        <w:br w:type="page"/>
      </w:r>
    </w:p>
    <w:p w14:paraId="37D39384">
      <w:pPr>
        <w:spacing w:line="360" w:lineRule="exact"/>
        <w:jc w:val="center"/>
        <w:rPr>
          <w:rFonts w:hint="eastAsia"/>
          <w:b/>
          <w:color w:val="auto"/>
          <w:sz w:val="36"/>
          <w:highlight w:val="none"/>
        </w:rPr>
      </w:pPr>
      <w:r>
        <w:rPr>
          <w:rFonts w:hint="eastAsia"/>
          <w:b/>
          <w:color w:val="auto"/>
          <w:sz w:val="36"/>
          <w:highlight w:val="none"/>
        </w:rPr>
        <w:t>目  录</w:t>
      </w:r>
    </w:p>
    <w:p w14:paraId="1E425346">
      <w:pPr>
        <w:spacing w:line="360" w:lineRule="exact"/>
        <w:jc w:val="center"/>
        <w:rPr>
          <w:rFonts w:hint="eastAsia"/>
          <w:b/>
          <w:color w:val="auto"/>
          <w:sz w:val="36"/>
          <w:highlight w:val="none"/>
        </w:rPr>
      </w:pPr>
    </w:p>
    <w:p w14:paraId="5D1FBD36">
      <w:pPr>
        <w:pStyle w:val="24"/>
        <w:tabs>
          <w:tab w:val="right" w:leader="dot" w:pos="8296"/>
        </w:tabs>
        <w:spacing w:before="156" w:beforeLines="50" w:after="156" w:afterLines="50" w:line="500" w:lineRule="exac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fldChar w:fldCharType="begin"/>
      </w:r>
      <w:r>
        <w:rPr>
          <w:rFonts w:hint="eastAsia" w:ascii="宋体" w:hAnsi="宋体" w:eastAsia="宋体" w:cs="Times New Roman"/>
          <w:b/>
          <w:bCs/>
          <w:color w:val="auto"/>
          <w:sz w:val="24"/>
          <w:highlight w:val="none"/>
        </w:rPr>
        <w:instrText xml:space="preserve"> TOC \o "1-3" \h \z \u </w:instrText>
      </w:r>
      <w:r>
        <w:rPr>
          <w:rFonts w:hint="eastAsia" w:ascii="宋体" w:hAnsi="宋体" w:eastAsia="宋体" w:cs="Times New Roman"/>
          <w:b/>
          <w:bCs/>
          <w:color w:val="auto"/>
          <w:sz w:val="24"/>
          <w:highlight w:val="none"/>
        </w:rPr>
        <w:fldChar w:fldCharType="separate"/>
      </w:r>
      <w:r>
        <w:rPr>
          <w:rFonts w:ascii="宋体" w:hAnsi="宋体" w:eastAsia="宋体" w:cs="Times New Roman"/>
          <w:b/>
          <w:bCs/>
          <w:color w:val="auto"/>
          <w:sz w:val="24"/>
          <w:highlight w:val="none"/>
        </w:rPr>
        <w:fldChar w:fldCharType="begin"/>
      </w:r>
      <w:r>
        <w:rPr>
          <w:rFonts w:ascii="宋体" w:hAnsi="宋体" w:eastAsia="宋体" w:cs="Times New Roman"/>
          <w:b/>
          <w:bCs/>
          <w:color w:val="auto"/>
          <w:sz w:val="24"/>
          <w:highlight w:val="none"/>
        </w:rPr>
        <w:instrText xml:space="preserve"> HYPERLINK \l "_Toc58430304" </w:instrText>
      </w:r>
      <w:r>
        <w:rPr>
          <w:rFonts w:ascii="宋体" w:hAnsi="宋体" w:eastAsia="宋体" w:cs="Times New Roman"/>
          <w:b/>
          <w:bCs/>
          <w:color w:val="auto"/>
          <w:sz w:val="24"/>
          <w:highlight w:val="none"/>
        </w:rPr>
        <w:fldChar w:fldCharType="separate"/>
      </w:r>
      <w:r>
        <w:rPr>
          <w:rFonts w:hint="eastAsia" w:ascii="宋体" w:hAnsi="宋体" w:eastAsia="宋体" w:cs="Times New Roman"/>
          <w:b/>
          <w:bCs/>
          <w:color w:val="auto"/>
          <w:sz w:val="24"/>
          <w:highlight w:val="none"/>
        </w:rPr>
        <w:t>第一章</w:t>
      </w:r>
      <w:r>
        <w:rPr>
          <w:rFonts w:ascii="宋体" w:hAnsi="宋体" w:eastAsia="宋体" w:cs="Times New Roman"/>
          <w:b/>
          <w:bCs/>
          <w:color w:val="auto"/>
          <w:sz w:val="24"/>
          <w:highlight w:val="none"/>
        </w:rPr>
        <w:t xml:space="preserve"> </w:t>
      </w:r>
      <w:r>
        <w:rPr>
          <w:rFonts w:hint="eastAsia" w:ascii="宋体" w:hAnsi="宋体" w:eastAsia="宋体" w:cs="Times New Roman"/>
          <w:b/>
          <w:bCs/>
          <w:color w:val="auto"/>
          <w:sz w:val="24"/>
          <w:highlight w:val="none"/>
          <w:lang w:val="en-US" w:eastAsia="zh-CN"/>
        </w:rPr>
        <w:t>招标公告</w:t>
      </w:r>
      <w:r>
        <w:rPr>
          <w:rFonts w:ascii="宋体" w:hAnsi="宋体" w:eastAsia="宋体" w:cs="Times New Roman"/>
          <w:b/>
          <w:bCs/>
          <w:color w:val="auto"/>
          <w:sz w:val="24"/>
          <w:highlight w:val="none"/>
        </w:rPr>
        <w:tab/>
      </w:r>
      <w:r>
        <w:rPr>
          <w:rFonts w:hint="eastAsia" w:ascii="宋体" w:hAnsi="宋体" w:eastAsia="宋体" w:cs="Times New Roman"/>
          <w:b/>
          <w:bCs/>
          <w:color w:val="auto"/>
          <w:sz w:val="24"/>
          <w:highlight w:val="none"/>
          <w:lang w:val="en-US" w:eastAsia="zh-CN"/>
        </w:rPr>
        <w:t>1</w:t>
      </w:r>
      <w:r>
        <w:rPr>
          <w:rFonts w:ascii="宋体" w:hAnsi="宋体" w:eastAsia="宋体" w:cs="Times New Roman"/>
          <w:b/>
          <w:bCs/>
          <w:color w:val="auto"/>
          <w:sz w:val="24"/>
          <w:highlight w:val="none"/>
        </w:rPr>
        <w:fldChar w:fldCharType="end"/>
      </w:r>
    </w:p>
    <w:p w14:paraId="58D8DA22">
      <w:pPr>
        <w:pStyle w:val="24"/>
        <w:tabs>
          <w:tab w:val="right" w:leader="dot" w:pos="8296"/>
        </w:tabs>
        <w:spacing w:before="156" w:beforeLines="50" w:after="156" w:afterLines="50" w:line="500" w:lineRule="exact"/>
        <w:rPr>
          <w:rFonts w:hint="eastAsia" w:ascii="宋体" w:hAnsi="宋体" w:eastAsia="宋体" w:cs="Times New Roman"/>
          <w:b/>
          <w:bCs/>
          <w:color w:val="auto"/>
          <w:sz w:val="24"/>
          <w:highlight w:val="none"/>
          <w:lang w:eastAsia="zh-CN"/>
        </w:rPr>
      </w:pPr>
      <w:r>
        <w:rPr>
          <w:rFonts w:ascii="宋体" w:hAnsi="宋体" w:eastAsia="宋体" w:cs="Times New Roman"/>
          <w:b/>
          <w:bCs/>
          <w:color w:val="auto"/>
          <w:sz w:val="24"/>
          <w:highlight w:val="none"/>
        </w:rPr>
        <w:fldChar w:fldCharType="begin"/>
      </w:r>
      <w:r>
        <w:rPr>
          <w:rFonts w:ascii="宋体" w:hAnsi="宋体" w:eastAsia="宋体" w:cs="Times New Roman"/>
          <w:b/>
          <w:bCs/>
          <w:color w:val="auto"/>
          <w:sz w:val="24"/>
          <w:highlight w:val="none"/>
        </w:rPr>
        <w:instrText xml:space="preserve"> HYPERLINK \l "_Toc58430313" </w:instrText>
      </w:r>
      <w:r>
        <w:rPr>
          <w:rFonts w:ascii="宋体" w:hAnsi="宋体" w:eastAsia="宋体" w:cs="Times New Roman"/>
          <w:b/>
          <w:bCs/>
          <w:color w:val="auto"/>
          <w:sz w:val="24"/>
          <w:highlight w:val="none"/>
        </w:rPr>
        <w:fldChar w:fldCharType="separate"/>
      </w:r>
      <w:r>
        <w:rPr>
          <w:rFonts w:hint="eastAsia" w:ascii="宋体" w:hAnsi="宋体" w:eastAsia="宋体" w:cs="Times New Roman"/>
          <w:b/>
          <w:bCs/>
          <w:color w:val="auto"/>
          <w:sz w:val="24"/>
          <w:highlight w:val="none"/>
        </w:rPr>
        <w:t>第二章</w:t>
      </w:r>
      <w:r>
        <w:rPr>
          <w:rFonts w:ascii="宋体" w:hAnsi="宋体" w:eastAsia="宋体" w:cs="Times New Roman"/>
          <w:b/>
          <w:bCs/>
          <w:color w:val="auto"/>
          <w:sz w:val="24"/>
          <w:highlight w:val="none"/>
        </w:rPr>
        <w:t xml:space="preserve"> </w:t>
      </w:r>
      <w:r>
        <w:rPr>
          <w:rFonts w:hint="eastAsia" w:ascii="宋体" w:hAnsi="宋体" w:eastAsia="宋体" w:cs="Times New Roman"/>
          <w:b/>
          <w:bCs/>
          <w:color w:val="auto"/>
          <w:sz w:val="24"/>
          <w:highlight w:val="none"/>
        </w:rPr>
        <w:t>投标人须知</w:t>
      </w:r>
      <w:r>
        <w:rPr>
          <w:rFonts w:ascii="宋体" w:hAnsi="宋体" w:eastAsia="宋体" w:cs="Times New Roman"/>
          <w:b/>
          <w:bCs/>
          <w:color w:val="auto"/>
          <w:sz w:val="24"/>
          <w:highlight w:val="none"/>
        </w:rPr>
        <w:tab/>
      </w:r>
      <w:r>
        <w:rPr>
          <w:rFonts w:ascii="宋体" w:hAnsi="宋体" w:eastAsia="宋体" w:cs="Times New Roman"/>
          <w:b/>
          <w:bCs/>
          <w:color w:val="auto"/>
          <w:sz w:val="24"/>
          <w:highlight w:val="none"/>
        </w:rPr>
        <w:fldChar w:fldCharType="end"/>
      </w:r>
      <w:r>
        <w:rPr>
          <w:rFonts w:hint="eastAsia" w:ascii="宋体" w:hAnsi="宋体" w:cs="Times New Roman"/>
          <w:b/>
          <w:bCs/>
          <w:color w:val="auto"/>
          <w:sz w:val="24"/>
          <w:highlight w:val="none"/>
          <w:lang w:val="en-US" w:eastAsia="zh-CN"/>
        </w:rPr>
        <w:t>4</w:t>
      </w:r>
    </w:p>
    <w:p w14:paraId="5F6539F4">
      <w:pPr>
        <w:pStyle w:val="24"/>
        <w:tabs>
          <w:tab w:val="right" w:leader="dot" w:pos="8296"/>
        </w:tabs>
        <w:spacing w:before="156" w:beforeLines="50" w:after="156" w:afterLines="50" w:line="500" w:lineRule="exac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fldChar w:fldCharType="end"/>
      </w:r>
      <w:r>
        <w:rPr>
          <w:rFonts w:ascii="宋体" w:hAnsi="宋体" w:eastAsia="宋体" w:cs="Times New Roman"/>
          <w:b/>
          <w:bCs/>
          <w:color w:val="auto"/>
          <w:sz w:val="24"/>
          <w:highlight w:val="none"/>
        </w:rPr>
        <w:fldChar w:fldCharType="begin"/>
      </w:r>
      <w:r>
        <w:rPr>
          <w:rFonts w:ascii="宋体" w:hAnsi="宋体" w:eastAsia="宋体" w:cs="Times New Roman"/>
          <w:b/>
          <w:bCs/>
          <w:color w:val="auto"/>
          <w:sz w:val="24"/>
          <w:highlight w:val="none"/>
        </w:rPr>
        <w:instrText xml:space="preserve"> HYPERLINK \l "_Toc58430332" </w:instrText>
      </w:r>
      <w:r>
        <w:rPr>
          <w:rFonts w:ascii="宋体" w:hAnsi="宋体" w:eastAsia="宋体" w:cs="Times New Roman"/>
          <w:b/>
          <w:bCs/>
          <w:color w:val="auto"/>
          <w:sz w:val="24"/>
          <w:highlight w:val="none"/>
        </w:rPr>
        <w:fldChar w:fldCharType="separate"/>
      </w:r>
      <w:r>
        <w:rPr>
          <w:rFonts w:hint="eastAsia" w:ascii="宋体" w:hAnsi="宋体" w:eastAsia="宋体" w:cs="Times New Roman"/>
          <w:b/>
          <w:bCs/>
          <w:color w:val="auto"/>
          <w:sz w:val="24"/>
          <w:highlight w:val="none"/>
        </w:rPr>
        <w:t>第</w:t>
      </w:r>
      <w:r>
        <w:rPr>
          <w:rFonts w:hint="eastAsia" w:ascii="宋体" w:hAnsi="宋体" w:cs="Times New Roman"/>
          <w:b/>
          <w:bCs/>
          <w:color w:val="auto"/>
          <w:sz w:val="24"/>
          <w:highlight w:val="none"/>
          <w:lang w:val="en-US" w:eastAsia="zh-CN"/>
        </w:rPr>
        <w:t>三</w:t>
      </w:r>
      <w:r>
        <w:rPr>
          <w:rFonts w:hint="eastAsia" w:ascii="宋体" w:hAnsi="宋体" w:eastAsia="宋体" w:cs="Times New Roman"/>
          <w:b/>
          <w:bCs/>
          <w:color w:val="auto"/>
          <w:sz w:val="24"/>
          <w:highlight w:val="none"/>
        </w:rPr>
        <w:t>章</w:t>
      </w:r>
      <w:r>
        <w:rPr>
          <w:rFonts w:hint="eastAsia" w:ascii="宋体" w:hAnsi="宋体" w:eastAsia="宋体" w:cs="Times New Roman"/>
          <w:b/>
          <w:bCs/>
          <w:color w:val="auto"/>
          <w:sz w:val="24"/>
          <w:highlight w:val="none"/>
          <w:lang w:val="en-US" w:eastAsia="zh-CN"/>
        </w:rPr>
        <w:t xml:space="preserve"> 评标办法</w:t>
      </w:r>
      <w:r>
        <w:rPr>
          <w:rFonts w:ascii="宋体" w:hAnsi="宋体" w:eastAsia="宋体" w:cs="Times New Roman"/>
          <w:b/>
          <w:bCs/>
          <w:color w:val="auto"/>
          <w:sz w:val="24"/>
          <w:highlight w:val="none"/>
        </w:rPr>
        <w:tab/>
      </w:r>
      <w:r>
        <w:rPr>
          <w:rFonts w:ascii="宋体" w:hAnsi="宋体" w:eastAsia="宋体" w:cs="Times New Roman"/>
          <w:b/>
          <w:bCs/>
          <w:color w:val="auto"/>
          <w:sz w:val="24"/>
          <w:highlight w:val="none"/>
        </w:rPr>
        <w:fldChar w:fldCharType="end"/>
      </w:r>
      <w:r>
        <w:rPr>
          <w:rFonts w:hint="eastAsia" w:ascii="宋体" w:hAnsi="宋体" w:cs="Times New Roman"/>
          <w:b/>
          <w:bCs/>
          <w:color w:val="auto"/>
          <w:sz w:val="24"/>
          <w:highlight w:val="none"/>
          <w:lang w:val="en-US" w:eastAsia="zh-CN"/>
        </w:rPr>
        <w:t>16</w:t>
      </w:r>
    </w:p>
    <w:p w14:paraId="127922DC">
      <w:pPr>
        <w:pStyle w:val="24"/>
        <w:tabs>
          <w:tab w:val="right" w:leader="dot" w:pos="8296"/>
        </w:tabs>
        <w:spacing w:before="156" w:beforeLines="50" w:after="156" w:afterLines="50" w:line="500" w:lineRule="exact"/>
        <w:rPr>
          <w:rFonts w:hint="default" w:ascii="宋体" w:hAnsi="宋体" w:eastAsia="宋体" w:cs="Times New Roman"/>
          <w:b/>
          <w:bCs/>
          <w:color w:val="auto"/>
          <w:sz w:val="24"/>
          <w:highlight w:val="none"/>
          <w:lang w:val="en-US" w:eastAsia="zh-CN"/>
        </w:rPr>
      </w:pPr>
      <w:r>
        <w:rPr>
          <w:rFonts w:ascii="宋体" w:hAnsi="宋体" w:eastAsia="宋体" w:cs="Times New Roman"/>
          <w:b/>
          <w:bCs/>
          <w:color w:val="auto"/>
          <w:sz w:val="24"/>
          <w:highlight w:val="none"/>
        </w:rPr>
        <w:fldChar w:fldCharType="begin"/>
      </w:r>
      <w:r>
        <w:rPr>
          <w:rFonts w:ascii="宋体" w:hAnsi="宋体" w:eastAsia="宋体" w:cs="Times New Roman"/>
          <w:b/>
          <w:bCs/>
          <w:color w:val="auto"/>
          <w:sz w:val="24"/>
          <w:highlight w:val="none"/>
        </w:rPr>
        <w:instrText xml:space="preserve"> HYPERLINK \l "_Toc58430332" </w:instrText>
      </w:r>
      <w:r>
        <w:rPr>
          <w:rFonts w:ascii="宋体" w:hAnsi="宋体" w:eastAsia="宋体" w:cs="Times New Roman"/>
          <w:b/>
          <w:bCs/>
          <w:color w:val="auto"/>
          <w:sz w:val="24"/>
          <w:highlight w:val="none"/>
        </w:rPr>
        <w:fldChar w:fldCharType="separate"/>
      </w:r>
      <w:r>
        <w:rPr>
          <w:rFonts w:hint="eastAsia" w:ascii="宋体" w:hAnsi="宋体" w:eastAsia="宋体" w:cs="Times New Roman"/>
          <w:b/>
          <w:bCs/>
          <w:color w:val="auto"/>
          <w:sz w:val="24"/>
          <w:highlight w:val="none"/>
        </w:rPr>
        <w:t>第</w:t>
      </w:r>
      <w:r>
        <w:rPr>
          <w:rFonts w:hint="eastAsia" w:ascii="宋体" w:hAnsi="宋体" w:cs="Times New Roman"/>
          <w:b/>
          <w:bCs/>
          <w:color w:val="auto"/>
          <w:sz w:val="24"/>
          <w:highlight w:val="none"/>
          <w:lang w:val="en-US" w:eastAsia="zh-CN"/>
        </w:rPr>
        <w:t>四</w:t>
      </w:r>
      <w:r>
        <w:rPr>
          <w:rFonts w:hint="eastAsia" w:ascii="宋体" w:hAnsi="宋体" w:eastAsia="宋体" w:cs="Times New Roman"/>
          <w:b/>
          <w:bCs/>
          <w:color w:val="auto"/>
          <w:sz w:val="24"/>
          <w:highlight w:val="none"/>
        </w:rPr>
        <w:t>章</w:t>
      </w:r>
      <w:r>
        <w:rPr>
          <w:rFonts w:hint="eastAsia" w:ascii="宋体" w:hAnsi="宋体" w:eastAsia="宋体" w:cs="Times New Roman"/>
          <w:b/>
          <w:bCs/>
          <w:color w:val="auto"/>
          <w:sz w:val="24"/>
          <w:highlight w:val="none"/>
          <w:lang w:val="en-US" w:eastAsia="zh-CN"/>
        </w:rPr>
        <w:t xml:space="preserve"> 合同条款</w:t>
      </w:r>
      <w:r>
        <w:rPr>
          <w:rFonts w:ascii="宋体" w:hAnsi="宋体" w:eastAsia="宋体" w:cs="Times New Roman"/>
          <w:b/>
          <w:bCs/>
          <w:color w:val="auto"/>
          <w:sz w:val="24"/>
          <w:highlight w:val="none"/>
        </w:rPr>
        <w:tab/>
      </w:r>
      <w:r>
        <w:rPr>
          <w:rFonts w:ascii="宋体" w:hAnsi="宋体" w:eastAsia="宋体" w:cs="Times New Roman"/>
          <w:b/>
          <w:bCs/>
          <w:color w:val="auto"/>
          <w:sz w:val="24"/>
          <w:highlight w:val="none"/>
        </w:rPr>
        <w:fldChar w:fldCharType="end"/>
      </w:r>
      <w:r>
        <w:rPr>
          <w:rFonts w:hint="eastAsia" w:ascii="宋体" w:hAnsi="宋体" w:cs="Times New Roman"/>
          <w:b/>
          <w:bCs/>
          <w:color w:val="auto"/>
          <w:sz w:val="24"/>
          <w:highlight w:val="none"/>
          <w:lang w:val="en-US" w:eastAsia="zh-CN"/>
        </w:rPr>
        <w:t>23</w:t>
      </w:r>
    </w:p>
    <w:p w14:paraId="7FAB6537">
      <w:pPr>
        <w:pStyle w:val="24"/>
        <w:tabs>
          <w:tab w:val="right" w:leader="dot" w:pos="8296"/>
        </w:tabs>
        <w:spacing w:before="156" w:beforeLines="50" w:after="156" w:afterLines="50" w:line="500" w:lineRule="exact"/>
        <w:rPr>
          <w:rFonts w:hint="default" w:ascii="宋体" w:hAnsi="宋体" w:eastAsia="宋体" w:cs="Times New Roman"/>
          <w:b/>
          <w:bCs/>
          <w:color w:val="auto"/>
          <w:sz w:val="24"/>
          <w:highlight w:val="none"/>
          <w:lang w:val="en-US" w:eastAsia="zh-CN"/>
        </w:rPr>
      </w:pPr>
      <w:r>
        <w:rPr>
          <w:rFonts w:ascii="宋体" w:hAnsi="宋体" w:eastAsia="宋体" w:cs="Times New Roman"/>
          <w:b/>
          <w:bCs/>
          <w:color w:val="auto"/>
          <w:sz w:val="24"/>
          <w:highlight w:val="none"/>
        </w:rPr>
        <w:fldChar w:fldCharType="begin"/>
      </w:r>
      <w:r>
        <w:rPr>
          <w:rFonts w:ascii="宋体" w:hAnsi="宋体" w:eastAsia="宋体" w:cs="Times New Roman"/>
          <w:b/>
          <w:bCs/>
          <w:color w:val="auto"/>
          <w:sz w:val="24"/>
          <w:highlight w:val="none"/>
        </w:rPr>
        <w:instrText xml:space="preserve"> HYPERLINK \l "_Toc58430332" </w:instrText>
      </w:r>
      <w:r>
        <w:rPr>
          <w:rFonts w:ascii="宋体" w:hAnsi="宋体" w:eastAsia="宋体" w:cs="Times New Roman"/>
          <w:b/>
          <w:bCs/>
          <w:color w:val="auto"/>
          <w:sz w:val="24"/>
          <w:highlight w:val="none"/>
        </w:rPr>
        <w:fldChar w:fldCharType="separate"/>
      </w:r>
      <w:r>
        <w:rPr>
          <w:rFonts w:hint="eastAsia" w:ascii="宋体" w:hAnsi="宋体" w:eastAsia="宋体" w:cs="Times New Roman"/>
          <w:b/>
          <w:bCs/>
          <w:color w:val="auto"/>
          <w:sz w:val="24"/>
          <w:highlight w:val="none"/>
        </w:rPr>
        <w:t>第</w:t>
      </w:r>
      <w:r>
        <w:rPr>
          <w:rFonts w:hint="eastAsia" w:ascii="宋体" w:hAnsi="宋体" w:cs="Times New Roman"/>
          <w:b/>
          <w:bCs/>
          <w:color w:val="auto"/>
          <w:sz w:val="24"/>
          <w:highlight w:val="none"/>
          <w:lang w:val="en-US" w:eastAsia="zh-CN"/>
        </w:rPr>
        <w:t>五</w:t>
      </w:r>
      <w:r>
        <w:rPr>
          <w:rFonts w:hint="eastAsia" w:ascii="宋体" w:hAnsi="宋体" w:eastAsia="宋体" w:cs="Times New Roman"/>
          <w:b/>
          <w:bCs/>
          <w:color w:val="auto"/>
          <w:sz w:val="24"/>
          <w:highlight w:val="none"/>
        </w:rPr>
        <w:t>章</w:t>
      </w:r>
      <w:r>
        <w:rPr>
          <w:rFonts w:hint="eastAsia" w:ascii="宋体" w:hAnsi="宋体" w:eastAsia="宋体" w:cs="Times New Roman"/>
          <w:b/>
          <w:bCs/>
          <w:color w:val="auto"/>
          <w:sz w:val="24"/>
          <w:highlight w:val="none"/>
          <w:lang w:val="en-US" w:eastAsia="zh-CN"/>
        </w:rPr>
        <w:t xml:space="preserve"> 投标文件格式</w:t>
      </w:r>
      <w:r>
        <w:rPr>
          <w:rFonts w:ascii="宋体" w:hAnsi="宋体" w:eastAsia="宋体" w:cs="Times New Roman"/>
          <w:b/>
          <w:bCs/>
          <w:color w:val="auto"/>
          <w:sz w:val="24"/>
          <w:highlight w:val="none"/>
        </w:rPr>
        <w:tab/>
      </w:r>
      <w:r>
        <w:rPr>
          <w:rFonts w:ascii="宋体" w:hAnsi="宋体" w:eastAsia="宋体" w:cs="Times New Roman"/>
          <w:b/>
          <w:bCs/>
          <w:color w:val="auto"/>
          <w:sz w:val="24"/>
          <w:highlight w:val="none"/>
        </w:rPr>
        <w:fldChar w:fldCharType="end"/>
      </w:r>
      <w:r>
        <w:rPr>
          <w:rFonts w:hint="eastAsia" w:ascii="宋体" w:hAnsi="宋体" w:cs="Times New Roman"/>
          <w:b/>
          <w:bCs/>
          <w:color w:val="auto"/>
          <w:sz w:val="24"/>
          <w:highlight w:val="none"/>
          <w:lang w:val="en-US" w:eastAsia="zh-CN"/>
        </w:rPr>
        <w:t>26</w:t>
      </w:r>
    </w:p>
    <w:p w14:paraId="48D17AE7">
      <w:pPr>
        <w:rPr>
          <w:rFonts w:hint="eastAsia"/>
          <w:color w:val="auto"/>
          <w:highlight w:val="none"/>
        </w:rPr>
        <w:sectPr>
          <w:headerReference r:id="rId4" w:type="first"/>
          <w:footerReference r:id="rId7" w:type="first"/>
          <w:headerReference r:id="rId3" w:type="default"/>
          <w:footerReference r:id="rId5" w:type="default"/>
          <w:footerReference r:id="rId6" w:type="even"/>
          <w:pgSz w:w="11906" w:h="16838"/>
          <w:pgMar w:top="1440" w:right="1486" w:bottom="1440" w:left="1800" w:header="851" w:footer="992" w:gutter="0"/>
          <w:pgNumType w:start="1"/>
          <w:cols w:space="720" w:num="1"/>
          <w:docGrid w:type="lines" w:linePitch="312" w:charSpace="0"/>
        </w:sectPr>
      </w:pPr>
    </w:p>
    <w:p w14:paraId="080453B7">
      <w:pPr>
        <w:spacing w:before="156" w:beforeLines="50" w:after="156" w:afterLines="50" w:line="600" w:lineRule="exact"/>
        <w:jc w:val="center"/>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lang w:val="en-US" w:eastAsia="zh-CN"/>
        </w:rPr>
        <w:t>招标公告</w:t>
      </w:r>
    </w:p>
    <w:p w14:paraId="588FD928">
      <w:pPr>
        <w:keepNext w:val="0"/>
        <w:keepLines w:val="0"/>
        <w:pageBreakBefore w:val="0"/>
        <w:widowControl/>
        <w:kinsoku/>
        <w:overflowPunct/>
        <w:autoSpaceDE/>
        <w:autoSpaceDN/>
        <w:bidi w:val="0"/>
        <w:adjustRightInd/>
        <w:snapToGrid/>
        <w:spacing w:line="500" w:lineRule="exact"/>
        <w:ind w:firstLine="420" w:firstLineChars="200"/>
        <w:jc w:val="left"/>
        <w:textAlignment w:val="auto"/>
        <w:rPr>
          <w:rFonts w:hint="eastAsia" w:ascii="宋体" w:hAnsi="宋体" w:eastAsia="宋体" w:cs="宋体"/>
          <w:bCs/>
          <w:color w:val="auto"/>
          <w:sz w:val="21"/>
          <w:szCs w:val="21"/>
          <w:highlight w:val="none"/>
        </w:rPr>
      </w:pPr>
      <w:bookmarkStart w:id="2" w:name="_Toc58430313"/>
      <w:r>
        <w:rPr>
          <w:rFonts w:hint="eastAsia" w:ascii="宋体" w:hAnsi="宋体" w:eastAsia="宋体" w:cs="宋体"/>
          <w:color w:val="auto"/>
          <w:sz w:val="21"/>
          <w:szCs w:val="21"/>
          <w:highlight w:val="none"/>
          <w:u w:val="single"/>
          <w:lang w:eastAsia="zh-CN"/>
        </w:rPr>
        <w:t>滁州市城投工程咨询管理有限公司</w:t>
      </w:r>
      <w:r>
        <w:rPr>
          <w:rFonts w:hint="eastAsia" w:ascii="宋体" w:hAnsi="宋体" w:eastAsia="宋体" w:cs="宋体"/>
          <w:color w:val="auto"/>
          <w:sz w:val="21"/>
          <w:szCs w:val="21"/>
          <w:highlight w:val="none"/>
        </w:rPr>
        <w:t>受</w:t>
      </w:r>
      <w:r>
        <w:rPr>
          <w:rFonts w:hint="eastAsia" w:ascii="宋体" w:hAnsi="宋体" w:eastAsia="宋体" w:cs="宋体"/>
          <w:color w:val="auto"/>
          <w:sz w:val="21"/>
          <w:szCs w:val="21"/>
          <w:highlight w:val="none"/>
          <w:u w:val="single"/>
          <w:lang w:eastAsia="zh-CN"/>
        </w:rPr>
        <w:t>滁州中都瑞华矿业发展有限公司</w:t>
      </w:r>
      <w:r>
        <w:rPr>
          <w:rFonts w:hint="eastAsia" w:ascii="宋体" w:hAnsi="宋体" w:eastAsia="宋体" w:cs="宋体"/>
          <w:color w:val="auto"/>
          <w:sz w:val="21"/>
          <w:szCs w:val="21"/>
          <w:highlight w:val="none"/>
        </w:rPr>
        <w:t>的委托，现对</w:t>
      </w:r>
      <w:r>
        <w:rPr>
          <w:rFonts w:hint="eastAsia" w:ascii="宋体" w:hAnsi="宋体" w:eastAsia="宋体" w:cs="宋体"/>
          <w:color w:val="auto"/>
          <w:sz w:val="21"/>
          <w:szCs w:val="21"/>
          <w:highlight w:val="none"/>
          <w:u w:val="single"/>
          <w:lang w:val="en-US" w:eastAsia="zh-CN"/>
        </w:rPr>
        <w:t>凤阳县灵山～木屐山矿区新2号段石英岩矿深部开采工程对官塘水库影响分析报告编制服务项目</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公开招标</w:t>
      </w:r>
      <w:r>
        <w:rPr>
          <w:rFonts w:hint="eastAsia" w:ascii="宋体" w:hAnsi="宋体" w:eastAsia="宋体" w:cs="宋体"/>
          <w:color w:val="auto"/>
          <w:sz w:val="21"/>
          <w:szCs w:val="21"/>
          <w:highlight w:val="none"/>
        </w:rPr>
        <w:t>，欢迎具备条件的投标供应商参加</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w:t>
      </w:r>
    </w:p>
    <w:p w14:paraId="10C3C6AC">
      <w:pPr>
        <w:keepNext w:val="0"/>
        <w:keepLines w:val="0"/>
        <w:pageBreakBefore w:val="0"/>
        <w:widowControl w:val="0"/>
        <w:kinsoku/>
        <w:overflowPunct/>
        <w:autoSpaceDE/>
        <w:autoSpaceDN/>
        <w:bidi w:val="0"/>
        <w:adjustRightInd/>
        <w:snapToGrid/>
        <w:spacing w:line="500" w:lineRule="exact"/>
        <w:ind w:firstLine="422" w:firstLineChars="200"/>
        <w:textAlignment w:val="auto"/>
        <w:rPr>
          <w:rFonts w:hint="eastAsia" w:ascii="宋体" w:hAnsi="宋体" w:eastAsia="宋体" w:cs="宋体"/>
          <w:color w:val="auto"/>
          <w:sz w:val="21"/>
          <w:szCs w:val="21"/>
          <w:highlight w:val="none"/>
        </w:rPr>
      </w:pPr>
      <w:bookmarkStart w:id="3" w:name="_Toc15135"/>
      <w:bookmarkStart w:id="4" w:name="_Toc23391"/>
      <w:bookmarkStart w:id="5" w:name="_Toc27716"/>
      <w:r>
        <w:rPr>
          <w:rFonts w:hint="eastAsia" w:ascii="宋体" w:hAnsi="宋体" w:eastAsia="宋体" w:cs="宋体"/>
          <w:b/>
          <w:bCs/>
          <w:color w:val="auto"/>
          <w:sz w:val="21"/>
          <w:szCs w:val="21"/>
          <w:highlight w:val="none"/>
        </w:rPr>
        <w:t>一、项目名称及内容</w:t>
      </w:r>
      <w:bookmarkEnd w:id="3"/>
      <w:bookmarkEnd w:id="4"/>
      <w:bookmarkEnd w:id="5"/>
    </w:p>
    <w:p w14:paraId="48275A94">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1.项目名称：凤阳县灵山～木屐山矿区新2号段石英岩矿深部开采工程对官塘水库影响分析报告编制服务项目</w:t>
      </w:r>
    </w:p>
    <w:p w14:paraId="264E372D">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2.招标单位：滁州中都瑞华矿业发展有限公司</w:t>
      </w:r>
    </w:p>
    <w:p w14:paraId="3C95630B">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3.资金来源：自筹资金</w:t>
      </w:r>
    </w:p>
    <w:p w14:paraId="59F5040E">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4.项目预算：62000.00元</w:t>
      </w:r>
    </w:p>
    <w:p w14:paraId="0BA27A32">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5.最高限价：62000.00元</w:t>
      </w:r>
    </w:p>
    <w:p w14:paraId="46057268">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6.采购需求：编制凤阳县灵山～木屐山矿区新2号段石英岩矿深部开采工程对官塘水库影响分析报告，包括但不限于环境影响评价、洪水影响评价、水库蓄水能力影响评价</w:t>
      </w:r>
    </w:p>
    <w:p w14:paraId="0BE741C7">
      <w:pPr>
        <w:keepNext w:val="0"/>
        <w:keepLines w:val="0"/>
        <w:pageBreakBefore w:val="0"/>
        <w:widowControl w:val="0"/>
        <w:kinsoku/>
        <w:overflowPunct/>
        <w:autoSpaceDE/>
        <w:autoSpaceDN/>
        <w:bidi w:val="0"/>
        <w:adjustRightInd/>
        <w:snapToGrid/>
        <w:spacing w:line="500" w:lineRule="exact"/>
        <w:ind w:right="-313" w:rightChars="-149"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7.合同履行期限：合同签订之日起</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个日历天内向招标人提交文件并通过行政主管部门备案。</w:t>
      </w:r>
    </w:p>
    <w:p w14:paraId="00CC6939">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bookmarkStart w:id="6" w:name="_Toc6270"/>
      <w:bookmarkStart w:id="7" w:name="_Toc24705"/>
      <w:bookmarkStart w:id="8" w:name="_Toc4722"/>
      <w:r>
        <w:rPr>
          <w:rFonts w:hint="eastAsia" w:ascii="宋体" w:hAnsi="宋体" w:eastAsia="宋体" w:cs="宋体"/>
          <w:color w:val="auto"/>
          <w:sz w:val="21"/>
          <w:szCs w:val="21"/>
          <w:highlight w:val="none"/>
          <w:lang w:val="en-US" w:eastAsia="zh-CN"/>
        </w:rPr>
        <w:t>8.本项目不接受联合体投标。</w:t>
      </w:r>
    </w:p>
    <w:p w14:paraId="7E3C221D">
      <w:pPr>
        <w:keepNext w:val="0"/>
        <w:keepLines w:val="0"/>
        <w:pageBreakBefore w:val="0"/>
        <w:widowControl w:val="0"/>
        <w:kinsoku/>
        <w:overflowPunct/>
        <w:autoSpaceDE/>
        <w:autoSpaceDN/>
        <w:bidi w:val="0"/>
        <w:adjustRightInd/>
        <w:snapToGrid/>
        <w:spacing w:line="5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w:t>
      </w:r>
      <w:bookmarkEnd w:id="6"/>
      <w:bookmarkEnd w:id="7"/>
      <w:bookmarkEnd w:id="8"/>
      <w:r>
        <w:rPr>
          <w:rFonts w:hint="eastAsia" w:ascii="宋体" w:hAnsi="宋体" w:eastAsia="宋体" w:cs="宋体"/>
          <w:b/>
          <w:bCs/>
          <w:color w:val="auto"/>
          <w:sz w:val="21"/>
          <w:szCs w:val="21"/>
          <w:highlight w:val="none"/>
        </w:rPr>
        <w:t>申请人的资格要求</w:t>
      </w:r>
    </w:p>
    <w:p w14:paraId="78803817">
      <w:pPr>
        <w:keepNext w:val="0"/>
        <w:keepLines w:val="0"/>
        <w:pageBreakBefore w:val="0"/>
        <w:widowControl w:val="0"/>
        <w:kinsoku/>
        <w:wordWrap w:val="0"/>
        <w:overflowPunct/>
        <w:topLine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eastAsia="zh-CN"/>
        </w:rPr>
      </w:pPr>
      <w:bookmarkStart w:id="9" w:name="_Toc23547"/>
      <w:bookmarkStart w:id="10" w:name="_Toc10245"/>
      <w:bookmarkStart w:id="11" w:name="_Toc16461"/>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投标人具有独立承担民事责任能力及相应的服务能力</w:t>
      </w:r>
      <w:r>
        <w:rPr>
          <w:rFonts w:hint="eastAsia" w:ascii="宋体" w:hAnsi="宋体" w:eastAsia="宋体" w:cs="宋体"/>
          <w:color w:val="auto"/>
          <w:sz w:val="21"/>
          <w:szCs w:val="21"/>
          <w:highlight w:val="none"/>
          <w:lang w:eastAsia="zh-CN"/>
        </w:rPr>
        <w:t>。</w:t>
      </w:r>
    </w:p>
    <w:p w14:paraId="3E8E1EA3">
      <w:pPr>
        <w:keepNext w:val="0"/>
        <w:keepLines w:val="0"/>
        <w:pageBreakBefore w:val="0"/>
        <w:widowControl w:val="0"/>
        <w:kinsoku/>
        <w:overflowPunct/>
        <w:autoSpaceDE/>
        <w:autoSpaceDN/>
        <w:bidi w:val="0"/>
        <w:adjustRightInd/>
        <w:snapToGrid/>
        <w:spacing w:line="500" w:lineRule="exact"/>
        <w:ind w:firstLine="422"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1"/>
          <w:szCs w:val="21"/>
          <w:highlight w:val="none"/>
        </w:rPr>
        <w:t>三、</w:t>
      </w:r>
      <w:bookmarkEnd w:id="9"/>
      <w:bookmarkEnd w:id="10"/>
      <w:bookmarkEnd w:id="11"/>
      <w:r>
        <w:rPr>
          <w:rFonts w:hint="eastAsia" w:ascii="宋体" w:hAnsi="宋体" w:eastAsia="宋体" w:cs="宋体"/>
          <w:b/>
          <w:bCs/>
          <w:color w:val="auto"/>
          <w:sz w:val="21"/>
          <w:szCs w:val="21"/>
          <w:highlight w:val="none"/>
          <w:lang w:val="en-US" w:eastAsia="zh-CN"/>
        </w:rPr>
        <w:t>获取招标文件</w:t>
      </w:r>
    </w:p>
    <w:p w14:paraId="16B4ED61">
      <w:pPr>
        <w:keepNext w:val="0"/>
        <w:keepLines w:val="0"/>
        <w:pageBreakBefore w:val="0"/>
        <w:widowControl w:val="0"/>
        <w:kinsoku/>
        <w:wordWrap w:val="0"/>
        <w:overflowPunct/>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时间：2026年</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月</w:t>
      </w:r>
      <w:r>
        <w:rPr>
          <w:rFonts w:hint="eastAsia" w:ascii="宋体" w:hAnsi="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lang w:val="en-US" w:eastAsia="zh-CN"/>
        </w:rPr>
        <w:t>日至2026年</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月</w:t>
      </w:r>
      <w:r>
        <w:rPr>
          <w:rFonts w:hint="eastAsia" w:ascii="宋体" w:hAnsi="宋体" w:cs="宋体"/>
          <w:b w:val="0"/>
          <w:bCs w:val="0"/>
          <w:color w:val="auto"/>
          <w:sz w:val="21"/>
          <w:szCs w:val="21"/>
          <w:highlight w:val="none"/>
          <w:lang w:val="en-US" w:eastAsia="zh-CN"/>
        </w:rPr>
        <w:t>22</w:t>
      </w:r>
      <w:r>
        <w:rPr>
          <w:rFonts w:hint="eastAsia" w:ascii="宋体" w:hAnsi="宋体" w:eastAsia="宋体" w:cs="宋体"/>
          <w:b w:val="0"/>
          <w:bCs w:val="0"/>
          <w:color w:val="auto"/>
          <w:sz w:val="21"/>
          <w:szCs w:val="21"/>
          <w:highlight w:val="none"/>
          <w:lang w:val="en-US" w:eastAsia="zh-CN"/>
        </w:rPr>
        <w:t>日</w:t>
      </w:r>
    </w:p>
    <w:p w14:paraId="3D84CBAA">
      <w:pPr>
        <w:keepNext w:val="0"/>
        <w:keepLines w:val="0"/>
        <w:pageBreakBefore w:val="0"/>
        <w:widowControl w:val="0"/>
        <w:kinsoku/>
        <w:wordWrap w:val="0"/>
        <w:overflowPunct/>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地点：滁州市兴滁矿业投资集团有限公司网站（http://www.xckytz.com/index.html）、滁州市城投工程咨询管理有限公司网站（https://www.czctgczx.com/）</w:t>
      </w:r>
    </w:p>
    <w:p w14:paraId="479FE4AE">
      <w:pPr>
        <w:keepNext w:val="0"/>
        <w:keepLines w:val="0"/>
        <w:pageBreakBefore w:val="0"/>
        <w:widowControl w:val="0"/>
        <w:kinsoku/>
        <w:wordWrap w:val="0"/>
        <w:overflowPunct/>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方式：网上下载</w:t>
      </w:r>
    </w:p>
    <w:p w14:paraId="6F01C493">
      <w:pPr>
        <w:keepNext w:val="0"/>
        <w:keepLines w:val="0"/>
        <w:pageBreakBefore w:val="0"/>
        <w:widowControl w:val="0"/>
        <w:kinsoku/>
        <w:wordWrap w:val="0"/>
        <w:overflowPunct/>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售价：0元</w:t>
      </w:r>
    </w:p>
    <w:p w14:paraId="088DF954">
      <w:pPr>
        <w:keepNext w:val="0"/>
        <w:keepLines w:val="0"/>
        <w:pageBreakBefore w:val="0"/>
        <w:widowControl w:val="0"/>
        <w:kinsoku/>
        <w:overflowPunct/>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、提交</w:t>
      </w:r>
      <w:r>
        <w:rPr>
          <w:rFonts w:hint="eastAsia" w:ascii="宋体" w:hAnsi="宋体" w:eastAsia="宋体" w:cs="宋体"/>
          <w:b/>
          <w:bCs/>
          <w:color w:val="auto"/>
          <w:sz w:val="21"/>
          <w:szCs w:val="21"/>
          <w:highlight w:val="none"/>
          <w:lang w:eastAsia="zh-CN"/>
        </w:rPr>
        <w:t>投标文件</w:t>
      </w:r>
      <w:r>
        <w:rPr>
          <w:rFonts w:hint="eastAsia" w:ascii="宋体" w:hAnsi="宋体" w:eastAsia="宋体" w:cs="宋体"/>
          <w:b/>
          <w:bCs/>
          <w:color w:val="auto"/>
          <w:sz w:val="21"/>
          <w:szCs w:val="21"/>
          <w:highlight w:val="none"/>
        </w:rPr>
        <w:t>截止时间、开标时间和地点</w:t>
      </w:r>
    </w:p>
    <w:p w14:paraId="039CE44F">
      <w:pPr>
        <w:keepNext w:val="0"/>
        <w:keepLines w:val="0"/>
        <w:pageBreakBefore w:val="0"/>
        <w:widowControl w:val="0"/>
        <w:kinsoku/>
        <w:wordWrap w:val="0"/>
        <w:overflowPunct/>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sz w:val="21"/>
          <w:szCs w:val="21"/>
          <w:highlight w:val="none"/>
          <w:lang w:eastAsia="zh-CN"/>
        </w:rPr>
      </w:pPr>
      <w:bookmarkStart w:id="12" w:name="_Toc26252"/>
      <w:bookmarkStart w:id="13" w:name="_Toc21401"/>
      <w:bookmarkStart w:id="14" w:name="_Toc7279"/>
      <w:r>
        <w:rPr>
          <w:rFonts w:hint="eastAsia" w:ascii="宋体" w:hAnsi="宋体" w:eastAsia="宋体" w:cs="宋体"/>
          <w:b w:val="0"/>
          <w:bCs w:val="0"/>
          <w:color w:val="auto"/>
          <w:sz w:val="21"/>
          <w:szCs w:val="21"/>
          <w:highlight w:val="none"/>
          <w:lang w:val="en-US" w:eastAsia="zh-CN"/>
        </w:rPr>
        <w:t>时间：</w:t>
      </w:r>
      <w:r>
        <w:rPr>
          <w:rFonts w:hint="eastAsia" w:ascii="宋体" w:hAnsi="宋体" w:eastAsia="宋体" w:cs="宋体"/>
          <w:b w:val="0"/>
          <w:bCs w:val="0"/>
          <w:color w:val="auto"/>
          <w:sz w:val="21"/>
          <w:szCs w:val="21"/>
          <w:highlight w:val="none"/>
          <w:lang w:eastAsia="zh-CN"/>
        </w:rPr>
        <w:t>202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年</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月</w:t>
      </w:r>
      <w:r>
        <w:rPr>
          <w:rFonts w:hint="eastAsia" w:ascii="宋体" w:hAnsi="宋体" w:cs="宋体"/>
          <w:b w:val="0"/>
          <w:bCs w:val="0"/>
          <w:color w:val="auto"/>
          <w:sz w:val="21"/>
          <w:szCs w:val="21"/>
          <w:highlight w:val="none"/>
          <w:lang w:val="en-US" w:eastAsia="zh-CN"/>
        </w:rPr>
        <w:t>22</w:t>
      </w:r>
      <w:r>
        <w:rPr>
          <w:rFonts w:hint="eastAsia" w:ascii="宋体" w:hAnsi="宋体" w:eastAsia="宋体" w:cs="宋体"/>
          <w:b w:val="0"/>
          <w:bCs w:val="0"/>
          <w:color w:val="auto"/>
          <w:sz w:val="21"/>
          <w:szCs w:val="21"/>
          <w:highlight w:val="none"/>
          <w:lang w:eastAsia="zh-CN"/>
        </w:rPr>
        <w:t>日</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点</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eastAsia="zh-CN"/>
        </w:rPr>
        <w:t>分（北京时间）</w:t>
      </w:r>
    </w:p>
    <w:p w14:paraId="70D0CCF2">
      <w:pPr>
        <w:keepNext w:val="0"/>
        <w:keepLines w:val="0"/>
        <w:pageBreakBefore w:val="0"/>
        <w:widowControl w:val="0"/>
        <w:kinsoku/>
        <w:wordWrap w:val="0"/>
        <w:overflowPunct/>
        <w:autoSpaceDE/>
        <w:autoSpaceDN/>
        <w:bidi w:val="0"/>
        <w:adjustRightInd/>
        <w:snapToGrid/>
        <w:spacing w:line="50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地点：</w:t>
      </w:r>
      <w:r>
        <w:rPr>
          <w:rFonts w:hint="eastAsia" w:ascii="宋体" w:hAnsi="宋体" w:eastAsia="宋体" w:cs="宋体"/>
          <w:b w:val="0"/>
          <w:bCs w:val="0"/>
          <w:color w:val="auto"/>
          <w:sz w:val="21"/>
          <w:szCs w:val="21"/>
          <w:highlight w:val="none"/>
          <w:lang w:val="en-US" w:eastAsia="zh-CN"/>
        </w:rPr>
        <w:t>网上开标；本项目仅接受加密电子投标文件投标人在投标截止时间前通过新点电子交易平台后在【滁州专区】（https://www.etrading.cn/BREpointSSO/login/oauth2login?regioncode=DQ_ChuZhou）交易系统递交电子投标文件。</w:t>
      </w:r>
    </w:p>
    <w:p w14:paraId="42D1F21A">
      <w:pPr>
        <w:keepNext w:val="0"/>
        <w:keepLines w:val="0"/>
        <w:pageBreakBefore w:val="0"/>
        <w:widowControl w:val="0"/>
        <w:kinsoku/>
        <w:overflowPunct/>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五、投标保证金金额及缴纳账户</w:t>
      </w:r>
    </w:p>
    <w:p w14:paraId="7FF8A5A8">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本项目不要求投标人提交投标保证金。</w:t>
      </w:r>
    </w:p>
    <w:p w14:paraId="08EFC051">
      <w:pPr>
        <w:keepNext w:val="0"/>
        <w:keepLines w:val="0"/>
        <w:pageBreakBefore w:val="0"/>
        <w:widowControl w:val="0"/>
        <w:kinsoku/>
        <w:overflowPunct/>
        <w:autoSpaceDE/>
        <w:autoSpaceDN/>
        <w:bidi w:val="0"/>
        <w:adjustRightInd/>
        <w:snapToGrid/>
        <w:spacing w:line="5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、投标截止时间</w:t>
      </w:r>
      <w:bookmarkEnd w:id="12"/>
      <w:bookmarkEnd w:id="13"/>
      <w:bookmarkEnd w:id="14"/>
    </w:p>
    <w:p w14:paraId="4E83671F">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同开标时间</w:t>
      </w:r>
    </w:p>
    <w:p w14:paraId="3EC2919A">
      <w:pPr>
        <w:keepNext w:val="0"/>
        <w:keepLines w:val="0"/>
        <w:pageBreakBefore w:val="0"/>
        <w:widowControl w:val="0"/>
        <w:kinsoku/>
        <w:overflowPunct/>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lang w:val="en-US" w:eastAsia="zh-CN"/>
        </w:rPr>
      </w:pPr>
      <w:bookmarkStart w:id="15" w:name="_Toc23625"/>
      <w:bookmarkStart w:id="16" w:name="_Toc17642"/>
      <w:bookmarkStart w:id="17" w:name="_Toc14460"/>
      <w:r>
        <w:rPr>
          <w:rFonts w:hint="eastAsia" w:ascii="宋体" w:hAnsi="宋体" w:eastAsia="宋体" w:cs="宋体"/>
          <w:b/>
          <w:bCs/>
          <w:color w:val="auto"/>
          <w:sz w:val="21"/>
          <w:szCs w:val="21"/>
          <w:highlight w:val="none"/>
          <w:lang w:val="en-US" w:eastAsia="zh-CN"/>
        </w:rPr>
        <w:t>七、其他补充事宜</w:t>
      </w:r>
    </w:p>
    <w:p w14:paraId="7D82F8D5">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1.投标人从滁州市城投工程咨询管理有限公司（https://www.czctgczx.com/）下载。投标人自行承担因未按要求获取招标文件导致无法上传电子投标文件的风险。</w:t>
      </w:r>
    </w:p>
    <w:p w14:paraId="6D3EA43D">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48351114">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投标人登录新点电子交易平台【滁州专区】获取询价文件及其它资料（含澄清和补充说明等）。如在招标文件获取过程中遇到系统问题，请拨打技术支持服务热线0512-58151515（工作日）5或者网站首页在线客服。</w:t>
      </w:r>
    </w:p>
    <w:p w14:paraId="4D563125">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2.招标文件及相关资料售价：人民币0元/套。</w:t>
      </w:r>
    </w:p>
    <w:p w14:paraId="7C0A61FA">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31E8043C">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4.本项目采用不见面开标，投标人登录滁州市城投工程咨询管理有限公司不见面开标系统参与网上开标（网址：http://js.etrading.cn/EpointBidOpening/bidopeninghallaction/hall/login）。</w:t>
      </w:r>
    </w:p>
    <w:p w14:paraId="5CA86366">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投标人应在投标截止时间之前，登录新点电子交易平台【滁州专区】上传投标文件</w:t>
      </w:r>
    </w:p>
    <w:p w14:paraId="6B362FCB">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5.本项目仅接受加密电子投标文件投标人在投标截止时间前通过新点电子交易平台后在【滁州专区】</w:t>
      </w:r>
    </w:p>
    <w:p w14:paraId="0C5E26E6">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（https://www.etrading.cn/BREpointSSO/login/oauth2login?regioncode=DQ_ChuZhou）交易系统递交电子投标文件。</w:t>
      </w:r>
    </w:p>
    <w:p w14:paraId="110F3E5D">
      <w:pPr>
        <w:keepNext w:val="0"/>
        <w:keepLines w:val="0"/>
        <w:pageBreakBefore w:val="0"/>
        <w:widowControl w:val="0"/>
        <w:kinsoku/>
        <w:overflowPunct/>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、联系方法</w:t>
      </w:r>
      <w:bookmarkEnd w:id="15"/>
      <w:bookmarkEnd w:id="16"/>
      <w:bookmarkEnd w:id="17"/>
    </w:p>
    <w:p w14:paraId="5EC64645">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招标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滁州中都瑞华矿业发展有限公司</w:t>
      </w:r>
    </w:p>
    <w:p w14:paraId="53A69D94">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地址：安徽省滁州市凤阳县大庙镇石英砂生产集中区</w:t>
      </w:r>
    </w:p>
    <w:p w14:paraId="26E5CFDB">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w:t>
      </w:r>
      <w:r>
        <w:rPr>
          <w:rFonts w:hint="eastAsia"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rPr>
        <w:t>：高加敏</w:t>
      </w:r>
      <w:r>
        <w:rPr>
          <w:rFonts w:hint="eastAsia" w:ascii="宋体" w:hAnsi="宋体" w:eastAsia="宋体" w:cs="宋体"/>
          <w:color w:val="auto"/>
          <w:sz w:val="21"/>
          <w:szCs w:val="21"/>
          <w:highlight w:val="none"/>
          <w:lang w:val="en-US" w:eastAsia="zh-CN"/>
        </w:rPr>
        <w:t>18005505812</w:t>
      </w:r>
    </w:p>
    <w:p w14:paraId="20E7AFF7">
      <w:pPr>
        <w:keepNext w:val="0"/>
        <w:keepLines w:val="0"/>
        <w:pageBreakBefore w:val="0"/>
        <w:widowControl w:val="0"/>
        <w:numPr>
          <w:ilvl w:val="0"/>
          <w:numId w:val="0"/>
        </w:numPr>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bookmarkStart w:id="18" w:name="_Toc878"/>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代理机构：</w:t>
      </w:r>
      <w:bookmarkEnd w:id="18"/>
      <w:r>
        <w:rPr>
          <w:rFonts w:hint="eastAsia" w:ascii="宋体" w:hAnsi="宋体" w:eastAsia="宋体" w:cs="宋体"/>
          <w:color w:val="auto"/>
          <w:sz w:val="21"/>
          <w:szCs w:val="21"/>
          <w:highlight w:val="none"/>
          <w:lang w:eastAsia="zh-CN"/>
        </w:rPr>
        <w:t>滁州市城投工程咨询管理有限公司</w:t>
      </w:r>
    </w:p>
    <w:p w14:paraId="671528ED">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滁州市龙蟠大道109号房产大厦6楼</w:t>
      </w:r>
    </w:p>
    <w:p w14:paraId="53295F98">
      <w:pPr>
        <w:keepNext w:val="0"/>
        <w:keepLines w:val="0"/>
        <w:pageBreakBefore w:val="0"/>
        <w:widowControl w:val="0"/>
        <w:kinsoku/>
        <w:overflowPunct/>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w:t>
      </w:r>
      <w:r>
        <w:rPr>
          <w:rFonts w:hint="eastAsia"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杨韦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0550-3519590、18005501210</w:t>
      </w:r>
    </w:p>
    <w:p w14:paraId="1BBE3AAD">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9EAA82F">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第二章 投标人须知</w:t>
      </w:r>
      <w:bookmarkEnd w:id="2"/>
    </w:p>
    <w:p w14:paraId="4A72FE9D">
      <w:pPr>
        <w:snapToGrid w:val="0"/>
        <w:spacing w:line="500" w:lineRule="exact"/>
        <w:jc w:val="center"/>
        <w:outlineLvl w:val="1"/>
        <w:rPr>
          <w:rFonts w:hint="eastAsia" w:ascii="宋体"/>
          <w:b/>
          <w:color w:val="auto"/>
          <w:sz w:val="28"/>
          <w:szCs w:val="28"/>
          <w:highlight w:val="none"/>
        </w:rPr>
      </w:pPr>
      <w:bookmarkStart w:id="19" w:name="_Toc58430314"/>
      <w:bookmarkStart w:id="20" w:name="_Toc449028865"/>
      <w:r>
        <w:rPr>
          <w:rFonts w:hint="eastAsia" w:ascii="宋体"/>
          <w:b/>
          <w:color w:val="auto"/>
          <w:sz w:val="28"/>
          <w:szCs w:val="28"/>
          <w:highlight w:val="none"/>
        </w:rPr>
        <w:t>投标人须知前附表</w:t>
      </w:r>
      <w:bookmarkEnd w:id="19"/>
      <w:bookmarkEnd w:id="20"/>
    </w:p>
    <w:tbl>
      <w:tblPr>
        <w:tblStyle w:val="35"/>
        <w:tblW w:w="1020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20"/>
        <w:gridCol w:w="2203"/>
        <w:gridCol w:w="6977"/>
      </w:tblGrid>
      <w:tr w14:paraId="461785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1020" w:type="dxa"/>
            <w:noWrap w:val="0"/>
            <w:vAlign w:val="center"/>
          </w:tcPr>
          <w:p w14:paraId="15254585">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序</w:t>
            </w:r>
            <w:bookmarkStart w:id="61" w:name="_GoBack"/>
            <w:bookmarkEnd w:id="61"/>
            <w:r>
              <w:rPr>
                <w:rFonts w:hint="eastAsia" w:ascii="宋体" w:hAnsi="宋体" w:eastAsia="宋体" w:cs="宋体"/>
                <w:b/>
                <w:color w:val="auto"/>
                <w:sz w:val="21"/>
                <w:szCs w:val="21"/>
                <w:highlight w:val="none"/>
              </w:rPr>
              <w:t>号</w:t>
            </w:r>
          </w:p>
        </w:tc>
        <w:tc>
          <w:tcPr>
            <w:tcW w:w="2203" w:type="dxa"/>
            <w:noWrap w:val="0"/>
            <w:vAlign w:val="center"/>
          </w:tcPr>
          <w:p w14:paraId="32FA1FDF">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6977" w:type="dxa"/>
            <w:noWrap w:val="0"/>
            <w:vAlign w:val="center"/>
          </w:tcPr>
          <w:p w14:paraId="37629B3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53FBBB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20" w:type="dxa"/>
            <w:noWrap w:val="0"/>
            <w:vAlign w:val="center"/>
          </w:tcPr>
          <w:p w14:paraId="18C655BE">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03" w:type="dxa"/>
            <w:noWrap w:val="0"/>
            <w:vAlign w:val="center"/>
          </w:tcPr>
          <w:p w14:paraId="1B7B534E">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977" w:type="dxa"/>
            <w:noWrap w:val="0"/>
            <w:vAlign w:val="center"/>
          </w:tcPr>
          <w:p w14:paraId="0C14531F">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凤阳县灵山～木屐山矿区新2号段石英岩矿深部开采工程对官塘水库影响分析报告编制服务项目</w:t>
            </w:r>
          </w:p>
        </w:tc>
      </w:tr>
      <w:tr w14:paraId="09FC3A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1020" w:type="dxa"/>
            <w:noWrap w:val="0"/>
            <w:vAlign w:val="center"/>
          </w:tcPr>
          <w:p w14:paraId="6233B0B8">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203" w:type="dxa"/>
            <w:noWrap w:val="0"/>
            <w:vAlign w:val="center"/>
          </w:tcPr>
          <w:p w14:paraId="728D923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6977" w:type="dxa"/>
            <w:noWrap w:val="0"/>
            <w:vAlign w:val="center"/>
          </w:tcPr>
          <w:p w14:paraId="47D8B9B7">
            <w:pPr>
              <w:pStyle w:val="20"/>
              <w:keepNext w:val="0"/>
              <w:keepLines w:val="0"/>
              <w:pageBreakBefore w:val="0"/>
              <w:numPr>
                <w:ilvl w:val="0"/>
                <w:numId w:val="0"/>
              </w:numPr>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见招标公告</w:t>
            </w:r>
          </w:p>
        </w:tc>
      </w:tr>
      <w:tr w14:paraId="5DE16F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1020" w:type="dxa"/>
            <w:noWrap w:val="0"/>
            <w:vAlign w:val="center"/>
          </w:tcPr>
          <w:p w14:paraId="4C7352E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203" w:type="dxa"/>
            <w:noWrap w:val="0"/>
            <w:vAlign w:val="center"/>
          </w:tcPr>
          <w:p w14:paraId="2DE560DC">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977" w:type="dxa"/>
            <w:noWrap w:val="0"/>
            <w:vAlign w:val="center"/>
          </w:tcPr>
          <w:p w14:paraId="7A1AD6BA">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凤阳县灵山～木屐山矿区</w:t>
            </w:r>
          </w:p>
        </w:tc>
      </w:tr>
      <w:tr w14:paraId="373832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1020" w:type="dxa"/>
            <w:noWrap w:val="0"/>
            <w:vAlign w:val="center"/>
          </w:tcPr>
          <w:p w14:paraId="594D12EE">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203" w:type="dxa"/>
            <w:noWrap w:val="0"/>
            <w:vAlign w:val="center"/>
          </w:tcPr>
          <w:p w14:paraId="659DA704">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6977" w:type="dxa"/>
            <w:noWrap w:val="0"/>
            <w:vAlign w:val="center"/>
          </w:tcPr>
          <w:p w14:paraId="38B67F12">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见招标公告</w:t>
            </w:r>
          </w:p>
        </w:tc>
      </w:tr>
      <w:tr w14:paraId="158926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1020" w:type="dxa"/>
            <w:noWrap w:val="0"/>
            <w:vAlign w:val="center"/>
          </w:tcPr>
          <w:p w14:paraId="6F5A79E1">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203" w:type="dxa"/>
            <w:noWrap w:val="0"/>
            <w:vAlign w:val="center"/>
          </w:tcPr>
          <w:p w14:paraId="17501818">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6977" w:type="dxa"/>
            <w:noWrap w:val="0"/>
            <w:vAlign w:val="center"/>
          </w:tcPr>
          <w:p w14:paraId="35C6C862">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见招标公告</w:t>
            </w:r>
          </w:p>
        </w:tc>
      </w:tr>
      <w:tr w14:paraId="2E0F10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1020" w:type="dxa"/>
            <w:noWrap w:val="0"/>
            <w:vAlign w:val="center"/>
          </w:tcPr>
          <w:p w14:paraId="49AFA701">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203" w:type="dxa"/>
            <w:noWrap w:val="0"/>
            <w:vAlign w:val="center"/>
          </w:tcPr>
          <w:p w14:paraId="12C1325C">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资金来源                                                                                                                                                                 </w:t>
            </w:r>
          </w:p>
        </w:tc>
        <w:tc>
          <w:tcPr>
            <w:tcW w:w="6977" w:type="dxa"/>
            <w:noWrap w:val="0"/>
            <w:vAlign w:val="center"/>
          </w:tcPr>
          <w:p w14:paraId="0C73ACA1">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自筹资金</w:t>
            </w:r>
          </w:p>
        </w:tc>
      </w:tr>
      <w:tr w14:paraId="5802BA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1020" w:type="dxa"/>
            <w:noWrap w:val="0"/>
            <w:vAlign w:val="center"/>
          </w:tcPr>
          <w:p w14:paraId="55F80F40">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203" w:type="dxa"/>
            <w:noWrap w:val="0"/>
            <w:vAlign w:val="center"/>
          </w:tcPr>
          <w:p w14:paraId="730C3755">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6977" w:type="dxa"/>
            <w:noWrap w:val="0"/>
            <w:vAlign w:val="center"/>
          </w:tcPr>
          <w:p w14:paraId="5421B931">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62000.00元</w:t>
            </w:r>
          </w:p>
        </w:tc>
      </w:tr>
      <w:tr w14:paraId="20BB33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57042BC8">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203" w:type="dxa"/>
            <w:noWrap w:val="0"/>
            <w:vAlign w:val="center"/>
          </w:tcPr>
          <w:p w14:paraId="73697399">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6977" w:type="dxa"/>
            <w:noWrap w:val="0"/>
            <w:vAlign w:val="center"/>
          </w:tcPr>
          <w:p w14:paraId="2EFCC5D2">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62000.00元，投标报价不得高于最高限价，否则将作为无效投标处理。</w:t>
            </w:r>
          </w:p>
        </w:tc>
      </w:tr>
      <w:tr w14:paraId="5E73C9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61EB021C">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203" w:type="dxa"/>
            <w:noWrap w:val="0"/>
            <w:vAlign w:val="center"/>
          </w:tcPr>
          <w:p w14:paraId="4BEB79C3">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6977" w:type="dxa"/>
            <w:noWrap w:val="0"/>
            <w:vAlign w:val="center"/>
          </w:tcPr>
          <w:p w14:paraId="419BB4BF">
            <w:pPr>
              <w:keepNext w:val="0"/>
              <w:keepLines w:val="0"/>
              <w:pageBreakBefore w:val="0"/>
              <w:widowControl w:val="0"/>
              <w:kinsoku/>
              <w:wordWrap/>
              <w:overflowPunct/>
              <w:topLinePunct w:val="0"/>
              <w:autoSpaceDE/>
              <w:autoSpaceDN/>
              <w:bidi w:val="0"/>
              <w:adjustRightInd/>
              <w:snapToGrid/>
              <w:spacing w:line="500" w:lineRule="exact"/>
              <w:ind w:left="0" w:leftChars="0" w:right="40" w:rightChars="19"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见招标公告</w:t>
            </w:r>
          </w:p>
        </w:tc>
      </w:tr>
      <w:tr w14:paraId="5B3E87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1020" w:type="dxa"/>
            <w:noWrap w:val="0"/>
            <w:vAlign w:val="center"/>
          </w:tcPr>
          <w:p w14:paraId="6400B1B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203" w:type="dxa"/>
            <w:noWrap w:val="0"/>
            <w:vAlign w:val="center"/>
          </w:tcPr>
          <w:p w14:paraId="4D0EDA27">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6977" w:type="dxa"/>
            <w:noWrap w:val="0"/>
            <w:vAlign w:val="center"/>
          </w:tcPr>
          <w:p w14:paraId="4E82940A">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57B499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020" w:type="dxa"/>
            <w:noWrap w:val="0"/>
            <w:vAlign w:val="center"/>
          </w:tcPr>
          <w:p w14:paraId="4FE888D0">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203" w:type="dxa"/>
            <w:noWrap w:val="0"/>
            <w:vAlign w:val="center"/>
          </w:tcPr>
          <w:p w14:paraId="64025B4B">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977" w:type="dxa"/>
            <w:noWrap w:val="0"/>
            <w:vAlign w:val="center"/>
          </w:tcPr>
          <w:p w14:paraId="2B2C9BD1">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14:paraId="546C09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020" w:type="dxa"/>
            <w:noWrap w:val="0"/>
            <w:vAlign w:val="center"/>
          </w:tcPr>
          <w:p w14:paraId="327012E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203" w:type="dxa"/>
            <w:noWrap w:val="0"/>
            <w:vAlign w:val="center"/>
          </w:tcPr>
          <w:p w14:paraId="710F1076">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投标人资格条件及其他要求</w:t>
            </w:r>
          </w:p>
        </w:tc>
        <w:tc>
          <w:tcPr>
            <w:tcW w:w="6977" w:type="dxa"/>
            <w:noWrap w:val="0"/>
            <w:vAlign w:val="center"/>
          </w:tcPr>
          <w:p w14:paraId="239F416C">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w:t>
            </w:r>
            <w:r>
              <w:rPr>
                <w:rFonts w:hint="eastAsia" w:ascii="宋体" w:hAnsi="宋体" w:eastAsia="宋体" w:cs="宋体"/>
                <w:color w:val="auto"/>
                <w:sz w:val="21"/>
                <w:szCs w:val="21"/>
                <w:highlight w:val="none"/>
                <w:lang w:val="en-US" w:eastAsia="zh-CN"/>
              </w:rPr>
              <w:t>招标公告</w:t>
            </w:r>
            <w:r>
              <w:rPr>
                <w:rFonts w:hint="eastAsia" w:ascii="宋体" w:hAnsi="宋体" w:eastAsia="宋体" w:cs="宋体"/>
                <w:color w:val="auto"/>
                <w:sz w:val="21"/>
                <w:szCs w:val="21"/>
                <w:highlight w:val="none"/>
              </w:rPr>
              <w:t>”</w:t>
            </w:r>
          </w:p>
        </w:tc>
      </w:tr>
      <w:tr w14:paraId="43D8EA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1953EA1E">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203" w:type="dxa"/>
            <w:noWrap w:val="0"/>
            <w:vAlign w:val="center"/>
          </w:tcPr>
          <w:p w14:paraId="53093B17">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977" w:type="dxa"/>
            <w:noWrap w:val="0"/>
            <w:vAlign w:val="center"/>
          </w:tcPr>
          <w:p w14:paraId="50E11512">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不组织,投标人自行踏勘现场</w:t>
            </w:r>
            <w:r>
              <w:rPr>
                <w:rFonts w:hint="eastAsia" w:hAnsi="宋体" w:cs="宋体"/>
                <w:color w:val="auto"/>
                <w:sz w:val="21"/>
                <w:szCs w:val="21"/>
                <w:highlight w:val="none"/>
                <w:lang w:eastAsia="zh-CN"/>
              </w:rPr>
              <w:t>。</w:t>
            </w:r>
          </w:p>
        </w:tc>
      </w:tr>
      <w:tr w14:paraId="5733C5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55CE5AC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203" w:type="dxa"/>
            <w:noWrap w:val="0"/>
            <w:vAlign w:val="center"/>
          </w:tcPr>
          <w:p w14:paraId="0A1EC1A9">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977" w:type="dxa"/>
            <w:noWrap w:val="0"/>
            <w:vAlign w:val="center"/>
          </w:tcPr>
          <w:p w14:paraId="7D358375">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1C15DD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1020" w:type="dxa"/>
            <w:noWrap w:val="0"/>
            <w:vAlign w:val="center"/>
          </w:tcPr>
          <w:p w14:paraId="663F43C5">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203" w:type="dxa"/>
            <w:noWrap w:val="0"/>
            <w:vAlign w:val="center"/>
          </w:tcPr>
          <w:p w14:paraId="7E43508B">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6977" w:type="dxa"/>
            <w:noWrap w:val="0"/>
            <w:vAlign w:val="center"/>
          </w:tcPr>
          <w:p w14:paraId="63C4DD2A">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本项目不接受联合体投标</w:t>
            </w:r>
            <w:r>
              <w:rPr>
                <w:rFonts w:hint="eastAsia" w:hAnsi="宋体" w:cs="宋体"/>
                <w:color w:val="auto"/>
                <w:sz w:val="21"/>
                <w:szCs w:val="21"/>
                <w:highlight w:val="none"/>
                <w:lang w:val="en-US" w:eastAsia="zh-CN"/>
              </w:rPr>
              <w:t>。</w:t>
            </w:r>
          </w:p>
        </w:tc>
      </w:tr>
      <w:tr w14:paraId="20B379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1020" w:type="dxa"/>
            <w:noWrap w:val="0"/>
            <w:vAlign w:val="center"/>
          </w:tcPr>
          <w:p w14:paraId="68A3871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2203" w:type="dxa"/>
            <w:noWrap w:val="0"/>
            <w:vAlign w:val="center"/>
          </w:tcPr>
          <w:p w14:paraId="6C6B86E6">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6977" w:type="dxa"/>
            <w:noWrap w:val="0"/>
            <w:vAlign w:val="center"/>
          </w:tcPr>
          <w:p w14:paraId="72DC074E">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代理服务费金额：</w:t>
            </w:r>
            <w:r>
              <w:rPr>
                <w:rFonts w:hint="eastAsia" w:ascii="宋体" w:hAnsi="宋体" w:cs="宋体"/>
                <w:bCs/>
                <w:color w:val="auto"/>
                <w:kern w:val="0"/>
                <w:sz w:val="21"/>
                <w:szCs w:val="21"/>
                <w:highlight w:val="none"/>
                <w:lang w:val="en-US" w:eastAsia="zh-CN"/>
              </w:rPr>
              <w:t>1500</w:t>
            </w:r>
            <w:r>
              <w:rPr>
                <w:rFonts w:hint="eastAsia" w:ascii="宋体" w:hAnsi="宋体" w:eastAsia="宋体" w:cs="宋体"/>
                <w:bCs/>
                <w:color w:val="auto"/>
                <w:kern w:val="0"/>
                <w:sz w:val="21"/>
                <w:szCs w:val="21"/>
                <w:highlight w:val="none"/>
              </w:rPr>
              <w:t>元，不含专家评委费，专家评委费以实际发生费用为准。</w:t>
            </w:r>
          </w:p>
          <w:p w14:paraId="0D18545C">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代理服务费及专家评审费支付主体：中标单位，中标单位在获取中标通知书时一次性支付给代理机构。</w:t>
            </w:r>
          </w:p>
        </w:tc>
      </w:tr>
      <w:tr w14:paraId="618B3B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4C0506D3">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2203" w:type="dxa"/>
            <w:noWrap w:val="0"/>
            <w:vAlign w:val="center"/>
          </w:tcPr>
          <w:p w14:paraId="48B05498">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6977" w:type="dxa"/>
            <w:noWrap w:val="0"/>
            <w:vAlign w:val="center"/>
          </w:tcPr>
          <w:p w14:paraId="2B293634">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w:t>
            </w:r>
            <w:r>
              <w:rPr>
                <w:rFonts w:hint="eastAsia" w:ascii="宋体" w:hAnsi="宋体" w:cs="宋体"/>
                <w:b/>
                <w:bCs/>
                <w:color w:val="auto"/>
                <w:sz w:val="21"/>
                <w:szCs w:val="21"/>
                <w:highlight w:val="none"/>
                <w:lang w:val="en-US" w:eastAsia="zh-CN"/>
              </w:rPr>
              <w:t>前</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以澄清公告形式在滁州市兴滁矿业投资集团有限公司网站（http://www.xckytz.com/index.html）、滁州市城投工程咨询管理有限公司网站（https://www.czctgczx.com/）予以公告。</w:t>
            </w:r>
          </w:p>
        </w:tc>
      </w:tr>
      <w:tr w14:paraId="185415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75609E1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2203" w:type="dxa"/>
            <w:noWrap w:val="0"/>
            <w:vAlign w:val="center"/>
          </w:tcPr>
          <w:p w14:paraId="19C1438E">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977" w:type="dxa"/>
            <w:noWrap w:val="0"/>
            <w:vAlign w:val="center"/>
          </w:tcPr>
          <w:p w14:paraId="05319109">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6A7757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03353D23">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2203" w:type="dxa"/>
            <w:noWrap w:val="0"/>
            <w:vAlign w:val="center"/>
          </w:tcPr>
          <w:p w14:paraId="3867C57B">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977" w:type="dxa"/>
            <w:noWrap w:val="0"/>
            <w:vAlign w:val="top"/>
          </w:tcPr>
          <w:p w14:paraId="07D201CB">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不收取</w:t>
            </w:r>
          </w:p>
        </w:tc>
      </w:tr>
      <w:tr w14:paraId="69B903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1020" w:type="dxa"/>
            <w:noWrap w:val="0"/>
            <w:vAlign w:val="center"/>
          </w:tcPr>
          <w:p w14:paraId="6CB5CBD6">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2203" w:type="dxa"/>
            <w:noWrap w:val="0"/>
            <w:vAlign w:val="center"/>
          </w:tcPr>
          <w:p w14:paraId="78568F55">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投标文件数量</w:t>
            </w:r>
          </w:p>
        </w:tc>
        <w:tc>
          <w:tcPr>
            <w:tcW w:w="6977" w:type="dxa"/>
            <w:noWrap w:val="0"/>
            <w:vAlign w:val="center"/>
          </w:tcPr>
          <w:p w14:paraId="2758992D">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加密电子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文件应在</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截止时间前通过</w:t>
            </w:r>
            <w:r>
              <w:rPr>
                <w:rFonts w:hint="eastAsia" w:ascii="宋体" w:hAnsi="宋体" w:eastAsia="宋体" w:cs="宋体"/>
                <w:b/>
                <w:bCs/>
                <w:color w:val="auto"/>
                <w:sz w:val="21"/>
                <w:szCs w:val="21"/>
                <w:highlight w:val="none"/>
                <w:lang w:val="en-US" w:eastAsia="zh-CN"/>
              </w:rPr>
              <w:t>登录新点电子交易平台【滁州专区】上传投标文件</w:t>
            </w:r>
            <w:r>
              <w:rPr>
                <w:rFonts w:hint="eastAsia" w:ascii="宋体" w:hAnsi="宋体" w:eastAsia="宋体" w:cs="宋体"/>
                <w:b/>
                <w:bCs/>
                <w:color w:val="auto"/>
                <w:sz w:val="21"/>
                <w:szCs w:val="21"/>
                <w:highlight w:val="none"/>
              </w:rPr>
              <w:t>。</w:t>
            </w:r>
          </w:p>
          <w:p w14:paraId="338D62EF">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投标人中标</w:t>
            </w:r>
            <w:r>
              <w:rPr>
                <w:rFonts w:hint="eastAsia" w:ascii="宋体" w:hAnsi="宋体" w:eastAsia="宋体" w:cs="宋体"/>
                <w:b/>
                <w:bCs/>
                <w:color w:val="auto"/>
                <w:sz w:val="21"/>
                <w:szCs w:val="21"/>
                <w:highlight w:val="none"/>
              </w:rPr>
              <w:t>后须递交与网上电子</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文件完全一致的纸质版</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文件，并按要求加盖单位</w:t>
            </w:r>
            <w:r>
              <w:rPr>
                <w:rFonts w:hint="eastAsia" w:ascii="宋体" w:hAnsi="宋体" w:eastAsia="宋体" w:cs="宋体"/>
                <w:b/>
                <w:bCs/>
                <w:color w:val="auto"/>
                <w:sz w:val="21"/>
                <w:szCs w:val="21"/>
                <w:highlight w:val="none"/>
                <w:lang w:val="en-US" w:eastAsia="zh-CN"/>
              </w:rPr>
              <w:t>公</w:t>
            </w:r>
            <w:r>
              <w:rPr>
                <w:rFonts w:hint="eastAsia" w:ascii="宋体" w:hAnsi="宋体" w:eastAsia="宋体" w:cs="宋体"/>
                <w:b/>
                <w:bCs/>
                <w:color w:val="auto"/>
                <w:sz w:val="21"/>
                <w:szCs w:val="21"/>
                <w:highlight w:val="none"/>
              </w:rPr>
              <w:t xml:space="preserve">章；份数：正本 </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 xml:space="preserve"> 份，副本</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份；</w:t>
            </w:r>
            <w:r>
              <w:rPr>
                <w:rFonts w:hint="eastAsia" w:ascii="宋体" w:hAnsi="宋体" w:eastAsia="宋体" w:cs="宋体"/>
                <w:b/>
                <w:bCs/>
                <w:color w:val="auto"/>
                <w:sz w:val="21"/>
                <w:szCs w:val="21"/>
                <w:highlight w:val="none"/>
                <w:lang w:val="en-US" w:eastAsia="zh-CN"/>
              </w:rPr>
              <w:t>中标人领</w:t>
            </w:r>
            <w:r>
              <w:rPr>
                <w:rFonts w:hint="eastAsia" w:ascii="宋体" w:hAnsi="宋体" w:eastAsia="宋体" w:cs="宋体"/>
                <w:b/>
                <w:bCs/>
                <w:color w:val="auto"/>
                <w:sz w:val="21"/>
                <w:szCs w:val="21"/>
                <w:highlight w:val="none"/>
              </w:rPr>
              <w:t>取</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通知书时，一并递交给代理机构）。</w:t>
            </w:r>
          </w:p>
        </w:tc>
      </w:tr>
      <w:tr w14:paraId="633D8D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04A10E27">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2203" w:type="dxa"/>
            <w:noWrap w:val="0"/>
            <w:vAlign w:val="center"/>
          </w:tcPr>
          <w:p w14:paraId="3B347BAC">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977" w:type="dxa"/>
            <w:noWrap w:val="0"/>
            <w:vAlign w:val="center"/>
          </w:tcPr>
          <w:p w14:paraId="5261DACE">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投标文件须按格式文件要求签字或盖章，否则经评委会一致认定后，按照无效投标处理。</w:t>
            </w:r>
          </w:p>
        </w:tc>
      </w:tr>
      <w:tr w14:paraId="444C3B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35EE6CDF">
            <w:pPr>
              <w:keepNext w:val="0"/>
              <w:keepLines w:val="0"/>
              <w:pageBreakBefore w:val="0"/>
              <w:kinsoku/>
              <w:overflowPunct/>
              <w:topLinePunct w:val="0"/>
              <w:autoSpaceDE/>
              <w:autoSpaceDN/>
              <w:bidi w:val="0"/>
              <w:adjustRightInd/>
              <w:spacing w:line="5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w:t>
            </w:r>
          </w:p>
        </w:tc>
        <w:tc>
          <w:tcPr>
            <w:tcW w:w="2203" w:type="dxa"/>
            <w:noWrap w:val="0"/>
            <w:vAlign w:val="center"/>
          </w:tcPr>
          <w:p w14:paraId="4ABD2E56">
            <w:pPr>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开标时间</w:t>
            </w:r>
          </w:p>
        </w:tc>
        <w:tc>
          <w:tcPr>
            <w:tcW w:w="6977" w:type="dxa"/>
            <w:noWrap w:val="0"/>
            <w:vAlign w:val="center"/>
          </w:tcPr>
          <w:p w14:paraId="411E9F35">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z w:val="21"/>
                <w:szCs w:val="21"/>
                <w:highlight w:val="none"/>
                <w:u w:val="none"/>
              </w:rPr>
            </w:pPr>
            <w:r>
              <w:rPr>
                <w:rFonts w:hint="eastAsia" w:ascii="宋体" w:hAnsi="宋体" w:cs="宋体"/>
                <w:b/>
                <w:bCs/>
                <w:color w:val="auto"/>
                <w:sz w:val="21"/>
                <w:szCs w:val="21"/>
                <w:highlight w:val="none"/>
                <w:u w:val="none"/>
                <w:lang w:val="en-US" w:eastAsia="zh-CN"/>
              </w:rPr>
              <w:t>开标时间：</w:t>
            </w:r>
            <w:r>
              <w:rPr>
                <w:rFonts w:hint="eastAsia" w:ascii="宋体" w:hAnsi="宋体" w:eastAsia="宋体" w:cs="宋体"/>
                <w:b/>
                <w:bCs/>
                <w:color w:val="auto"/>
                <w:sz w:val="21"/>
                <w:szCs w:val="21"/>
                <w:highlight w:val="none"/>
                <w:u w:val="none"/>
              </w:rPr>
              <w:t>202</w:t>
            </w:r>
            <w:r>
              <w:rPr>
                <w:rFonts w:hint="eastAsia" w:ascii="宋体" w:hAnsi="宋体" w:eastAsia="宋体" w:cs="宋体"/>
                <w:b/>
                <w:bCs/>
                <w:color w:val="auto"/>
                <w:sz w:val="21"/>
                <w:szCs w:val="21"/>
                <w:highlight w:val="none"/>
                <w:u w:val="none"/>
                <w:lang w:val="en-US" w:eastAsia="zh-CN"/>
              </w:rPr>
              <w:t>6</w:t>
            </w:r>
            <w:r>
              <w:rPr>
                <w:rFonts w:hint="eastAsia" w:ascii="宋体" w:hAnsi="宋体" w:eastAsia="宋体" w:cs="宋体"/>
                <w:b/>
                <w:bCs/>
                <w:color w:val="auto"/>
                <w:sz w:val="21"/>
                <w:szCs w:val="21"/>
                <w:highlight w:val="none"/>
                <w:u w:val="none"/>
              </w:rPr>
              <w:t>年</w:t>
            </w:r>
            <w:r>
              <w:rPr>
                <w:rFonts w:hint="eastAsia" w:ascii="宋体" w:hAnsi="宋体" w:cs="宋体"/>
                <w:b/>
                <w:bCs/>
                <w:color w:val="auto"/>
                <w:sz w:val="21"/>
                <w:szCs w:val="21"/>
                <w:highlight w:val="none"/>
                <w:u w:val="none"/>
                <w:lang w:val="en-US" w:eastAsia="zh-CN"/>
              </w:rPr>
              <w:t>6</w:t>
            </w:r>
            <w:r>
              <w:rPr>
                <w:rFonts w:hint="eastAsia" w:ascii="宋体" w:hAnsi="宋体" w:eastAsia="宋体" w:cs="宋体"/>
                <w:b/>
                <w:bCs/>
                <w:color w:val="auto"/>
                <w:sz w:val="21"/>
                <w:szCs w:val="21"/>
                <w:highlight w:val="none"/>
                <w:u w:val="none"/>
              </w:rPr>
              <w:t>月</w:t>
            </w:r>
            <w:r>
              <w:rPr>
                <w:rFonts w:hint="eastAsia" w:ascii="宋体" w:hAnsi="宋体" w:cs="宋体"/>
                <w:b/>
                <w:bCs/>
                <w:color w:val="auto"/>
                <w:sz w:val="21"/>
                <w:szCs w:val="21"/>
                <w:highlight w:val="none"/>
                <w:u w:val="none"/>
                <w:lang w:val="en-US" w:eastAsia="zh-CN"/>
              </w:rPr>
              <w:t>22</w:t>
            </w:r>
            <w:r>
              <w:rPr>
                <w:rFonts w:hint="eastAsia" w:ascii="宋体" w:hAnsi="宋体" w:eastAsia="宋体" w:cs="宋体"/>
                <w:b/>
                <w:bCs/>
                <w:color w:val="auto"/>
                <w:sz w:val="21"/>
                <w:szCs w:val="21"/>
                <w:highlight w:val="none"/>
                <w:u w:val="none"/>
              </w:rPr>
              <w:t>日</w:t>
            </w:r>
            <w:r>
              <w:rPr>
                <w:rFonts w:hint="eastAsia" w:ascii="宋体" w:hAnsi="宋体" w:cs="宋体"/>
                <w:b/>
                <w:bCs/>
                <w:color w:val="auto"/>
                <w:sz w:val="21"/>
                <w:szCs w:val="21"/>
                <w:highlight w:val="none"/>
                <w:u w:val="none"/>
                <w:lang w:val="en-US" w:eastAsia="zh-CN"/>
              </w:rPr>
              <w:t>10</w:t>
            </w:r>
            <w:r>
              <w:rPr>
                <w:rFonts w:hint="eastAsia" w:ascii="宋体" w:hAnsi="宋体" w:eastAsia="宋体" w:cs="宋体"/>
                <w:b/>
                <w:bCs/>
                <w:color w:val="auto"/>
                <w:sz w:val="21"/>
                <w:szCs w:val="21"/>
                <w:highlight w:val="none"/>
                <w:u w:val="none"/>
              </w:rPr>
              <w:t>时</w:t>
            </w:r>
            <w:r>
              <w:rPr>
                <w:rFonts w:hint="eastAsia" w:ascii="宋体" w:hAnsi="宋体" w:cs="宋体"/>
                <w:b/>
                <w:bCs/>
                <w:color w:val="auto"/>
                <w:sz w:val="21"/>
                <w:szCs w:val="21"/>
                <w:highlight w:val="none"/>
                <w:u w:val="none"/>
                <w:lang w:val="en-US" w:eastAsia="zh-CN"/>
              </w:rPr>
              <w:t>30</w:t>
            </w:r>
            <w:r>
              <w:rPr>
                <w:rFonts w:hint="eastAsia" w:ascii="宋体" w:hAnsi="宋体" w:eastAsia="宋体" w:cs="宋体"/>
                <w:b/>
                <w:bCs/>
                <w:color w:val="auto"/>
                <w:sz w:val="21"/>
                <w:szCs w:val="21"/>
                <w:highlight w:val="none"/>
                <w:u w:val="none"/>
              </w:rPr>
              <w:t>分</w:t>
            </w:r>
          </w:p>
          <w:p w14:paraId="431C49C1">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color w:val="auto"/>
                <w:sz w:val="21"/>
                <w:szCs w:val="21"/>
                <w:highlight w:val="none"/>
              </w:rPr>
              <w:t>解密时间：解密程序开始后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分钟内</w:t>
            </w:r>
            <w:r>
              <w:rPr>
                <w:rFonts w:hint="eastAsia" w:ascii="宋体" w:hAnsi="宋体" w:eastAsia="宋体" w:cs="宋体"/>
                <w:bCs/>
                <w:snapToGrid w:val="0"/>
                <w:color w:val="auto"/>
                <w:kern w:val="0"/>
                <w:sz w:val="21"/>
                <w:szCs w:val="21"/>
                <w:highlight w:val="none"/>
              </w:rPr>
              <w:t>，</w:t>
            </w:r>
            <w:r>
              <w:rPr>
                <w:rFonts w:hint="eastAsia" w:ascii="宋体" w:hAnsi="宋体" w:eastAsia="宋体" w:cs="宋体"/>
                <w:b/>
                <w:bCs/>
                <w:color w:val="auto"/>
                <w:sz w:val="21"/>
                <w:szCs w:val="21"/>
                <w:highlight w:val="none"/>
              </w:rPr>
              <w:t>解密时间为</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22</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10</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30</w:t>
            </w:r>
            <w:r>
              <w:rPr>
                <w:rFonts w:hint="eastAsia" w:ascii="宋体" w:hAnsi="宋体" w:eastAsia="宋体" w:cs="宋体"/>
                <w:b/>
                <w:bCs/>
                <w:color w:val="auto"/>
                <w:sz w:val="21"/>
                <w:szCs w:val="21"/>
                <w:highlight w:val="none"/>
              </w:rPr>
              <w:t>分至</w:t>
            </w:r>
            <w:r>
              <w:rPr>
                <w:rFonts w:hint="eastAsia" w:ascii="宋体" w:hAnsi="宋体" w:eastAsia="宋体" w:cs="宋体"/>
                <w:b/>
                <w:bCs/>
                <w:color w:val="auto"/>
                <w:sz w:val="21"/>
                <w:szCs w:val="21"/>
                <w:highlight w:val="none"/>
                <w:u w:val="single"/>
                <w:lang w:val="en-US" w:eastAsia="zh-CN"/>
              </w:rPr>
              <w:t>2026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22</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u w:val="single"/>
                <w:lang w:val="en-US" w:eastAsia="zh-CN"/>
              </w:rPr>
              <w:t>11</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u w:val="single"/>
                <w:lang w:val="en-US" w:eastAsia="zh-CN"/>
              </w:rPr>
              <w:t>00</w:t>
            </w:r>
            <w:r>
              <w:rPr>
                <w:rFonts w:hint="eastAsia" w:ascii="宋体" w:hAnsi="宋体" w:eastAsia="宋体" w:cs="宋体"/>
                <w:b/>
                <w:bCs/>
                <w:color w:val="auto"/>
                <w:sz w:val="21"/>
                <w:szCs w:val="21"/>
                <w:highlight w:val="none"/>
              </w:rPr>
              <w:t>分</w:t>
            </w:r>
            <w:r>
              <w:rPr>
                <w:rFonts w:hint="eastAsia" w:ascii="宋体" w:hAnsi="宋体" w:eastAsia="宋体" w:cs="宋体"/>
                <w:bCs/>
                <w:snapToGrid w:val="0"/>
                <w:color w:val="auto"/>
                <w:kern w:val="0"/>
                <w:sz w:val="21"/>
                <w:szCs w:val="21"/>
                <w:highlight w:val="none"/>
              </w:rPr>
              <w:t>（以电子交易系统解密倒计时为准）</w:t>
            </w:r>
            <w:r>
              <w:rPr>
                <w:rFonts w:hint="eastAsia" w:ascii="宋体" w:hAnsi="宋体" w:eastAsia="宋体" w:cs="宋体"/>
                <w:color w:val="auto"/>
                <w:sz w:val="21"/>
                <w:szCs w:val="21"/>
                <w:highlight w:val="none"/>
              </w:rPr>
              <w:t>。</w:t>
            </w:r>
          </w:p>
        </w:tc>
      </w:tr>
      <w:tr w14:paraId="24CC8F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1020" w:type="dxa"/>
            <w:noWrap w:val="0"/>
            <w:vAlign w:val="center"/>
          </w:tcPr>
          <w:p w14:paraId="6C76F966">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p>
        </w:tc>
        <w:tc>
          <w:tcPr>
            <w:tcW w:w="2203" w:type="dxa"/>
            <w:noWrap w:val="0"/>
            <w:vAlign w:val="center"/>
          </w:tcPr>
          <w:p w14:paraId="4A033ACB">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投标文件提交截止时间及地点</w:t>
            </w:r>
          </w:p>
        </w:tc>
        <w:tc>
          <w:tcPr>
            <w:tcW w:w="6977" w:type="dxa"/>
            <w:noWrap w:val="0"/>
            <w:vAlign w:val="center"/>
          </w:tcPr>
          <w:p w14:paraId="07643FC4">
            <w:pPr>
              <w:keepNext w:val="0"/>
              <w:keepLines w:val="0"/>
              <w:pageBreakBefore w:val="0"/>
              <w:widowControl/>
              <w:kinsoku/>
              <w:wordWrap/>
              <w:overflowPunct/>
              <w:topLinePunct w:val="0"/>
              <w:autoSpaceDE/>
              <w:autoSpaceDN/>
              <w:bidi w:val="0"/>
              <w:adjustRightIn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时间：</w:t>
            </w:r>
            <w:r>
              <w:rPr>
                <w:rFonts w:hint="eastAsia" w:ascii="宋体" w:hAnsi="宋体" w:eastAsia="宋体" w:cs="宋体"/>
                <w:b/>
                <w:bCs/>
                <w:color w:val="auto"/>
                <w:kern w:val="0"/>
                <w:sz w:val="21"/>
                <w:szCs w:val="21"/>
                <w:highlight w:val="none"/>
              </w:rPr>
              <w:t>202</w:t>
            </w:r>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rPr>
              <w:t>月</w:t>
            </w:r>
            <w:r>
              <w:rPr>
                <w:rFonts w:hint="eastAsia" w:ascii="宋体" w:hAnsi="宋体" w:cs="宋体"/>
                <w:b/>
                <w:bCs/>
                <w:color w:val="auto"/>
                <w:kern w:val="0"/>
                <w:sz w:val="21"/>
                <w:szCs w:val="21"/>
                <w:highlight w:val="none"/>
                <w:lang w:val="en-US" w:eastAsia="zh-CN"/>
              </w:rPr>
              <w:t>22</w:t>
            </w:r>
            <w:r>
              <w:rPr>
                <w:rFonts w:hint="eastAsia" w:ascii="宋体" w:hAnsi="宋体" w:eastAsia="宋体" w:cs="宋体"/>
                <w:b/>
                <w:bCs/>
                <w:color w:val="auto"/>
                <w:kern w:val="0"/>
                <w:sz w:val="21"/>
                <w:szCs w:val="21"/>
                <w:highlight w:val="none"/>
              </w:rPr>
              <w:t>日</w:t>
            </w:r>
            <w:r>
              <w:rPr>
                <w:rFonts w:hint="eastAsia" w:ascii="宋体" w:hAnsi="宋体" w:cs="宋体"/>
                <w:b/>
                <w:bCs/>
                <w:color w:val="auto"/>
                <w:kern w:val="0"/>
                <w:sz w:val="21"/>
                <w:szCs w:val="21"/>
                <w:highlight w:val="none"/>
                <w:lang w:val="en-US" w:eastAsia="zh-CN"/>
              </w:rPr>
              <w:t>10</w:t>
            </w:r>
            <w:r>
              <w:rPr>
                <w:rFonts w:hint="eastAsia" w:ascii="宋体" w:hAnsi="宋体" w:eastAsia="宋体" w:cs="宋体"/>
                <w:b/>
                <w:bCs/>
                <w:color w:val="auto"/>
                <w:kern w:val="0"/>
                <w:sz w:val="21"/>
                <w:szCs w:val="21"/>
                <w:highlight w:val="none"/>
              </w:rPr>
              <w:t>时</w:t>
            </w:r>
            <w:r>
              <w:rPr>
                <w:rFonts w:hint="eastAsia" w:ascii="宋体" w:hAnsi="宋体" w:cs="宋体"/>
                <w:b/>
                <w:bCs/>
                <w:color w:val="auto"/>
                <w:kern w:val="0"/>
                <w:sz w:val="21"/>
                <w:szCs w:val="21"/>
                <w:highlight w:val="none"/>
                <w:lang w:val="en-US" w:eastAsia="zh-CN"/>
              </w:rPr>
              <w:t>30</w:t>
            </w:r>
            <w:r>
              <w:rPr>
                <w:rFonts w:hint="eastAsia" w:ascii="宋体" w:hAnsi="宋体" w:eastAsia="宋体" w:cs="宋体"/>
                <w:b/>
                <w:bCs/>
                <w:color w:val="auto"/>
                <w:kern w:val="0"/>
                <w:sz w:val="21"/>
                <w:szCs w:val="21"/>
                <w:highlight w:val="none"/>
              </w:rPr>
              <w:t>分</w:t>
            </w:r>
          </w:p>
          <w:p w14:paraId="04494414">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地点：</w:t>
            </w:r>
            <w:r>
              <w:rPr>
                <w:rFonts w:hint="eastAsia" w:ascii="宋体" w:hAnsi="宋体" w:eastAsia="宋体" w:cs="宋体"/>
                <w:color w:val="auto"/>
                <w:kern w:val="0"/>
                <w:sz w:val="21"/>
                <w:szCs w:val="21"/>
                <w:highlight w:val="none"/>
                <w:lang w:val="en-US" w:eastAsia="zh-CN"/>
              </w:rPr>
              <w:t>本项目仅接受加密电子投标文件，投标人在投标截止时间前通过新点电子交易平台后在【滁州专区】（https://www.etrading.cn/BREpointSSO/login/oauth2login?regioncode=DQ_ChuZhou）交易系统递交电子投标文件。</w:t>
            </w:r>
          </w:p>
        </w:tc>
      </w:tr>
      <w:tr w14:paraId="4F1C19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1020" w:type="dxa"/>
            <w:noWrap w:val="0"/>
            <w:vAlign w:val="center"/>
          </w:tcPr>
          <w:p w14:paraId="1EF588C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4</w:t>
            </w:r>
          </w:p>
        </w:tc>
        <w:tc>
          <w:tcPr>
            <w:tcW w:w="2203" w:type="dxa"/>
            <w:noWrap w:val="0"/>
            <w:vAlign w:val="center"/>
          </w:tcPr>
          <w:p w14:paraId="2F3D4697">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6977" w:type="dxa"/>
            <w:noWrap w:val="0"/>
            <w:vAlign w:val="center"/>
          </w:tcPr>
          <w:p w14:paraId="1978A862">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17C2E0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5D6152E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2203" w:type="dxa"/>
            <w:noWrap w:val="0"/>
            <w:vAlign w:val="center"/>
          </w:tcPr>
          <w:p w14:paraId="601D392C">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977" w:type="dxa"/>
            <w:noWrap w:val="0"/>
            <w:vAlign w:val="center"/>
          </w:tcPr>
          <w:p w14:paraId="0E7029CC">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再进行评审。</w:t>
            </w:r>
          </w:p>
        </w:tc>
      </w:tr>
      <w:tr w14:paraId="73F38D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1020" w:type="dxa"/>
            <w:noWrap w:val="0"/>
            <w:vAlign w:val="center"/>
          </w:tcPr>
          <w:p w14:paraId="5B01EF5E">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2203" w:type="dxa"/>
            <w:noWrap w:val="0"/>
            <w:vAlign w:val="center"/>
          </w:tcPr>
          <w:p w14:paraId="3409D08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977" w:type="dxa"/>
            <w:noWrap w:val="0"/>
            <w:vAlign w:val="top"/>
          </w:tcPr>
          <w:p w14:paraId="614FD836">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r>
              <w:rPr>
                <w:rFonts w:hint="eastAsia" w:ascii="宋体" w:hAnsi="宋体" w:eastAsia="宋体" w:cs="宋体"/>
                <w:color w:val="auto"/>
                <w:sz w:val="21"/>
                <w:szCs w:val="21"/>
                <w:highlight w:val="none"/>
                <w:lang w:val="en-US" w:eastAsia="zh-CN"/>
              </w:rPr>
              <w:t>由招标人组建</w:t>
            </w:r>
            <w:r>
              <w:rPr>
                <w:rFonts w:hint="eastAsia" w:ascii="宋体" w:hAnsi="宋体" w:eastAsia="宋体" w:cs="宋体"/>
                <w:color w:val="auto"/>
                <w:sz w:val="21"/>
                <w:szCs w:val="21"/>
                <w:highlight w:val="none"/>
              </w:rPr>
              <w:t>。</w:t>
            </w:r>
          </w:p>
        </w:tc>
      </w:tr>
      <w:tr w14:paraId="6BDF0B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1020" w:type="dxa"/>
            <w:noWrap w:val="0"/>
            <w:vAlign w:val="center"/>
          </w:tcPr>
          <w:p w14:paraId="7D931578">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2203" w:type="dxa"/>
            <w:noWrap w:val="0"/>
            <w:vAlign w:val="center"/>
          </w:tcPr>
          <w:p w14:paraId="10889663">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6977" w:type="dxa"/>
            <w:noWrap w:val="0"/>
            <w:vAlign w:val="center"/>
          </w:tcPr>
          <w:p w14:paraId="09D5703C">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37F935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1020" w:type="dxa"/>
            <w:noWrap w:val="0"/>
            <w:vAlign w:val="center"/>
          </w:tcPr>
          <w:p w14:paraId="0671A58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2203" w:type="dxa"/>
            <w:noWrap w:val="0"/>
            <w:vAlign w:val="center"/>
          </w:tcPr>
          <w:p w14:paraId="249B2A5D">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6977" w:type="dxa"/>
            <w:noWrap w:val="0"/>
            <w:vAlign w:val="center"/>
          </w:tcPr>
          <w:p w14:paraId="645B1A29">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11310D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1020" w:type="dxa"/>
            <w:noWrap w:val="0"/>
            <w:vAlign w:val="center"/>
          </w:tcPr>
          <w:p w14:paraId="747A56C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2203" w:type="dxa"/>
            <w:noWrap w:val="0"/>
            <w:vAlign w:val="center"/>
          </w:tcPr>
          <w:p w14:paraId="7326F498">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977" w:type="dxa"/>
            <w:noWrap w:val="0"/>
            <w:vAlign w:val="center"/>
          </w:tcPr>
          <w:p w14:paraId="0066AFA9">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45AA51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1020" w:type="dxa"/>
            <w:noWrap w:val="0"/>
            <w:vAlign w:val="center"/>
          </w:tcPr>
          <w:p w14:paraId="50F09F2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2203" w:type="dxa"/>
            <w:noWrap w:val="0"/>
            <w:vAlign w:val="center"/>
          </w:tcPr>
          <w:p w14:paraId="6CE82FE6">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投标人对招标文件提出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6977" w:type="dxa"/>
            <w:noWrap w:val="0"/>
            <w:vAlign w:val="center"/>
          </w:tcPr>
          <w:p w14:paraId="6DA085EE">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文件有质疑，可以</w:t>
            </w:r>
            <w:r>
              <w:rPr>
                <w:rFonts w:hint="eastAsia" w:ascii="宋体" w:hAnsi="宋体" w:eastAsia="宋体" w:cs="宋体"/>
                <w:b w:val="0"/>
                <w:bCs w:val="0"/>
                <w:color w:val="auto"/>
                <w:sz w:val="21"/>
                <w:szCs w:val="21"/>
                <w:highlight w:val="none"/>
              </w:rPr>
              <w:t>于</w:t>
            </w:r>
            <w:r>
              <w:rPr>
                <w:rFonts w:hint="eastAsia" w:ascii="宋体" w:hAnsi="宋体" w:eastAsia="宋体" w:cs="宋体"/>
                <w:b/>
                <w:bCs/>
                <w:color w:val="auto"/>
                <w:sz w:val="21"/>
                <w:szCs w:val="21"/>
                <w:highlight w:val="none"/>
                <w:lang w:val="en-US" w:eastAsia="zh-CN"/>
              </w:rPr>
              <w:t>2026年</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lang w:val="en-US" w:eastAsia="zh-CN"/>
              </w:rPr>
              <w:t>时前</w:t>
            </w:r>
            <w:r>
              <w:rPr>
                <w:rFonts w:hint="eastAsia" w:ascii="宋体" w:hAnsi="宋体" w:eastAsia="宋体" w:cs="宋体"/>
                <w:color w:val="auto"/>
                <w:sz w:val="21"/>
                <w:szCs w:val="21"/>
                <w:highlight w:val="none"/>
                <w:lang w:val="en-US" w:eastAsia="zh-CN"/>
              </w:rPr>
              <w:t xml:space="preserve">通过登录新点电子交易平台【滁州专区】线上提出异议 </w:t>
            </w:r>
          </w:p>
        </w:tc>
      </w:tr>
      <w:tr w14:paraId="5A691F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3223" w:type="dxa"/>
            <w:gridSpan w:val="2"/>
            <w:noWrap w:val="0"/>
            <w:vAlign w:val="center"/>
          </w:tcPr>
          <w:p w14:paraId="41E8C771">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付款方式、时间、条件</w:t>
            </w:r>
          </w:p>
        </w:tc>
        <w:tc>
          <w:tcPr>
            <w:tcW w:w="6977" w:type="dxa"/>
            <w:noWrap w:val="0"/>
            <w:vAlign w:val="center"/>
          </w:tcPr>
          <w:p w14:paraId="30908668">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完成行政主管部门备案并向招标人</w:t>
            </w:r>
            <w:r>
              <w:rPr>
                <w:rFonts w:hint="eastAsia" w:ascii="宋体" w:hAnsi="宋体" w:eastAsia="宋体" w:cs="宋体"/>
                <w:b/>
                <w:bCs/>
                <w:color w:val="auto"/>
                <w:sz w:val="21"/>
                <w:szCs w:val="21"/>
                <w:highlight w:val="none"/>
                <w:lang w:val="en-US" w:eastAsia="zh-CN"/>
              </w:rPr>
              <w:t>提供所有正式报告文本及相应电子档后一次性付清合同价款。</w:t>
            </w:r>
          </w:p>
        </w:tc>
      </w:tr>
    </w:tbl>
    <w:p w14:paraId="391BED8C">
      <w:pPr>
        <w:rPr>
          <w:rFonts w:hint="eastAsia" w:ascii="宋体" w:hAnsi="宋体" w:eastAsia="宋体" w:cs="宋体"/>
          <w:b/>
          <w:bCs/>
          <w:color w:val="auto"/>
          <w:sz w:val="24"/>
          <w:szCs w:val="24"/>
          <w:highlight w:val="none"/>
        </w:rPr>
      </w:pPr>
      <w:bookmarkStart w:id="21" w:name="_Toc515"/>
      <w:bookmarkStart w:id="22" w:name="_Toc58430316"/>
      <w:r>
        <w:rPr>
          <w:rFonts w:hint="eastAsia" w:ascii="宋体" w:hAnsi="宋体" w:eastAsia="宋体" w:cs="宋体"/>
          <w:b/>
          <w:bCs/>
          <w:color w:val="auto"/>
          <w:sz w:val="24"/>
          <w:szCs w:val="24"/>
          <w:highlight w:val="none"/>
        </w:rPr>
        <w:br w:type="page"/>
      </w:r>
    </w:p>
    <w:p w14:paraId="31513DEE">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一、总  则</w:t>
      </w:r>
      <w:bookmarkEnd w:id="21"/>
    </w:p>
    <w:p w14:paraId="111C89D5">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概况</w:t>
      </w:r>
    </w:p>
    <w:p w14:paraId="7DDABC2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1.1</w:t>
      </w:r>
      <w:r>
        <w:rPr>
          <w:rFonts w:hint="eastAsia" w:ascii="宋体" w:hAnsi="宋体" w:cs="宋体"/>
          <w:color w:val="auto"/>
          <w:sz w:val="21"/>
          <w:szCs w:val="21"/>
          <w:highlight w:val="none"/>
          <w:u w:val="none"/>
          <w:lang w:val="en-US" w:eastAsia="zh-CN"/>
        </w:rPr>
        <w:t>项目</w:t>
      </w:r>
      <w:r>
        <w:rPr>
          <w:rFonts w:hint="eastAsia" w:ascii="宋体" w:hAnsi="宋体" w:eastAsia="宋体" w:cs="宋体"/>
          <w:color w:val="auto"/>
          <w:sz w:val="21"/>
          <w:szCs w:val="21"/>
          <w:highlight w:val="none"/>
          <w:u w:val="none"/>
          <w:lang w:eastAsia="zh-CN"/>
        </w:rPr>
        <w:t>名称：</w:t>
      </w:r>
      <w:r>
        <w:rPr>
          <w:rFonts w:hint="eastAsia" w:ascii="宋体" w:hAnsi="宋体" w:cs="宋体"/>
          <w:color w:val="auto"/>
          <w:sz w:val="21"/>
          <w:szCs w:val="21"/>
          <w:highlight w:val="none"/>
          <w:u w:val="none"/>
          <w:lang w:val="en-US" w:eastAsia="zh-CN"/>
        </w:rPr>
        <w:t>凤阳县灵山～木屐山矿区新2号段石英岩矿深部开采工程对官塘水库影响分析报告编制服务项目</w:t>
      </w:r>
    </w:p>
    <w:p w14:paraId="0AE2043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cs="宋体"/>
          <w:color w:val="auto"/>
          <w:sz w:val="21"/>
          <w:szCs w:val="21"/>
          <w:highlight w:val="none"/>
          <w:u w:val="none"/>
          <w:lang w:val="en-US" w:eastAsia="zh-CN"/>
        </w:rPr>
        <w:t>1.2招标</w:t>
      </w:r>
      <w:r>
        <w:rPr>
          <w:rFonts w:hint="eastAsia" w:ascii="宋体" w:hAnsi="宋体" w:eastAsia="宋体" w:cs="宋体"/>
          <w:color w:val="auto"/>
          <w:sz w:val="21"/>
          <w:szCs w:val="21"/>
          <w:highlight w:val="none"/>
          <w:u w:val="none"/>
          <w:lang w:eastAsia="zh-CN"/>
        </w:rPr>
        <w:t>单位：</w:t>
      </w:r>
      <w:r>
        <w:rPr>
          <w:rFonts w:hint="eastAsia" w:ascii="宋体" w:hAnsi="宋体" w:cs="宋体"/>
          <w:color w:val="auto"/>
          <w:sz w:val="21"/>
          <w:szCs w:val="21"/>
          <w:highlight w:val="none"/>
          <w:u w:val="none"/>
          <w:lang w:eastAsia="zh-CN"/>
        </w:rPr>
        <w:t>滁州中都瑞华矿业发展有限公司</w:t>
      </w:r>
      <w:r>
        <w:rPr>
          <w:rFonts w:hint="eastAsia" w:ascii="宋体" w:hAnsi="宋体" w:eastAsia="宋体" w:cs="宋体"/>
          <w:color w:val="auto"/>
          <w:sz w:val="21"/>
          <w:szCs w:val="21"/>
          <w:highlight w:val="none"/>
          <w:u w:val="none"/>
          <w:lang w:eastAsia="zh-CN"/>
        </w:rPr>
        <w:t xml:space="preserve">  </w:t>
      </w:r>
    </w:p>
    <w:p w14:paraId="563C93D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1.3项目</w:t>
      </w:r>
      <w:r>
        <w:rPr>
          <w:rFonts w:hint="eastAsia" w:ascii="宋体" w:hAnsi="宋体" w:eastAsia="宋体" w:cs="宋体"/>
          <w:color w:val="auto"/>
          <w:sz w:val="21"/>
          <w:szCs w:val="21"/>
          <w:highlight w:val="none"/>
          <w:u w:val="none"/>
          <w:lang w:eastAsia="zh-CN"/>
        </w:rPr>
        <w:t>规模</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服务费用约6.2万元</w:t>
      </w:r>
    </w:p>
    <w:p w14:paraId="7131756D">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招标范围</w:t>
      </w:r>
    </w:p>
    <w:p w14:paraId="5DBC19C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2.1包括但不限于</w:t>
      </w:r>
      <w:r>
        <w:rPr>
          <w:rFonts w:hint="eastAsia" w:ascii="宋体" w:hAnsi="宋体" w:cs="宋体"/>
          <w:color w:val="auto"/>
          <w:sz w:val="22"/>
          <w:szCs w:val="22"/>
          <w:highlight w:val="none"/>
          <w:lang w:val="en-US" w:eastAsia="zh-CN"/>
        </w:rPr>
        <w:t>环境影响评价、洪水影响评价、水库蓄水能力影响评价等内容</w:t>
      </w:r>
      <w:r>
        <w:rPr>
          <w:rFonts w:hint="eastAsia" w:ascii="宋体" w:hAnsi="宋体" w:cs="宋体"/>
          <w:color w:val="auto"/>
          <w:sz w:val="21"/>
          <w:szCs w:val="21"/>
          <w:highlight w:val="none"/>
          <w:u w:val="none"/>
          <w:lang w:val="en-US" w:eastAsia="zh-CN"/>
        </w:rPr>
        <w:t>编制：</w:t>
      </w:r>
    </w:p>
    <w:p w14:paraId="6402A19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（1）根据项目要求考察现场情况，对相关资料进行整理汇总；</w:t>
      </w:r>
    </w:p>
    <w:p w14:paraId="790784A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（2）与招标人沟通相关影响所涉及内容以及所需资料并出具合格的影响评价报告；</w:t>
      </w:r>
    </w:p>
    <w:p w14:paraId="3AA4E62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（3）本项服务范围内所编制的方案、报告等所有资料均须满足行政主管部门的备案要求，并完成备案。（投标报价含各类评审费等与本项目有关的一切费用，后期不再增加费用，风险由投标人自行考虑）。</w:t>
      </w:r>
    </w:p>
    <w:p w14:paraId="759B5D4E">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3.承包方式</w:t>
      </w:r>
    </w:p>
    <w:p w14:paraId="626A095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3.1承包方式：</w:t>
      </w:r>
      <w:r>
        <w:rPr>
          <w:rFonts w:hint="eastAsia" w:ascii="宋体" w:hAnsi="宋体" w:eastAsia="宋体" w:cs="宋体"/>
          <w:color w:val="auto"/>
          <w:sz w:val="21"/>
          <w:szCs w:val="21"/>
          <w:highlight w:val="none"/>
          <w:u w:val="none"/>
          <w:lang w:val="en-US" w:eastAsia="zh-CN"/>
        </w:rPr>
        <w:t>本次招标的</w:t>
      </w:r>
      <w:r>
        <w:rPr>
          <w:rFonts w:hint="eastAsia" w:ascii="宋体" w:hAnsi="宋体" w:eastAsia="宋体" w:cs="宋体"/>
          <w:color w:val="auto"/>
          <w:sz w:val="21"/>
          <w:szCs w:val="21"/>
          <w:highlight w:val="none"/>
          <w:u w:val="none"/>
        </w:rPr>
        <w:t>全部服务</w:t>
      </w:r>
      <w:r>
        <w:rPr>
          <w:rFonts w:hint="eastAsia" w:ascii="宋体" w:hAnsi="宋体" w:eastAsia="宋体" w:cs="宋体"/>
          <w:color w:val="auto"/>
          <w:sz w:val="21"/>
          <w:szCs w:val="21"/>
          <w:highlight w:val="none"/>
          <w:u w:val="none"/>
          <w:lang w:val="en-US" w:eastAsia="zh-CN"/>
        </w:rPr>
        <w:t>内容</w:t>
      </w:r>
      <w:r>
        <w:rPr>
          <w:rFonts w:hint="eastAsia" w:ascii="宋体" w:hAnsi="宋体" w:eastAsia="宋体" w:cs="宋体"/>
          <w:color w:val="auto"/>
          <w:sz w:val="21"/>
          <w:szCs w:val="21"/>
          <w:highlight w:val="none"/>
          <w:u w:val="none"/>
        </w:rPr>
        <w:t>。</w:t>
      </w:r>
    </w:p>
    <w:p w14:paraId="34F1F8E8">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en-US" w:eastAsia="zh-CN"/>
        </w:rPr>
        <w:t>服务期限</w:t>
      </w:r>
    </w:p>
    <w:p w14:paraId="21E263E6">
      <w:pPr>
        <w:keepNext w:val="0"/>
        <w:keepLines w:val="0"/>
        <w:pageBreakBefore w:val="0"/>
        <w:widowControl w:val="0"/>
        <w:kinsoku/>
        <w:wordWrap/>
        <w:overflowPunct/>
        <w:topLinePunct w:val="0"/>
        <w:autoSpaceDE/>
        <w:autoSpaceDN/>
        <w:bidi w:val="0"/>
        <w:adjustRightInd/>
        <w:snapToGrid/>
        <w:spacing w:line="500" w:lineRule="exact"/>
        <w:ind w:right="-313" w:rightChars="-149" w:firstLine="42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kern w:val="2"/>
          <w:sz w:val="21"/>
          <w:szCs w:val="21"/>
          <w:highlight w:val="none"/>
          <w:u w:val="none"/>
          <w:lang w:val="en-US" w:eastAsia="zh-CN" w:bidi="ar-SA"/>
        </w:rPr>
        <w:t>4.1</w:t>
      </w:r>
      <w:r>
        <w:rPr>
          <w:rFonts w:hint="eastAsia" w:ascii="宋体" w:hAnsi="宋体" w:eastAsia="宋体" w:cs="宋体"/>
          <w:color w:val="auto"/>
          <w:sz w:val="22"/>
          <w:szCs w:val="22"/>
          <w:highlight w:val="none"/>
          <w:lang w:val="en-US" w:eastAsia="zh-CN"/>
        </w:rPr>
        <w:t>合同签订之日起</w:t>
      </w:r>
      <w:r>
        <w:rPr>
          <w:rFonts w:hint="eastAsia" w:ascii="宋体" w:hAnsi="宋体" w:cs="宋体"/>
          <w:color w:val="auto"/>
          <w:sz w:val="22"/>
          <w:szCs w:val="22"/>
          <w:highlight w:val="none"/>
          <w:lang w:val="en-US" w:eastAsia="zh-CN"/>
        </w:rPr>
        <w:t>45</w:t>
      </w:r>
      <w:r>
        <w:rPr>
          <w:rFonts w:hint="eastAsia" w:ascii="宋体" w:hAnsi="宋体" w:eastAsia="宋体" w:cs="宋体"/>
          <w:color w:val="auto"/>
          <w:sz w:val="22"/>
          <w:szCs w:val="22"/>
          <w:highlight w:val="none"/>
          <w:lang w:val="en-US" w:eastAsia="zh-CN"/>
        </w:rPr>
        <w:t>个日历天内</w:t>
      </w:r>
      <w:r>
        <w:rPr>
          <w:rFonts w:hint="eastAsia" w:ascii="宋体" w:hAnsi="宋体" w:cs="宋体"/>
          <w:color w:val="auto"/>
          <w:sz w:val="22"/>
          <w:szCs w:val="22"/>
          <w:highlight w:val="none"/>
          <w:lang w:val="en-US" w:eastAsia="zh-CN"/>
        </w:rPr>
        <w:t>向招标人提交文件并通过行政主管部门备案。</w:t>
      </w:r>
    </w:p>
    <w:p w14:paraId="215FCC4B">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5.质量要求</w:t>
      </w:r>
    </w:p>
    <w:p w14:paraId="7EEAA39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5.1</w:t>
      </w:r>
      <w:r>
        <w:rPr>
          <w:rFonts w:hint="eastAsia" w:ascii="宋体" w:hAnsi="宋体" w:cs="宋体"/>
          <w:color w:val="auto"/>
          <w:kern w:val="2"/>
          <w:sz w:val="21"/>
          <w:szCs w:val="21"/>
          <w:highlight w:val="none"/>
          <w:u w:val="none"/>
          <w:lang w:val="en-US" w:eastAsia="zh-CN" w:bidi="ar-SA"/>
        </w:rPr>
        <w:t>符合国家、安徽省规定或相关行业规范（规程），所有成果文件符合要求并通过相关审批或备案。</w:t>
      </w:r>
    </w:p>
    <w:p w14:paraId="14D6A99F">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6.投标人资质等级要求</w:t>
      </w:r>
    </w:p>
    <w:p w14:paraId="0FAE557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6.1</w:t>
      </w:r>
      <w:r>
        <w:rPr>
          <w:rFonts w:hint="eastAsia" w:ascii="宋体" w:hAnsi="宋体" w:cs="宋体"/>
          <w:color w:val="auto"/>
          <w:sz w:val="21"/>
          <w:szCs w:val="21"/>
          <w:highlight w:val="none"/>
          <w:lang w:val="en-US" w:eastAsia="zh-CN"/>
        </w:rPr>
        <w:t>见招标公告</w:t>
      </w:r>
      <w:r>
        <w:rPr>
          <w:rFonts w:hint="eastAsia" w:ascii="宋体" w:hAnsi="宋体" w:eastAsia="宋体" w:cs="宋体"/>
          <w:color w:val="auto"/>
          <w:sz w:val="21"/>
          <w:szCs w:val="21"/>
          <w:highlight w:val="none"/>
          <w:lang w:val="en-US" w:eastAsia="zh-CN"/>
        </w:rPr>
        <w:t>。</w:t>
      </w:r>
    </w:p>
    <w:p w14:paraId="71087DE7">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7.资金来源</w:t>
      </w:r>
    </w:p>
    <w:p w14:paraId="377271E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自筹资金</w:t>
      </w:r>
      <w:r>
        <w:rPr>
          <w:rFonts w:hint="eastAsia" w:ascii="宋体" w:hAnsi="宋体" w:eastAsia="宋体" w:cs="宋体"/>
          <w:color w:val="auto"/>
          <w:sz w:val="21"/>
          <w:szCs w:val="21"/>
          <w:highlight w:val="none"/>
        </w:rPr>
        <w:t>；资金已落实。</w:t>
      </w:r>
    </w:p>
    <w:p w14:paraId="7BE5BDC8">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8.标段划分</w:t>
      </w:r>
    </w:p>
    <w:p w14:paraId="7A09A09B">
      <w:pPr>
        <w:keepNext w:val="0"/>
        <w:keepLines w:val="0"/>
        <w:pageBreakBefore w:val="0"/>
        <w:widowControl w:val="0"/>
        <w:kinsoku/>
        <w:wordWrap/>
        <w:overflowPunct/>
        <w:topLinePunct w:val="0"/>
        <w:autoSpaceDE/>
        <w:autoSpaceDN/>
        <w:bidi w:val="0"/>
        <w:adjustRightInd/>
        <w:snapToGrid/>
        <w:spacing w:line="500" w:lineRule="exact"/>
        <w:ind w:right="-155" w:rightChars="-74"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一</w:t>
      </w:r>
      <w:r>
        <w:rPr>
          <w:rFonts w:hint="eastAsia" w:ascii="宋体" w:hAnsi="宋体" w:eastAsia="宋体" w:cs="宋体"/>
          <w:color w:val="auto"/>
          <w:sz w:val="21"/>
          <w:szCs w:val="21"/>
          <w:highlight w:val="none"/>
        </w:rPr>
        <w:t xml:space="preserve">个标段  </w:t>
      </w:r>
    </w:p>
    <w:p w14:paraId="4FFCAB62">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9.招标方式</w:t>
      </w:r>
    </w:p>
    <w:p w14:paraId="7F30E83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lang w:val="en-US" w:eastAsia="zh-CN"/>
        </w:rPr>
        <w:t>公开招标</w:t>
      </w:r>
      <w:r>
        <w:rPr>
          <w:rFonts w:hint="eastAsia" w:ascii="宋体" w:hAnsi="宋体" w:eastAsia="宋体" w:cs="宋体"/>
          <w:color w:val="auto"/>
          <w:sz w:val="21"/>
          <w:szCs w:val="21"/>
          <w:highlight w:val="none"/>
        </w:rPr>
        <w:t>。</w:t>
      </w:r>
    </w:p>
    <w:p w14:paraId="408FC132">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10.计价方式</w:t>
      </w:r>
    </w:p>
    <w:p w14:paraId="1B64419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cs="宋体"/>
          <w:color w:val="auto"/>
          <w:sz w:val="21"/>
          <w:szCs w:val="21"/>
          <w:highlight w:val="none"/>
          <w:u w:val="single"/>
          <w:lang w:val="en-US" w:eastAsia="zh-CN"/>
        </w:rPr>
        <w:t>总价合同</w:t>
      </w:r>
      <w:r>
        <w:rPr>
          <w:rFonts w:hint="eastAsia" w:ascii="宋体" w:hAnsi="宋体" w:eastAsia="宋体" w:cs="宋体"/>
          <w:color w:val="auto"/>
          <w:sz w:val="21"/>
          <w:szCs w:val="21"/>
          <w:highlight w:val="none"/>
          <w:u w:val="single"/>
        </w:rPr>
        <w:t>。</w:t>
      </w:r>
    </w:p>
    <w:p w14:paraId="409B4412">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11.评标办法</w:t>
      </w:r>
    </w:p>
    <w:p w14:paraId="4AE6D66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cs="宋体"/>
          <w:color w:val="auto"/>
          <w:sz w:val="21"/>
          <w:szCs w:val="21"/>
          <w:highlight w:val="none"/>
          <w:u w:val="single"/>
          <w:lang w:val="en-US" w:eastAsia="zh-CN"/>
        </w:rPr>
        <w:t>综合评分</w:t>
      </w:r>
      <w:r>
        <w:rPr>
          <w:rFonts w:hint="eastAsia" w:ascii="宋体" w:hAnsi="宋体" w:eastAsia="宋体" w:cs="宋体"/>
          <w:color w:val="auto"/>
          <w:sz w:val="21"/>
          <w:szCs w:val="21"/>
          <w:highlight w:val="none"/>
          <w:u w:val="single"/>
          <w:lang w:val="en-US" w:eastAsia="zh-CN"/>
        </w:rPr>
        <w:t>法</w:t>
      </w:r>
      <w:r>
        <w:rPr>
          <w:rFonts w:hint="eastAsia" w:ascii="宋体" w:hAnsi="宋体" w:eastAsia="宋体" w:cs="宋体"/>
          <w:color w:val="auto"/>
          <w:sz w:val="21"/>
          <w:szCs w:val="21"/>
          <w:highlight w:val="none"/>
        </w:rPr>
        <w:t>。</w:t>
      </w:r>
    </w:p>
    <w:p w14:paraId="002312F6">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outlineLvl w:val="1"/>
        <w:rPr>
          <w:rFonts w:hint="eastAsia" w:ascii="宋体" w:hAnsi="宋体" w:eastAsia="宋体" w:cs="宋体"/>
          <w:b/>
          <w:bCs/>
          <w:color w:val="auto"/>
          <w:sz w:val="28"/>
          <w:szCs w:val="28"/>
          <w:highlight w:val="none"/>
        </w:rPr>
      </w:pPr>
      <w:bookmarkStart w:id="23" w:name="_Toc29988"/>
      <w:r>
        <w:rPr>
          <w:rFonts w:hint="eastAsia" w:ascii="宋体" w:hAnsi="宋体" w:eastAsia="宋体" w:cs="宋体"/>
          <w:b/>
          <w:bCs/>
          <w:color w:val="auto"/>
          <w:sz w:val="28"/>
          <w:szCs w:val="28"/>
          <w:highlight w:val="none"/>
        </w:rPr>
        <w:t>二、招标文件</w:t>
      </w:r>
      <w:bookmarkEnd w:id="23"/>
    </w:p>
    <w:p w14:paraId="69C11623">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 招标文件的编制依据</w:t>
      </w:r>
    </w:p>
    <w:p w14:paraId="74AC0E1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3BACCA49">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13.招标文件的组成</w:t>
      </w:r>
    </w:p>
    <w:p w14:paraId="47759D9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招标文件包括内容：</w:t>
      </w:r>
    </w:p>
    <w:p w14:paraId="44FF12E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第一章  </w:t>
      </w:r>
      <w:r>
        <w:rPr>
          <w:rFonts w:hint="eastAsia" w:ascii="宋体" w:hAnsi="宋体" w:eastAsia="宋体" w:cs="宋体"/>
          <w:color w:val="auto"/>
          <w:sz w:val="21"/>
          <w:szCs w:val="21"/>
          <w:highlight w:val="none"/>
          <w:lang w:val="en-US" w:eastAsia="zh-CN"/>
        </w:rPr>
        <w:t>招标公告</w:t>
      </w:r>
    </w:p>
    <w:p w14:paraId="5B143C9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投标须知</w:t>
      </w:r>
    </w:p>
    <w:p w14:paraId="3B745EB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63C98DC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43DA548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13.2除13.1内容外，招标答疑亦为招标文件的组成部分，对招标人和投标人起约束作用。</w:t>
      </w:r>
    </w:p>
    <w:p w14:paraId="7F0264F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13.3</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提出，以便补齐。如有疑问，</w:t>
      </w:r>
      <w:r>
        <w:rPr>
          <w:rFonts w:hint="eastAsia" w:ascii="宋体" w:hAnsi="宋体" w:cs="宋体"/>
          <w:color w:val="auto"/>
          <w:szCs w:val="21"/>
          <w:highlight w:val="none"/>
          <w:lang w:val="en-US" w:eastAsia="zh-CN"/>
        </w:rPr>
        <w:t>通过登录新点电子交易平台【滁州专区】线上提出</w:t>
      </w:r>
      <w:r>
        <w:rPr>
          <w:rFonts w:hint="eastAsia" w:ascii="宋体" w:hAnsi="宋体" w:cs="宋体"/>
          <w:color w:val="auto"/>
          <w:szCs w:val="21"/>
          <w:highlight w:val="none"/>
        </w:rPr>
        <w:t>，要求</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对招标文件予以澄清。</w:t>
      </w:r>
    </w:p>
    <w:p w14:paraId="50D63348">
      <w:pPr>
        <w:keepNext w:val="0"/>
        <w:keepLines w:val="0"/>
        <w:pageBreakBefore w:val="0"/>
        <w:widowControl w:val="0"/>
        <w:kinsoku/>
        <w:wordWrap/>
        <w:overflowPunct/>
        <w:topLinePunct w:val="0"/>
        <w:autoSpaceDE/>
        <w:autoSpaceDN/>
        <w:bidi w:val="0"/>
        <w:adjustRightInd/>
        <w:snapToGrid/>
        <w:spacing w:line="500" w:lineRule="exact"/>
        <w:ind w:left="210" w:leftChars="10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13.4</w:t>
      </w:r>
      <w:r>
        <w:rPr>
          <w:rFonts w:hint="eastAsia" w:ascii="宋体" w:hAnsi="宋体" w:eastAsia="宋体" w:cs="宋体"/>
          <w:b w:val="0"/>
          <w:bCs w:val="0"/>
          <w:color w:val="auto"/>
          <w:szCs w:val="21"/>
          <w:highlight w:val="none"/>
        </w:rPr>
        <w:t>招标</w:t>
      </w:r>
      <w:r>
        <w:rPr>
          <w:rFonts w:hint="eastAsia" w:ascii="宋体" w:hAnsi="宋体" w:eastAsia="宋体" w:cs="宋体"/>
          <w:color w:val="auto"/>
          <w:szCs w:val="21"/>
          <w:highlight w:val="none"/>
        </w:rPr>
        <w:t>文件的澄清将在滁州市兴滁矿业投资集团有限公司网站（http://www.xckytz.com/index.html）、滁州市城投工程咨询管理有限公司网站（https://www.czctgczx.com/）予以发布，但不指明澄清问题的来源。如果澄清内容影响投标文件编制的，将相应延长投标截止时间。</w:t>
      </w:r>
    </w:p>
    <w:p w14:paraId="5B16AE0E">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14.招标文件的澄清、修改、补充、解释</w:t>
      </w:r>
    </w:p>
    <w:p w14:paraId="1745F63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14.1</w:t>
      </w:r>
      <w:r>
        <w:rPr>
          <w:rFonts w:hint="eastAsia" w:ascii="宋体" w:hAnsi="宋体" w:eastAsia="宋体" w:cs="宋体"/>
          <w:bCs/>
          <w:color w:val="auto"/>
          <w:sz w:val="21"/>
          <w:szCs w:val="21"/>
          <w:highlight w:val="none"/>
          <w:lang w:val="zh-CN"/>
        </w:rPr>
        <w:t>招标文件发出后</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zh-CN"/>
        </w:rPr>
        <w:t>招标人可对招标文件进行必要的澄清、修改和补充</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zh-CN"/>
        </w:rPr>
        <w:t>澄清内容</w:t>
      </w:r>
      <w:r>
        <w:rPr>
          <w:rFonts w:hint="eastAsia" w:ascii="宋体" w:hAnsi="宋体" w:eastAsia="宋体" w:cs="宋体"/>
          <w:bCs/>
          <w:color w:val="auto"/>
          <w:sz w:val="21"/>
          <w:szCs w:val="21"/>
          <w:highlight w:val="none"/>
        </w:rPr>
        <w:t>将于</w:t>
      </w:r>
      <w:r>
        <w:rPr>
          <w:rFonts w:hint="eastAsia" w:ascii="宋体" w:hAnsi="宋体" w:eastAsia="宋体" w:cs="宋体"/>
          <w:b/>
          <w:bCs w:val="0"/>
          <w:color w:val="auto"/>
          <w:sz w:val="21"/>
          <w:szCs w:val="21"/>
          <w:highlight w:val="none"/>
        </w:rPr>
        <w:t>202</w:t>
      </w:r>
      <w:r>
        <w:rPr>
          <w:rFonts w:hint="eastAsia" w:ascii="宋体" w:hAnsi="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年</w:t>
      </w:r>
      <w:r>
        <w:rPr>
          <w:rFonts w:hint="eastAsia" w:ascii="宋体" w:hAnsi="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月</w:t>
      </w:r>
      <w:r>
        <w:rPr>
          <w:rFonts w:hint="eastAsia" w:ascii="宋体" w:hAnsi="宋体" w:cs="宋体"/>
          <w:b/>
          <w:bCs w:val="0"/>
          <w:color w:val="auto"/>
          <w:sz w:val="21"/>
          <w:szCs w:val="21"/>
          <w:highlight w:val="none"/>
          <w:lang w:val="en-US" w:eastAsia="zh-CN"/>
        </w:rPr>
        <w:t>18</w:t>
      </w:r>
      <w:r>
        <w:rPr>
          <w:rFonts w:hint="eastAsia" w:ascii="宋体" w:hAnsi="宋体" w:eastAsia="宋体" w:cs="宋体"/>
          <w:b/>
          <w:bCs w:val="0"/>
          <w:color w:val="auto"/>
          <w:sz w:val="21"/>
          <w:szCs w:val="21"/>
          <w:highlight w:val="none"/>
        </w:rPr>
        <w:t>日</w:t>
      </w:r>
      <w:r>
        <w:rPr>
          <w:rFonts w:hint="eastAsia" w:ascii="宋体" w:hAnsi="宋体" w:cs="宋体"/>
          <w:b/>
          <w:bCs w:val="0"/>
          <w:color w:val="auto"/>
          <w:sz w:val="21"/>
          <w:szCs w:val="21"/>
          <w:highlight w:val="none"/>
          <w:lang w:val="en-US" w:eastAsia="zh-CN"/>
        </w:rPr>
        <w:t>17</w:t>
      </w:r>
      <w:r>
        <w:rPr>
          <w:rFonts w:hint="eastAsia" w:ascii="宋体" w:hAnsi="宋体" w:eastAsia="宋体" w:cs="宋体"/>
          <w:b/>
          <w:bCs w:val="0"/>
          <w:color w:val="auto"/>
          <w:sz w:val="21"/>
          <w:szCs w:val="21"/>
          <w:highlight w:val="none"/>
        </w:rPr>
        <w:t>时</w:t>
      </w:r>
      <w:r>
        <w:rPr>
          <w:rFonts w:hint="eastAsia" w:ascii="宋体" w:hAnsi="宋体" w:cs="宋体"/>
          <w:bCs/>
          <w:color w:val="auto"/>
          <w:sz w:val="21"/>
          <w:szCs w:val="21"/>
          <w:highlight w:val="none"/>
          <w:lang w:val="en-US" w:eastAsia="zh-CN"/>
        </w:rPr>
        <w:t>前</w:t>
      </w:r>
      <w:r>
        <w:rPr>
          <w:rFonts w:hint="eastAsia" w:ascii="宋体" w:hAnsi="宋体" w:eastAsia="宋体" w:cs="宋体"/>
          <w:bCs/>
          <w:color w:val="auto"/>
          <w:sz w:val="21"/>
          <w:szCs w:val="21"/>
          <w:highlight w:val="none"/>
          <w:lang w:val="en-US" w:eastAsia="zh-CN"/>
        </w:rPr>
        <w:t>在滁州市兴滁矿业投资集团有限公司网站（http://www.xckytz.com/index.html）、滁州市城投工程咨询管理有限公司网站（https://www.czctgczx.com/）予以发布</w:t>
      </w:r>
      <w:r>
        <w:rPr>
          <w:rFonts w:hint="eastAsia" w:ascii="宋体" w:hAnsi="宋体" w:eastAsia="宋体" w:cs="宋体"/>
          <w:bCs/>
          <w:color w:val="auto"/>
          <w:sz w:val="21"/>
          <w:szCs w:val="21"/>
          <w:highlight w:val="none"/>
          <w:lang w:val="zh-CN"/>
        </w:rPr>
        <w:t>。招标文件的修改内容作为招标文件的组成部分，具有约束作用。</w:t>
      </w:r>
    </w:p>
    <w:p w14:paraId="22F796F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14.2本招标文件由招标人委托的招标代理机构负责解释。</w:t>
      </w:r>
    </w:p>
    <w:p w14:paraId="6416BB9C">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15.踏勘现场及投标预备会</w:t>
      </w:r>
    </w:p>
    <w:p w14:paraId="1821AED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w:t>
      </w:r>
      <w:r>
        <w:rPr>
          <w:rFonts w:hint="eastAsia" w:ascii="宋体" w:hAnsi="宋体" w:eastAsia="宋体" w:cs="宋体"/>
          <w:color w:val="auto"/>
          <w:kern w:val="0"/>
          <w:sz w:val="21"/>
          <w:szCs w:val="21"/>
          <w:highlight w:val="none"/>
        </w:rPr>
        <w:t>不再集中召开踏勘现场及投标预备会；投标人自行组织勘察现场。</w:t>
      </w:r>
    </w:p>
    <w:p w14:paraId="28465285">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16.招标文件的发出</w:t>
      </w:r>
    </w:p>
    <w:p w14:paraId="5D844F2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6E5D6872">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17.</w:t>
      </w:r>
      <w:r>
        <w:rPr>
          <w:rFonts w:hint="eastAsia" w:ascii="宋体" w:hAnsi="宋体" w:eastAsia="宋体" w:cs="宋体"/>
          <w:b/>
          <w:bCs/>
          <w:color w:val="auto"/>
          <w:sz w:val="21"/>
          <w:szCs w:val="21"/>
          <w:highlight w:val="none"/>
          <w:lang w:val="en-US" w:eastAsia="zh-CN"/>
        </w:rPr>
        <w:t>最高限价</w:t>
      </w:r>
    </w:p>
    <w:p w14:paraId="27385F04">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color w:val="auto"/>
          <w:sz w:val="21"/>
          <w:szCs w:val="21"/>
          <w:highlight w:val="none"/>
          <w:lang w:val="en-US" w:eastAsia="zh-CN"/>
        </w:rPr>
      </w:pPr>
      <w:bookmarkStart w:id="24" w:name="_Toc24852"/>
      <w:r>
        <w:rPr>
          <w:rFonts w:hint="eastAsia" w:ascii="宋体" w:hAnsi="宋体" w:eastAsia="宋体" w:cs="宋体"/>
          <w:b/>
          <w:bCs/>
          <w:color w:val="auto"/>
          <w:sz w:val="21"/>
          <w:szCs w:val="21"/>
          <w:highlight w:val="none"/>
          <w:lang w:val="en-US" w:eastAsia="zh-CN"/>
        </w:rPr>
        <w:t>17.1本项目最高限价</w:t>
      </w:r>
      <w:r>
        <w:rPr>
          <w:rFonts w:hint="eastAsia" w:ascii="宋体" w:hAnsi="宋体" w:cs="宋体"/>
          <w:b/>
          <w:bCs/>
          <w:color w:val="auto"/>
          <w:sz w:val="21"/>
          <w:szCs w:val="21"/>
          <w:highlight w:val="none"/>
          <w:lang w:val="en-US" w:eastAsia="zh-CN"/>
        </w:rPr>
        <w:t>为陆万贰仟元整</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62000.00</w:t>
      </w:r>
      <w:r>
        <w:rPr>
          <w:rFonts w:hint="eastAsia" w:ascii="宋体" w:hAnsi="宋体" w:eastAsia="宋体" w:cs="宋体"/>
          <w:b/>
          <w:bCs/>
          <w:color w:val="auto"/>
          <w:sz w:val="21"/>
          <w:szCs w:val="21"/>
          <w:highlight w:val="none"/>
          <w:lang w:val="en-US" w:eastAsia="zh-CN"/>
        </w:rPr>
        <w:t>元），高于最高投标限价的按无效标处理。</w:t>
      </w:r>
    </w:p>
    <w:p w14:paraId="131AFEF1">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三、投标文件的编制</w:t>
      </w:r>
      <w:bookmarkEnd w:id="24"/>
    </w:p>
    <w:p w14:paraId="69FBC88F">
      <w:pPr>
        <w:pStyle w:val="3"/>
        <w:keepNext/>
        <w:keepLines/>
        <w:pageBreakBefore w:val="0"/>
        <w:widowControl w:val="0"/>
        <w:numPr>
          <w:ilvl w:val="1"/>
          <w:numId w:val="0"/>
        </w:numPr>
        <w:kinsoku/>
        <w:wordWrap/>
        <w:overflowPunct/>
        <w:topLinePunct w:val="0"/>
        <w:autoSpaceDE/>
        <w:autoSpaceDN/>
        <w:bidi w:val="0"/>
        <w:adjustRightInd/>
        <w:snapToGrid/>
        <w:spacing w:line="500" w:lineRule="exact"/>
        <w:ind w:leftChars="20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 投标文件的组成</w:t>
      </w:r>
    </w:p>
    <w:p w14:paraId="5F3FF92B">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18.1详见第四章投标文件格式</w:t>
      </w:r>
    </w:p>
    <w:p w14:paraId="4DF086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19.投标文件的编制</w:t>
      </w:r>
    </w:p>
    <w:p w14:paraId="41A74164">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19.1</w:t>
      </w:r>
      <w:r>
        <w:rPr>
          <w:rFonts w:hint="default" w:ascii="宋体" w:hAnsi="宋体" w:eastAsia="宋体" w:cs="宋体"/>
          <w:color w:val="auto"/>
          <w:sz w:val="21"/>
          <w:szCs w:val="21"/>
          <w:highlight w:val="none"/>
          <w:lang w:val="en-US" w:eastAsia="zh-CN"/>
        </w:rPr>
        <w:t>投标文件应按第</w:t>
      </w:r>
      <w:r>
        <w:rPr>
          <w:rFonts w:hint="eastAsia" w:ascii="宋体" w:hAnsi="宋体" w:eastAsia="宋体" w:cs="宋体"/>
          <w:color w:val="auto"/>
          <w:sz w:val="21"/>
          <w:szCs w:val="21"/>
          <w:highlight w:val="none"/>
          <w:lang w:val="en-US" w:eastAsia="zh-CN"/>
        </w:rPr>
        <w:t>五</w:t>
      </w:r>
      <w:r>
        <w:rPr>
          <w:rFonts w:hint="default" w:ascii="宋体" w:hAnsi="宋体" w:eastAsia="宋体" w:cs="宋体"/>
          <w:color w:val="auto"/>
          <w:sz w:val="21"/>
          <w:szCs w:val="21"/>
          <w:highlight w:val="none"/>
          <w:lang w:val="en-US" w:eastAsia="zh-CN"/>
        </w:rPr>
        <w:t>章“投标文件格式”进行编写，如有必要，可以增加附页，作为投标文件的组成部分。其中，投标函在满足招标文件实质性要求的基础上，可以提出比招标文件要求更有利于招标人的承诺。</w:t>
      </w:r>
    </w:p>
    <w:p w14:paraId="25F5277A">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19.2</w:t>
      </w:r>
      <w:r>
        <w:rPr>
          <w:rFonts w:hint="default" w:ascii="宋体" w:hAnsi="宋体" w:eastAsia="宋体" w:cs="宋体"/>
          <w:color w:val="auto"/>
          <w:sz w:val="21"/>
          <w:szCs w:val="21"/>
          <w:highlight w:val="none"/>
          <w:lang w:val="en-US" w:eastAsia="zh-CN"/>
        </w:rPr>
        <w:t>本次投标不需要提供纸质投标文件，投标人应按照电子招标投标的要求，在投标人的电子系统中制作、签章、上传加密的电子投标文件。</w:t>
      </w:r>
    </w:p>
    <w:p w14:paraId="54329BB1">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19.3</w:t>
      </w:r>
      <w:r>
        <w:rPr>
          <w:rFonts w:hint="default" w:ascii="宋体" w:hAnsi="宋体" w:eastAsia="宋体" w:cs="宋体"/>
          <w:color w:val="auto"/>
          <w:sz w:val="21"/>
          <w:szCs w:val="21"/>
          <w:highlight w:val="none"/>
          <w:lang w:val="en-US" w:eastAsia="zh-CN"/>
        </w:rPr>
        <w:t>投标文件应当对招标文件有关工期、投标有效期、质量要求、技术标准和要求、招标范围等实质性内容作出响应。</w:t>
      </w:r>
    </w:p>
    <w:p w14:paraId="3267DFAA">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19.4</w:t>
      </w:r>
      <w:r>
        <w:rPr>
          <w:rFonts w:hint="default" w:ascii="宋体" w:hAnsi="宋体" w:eastAsia="宋体" w:cs="宋体"/>
          <w:color w:val="auto"/>
          <w:sz w:val="21"/>
          <w:szCs w:val="21"/>
          <w:highlight w:val="none"/>
          <w:lang w:val="en-US" w:eastAsia="zh-CN"/>
        </w:rPr>
        <w:t>投标人须知前附表规定接受联合体投标的，资格审查资料应包括联合体各方相关情况。</w:t>
      </w:r>
    </w:p>
    <w:p w14:paraId="758879DA">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19.5</w:t>
      </w:r>
      <w:r>
        <w:rPr>
          <w:rFonts w:hint="default" w:ascii="宋体" w:hAnsi="宋体" w:eastAsia="宋体" w:cs="宋体"/>
          <w:color w:val="auto"/>
          <w:sz w:val="21"/>
          <w:szCs w:val="21"/>
          <w:highlight w:val="none"/>
          <w:lang w:val="en-US" w:eastAsia="zh-CN"/>
        </w:rPr>
        <w:t>招标人有权核查投标人在投标文件中提供的资料，若发现投标人以他人名义投标或者以其他方式弄虚作假骗取中标的，中标无效；如果签订合同后发现中标人提供了虚假材料，招标人有权解除合同。</w:t>
      </w:r>
    </w:p>
    <w:p w14:paraId="7EE5FBB1">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19.6</w:t>
      </w:r>
      <w:r>
        <w:rPr>
          <w:rFonts w:hint="default" w:ascii="宋体" w:hAnsi="宋体" w:eastAsia="宋体" w:cs="宋体"/>
          <w:color w:val="auto"/>
          <w:sz w:val="21"/>
          <w:szCs w:val="21"/>
          <w:highlight w:val="none"/>
          <w:lang w:val="en-US" w:eastAsia="zh-CN"/>
        </w:rPr>
        <w:t>投标文件的制作应满足以下规定：</w:t>
      </w:r>
    </w:p>
    <w:p w14:paraId="0D59399A">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a.投标文件由投标人使用电子交易系统提供的“投标文件制作软件”制作生成。“投标文件制作软件”可以通过电子交易系统下载。</w:t>
      </w:r>
    </w:p>
    <w:p w14:paraId="169429FA">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b.招标文件中“签章”是指签字或盖章。在第</w:t>
      </w:r>
      <w:r>
        <w:rPr>
          <w:rFonts w:hint="eastAsia" w:ascii="宋体" w:hAnsi="宋体" w:cs="宋体"/>
          <w:color w:val="auto"/>
          <w:sz w:val="21"/>
          <w:szCs w:val="21"/>
          <w:highlight w:val="none"/>
          <w:lang w:val="en-US" w:eastAsia="zh-CN"/>
        </w:rPr>
        <w:t>五</w:t>
      </w:r>
      <w:r>
        <w:rPr>
          <w:rFonts w:hint="default" w:ascii="宋体" w:hAnsi="宋体" w:eastAsia="宋体" w:cs="宋体"/>
          <w:color w:val="auto"/>
          <w:sz w:val="21"/>
          <w:szCs w:val="21"/>
          <w:highlight w:val="none"/>
          <w:lang w:val="en-US" w:eastAsia="zh-CN"/>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5CE1F062">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c.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117E8C3E">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19.7</w:t>
      </w:r>
      <w:r>
        <w:rPr>
          <w:rFonts w:hint="default" w:ascii="宋体" w:hAnsi="宋体" w:eastAsia="宋体" w:cs="宋体"/>
          <w:color w:val="auto"/>
          <w:sz w:val="21"/>
          <w:szCs w:val="21"/>
          <w:highlight w:val="none"/>
          <w:lang w:val="en-US" w:eastAsia="zh-CN"/>
        </w:rPr>
        <w:t>因投标人自身原因而导致投标文件无法导入电子交易系统电子开标、评标系统，该投标视为无效投标，投标人自行承担由此导致的全部责任。</w:t>
      </w:r>
    </w:p>
    <w:p w14:paraId="19143ECC">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19.8</w:t>
      </w:r>
      <w:r>
        <w:rPr>
          <w:rFonts w:hint="default" w:ascii="宋体" w:hAnsi="宋体" w:eastAsia="宋体" w:cs="宋体"/>
          <w:color w:val="auto"/>
          <w:sz w:val="21"/>
          <w:szCs w:val="21"/>
          <w:highlight w:val="none"/>
          <w:lang w:val="en-US" w:eastAsia="zh-CN"/>
        </w:rPr>
        <w:t>投标人中标后须递交与网上电子投标文件完全一致的纸质版投标文件，在领取中标通知书时，一并递交给招标代理机构。</w:t>
      </w:r>
    </w:p>
    <w:p w14:paraId="27CF0E0F">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．投标报价</w:t>
      </w:r>
    </w:p>
    <w:p w14:paraId="6E21134E">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w:t>
      </w:r>
      <w:r>
        <w:rPr>
          <w:rFonts w:hint="eastAsia" w:ascii="宋体" w:hAnsi="宋体" w:cs="宋体"/>
          <w:b/>
          <w:color w:val="auto"/>
          <w:szCs w:val="21"/>
          <w:highlight w:val="none"/>
        </w:rPr>
        <w:t>投标报价包含完成本次招标范围内的评价报告编制等（含报审，并取得行政主管部门</w:t>
      </w:r>
      <w:r>
        <w:rPr>
          <w:rFonts w:hint="eastAsia" w:ascii="宋体" w:hAnsi="宋体" w:cs="宋体"/>
          <w:b/>
          <w:color w:val="auto"/>
          <w:szCs w:val="21"/>
          <w:highlight w:val="none"/>
          <w:lang w:val="en-US" w:eastAsia="zh-CN"/>
        </w:rPr>
        <w:t>备案/</w:t>
      </w:r>
      <w:r>
        <w:rPr>
          <w:rFonts w:hint="eastAsia" w:ascii="宋体" w:hAnsi="宋体" w:cs="宋体"/>
          <w:b/>
          <w:color w:val="auto"/>
          <w:szCs w:val="21"/>
          <w:highlight w:val="none"/>
        </w:rPr>
        <w:t>审批）所需的全部人员费用（如人员工资、保险、加班、差旅等一切费用）、设备费用、材料费用、机械费、报告编制费、</w:t>
      </w:r>
      <w:r>
        <w:rPr>
          <w:rFonts w:hint="eastAsia" w:ascii="宋体" w:hAnsi="宋体" w:cs="宋体"/>
          <w:b/>
          <w:color w:val="auto"/>
          <w:szCs w:val="21"/>
          <w:highlight w:val="none"/>
          <w:lang w:val="en-US" w:eastAsia="zh-CN"/>
        </w:rPr>
        <w:t>所有</w:t>
      </w:r>
      <w:r>
        <w:rPr>
          <w:rFonts w:hint="eastAsia" w:ascii="宋体" w:hAnsi="宋体" w:cs="宋体"/>
          <w:b/>
          <w:color w:val="auto"/>
          <w:szCs w:val="21"/>
          <w:highlight w:val="none"/>
        </w:rPr>
        <w:t>评审费（含成果文件评审费）、招标代理费、会务费、管理费、利润、国家对征收的各种税费及完成本项目服务所需的所有的费用，招标人不</w:t>
      </w:r>
      <w:r>
        <w:rPr>
          <w:rFonts w:hint="eastAsia" w:ascii="宋体" w:hAnsi="宋体" w:cs="宋体"/>
          <w:b/>
          <w:color w:val="auto"/>
          <w:szCs w:val="21"/>
          <w:highlight w:val="none"/>
          <w:lang w:val="en-US" w:eastAsia="zh-CN"/>
        </w:rPr>
        <w:t>再</w:t>
      </w:r>
      <w:r>
        <w:rPr>
          <w:rFonts w:hint="eastAsia" w:ascii="宋体" w:hAnsi="宋体" w:cs="宋体"/>
          <w:b/>
          <w:color w:val="auto"/>
          <w:szCs w:val="21"/>
          <w:highlight w:val="none"/>
        </w:rPr>
        <w:t>另行支付任何费用。</w:t>
      </w:r>
    </w:p>
    <w:p w14:paraId="47A1A705">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.2投标报价</w:t>
      </w:r>
      <w:r>
        <w:rPr>
          <w:rFonts w:hint="eastAsia" w:ascii="宋体" w:hAnsi="宋体" w:eastAsia="宋体" w:cs="宋体"/>
          <w:color w:val="auto"/>
          <w:sz w:val="21"/>
          <w:szCs w:val="21"/>
          <w:highlight w:val="none"/>
          <w:lang w:val="en-US" w:eastAsia="zh-CN"/>
        </w:rPr>
        <w:t>高于最高限价的</w:t>
      </w:r>
      <w:r>
        <w:rPr>
          <w:rFonts w:hint="eastAsia" w:ascii="宋体" w:hAnsi="宋体" w:eastAsia="宋体" w:cs="宋体"/>
          <w:color w:val="auto"/>
          <w:sz w:val="21"/>
          <w:szCs w:val="21"/>
          <w:highlight w:val="none"/>
        </w:rPr>
        <w:t>，其投标文件按无效标处理。</w:t>
      </w:r>
    </w:p>
    <w:p w14:paraId="0F14D5B6">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rPr>
        <w:t>.投标有效期</w:t>
      </w:r>
    </w:p>
    <w:p w14:paraId="45060922">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754B246D">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.2在特殊情况下，招标人在原定投标有效期内，可以根据需要以书面形式向投标人提出延长投标有效期的要求，对此要求投标人须以书面形式予以答复。投标人可以拒绝招标人这种要求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同意延长投标有效期的投标人既不能要求也不允许修改其投标文件，但需要相应的延长投标担保的有效期。</w:t>
      </w:r>
    </w:p>
    <w:p w14:paraId="52F6C570">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22</w:t>
      </w:r>
      <w:r>
        <w:rPr>
          <w:rFonts w:hint="eastAsia" w:ascii="宋体" w:hAnsi="宋体" w:eastAsia="宋体" w:cs="宋体"/>
          <w:b/>
          <w:bCs/>
          <w:color w:val="auto"/>
          <w:sz w:val="21"/>
          <w:szCs w:val="21"/>
          <w:highlight w:val="none"/>
        </w:rPr>
        <w:t>.投标保证金</w:t>
      </w:r>
    </w:p>
    <w:p w14:paraId="43EDF0F2">
      <w:pPr>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本项目无投标保证金。</w:t>
      </w:r>
    </w:p>
    <w:p w14:paraId="48FE03A2">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outlineLvl w:val="1"/>
        <w:rPr>
          <w:rFonts w:hint="eastAsia" w:ascii="宋体" w:hAnsi="宋体" w:eastAsia="宋体" w:cs="宋体"/>
          <w:b/>
          <w:bCs/>
          <w:color w:val="auto"/>
          <w:sz w:val="28"/>
          <w:szCs w:val="28"/>
          <w:highlight w:val="none"/>
        </w:rPr>
      </w:pPr>
      <w:bookmarkStart w:id="25" w:name="_Toc27519"/>
      <w:r>
        <w:rPr>
          <w:rFonts w:hint="eastAsia" w:ascii="宋体" w:hAnsi="宋体" w:eastAsia="宋体" w:cs="宋体"/>
          <w:b/>
          <w:bCs/>
          <w:color w:val="auto"/>
          <w:sz w:val="28"/>
          <w:szCs w:val="28"/>
          <w:highlight w:val="none"/>
        </w:rPr>
        <w:t>四、投标文件的密封和递交</w:t>
      </w:r>
      <w:bookmarkEnd w:id="25"/>
    </w:p>
    <w:p w14:paraId="1DCD9B3E">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.投标文件的份数和签署</w:t>
      </w:r>
    </w:p>
    <w:p w14:paraId="47F6FCD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b w:val="0"/>
          <w:bCs w:val="0"/>
          <w:color w:val="auto"/>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cs="宋体"/>
          <w:b w:val="0"/>
          <w:bCs w:val="0"/>
          <w:color w:val="auto"/>
          <w:szCs w:val="21"/>
          <w:highlight w:val="none"/>
          <w:lang w:val="en-US" w:eastAsia="zh-CN"/>
        </w:rPr>
        <w:t>加密电子投标文件应在投标截止时间前通过登录新点电子交易平台【滁州专区】上传投标文件。</w:t>
      </w:r>
    </w:p>
    <w:p w14:paraId="74A2E77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pacing w:val="-4"/>
          <w:sz w:val="21"/>
          <w:szCs w:val="21"/>
          <w:highlight w:val="none"/>
        </w:rPr>
      </w:pPr>
      <w:r>
        <w:rPr>
          <w:rFonts w:hint="eastAsia" w:ascii="宋体" w:hAnsi="宋体" w:cs="宋体"/>
          <w:b w:val="0"/>
          <w:bCs w:val="0"/>
          <w:color w:val="auto"/>
          <w:szCs w:val="21"/>
          <w:highlight w:val="none"/>
          <w:lang w:val="en-US" w:eastAsia="zh-CN"/>
        </w:rPr>
        <w:t>（投标人中标后须递交与网上电子投标文件完全一致的纸质版投标文件，并按要求加盖单位章；份数：正本1份，副本1份；中标人领取中标通知书时，一并递交给代理机构）。</w:t>
      </w:r>
    </w:p>
    <w:p w14:paraId="25F17DE1">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.投标文件的提交</w:t>
      </w:r>
    </w:p>
    <w:p w14:paraId="1EA2278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.1投标人应当在第一章“招标公告”规定的投标截止时间前，将加密投标文件上传至电子交易系统。</w:t>
      </w:r>
    </w:p>
    <w:p w14:paraId="319A6CE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24.2</w:t>
      </w:r>
      <w:r>
        <w:rPr>
          <w:rFonts w:hint="eastAsia" w:ascii="宋体" w:hAnsi="宋体" w:eastAsia="宋体" w:cs="宋体"/>
          <w:color w:val="auto"/>
          <w:sz w:val="21"/>
          <w:szCs w:val="21"/>
          <w:highlight w:val="none"/>
        </w:rPr>
        <w:t>除投标人须知前附表另有规定外，投标人所递交的投标文件不予退还。</w:t>
      </w:r>
    </w:p>
    <w:p w14:paraId="35CD4CD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24.3</w:t>
      </w:r>
      <w:r>
        <w:rPr>
          <w:rFonts w:hint="eastAsia" w:ascii="宋体" w:hAnsi="宋体" w:eastAsia="宋体" w:cs="宋体"/>
          <w:color w:val="auto"/>
          <w:sz w:val="21"/>
          <w:szCs w:val="21"/>
          <w:highlight w:val="none"/>
        </w:rPr>
        <w:t>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07861614">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.投标文件的补充、修改与撤回</w:t>
      </w:r>
    </w:p>
    <w:p w14:paraId="14B3869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Cs w:val="21"/>
          <w:highlight w:val="none"/>
        </w:rPr>
        <w:t>2</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rPr>
        <w:t>.1</w:t>
      </w:r>
      <w:r>
        <w:rPr>
          <w:rFonts w:hint="eastAsia" w:ascii="宋体" w:hAnsi="宋体" w:cs="宋体"/>
          <w:color w:val="auto"/>
          <w:szCs w:val="21"/>
          <w:highlight w:val="none"/>
        </w:rPr>
        <w:t>在第一章“招标公告”规定的投标截止时间前，投标人可以自行从网上开评标系统撤回已递交的投标文件，并可修改后重新加密上传，开标时以投标截止时间前投标人最终上传的投标文件为准。</w:t>
      </w:r>
    </w:p>
    <w:p w14:paraId="3BB0453F">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outlineLvl w:val="1"/>
        <w:rPr>
          <w:rFonts w:hint="eastAsia" w:ascii="宋体" w:hAnsi="宋体" w:eastAsia="宋体" w:cs="宋体"/>
          <w:b/>
          <w:bCs/>
          <w:color w:val="auto"/>
          <w:sz w:val="28"/>
          <w:szCs w:val="28"/>
          <w:highlight w:val="none"/>
        </w:rPr>
      </w:pPr>
      <w:bookmarkStart w:id="26" w:name="_Toc18173"/>
      <w:r>
        <w:rPr>
          <w:rFonts w:hint="eastAsia" w:ascii="宋体" w:hAnsi="宋体" w:eastAsia="宋体" w:cs="宋体"/>
          <w:b/>
          <w:bCs/>
          <w:color w:val="auto"/>
          <w:sz w:val="28"/>
          <w:szCs w:val="28"/>
          <w:highlight w:val="none"/>
        </w:rPr>
        <w:t>五、开标、评标和定标</w:t>
      </w:r>
      <w:bookmarkEnd w:id="26"/>
    </w:p>
    <w:p w14:paraId="56E3D432">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.开标</w:t>
      </w:r>
    </w:p>
    <w:p w14:paraId="6EED411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.1开标的时间和地点</w:t>
      </w:r>
    </w:p>
    <w:p w14:paraId="1122FB32">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.1.1</w:t>
      </w:r>
      <w:r>
        <w:rPr>
          <w:rFonts w:hint="eastAsia" w:ascii="宋体" w:hAnsi="宋体" w:cs="宋体"/>
          <w:color w:val="auto"/>
          <w:szCs w:val="21"/>
          <w:highlight w:val="none"/>
          <w:lang w:val="en-US" w:eastAsia="zh-CN"/>
        </w:rPr>
        <w:t>招标人在第一章“招标公告”规定的投标截止时间前（开标时间）和地点通过电子交易系统公开开标。</w:t>
      </w:r>
    </w:p>
    <w:p w14:paraId="7197E7C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6.2</w:t>
      </w:r>
      <w:r>
        <w:rPr>
          <w:rFonts w:hint="eastAsia" w:ascii="宋体" w:hAnsi="宋体" w:eastAsia="宋体" w:cs="宋体"/>
          <w:color w:val="auto"/>
          <w:sz w:val="21"/>
          <w:szCs w:val="21"/>
          <w:highlight w:val="none"/>
        </w:rPr>
        <w:t>开标程序</w:t>
      </w:r>
    </w:p>
    <w:p w14:paraId="3893432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主持人按下列程序进行开标：</w:t>
      </w:r>
    </w:p>
    <w:p w14:paraId="0761828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（1）公布在投标截止时间前通过电子交易系统完成投标文件递交的投标人名称；</w:t>
      </w:r>
    </w:p>
    <w:p w14:paraId="094062B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（2）投标人在投标截止时间后在投标人须知前附表规定的解密时间内完成投标文件的解密工作；</w:t>
      </w:r>
    </w:p>
    <w:p w14:paraId="564E883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（3）招标人或招标代理机构完成解密工作，导入并读取所有成功解密的投标文件；</w:t>
      </w:r>
    </w:p>
    <w:p w14:paraId="2EC5703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（4）按投标人须知前附表规定公布投标人名称、标段名称、投标报价、工期及其他内容；</w:t>
      </w:r>
    </w:p>
    <w:p w14:paraId="080D683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（5）开标结束。</w:t>
      </w:r>
    </w:p>
    <w:p w14:paraId="3CF180D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26.3开标异议</w:t>
      </w:r>
    </w:p>
    <w:p w14:paraId="01E7BC9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投标人对开标有异议的，应当在开标过程中提出，招标人在开标过程中作出答复，并制作记录。异议与答复应通过电子交易系统进行。</w:t>
      </w:r>
    </w:p>
    <w:p w14:paraId="0AF92ACC">
      <w:pPr>
        <w:keepNext w:val="0"/>
        <w:keepLines w:val="0"/>
        <w:pageBreakBefore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.评标委员会</w:t>
      </w:r>
    </w:p>
    <w:p w14:paraId="72582DBF">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color w:val="auto"/>
          <w:szCs w:val="21"/>
          <w:highlight w:val="none"/>
          <w:lang w:val="en-US" w:eastAsia="zh-CN"/>
        </w:rPr>
        <w:t>27</w:t>
      </w:r>
      <w:r>
        <w:rPr>
          <w:rFonts w:hint="eastAsia" w:ascii="宋体"/>
          <w:color w:val="auto"/>
          <w:szCs w:val="21"/>
          <w:highlight w:val="none"/>
        </w:rPr>
        <w:t>.1</w:t>
      </w:r>
      <w:r>
        <w:rPr>
          <w:rFonts w:hint="eastAsia" w:ascii="宋体" w:hAnsi="宋体" w:cs="宋体"/>
          <w:color w:val="auto"/>
          <w:szCs w:val="21"/>
          <w:highlight w:val="none"/>
        </w:rPr>
        <w:t>评标由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依法组建的评标委员会负责。评标委员会由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或其委托的招标代理机构熟悉相关业务的代表，以及有关技术、经济等方面的专家组成。评标委员会成员人数以及技术、经济等方面专家的确定方式见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72334D38">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27</w:t>
      </w:r>
      <w:r>
        <w:rPr>
          <w:rFonts w:ascii="宋体" w:hAnsi="宋体" w:cs="宋体"/>
          <w:color w:val="auto"/>
          <w:szCs w:val="21"/>
          <w:highlight w:val="none"/>
        </w:rPr>
        <w:t>.2</w:t>
      </w:r>
      <w:r>
        <w:rPr>
          <w:rFonts w:hint="eastAsia" w:ascii="宋体" w:hAnsi="宋体" w:cs="宋体"/>
          <w:color w:val="auto"/>
          <w:szCs w:val="21"/>
          <w:highlight w:val="none"/>
        </w:rPr>
        <w:t>评标委员会成员有下列情形之一的，应当回避：</w:t>
      </w:r>
    </w:p>
    <w:p w14:paraId="24E3766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主要负责人的近亲属；</w:t>
      </w:r>
    </w:p>
    <w:p w14:paraId="5E64454A">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D179E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有经济利益关系；</w:t>
      </w:r>
    </w:p>
    <w:p w14:paraId="5768C10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45ED8E7F">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有其他利害关系。</w:t>
      </w:r>
    </w:p>
    <w:p w14:paraId="4D9DA58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 xml:space="preserve">.3评标过程中，评标委员会成员有回避事由、擅离职守或因健康等原因不能继续评标的，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有权更换。被更换的评标委员会成员作出的评审结论无效，由更换后的评标委员会成员重新进行评审。</w:t>
      </w:r>
    </w:p>
    <w:p w14:paraId="00E02041">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评标</w:t>
      </w:r>
    </w:p>
    <w:p w14:paraId="2126ED9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.1评标办法</w:t>
      </w:r>
    </w:p>
    <w:p w14:paraId="01BA27D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.1.1评标委员会按照第三章“评标办法”规定的方法、评审因素、标准和程序对投标文件进行评审。第三章“评标办法”没有规定的方法、评审因素和标准，不作为评标依据。</w:t>
      </w:r>
    </w:p>
    <w:p w14:paraId="44C216B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.2评标完成后，评标委员会应向招标人提交书面评标报告和中标候选人名单。评标委员会推荐中标候选人的人数见投标人须知前附表。</w:t>
      </w:r>
    </w:p>
    <w:p w14:paraId="49A6FE8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.3评标原则：遵循公平、公正、科学和择优的原则。</w:t>
      </w:r>
    </w:p>
    <w:p w14:paraId="3FECB18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.4投标文件的澄清</w:t>
      </w:r>
    </w:p>
    <w:p w14:paraId="048E298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.4.1在评标过程中，评标委员会认为需要，在招标人的监督下，可要求投标人对投标文件中的有关问题进行澄清或提供补充说明及有关资料，投标人应做出书面答复。</w:t>
      </w:r>
    </w:p>
    <w:p w14:paraId="2C7AAD1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.4.2书面答复须经投标人法定代表人或其委托代理人签字或盖章，签字或盖章的书面答复将被视为投标文件的组成部分。</w:t>
      </w:r>
    </w:p>
    <w:p w14:paraId="1B98A4D9">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.5报价合理性的判断</w:t>
      </w:r>
    </w:p>
    <w:p w14:paraId="5B6C118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FA18FF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.6评审意见分歧的处理办法</w:t>
      </w:r>
    </w:p>
    <w:p w14:paraId="00F26E2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（1）评标委员会应当对投标人提供的报告、证明材料及详细说明认真研究。对存在意见分歧的，可采用投票方式表决决定（按多数评委意见为准）；</w:t>
      </w:r>
    </w:p>
    <w:p w14:paraId="7DEA9B1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（2）招标投标当事人对评标结果提出异议或者投诉，招标人认为需要重新进行评标的，评标委员会成员应当按照招标人要求重新评标。</w:t>
      </w:r>
    </w:p>
    <w:p w14:paraId="0433DB9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.7评标报告的签署</w:t>
      </w:r>
    </w:p>
    <w:p w14:paraId="34B7B69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A6D498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.8评标过程的保密</w:t>
      </w:r>
    </w:p>
    <w:p w14:paraId="44E8247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评标委员会成员和与评标活动有关的工作人员不得透露对投标文件的评审和比较、中标人的推荐情况以及与评标有关的其他情况。</w:t>
      </w:r>
    </w:p>
    <w:p w14:paraId="53C27E4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.9评标结果公告</w:t>
      </w:r>
    </w:p>
    <w:p w14:paraId="007EB2B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招标人应将中标人的情况在滁州市兴滁矿业投资集团有限公司网站（http://www.xckytz.com/index.html）</w:t>
      </w:r>
      <w:r>
        <w:rPr>
          <w:rFonts w:hint="eastAsia" w:ascii="宋体" w:hAnsi="宋体" w:cs="宋体"/>
          <w:b w:val="0"/>
          <w:bCs w:val="0"/>
          <w:color w:val="auto"/>
          <w:sz w:val="21"/>
          <w:szCs w:val="21"/>
          <w:highlight w:val="none"/>
          <w:lang w:val="en-US" w:eastAsia="zh-CN"/>
        </w:rPr>
        <w:t>、滁州市城投工程咨询管理有限公司网站（https://www.czctgczx.com/）</w:t>
      </w:r>
      <w:r>
        <w:rPr>
          <w:rFonts w:hint="eastAsia" w:ascii="宋体" w:hAnsi="宋体" w:eastAsia="宋体" w:cs="宋体"/>
          <w:b w:val="0"/>
          <w:bCs w:val="0"/>
          <w:color w:val="auto"/>
          <w:sz w:val="21"/>
          <w:szCs w:val="21"/>
          <w:highlight w:val="none"/>
          <w:lang w:val="en-US" w:eastAsia="zh-CN"/>
        </w:rPr>
        <w:t>上予以公告，公告期为3日。投标人或其他利害关系人对评标结果有异议的，应在中标候选人公示期内提出。招标人将在收到异议之日起3日内作出答复；作出答复前，将暂停招标投标活动。</w:t>
      </w:r>
    </w:p>
    <w:p w14:paraId="5E533DB3">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29</w:t>
      </w:r>
      <w:r>
        <w:rPr>
          <w:rFonts w:hint="eastAsia" w:ascii="宋体" w:hAnsi="宋体" w:eastAsia="宋体" w:cs="宋体"/>
          <w:b/>
          <w:bCs/>
          <w:color w:val="auto"/>
          <w:sz w:val="21"/>
          <w:szCs w:val="21"/>
          <w:highlight w:val="none"/>
        </w:rPr>
        <w:t>.定标</w:t>
      </w:r>
    </w:p>
    <w:p w14:paraId="25A99BE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.1中标人的确定</w:t>
      </w:r>
    </w:p>
    <w:p w14:paraId="14E6A893">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29.1.1</w:t>
      </w:r>
      <w:r>
        <w:rPr>
          <w:rFonts w:hint="eastAsia" w:ascii="宋体" w:hAnsi="宋体" w:cs="宋体"/>
          <w:color w:val="auto"/>
          <w:szCs w:val="21"/>
          <w:highlight w:val="none"/>
        </w:rPr>
        <w:t>除</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须知前附表规定评标委员会直接确定中标人外，</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依据评标委员会推荐的</w:t>
      </w:r>
      <w:r>
        <w:rPr>
          <w:rFonts w:hint="eastAsia" w:ascii="宋体" w:hAnsi="宋体" w:cs="宋体"/>
          <w:color w:val="auto"/>
          <w:szCs w:val="21"/>
          <w:highlight w:val="none"/>
          <w:lang w:val="en-US" w:eastAsia="zh-CN"/>
        </w:rPr>
        <w:t>第一</w:t>
      </w:r>
      <w:r>
        <w:rPr>
          <w:rFonts w:hint="eastAsia" w:ascii="宋体" w:hAnsi="宋体" w:cs="宋体"/>
          <w:color w:val="auto"/>
          <w:szCs w:val="21"/>
          <w:highlight w:val="none"/>
        </w:rPr>
        <w:t>中标候选人确定</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中标人，评标委员会推荐中标候选人的人数见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须知前附表。</w:t>
      </w:r>
    </w:p>
    <w:p w14:paraId="2EE6746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29.1.2</w:t>
      </w:r>
      <w:r>
        <w:rPr>
          <w:rFonts w:hint="eastAsia" w:ascii="宋体" w:hAnsi="宋体" w:eastAsia="宋体" w:cs="宋体"/>
          <w:color w:val="auto"/>
          <w:sz w:val="21"/>
          <w:szCs w:val="21"/>
          <w:highlight w:val="none"/>
          <w:lang w:val="en-US" w:eastAsia="zh-CN"/>
        </w:rPr>
        <w:t>招标人应当确定第一中标候选人为中标人。第一中标候选人放弃中标、因不可抗力提出不能履行合同，或者经查实其存在弄虚作假等其他违法违规行为骗取中标的，招标人可以确定排名第二的为中标候选人，以此类推，也可以依法重新组织招标。</w:t>
      </w:r>
    </w:p>
    <w:p w14:paraId="48AF8F1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29.2</w:t>
      </w:r>
      <w:r>
        <w:rPr>
          <w:rFonts w:hint="eastAsia" w:ascii="宋体" w:hAnsi="宋体" w:cs="宋体"/>
          <w:color w:val="auto"/>
          <w:szCs w:val="21"/>
          <w:highlight w:val="none"/>
        </w:rPr>
        <w:t>中标通知书</w:t>
      </w:r>
    </w:p>
    <w:p w14:paraId="0BA81D80">
      <w:pPr>
        <w:pStyle w:val="12"/>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lang w:val="en-US" w:eastAsia="zh-CN"/>
        </w:rPr>
        <w:t>29.2.1</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或采购代理机构应在中标人确定之日起</w:t>
      </w:r>
      <w:r>
        <w:rPr>
          <w:rFonts w:hint="eastAsia" w:ascii="宋体" w:hAnsi="宋体" w:cs="宋体"/>
          <w:color w:val="auto"/>
          <w:highlight w:val="none"/>
          <w:lang w:val="en-US" w:eastAsia="zh-CN"/>
        </w:rPr>
        <w:t>2</w:t>
      </w:r>
      <w:r>
        <w:rPr>
          <w:rFonts w:hint="eastAsia" w:ascii="宋体" w:hAnsi="宋体" w:cs="宋体"/>
          <w:color w:val="auto"/>
          <w:highlight w:val="none"/>
        </w:rPr>
        <w:t>个工作日内</w:t>
      </w:r>
      <w:r>
        <w:rPr>
          <w:rFonts w:hint="eastAsia" w:ascii="宋体" w:hAnsi="宋体" w:cs="宋体"/>
          <w:color w:val="auto"/>
          <w:highlight w:val="none"/>
          <w:lang w:eastAsia="zh-CN"/>
        </w:rPr>
        <w:t>，</w:t>
      </w:r>
      <w:r>
        <w:rPr>
          <w:rFonts w:hint="eastAsia" w:ascii="宋体" w:hAnsi="宋体" w:cs="宋体"/>
          <w:color w:val="auto"/>
          <w:highlight w:val="none"/>
        </w:rPr>
        <w:t>向中标人发出中标通知书。</w:t>
      </w:r>
    </w:p>
    <w:p w14:paraId="45B3B46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29.2.2中标通知书须加盖招标人、采购代理机构公章后，方可发出。</w:t>
      </w:r>
    </w:p>
    <w:p w14:paraId="37CE5548">
      <w:pPr>
        <w:keepNext w:val="0"/>
        <w:keepLines w:val="0"/>
        <w:pageBreakBefore w:val="0"/>
        <w:widowControl w:val="0"/>
        <w:kinsoku/>
        <w:wordWrap/>
        <w:overflowPunct/>
        <w:topLinePunct w:val="0"/>
        <w:autoSpaceDE/>
        <w:autoSpaceDN/>
        <w:bidi w:val="0"/>
        <w:spacing w:line="500" w:lineRule="exact"/>
        <w:ind w:firstLine="422" w:firstLineChars="200"/>
        <w:jc w:val="left"/>
        <w:textAlignment w:val="auto"/>
        <w:rPr>
          <w:rFonts w:hint="eastAsia" w:ascii="宋体" w:hAnsi="宋体" w:cs="宋体"/>
          <w:b/>
          <w:color w:val="auto"/>
          <w:szCs w:val="21"/>
          <w:highlight w:val="none"/>
        </w:rPr>
      </w:pPr>
      <w:bookmarkStart w:id="27" w:name="_Toc21491"/>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0</w:t>
      </w:r>
      <w:r>
        <w:rPr>
          <w:rFonts w:hint="eastAsia" w:ascii="宋体" w:hAnsi="宋体" w:cs="宋体"/>
          <w:b/>
          <w:color w:val="auto"/>
          <w:szCs w:val="21"/>
          <w:highlight w:val="none"/>
        </w:rPr>
        <w:t>. 开评标异常情况处理</w:t>
      </w:r>
    </w:p>
    <w:p w14:paraId="0348926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w:t>
      </w:r>
      <w:r>
        <w:rPr>
          <w:rFonts w:hint="eastAsia" w:ascii="宋体" w:hAnsi="宋体" w:cs="宋体"/>
          <w:color w:val="auto"/>
          <w:kern w:val="10"/>
          <w:szCs w:val="21"/>
          <w:highlight w:val="none"/>
          <w:lang w:val="en-US" w:eastAsia="zh-CN"/>
        </w:rPr>
        <w:t>0</w:t>
      </w:r>
      <w:r>
        <w:rPr>
          <w:rFonts w:hint="eastAsia" w:ascii="宋体" w:hAnsi="宋体" w:cs="宋体"/>
          <w:color w:val="auto"/>
          <w:kern w:val="10"/>
          <w:szCs w:val="21"/>
          <w:highlight w:val="none"/>
        </w:rPr>
        <w:t>.1废标（重新招标）</w:t>
      </w:r>
    </w:p>
    <w:p w14:paraId="45A4E481">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有下列情形之一的，</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将废标（重新招标）：</w:t>
      </w:r>
    </w:p>
    <w:p w14:paraId="2B4A84D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(1) 出现影响采购公正的违法、违规行为的；</w:t>
      </w:r>
    </w:p>
    <w:p w14:paraId="5E083CCE">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(2)</w:t>
      </w:r>
      <w:r>
        <w:rPr>
          <w:rFonts w:hint="eastAsia" w:ascii="宋体" w:hAnsi="宋体" w:cs="宋体"/>
          <w:color w:val="auto"/>
          <w:kern w:val="10"/>
          <w:szCs w:val="21"/>
          <w:highlight w:val="none"/>
          <w:lang w:eastAsia="zh-CN"/>
        </w:rPr>
        <w:t>投标人</w:t>
      </w:r>
      <w:r>
        <w:rPr>
          <w:rFonts w:hint="eastAsia" w:ascii="宋体" w:hAnsi="宋体" w:cs="宋体"/>
          <w:color w:val="auto"/>
          <w:kern w:val="10"/>
          <w:szCs w:val="21"/>
          <w:highlight w:val="none"/>
        </w:rPr>
        <w:t>的报价均脱离实际且无充分证据的；</w:t>
      </w:r>
    </w:p>
    <w:p w14:paraId="3C00AD8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w:t>
      </w:r>
      <w:r>
        <w:rPr>
          <w:rFonts w:hint="eastAsia" w:ascii="宋体" w:hAnsi="宋体" w:eastAsia="宋体" w:cs="宋体"/>
          <w:color w:val="auto"/>
          <w:kern w:val="10"/>
          <w:szCs w:val="21"/>
          <w:highlight w:val="none"/>
        </w:rPr>
        <w:t>因重大变故，采购任务取消的。</w:t>
      </w:r>
    </w:p>
    <w:p w14:paraId="7438AA4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w:t>
      </w:r>
      <w:r>
        <w:rPr>
          <w:rFonts w:hint="eastAsia" w:ascii="宋体" w:hAnsi="宋体" w:eastAsia="宋体" w:cs="宋体"/>
          <w:color w:val="auto"/>
          <w:kern w:val="10"/>
          <w:szCs w:val="21"/>
          <w:highlight w:val="none"/>
          <w:lang w:val="en-US" w:eastAsia="zh-CN"/>
        </w:rPr>
        <w:t>0</w:t>
      </w:r>
      <w:r>
        <w:rPr>
          <w:rFonts w:hint="eastAsia" w:ascii="宋体" w:hAnsi="宋体" w:eastAsia="宋体" w:cs="宋体"/>
          <w:color w:val="auto"/>
          <w:kern w:val="10"/>
          <w:szCs w:val="21"/>
          <w:highlight w:val="none"/>
        </w:rPr>
        <w:t>.2变更采购方式</w:t>
      </w:r>
    </w:p>
    <w:p w14:paraId="68D6B96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kern w:val="10"/>
          <w:szCs w:val="21"/>
          <w:highlight w:val="none"/>
        </w:rPr>
      </w:pPr>
      <w:bookmarkStart w:id="28" w:name="_Toc449028872"/>
      <w:r>
        <w:rPr>
          <w:rFonts w:hint="eastAsia" w:ascii="宋体" w:hAnsi="宋体" w:eastAsia="宋体" w:cs="宋体"/>
          <w:color w:val="auto"/>
          <w:kern w:val="10"/>
          <w:szCs w:val="21"/>
          <w:highlight w:val="none"/>
        </w:rPr>
        <w:t>按照相关规定执行。</w:t>
      </w:r>
      <w:bookmarkEnd w:id="28"/>
    </w:p>
    <w:p w14:paraId="343A7C56">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jc w:val="center"/>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六、合同的授予</w:t>
      </w:r>
      <w:bookmarkEnd w:id="27"/>
    </w:p>
    <w:p w14:paraId="1516E11C">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.合同授予标准</w:t>
      </w:r>
    </w:p>
    <w:p w14:paraId="749AFF8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.1本招标工程的合同授予按本须知第32条规定所确定的中标人。</w:t>
      </w:r>
    </w:p>
    <w:p w14:paraId="7CA1A7F9">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 合同协议书的签订</w:t>
      </w:r>
    </w:p>
    <w:p w14:paraId="050456D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.1中标通知书发放后</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127FA8D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.2招标人如不按本投标须知第</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条的规定与中标人订立合同，或者招标人、中标人订立背离合同实质性内容的协议，招标人应当按给投标人造成的损失予以赔偿，同时依法承担相应法律责任。</w:t>
      </w:r>
    </w:p>
    <w:p w14:paraId="101D621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.3中标人如不按本投标须知第</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条的规定与招标人订立合同，则招标人将取消其中标资格，给招标人造成的损失予以赔偿，同时依法承担相应法律责任。</w:t>
      </w:r>
    </w:p>
    <w:p w14:paraId="714D94AC">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.4中标人应当按照合同履行义务，完成中标项目的实施，不得将中标项目转让（转包）给他人。</w:t>
      </w:r>
    </w:p>
    <w:p w14:paraId="43E7848D">
      <w:pPr>
        <w:rPr>
          <w:rFonts w:hint="eastAsia" w:ascii="宋体" w:hAnsi="宋体" w:eastAsia="宋体" w:cs="宋体"/>
          <w:b/>
          <w:bCs/>
          <w:color w:val="auto"/>
          <w:sz w:val="24"/>
          <w:szCs w:val="24"/>
          <w:highlight w:val="none"/>
          <w:shd w:val="clear" w:color="auto" w:fill="FFFFFF"/>
          <w:lang w:val="en-US" w:eastAsia="zh-CN"/>
        </w:rPr>
      </w:pPr>
      <w:r>
        <w:rPr>
          <w:rFonts w:hint="eastAsia" w:ascii="宋体"/>
          <w:b/>
          <w:color w:val="auto"/>
          <w:sz w:val="32"/>
          <w:szCs w:val="32"/>
          <w:highlight w:val="none"/>
        </w:rPr>
        <w:br w:type="page"/>
      </w:r>
      <w:bookmarkEnd w:id="22"/>
      <w:bookmarkStart w:id="29" w:name="_Toc58430328"/>
      <w:bookmarkStart w:id="30" w:name="_Toc363135205"/>
    </w:p>
    <w:p w14:paraId="5368DD7A">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第三章 评标办法</w:t>
      </w:r>
    </w:p>
    <w:p w14:paraId="77B91577">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center"/>
        <w:textAlignment w:val="auto"/>
        <w:outlineLvl w:val="1"/>
        <w:rPr>
          <w:rFonts w:hint="eastAsia" w:ascii="宋体"/>
          <w:b/>
          <w:color w:val="auto"/>
          <w:sz w:val="28"/>
          <w:szCs w:val="28"/>
          <w:highlight w:val="none"/>
        </w:rPr>
      </w:pPr>
      <w:bookmarkStart w:id="31" w:name="_Toc362983801"/>
      <w:bookmarkStart w:id="32" w:name="_Toc449028877"/>
      <w:bookmarkStart w:id="33" w:name="_Toc58430317"/>
      <w:bookmarkStart w:id="34" w:name="_Toc267320058"/>
      <w:r>
        <w:rPr>
          <w:rFonts w:hint="eastAsia" w:ascii="宋体"/>
          <w:b/>
          <w:color w:val="auto"/>
          <w:sz w:val="28"/>
          <w:szCs w:val="28"/>
          <w:highlight w:val="none"/>
        </w:rPr>
        <w:t>一、总则</w:t>
      </w:r>
      <w:bookmarkEnd w:id="31"/>
      <w:bookmarkEnd w:id="32"/>
      <w:bookmarkEnd w:id="33"/>
    </w:p>
    <w:p w14:paraId="4DA06D06">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b/>
          <w:color w:val="auto"/>
          <w:szCs w:val="21"/>
          <w:highlight w:val="none"/>
        </w:rPr>
      </w:pPr>
      <w:bookmarkStart w:id="35" w:name="_Toc58430318"/>
      <w:bookmarkStart w:id="36" w:name="_Toc362983802"/>
      <w:bookmarkStart w:id="37" w:name="_Toc449028878"/>
      <w:r>
        <w:rPr>
          <w:rFonts w:hint="eastAsia" w:ascii="宋体"/>
          <w:b/>
          <w:color w:val="auto"/>
          <w:szCs w:val="21"/>
          <w:highlight w:val="none"/>
        </w:rPr>
        <w:t xml:space="preserve"> 1. 本次评标采用综合评分法</w:t>
      </w:r>
    </w:p>
    <w:p w14:paraId="5DD2B3C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olor w:val="auto"/>
          <w:szCs w:val="21"/>
          <w:highlight w:val="none"/>
        </w:rPr>
      </w:pPr>
      <w:r>
        <w:rPr>
          <w:rFonts w:hint="eastAsia" w:ascii="宋体"/>
          <w:color w:val="auto"/>
          <w:szCs w:val="21"/>
          <w:highlight w:val="none"/>
        </w:rPr>
        <w:t>1.1综合评分法是指投标文件满足招标文件全部实质性要求且按照评审因素的量化指标评审总得分从高到低的供应商为中标候选人的评标方法。</w:t>
      </w:r>
    </w:p>
    <w:p w14:paraId="0594B1C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1.2综合评分法一般适用于较为复杂、评价指标难以量化且价格为非主要因素的非标准定制商品和非通用服务项目的项目评审。</w:t>
      </w:r>
    </w:p>
    <w:p w14:paraId="7C53964E">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b/>
          <w:color w:val="auto"/>
          <w:szCs w:val="21"/>
          <w:highlight w:val="none"/>
        </w:rPr>
      </w:pPr>
      <w:r>
        <w:rPr>
          <w:rFonts w:hint="eastAsia" w:ascii="宋体"/>
          <w:b/>
          <w:color w:val="auto"/>
          <w:szCs w:val="21"/>
          <w:highlight w:val="none"/>
        </w:rPr>
        <w:t>2．评标程序</w:t>
      </w:r>
    </w:p>
    <w:p w14:paraId="26AB7B8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2.1投标文件的初审</w:t>
      </w:r>
    </w:p>
    <w:p w14:paraId="0CD1CC5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1855C4F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320F1CD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2.2投标文件的澄清</w:t>
      </w:r>
    </w:p>
    <w:p w14:paraId="5665DDD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w:t>
      </w:r>
      <w:r>
        <w:rPr>
          <w:rFonts w:hint="eastAsia" w:ascii="宋体"/>
          <w:color w:val="auto"/>
          <w:szCs w:val="21"/>
          <w:highlight w:val="none"/>
          <w:lang w:val="en-US" w:eastAsia="zh-CN"/>
        </w:rPr>
        <w:t>服务期限</w:t>
      </w:r>
      <w:r>
        <w:rPr>
          <w:rFonts w:hint="eastAsia" w:ascii="宋体"/>
          <w:color w:val="auto"/>
          <w:szCs w:val="21"/>
          <w:highlight w:val="none"/>
        </w:rPr>
        <w:t>、自报质量等实质性内容。</w:t>
      </w:r>
    </w:p>
    <w:p w14:paraId="666E820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266809A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2.2.3招标人不接受投标人主动提出的澄清。</w:t>
      </w:r>
    </w:p>
    <w:p w14:paraId="20AF6AF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2.3比较与评价</w:t>
      </w:r>
    </w:p>
    <w:p w14:paraId="5BD7217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3.1按招标文件中规定的评标方法和标准，对资格性检查和符合性检查合格的投标文件进</w:t>
      </w:r>
      <w:r>
        <w:rPr>
          <w:rFonts w:hint="eastAsia" w:ascii="宋体"/>
          <w:color w:val="auto"/>
          <w:szCs w:val="21"/>
          <w:highlight w:val="none"/>
          <w:lang w:val="en-US" w:eastAsia="zh-CN"/>
        </w:rPr>
        <w:t>行</w:t>
      </w:r>
      <w:r>
        <w:rPr>
          <w:rFonts w:hint="eastAsia" w:ascii="宋体"/>
          <w:color w:val="auto"/>
          <w:szCs w:val="21"/>
          <w:highlight w:val="none"/>
        </w:rPr>
        <w:t xml:space="preserve">综合比较与评价。 </w:t>
      </w:r>
    </w:p>
    <w:p w14:paraId="58797B2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2.4推荐中标候选人名单</w:t>
      </w:r>
    </w:p>
    <w:p w14:paraId="110BD1D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1A6FDD7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color w:val="auto"/>
          <w:highlight w:val="none"/>
        </w:rPr>
      </w:pPr>
      <w:r>
        <w:rPr>
          <w:rFonts w:hint="eastAsia" w:ascii="宋体"/>
          <w:color w:val="auto"/>
          <w:szCs w:val="21"/>
          <w:highlight w:val="none"/>
        </w:rPr>
        <w:t>2.5在投标文件的审查、澄清、评价和比较以及授予合同过程中，投标人对招标人和评标委员会成员施加影响的任何行为，都将导致取消其中标资格。</w:t>
      </w:r>
    </w:p>
    <w:p w14:paraId="51F0A325">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center"/>
        <w:textAlignment w:val="auto"/>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二、投标文件初审</w:t>
      </w:r>
      <w:bookmarkEnd w:id="35"/>
      <w:bookmarkEnd w:id="36"/>
      <w:bookmarkEnd w:id="37"/>
    </w:p>
    <w:p w14:paraId="51BB9995">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cs="宋体"/>
          <w:b/>
          <w:color w:val="auto"/>
          <w:szCs w:val="21"/>
          <w:highlight w:val="none"/>
        </w:rPr>
      </w:pPr>
      <w:r>
        <w:rPr>
          <w:rFonts w:hint="eastAsia" w:ascii="宋体" w:hAnsi="宋体" w:cs="宋体"/>
          <w:b/>
          <w:color w:val="auto"/>
          <w:szCs w:val="21"/>
          <w:highlight w:val="none"/>
        </w:rPr>
        <w:t>3.资格性审查:</w:t>
      </w:r>
    </w:p>
    <w:p w14:paraId="6A45A2E7">
      <w:pPr>
        <w:keepNext w:val="0"/>
        <w:keepLines w:val="0"/>
        <w:pageBreakBefore w:val="0"/>
        <w:widowControl w:val="0"/>
        <w:kinsoku/>
        <w:wordWrap/>
        <w:overflowPunct/>
        <w:topLinePunct w:val="0"/>
        <w:autoSpaceDE/>
        <w:autoSpaceDN/>
        <w:bidi w:val="0"/>
        <w:adjustRightInd/>
        <w:snapToGrid/>
        <w:spacing w:line="500" w:lineRule="exact"/>
        <w:ind w:firstLine="308" w:firstLineChars="147"/>
        <w:textAlignment w:val="auto"/>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35"/>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66"/>
        <w:gridCol w:w="5699"/>
        <w:gridCol w:w="2161"/>
      </w:tblGrid>
      <w:tr w14:paraId="6D98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4" w:type="dxa"/>
            <w:noWrap w:val="0"/>
            <w:vAlign w:val="center"/>
          </w:tcPr>
          <w:p w14:paraId="256B2D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7065" w:type="dxa"/>
            <w:gridSpan w:val="2"/>
            <w:noWrap w:val="0"/>
            <w:vAlign w:val="center"/>
          </w:tcPr>
          <w:p w14:paraId="317DFD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2161" w:type="dxa"/>
            <w:noWrap w:val="0"/>
            <w:vAlign w:val="center"/>
          </w:tcPr>
          <w:p w14:paraId="12EF04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r>
      <w:tr w14:paraId="4008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04" w:type="dxa"/>
            <w:noWrap w:val="0"/>
            <w:vAlign w:val="center"/>
          </w:tcPr>
          <w:p w14:paraId="1285CB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366" w:type="dxa"/>
            <w:noWrap w:val="0"/>
            <w:vAlign w:val="center"/>
          </w:tcPr>
          <w:p w14:paraId="3C5C535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重要要求</w:t>
            </w:r>
          </w:p>
        </w:tc>
        <w:tc>
          <w:tcPr>
            <w:tcW w:w="5699" w:type="dxa"/>
            <w:noWrap w:val="0"/>
            <w:vAlign w:val="center"/>
          </w:tcPr>
          <w:p w14:paraId="308A1E8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2161" w:type="dxa"/>
            <w:noWrap w:val="0"/>
            <w:vAlign w:val="center"/>
          </w:tcPr>
          <w:p w14:paraId="4B0BE00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31FC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04" w:type="dxa"/>
            <w:vMerge w:val="restart"/>
            <w:noWrap w:val="0"/>
            <w:vAlign w:val="center"/>
          </w:tcPr>
          <w:p w14:paraId="16220C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w:t>
            </w:r>
          </w:p>
        </w:tc>
        <w:tc>
          <w:tcPr>
            <w:tcW w:w="1366" w:type="dxa"/>
            <w:vMerge w:val="restart"/>
            <w:noWrap w:val="0"/>
            <w:vAlign w:val="center"/>
          </w:tcPr>
          <w:p w14:paraId="4C5588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5699" w:type="dxa"/>
            <w:noWrap w:val="0"/>
            <w:vAlign w:val="center"/>
          </w:tcPr>
          <w:p w14:paraId="0F7F30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具有独立承担民事责任能力和相应服务能力</w:t>
            </w:r>
          </w:p>
        </w:tc>
        <w:tc>
          <w:tcPr>
            <w:tcW w:w="2161" w:type="dxa"/>
            <w:noWrap w:val="0"/>
            <w:vAlign w:val="center"/>
          </w:tcPr>
          <w:p w14:paraId="70F38C3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有效的营业执照</w:t>
            </w:r>
          </w:p>
        </w:tc>
      </w:tr>
      <w:tr w14:paraId="27F7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4" w:type="dxa"/>
            <w:vMerge w:val="continue"/>
            <w:noWrap w:val="0"/>
            <w:vAlign w:val="center"/>
          </w:tcPr>
          <w:p w14:paraId="525A07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p>
        </w:tc>
        <w:tc>
          <w:tcPr>
            <w:tcW w:w="1366" w:type="dxa"/>
            <w:vMerge w:val="continue"/>
            <w:noWrap w:val="0"/>
            <w:vAlign w:val="center"/>
          </w:tcPr>
          <w:p w14:paraId="788A23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5699" w:type="dxa"/>
            <w:noWrap w:val="0"/>
            <w:vAlign w:val="center"/>
          </w:tcPr>
          <w:p w14:paraId="6006696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w:t>
            </w:r>
          </w:p>
        </w:tc>
        <w:tc>
          <w:tcPr>
            <w:tcW w:w="2161" w:type="dxa"/>
            <w:noWrap w:val="0"/>
            <w:vAlign w:val="center"/>
          </w:tcPr>
          <w:p w14:paraId="3EDC332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格式见附件，检验</w:t>
            </w:r>
            <w:r>
              <w:rPr>
                <w:rFonts w:hint="eastAsia" w:ascii="宋体" w:hAnsi="宋体" w:eastAsia="宋体" w:cs="宋体"/>
                <w:color w:val="auto"/>
                <w:szCs w:val="21"/>
                <w:highlight w:val="none"/>
                <w:lang w:val="en-US" w:eastAsia="zh-CN"/>
              </w:rPr>
              <w:t>投标文件</w:t>
            </w:r>
          </w:p>
        </w:tc>
      </w:tr>
    </w:tbl>
    <w:p w14:paraId="4BC832D8">
      <w:pPr>
        <w:keepNext w:val="0"/>
        <w:keepLines w:val="0"/>
        <w:pageBreakBefore w:val="0"/>
        <w:widowControl w:val="0"/>
        <w:kinsoku/>
        <w:wordWrap/>
        <w:overflowPunct/>
        <w:topLinePunct w:val="0"/>
        <w:autoSpaceDE/>
        <w:autoSpaceDN/>
        <w:bidi w:val="0"/>
        <w:adjustRightInd/>
        <w:snapToGrid/>
        <w:spacing w:line="500" w:lineRule="exact"/>
        <w:ind w:firstLine="508" w:firstLineChars="241"/>
        <w:textAlignment w:val="auto"/>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如评标专家在</w:t>
      </w:r>
      <w:r>
        <w:rPr>
          <w:rFonts w:hint="eastAsia" w:ascii="宋体" w:hAnsi="宋体" w:cs="宋体"/>
          <w:b/>
          <w:color w:val="auto"/>
          <w:szCs w:val="21"/>
          <w:highlight w:val="none"/>
          <w:lang w:val="en-US" w:eastAsia="zh-CN"/>
        </w:rPr>
        <w:t>检验</w:t>
      </w:r>
      <w:r>
        <w:rPr>
          <w:rFonts w:hint="eastAsia" w:ascii="宋体" w:hAnsi="宋体" w:cs="宋体"/>
          <w:b/>
          <w:color w:val="auto"/>
          <w:szCs w:val="21"/>
          <w:highlight w:val="none"/>
        </w:rPr>
        <w:t>投标文件过程中，如果由于投标人自身原因导致评标专家无法查看并检验投标文件中相关资料的，否决其投标。即使投标人将原件携带至现场的，同样按否决投标处理。</w:t>
      </w:r>
    </w:p>
    <w:p w14:paraId="06CA4B4D">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cs="宋体"/>
          <w:b/>
          <w:color w:val="auto"/>
          <w:szCs w:val="21"/>
          <w:highlight w:val="none"/>
        </w:rPr>
      </w:pPr>
      <w:r>
        <w:rPr>
          <w:rFonts w:hint="eastAsia" w:ascii="宋体" w:hAnsi="宋体" w:cs="宋体"/>
          <w:b/>
          <w:color w:val="auto"/>
          <w:szCs w:val="21"/>
          <w:highlight w:val="none"/>
        </w:rPr>
        <w:t>4.符合性审查</w:t>
      </w:r>
    </w:p>
    <w:p w14:paraId="4C12151B">
      <w:pPr>
        <w:keepNext w:val="0"/>
        <w:keepLines w:val="0"/>
        <w:pageBreakBefore w:val="0"/>
        <w:widowControl w:val="0"/>
        <w:kinsoku/>
        <w:wordWrap/>
        <w:overflowPunct/>
        <w:topLinePunct w:val="0"/>
        <w:autoSpaceDE/>
        <w:autoSpaceDN/>
        <w:bidi w:val="0"/>
        <w:adjustRightInd/>
        <w:snapToGrid/>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4．1评审细则</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7C64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0EE09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135" w:type="dxa"/>
            <w:gridSpan w:val="2"/>
            <w:noWrap w:val="0"/>
            <w:vAlign w:val="center"/>
          </w:tcPr>
          <w:p w14:paraId="60D2CE1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173" w:type="dxa"/>
            <w:noWrap w:val="0"/>
            <w:vAlign w:val="center"/>
          </w:tcPr>
          <w:p w14:paraId="6DE2F9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14:paraId="03DC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798D3F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204" w:type="dxa"/>
            <w:vMerge w:val="restart"/>
            <w:noWrap w:val="0"/>
            <w:vAlign w:val="center"/>
          </w:tcPr>
          <w:p w14:paraId="7725307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14:paraId="5947951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173" w:type="dxa"/>
            <w:noWrap w:val="0"/>
            <w:vAlign w:val="center"/>
          </w:tcPr>
          <w:p w14:paraId="70C044A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tc>
      </w:tr>
      <w:tr w14:paraId="5E9C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0463B2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1204" w:type="dxa"/>
            <w:vMerge w:val="continue"/>
            <w:noWrap w:val="0"/>
            <w:vAlign w:val="center"/>
          </w:tcPr>
          <w:p w14:paraId="14A508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2931" w:type="dxa"/>
            <w:noWrap w:val="0"/>
            <w:vAlign w:val="center"/>
          </w:tcPr>
          <w:p w14:paraId="099908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173" w:type="dxa"/>
            <w:noWrap w:val="0"/>
            <w:vAlign w:val="center"/>
          </w:tcPr>
          <w:p w14:paraId="4EC3E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582C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60B973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1204" w:type="dxa"/>
            <w:vMerge w:val="continue"/>
            <w:noWrap w:val="0"/>
            <w:vAlign w:val="center"/>
          </w:tcPr>
          <w:p w14:paraId="06E85D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2931" w:type="dxa"/>
            <w:noWrap w:val="0"/>
            <w:vAlign w:val="center"/>
          </w:tcPr>
          <w:p w14:paraId="26DCF9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173" w:type="dxa"/>
            <w:noWrap w:val="0"/>
            <w:vAlign w:val="center"/>
          </w:tcPr>
          <w:p w14:paraId="22B258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0D81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337107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1204" w:type="dxa"/>
            <w:vMerge w:val="continue"/>
            <w:noWrap w:val="0"/>
            <w:vAlign w:val="center"/>
          </w:tcPr>
          <w:p w14:paraId="5F1813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2931" w:type="dxa"/>
            <w:noWrap w:val="0"/>
            <w:vAlign w:val="center"/>
          </w:tcPr>
          <w:p w14:paraId="4F2754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173" w:type="dxa"/>
            <w:noWrap w:val="0"/>
            <w:vAlign w:val="center"/>
          </w:tcPr>
          <w:p w14:paraId="3AEEF67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1AB8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4621D1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w:t>
            </w:r>
          </w:p>
        </w:tc>
        <w:tc>
          <w:tcPr>
            <w:tcW w:w="1204" w:type="dxa"/>
            <w:vMerge w:val="restart"/>
            <w:noWrap w:val="0"/>
            <w:vAlign w:val="center"/>
          </w:tcPr>
          <w:p w14:paraId="2F3865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14:paraId="6B20B0D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173" w:type="dxa"/>
            <w:noWrap w:val="0"/>
            <w:vAlign w:val="center"/>
          </w:tcPr>
          <w:p w14:paraId="3F3AC3A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满足招标文件要求</w:t>
            </w:r>
          </w:p>
        </w:tc>
      </w:tr>
      <w:tr w14:paraId="64F6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3FBA66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1204" w:type="dxa"/>
            <w:vMerge w:val="continue"/>
            <w:noWrap w:val="0"/>
            <w:vAlign w:val="center"/>
          </w:tcPr>
          <w:p w14:paraId="6A942C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2931" w:type="dxa"/>
            <w:noWrap w:val="0"/>
            <w:vAlign w:val="center"/>
          </w:tcPr>
          <w:p w14:paraId="6F3AA6E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173" w:type="dxa"/>
            <w:noWrap w:val="0"/>
            <w:vAlign w:val="center"/>
          </w:tcPr>
          <w:p w14:paraId="5F49F39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625A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2A9DB8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w:t>
            </w:r>
          </w:p>
        </w:tc>
        <w:tc>
          <w:tcPr>
            <w:tcW w:w="1204" w:type="dxa"/>
            <w:vMerge w:val="restart"/>
            <w:noWrap w:val="0"/>
            <w:vAlign w:val="center"/>
          </w:tcPr>
          <w:p w14:paraId="7F90CC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noWrap w:val="0"/>
            <w:vAlign w:val="center"/>
          </w:tcPr>
          <w:p w14:paraId="2EE70FE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（7）采购需求响应程度</w:t>
            </w:r>
          </w:p>
        </w:tc>
        <w:tc>
          <w:tcPr>
            <w:tcW w:w="4173" w:type="dxa"/>
            <w:noWrap w:val="0"/>
            <w:vAlign w:val="center"/>
          </w:tcPr>
          <w:p w14:paraId="4ABF455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r w14:paraId="52D1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BEC77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1204" w:type="dxa"/>
            <w:vMerge w:val="continue"/>
            <w:noWrap w:val="0"/>
            <w:vAlign w:val="center"/>
          </w:tcPr>
          <w:p w14:paraId="6258B2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2931" w:type="dxa"/>
            <w:noWrap w:val="0"/>
            <w:vAlign w:val="center"/>
          </w:tcPr>
          <w:p w14:paraId="5998BA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（8）商务条款响应程度（包括供货期、售后服务、技术培训等）</w:t>
            </w:r>
          </w:p>
        </w:tc>
        <w:tc>
          <w:tcPr>
            <w:tcW w:w="4173" w:type="dxa"/>
            <w:noWrap w:val="0"/>
            <w:vAlign w:val="center"/>
          </w:tcPr>
          <w:p w14:paraId="3D5CC6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bl>
    <w:p w14:paraId="155964BF">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cs="宋体"/>
          <w:color w:val="auto"/>
          <w:szCs w:val="21"/>
          <w:highlight w:val="none"/>
        </w:rPr>
      </w:pPr>
      <w:r>
        <w:rPr>
          <w:rFonts w:hint="eastAsia" w:ascii="宋体" w:hAnsi="宋体" w:cs="宋体"/>
          <w:color w:val="auto"/>
          <w:szCs w:val="21"/>
          <w:highlight w:val="none"/>
        </w:rPr>
        <w:t>4.2资格审查及评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细则中涉及的有关证明材料及相关证书，投标文件中须按招标文件要求</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w:t>
      </w:r>
    </w:p>
    <w:p w14:paraId="6F602920">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5D34CF74">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12B8E4D7">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1C20D872">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center"/>
        <w:textAlignment w:val="auto"/>
        <w:outlineLvl w:val="1"/>
        <w:rPr>
          <w:rFonts w:hint="eastAsia" w:ascii="宋体" w:hAnsi="Times New Roman" w:eastAsia="宋体" w:cs="Times New Roman"/>
          <w:b/>
          <w:color w:val="auto"/>
          <w:sz w:val="28"/>
          <w:szCs w:val="28"/>
          <w:highlight w:val="none"/>
        </w:rPr>
      </w:pPr>
      <w:bookmarkStart w:id="38" w:name="_Toc362983803"/>
      <w:bookmarkStart w:id="39" w:name="_Toc449028879"/>
      <w:bookmarkStart w:id="40" w:name="_Toc58430319"/>
      <w:r>
        <w:rPr>
          <w:rFonts w:hint="eastAsia" w:ascii="宋体" w:hAnsi="Times New Roman" w:eastAsia="宋体" w:cs="Times New Roman"/>
          <w:b/>
          <w:color w:val="auto"/>
          <w:sz w:val="28"/>
          <w:szCs w:val="28"/>
          <w:highlight w:val="none"/>
        </w:rPr>
        <w:t>三、投标文件的澄清和补正</w:t>
      </w:r>
      <w:bookmarkEnd w:id="38"/>
      <w:bookmarkEnd w:id="39"/>
      <w:bookmarkEnd w:id="40"/>
    </w:p>
    <w:p w14:paraId="3228516B">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3F8B2EC5">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5.2投标人的澄清、说明或者补正应当在系统进行，但不得超出投标文件的范围或者改变投标文件的实质性内容。</w:t>
      </w:r>
    </w:p>
    <w:p w14:paraId="2DFB6C21">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5.3评委会修正错误的原则：</w:t>
      </w:r>
    </w:p>
    <w:p w14:paraId="4125A76F">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25DA1DB0">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14:paraId="5808B74A">
      <w:pPr>
        <w:keepNext w:val="0"/>
        <w:keepLines w:val="0"/>
        <w:pageBreakBefore w:val="0"/>
        <w:widowControl w:val="0"/>
        <w:kinsoku/>
        <w:wordWrap/>
        <w:overflowPunct/>
        <w:topLinePunct w:val="0"/>
        <w:autoSpaceDE/>
        <w:autoSpaceDN/>
        <w:bidi w:val="0"/>
        <w:adjustRightInd/>
        <w:snapToGrid/>
        <w:spacing w:line="500" w:lineRule="exact"/>
        <w:ind w:firstLine="403" w:firstLineChars="192"/>
        <w:jc w:val="left"/>
        <w:textAlignment w:val="auto"/>
        <w:rPr>
          <w:rFonts w:hint="eastAsia" w:ascii="宋体"/>
          <w:b/>
          <w:color w:val="auto"/>
          <w:szCs w:val="21"/>
          <w:highlight w:val="none"/>
        </w:rPr>
      </w:pPr>
      <w:r>
        <w:rPr>
          <w:rFonts w:hint="eastAsia" w:ascii="宋体"/>
          <w:color w:val="auto"/>
          <w:szCs w:val="21"/>
          <w:highlight w:val="none"/>
        </w:rPr>
        <w:t xml:space="preserve"> 5.4评委会将按上述修正错误的方法调整投标文件中的投标报价，调整后的价格应对投标人具有约束力。无论投标人是接受或是拒绝调整后的价格，都应当由投标人在系统中确认。</w:t>
      </w:r>
      <w:r>
        <w:rPr>
          <w:rFonts w:hint="eastAsia" w:ascii="宋体"/>
          <w:b/>
          <w:bCs/>
          <w:color w:val="auto"/>
          <w:szCs w:val="21"/>
          <w:highlight w:val="none"/>
        </w:rPr>
        <w:t>投标人拒绝对投标文件出现的错漏按上述原则进行修正、澄清、说明，评标委员会应当否决其投标。</w:t>
      </w:r>
      <w:bookmarkStart w:id="41" w:name="_Toc58430320"/>
      <w:bookmarkStart w:id="42" w:name="_Toc449028880"/>
    </w:p>
    <w:p w14:paraId="4E078817">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center"/>
        <w:textAlignment w:val="auto"/>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四、比较与评价</w:t>
      </w:r>
      <w:bookmarkEnd w:id="41"/>
      <w:bookmarkEnd w:id="42"/>
    </w:p>
    <w:p w14:paraId="117055AF">
      <w:pPr>
        <w:keepNext w:val="0"/>
        <w:keepLines w:val="0"/>
        <w:pageBreakBefore w:val="0"/>
        <w:kinsoku/>
        <w:wordWrap/>
        <w:overflowPunct/>
        <w:topLinePunct w:val="0"/>
        <w:autoSpaceDE/>
        <w:autoSpaceDN/>
        <w:bidi w:val="0"/>
        <w:spacing w:line="500" w:lineRule="exact"/>
        <w:ind w:right="36" w:rightChars="17" w:firstLine="417" w:firstLineChars="198"/>
        <w:jc w:val="left"/>
        <w:textAlignment w:val="auto"/>
        <w:rPr>
          <w:rFonts w:ascii="宋体" w:hAnsi="宋体" w:cs="宋体"/>
          <w:b/>
          <w:color w:val="auto"/>
          <w:szCs w:val="21"/>
          <w:highlight w:val="none"/>
        </w:rPr>
      </w:pPr>
      <w:r>
        <w:rPr>
          <w:rFonts w:hint="eastAsia" w:ascii="宋体" w:hAnsi="宋体" w:eastAsia="宋体" w:cs="宋体"/>
          <w:b/>
          <w:color w:val="auto"/>
          <w:sz w:val="21"/>
          <w:szCs w:val="21"/>
          <w:highlight w:val="none"/>
        </w:rPr>
        <w:t xml:space="preserve"> </w:t>
      </w:r>
      <w:bookmarkStart w:id="43" w:name="_Toc362983805"/>
      <w:bookmarkStart w:id="44" w:name="_Toc449028881"/>
      <w:r>
        <w:rPr>
          <w:rFonts w:hint="eastAsia" w:ascii="宋体" w:hAnsi="宋体" w:cs="宋体"/>
          <w:b/>
          <w:color w:val="auto"/>
          <w:szCs w:val="21"/>
          <w:highlight w:val="none"/>
        </w:rPr>
        <w:t>6.详细评审即按招标文件中规定的评标方法和标准，评标委员会将对通过初审的投标文件，进行综合比较与评价。</w:t>
      </w:r>
    </w:p>
    <w:tbl>
      <w:tblPr>
        <w:tblStyle w:val="35"/>
        <w:tblW w:w="9887"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78"/>
        <w:gridCol w:w="840"/>
        <w:gridCol w:w="7217"/>
      </w:tblGrid>
      <w:tr w14:paraId="11A4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2984BB7B">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bookmarkStart w:id="45" w:name="_Toc58430321"/>
            <w:r>
              <w:rPr>
                <w:rFonts w:hint="eastAsia" w:ascii="宋体" w:hAnsi="宋体" w:eastAsia="宋体" w:cs="宋体"/>
                <w:b/>
                <w:bCs/>
                <w:color w:val="auto"/>
                <w:sz w:val="21"/>
                <w:szCs w:val="21"/>
                <w:highlight w:val="none"/>
              </w:rPr>
              <w:t>序号</w:t>
            </w:r>
          </w:p>
        </w:tc>
        <w:tc>
          <w:tcPr>
            <w:tcW w:w="1078" w:type="dxa"/>
            <w:shd w:val="clear" w:color="auto" w:fill="auto"/>
            <w:noWrap/>
            <w:vAlign w:val="center"/>
          </w:tcPr>
          <w:p w14:paraId="6D65D728">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840" w:type="dxa"/>
            <w:shd w:val="clear" w:color="auto" w:fill="auto"/>
            <w:noWrap/>
            <w:vAlign w:val="center"/>
          </w:tcPr>
          <w:p w14:paraId="70D6E3F2">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分值</w:t>
            </w:r>
          </w:p>
        </w:tc>
        <w:tc>
          <w:tcPr>
            <w:tcW w:w="7217" w:type="dxa"/>
            <w:shd w:val="clear" w:color="auto" w:fill="auto"/>
            <w:noWrap/>
            <w:vAlign w:val="center"/>
          </w:tcPr>
          <w:p w14:paraId="08548695">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评审细则</w:t>
            </w:r>
          </w:p>
        </w:tc>
      </w:tr>
      <w:tr w14:paraId="2D34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4A06C773">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078" w:type="dxa"/>
            <w:shd w:val="clear" w:color="auto" w:fill="auto"/>
            <w:noWrap/>
            <w:vAlign w:val="center"/>
          </w:tcPr>
          <w:p w14:paraId="37BB57DD">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企业</w:t>
            </w:r>
            <w:r>
              <w:rPr>
                <w:rFonts w:hint="eastAsia" w:ascii="宋体" w:hAnsi="宋体" w:eastAsia="宋体" w:cs="宋体"/>
                <w:b w:val="0"/>
                <w:bCs w:val="0"/>
                <w:color w:val="auto"/>
                <w:sz w:val="21"/>
                <w:szCs w:val="21"/>
                <w:highlight w:val="none"/>
                <w:lang w:val="zh-CN"/>
              </w:rPr>
              <w:t>业绩</w:t>
            </w:r>
          </w:p>
        </w:tc>
        <w:tc>
          <w:tcPr>
            <w:tcW w:w="840" w:type="dxa"/>
            <w:shd w:val="clear" w:color="auto" w:fill="auto"/>
            <w:noWrap/>
            <w:vAlign w:val="center"/>
          </w:tcPr>
          <w:p w14:paraId="5497C07C">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20分</w:t>
            </w:r>
          </w:p>
        </w:tc>
        <w:tc>
          <w:tcPr>
            <w:tcW w:w="7217" w:type="dxa"/>
            <w:shd w:val="clear" w:color="auto" w:fill="auto"/>
            <w:noWrap/>
            <w:vAlign w:val="center"/>
          </w:tcPr>
          <w:p w14:paraId="4FF3E4B2">
            <w:pPr>
              <w:pStyle w:val="110"/>
              <w:keepNext w:val="0"/>
              <w:keepLines w:val="0"/>
              <w:pageBreakBefore w:val="0"/>
              <w:numPr>
                <w:ilvl w:val="0"/>
                <w:numId w:val="0"/>
              </w:numPr>
              <w:tabs>
                <w:tab w:val="left" w:pos="1800"/>
                <w:tab w:val="left" w:pos="2340"/>
                <w:tab w:val="left" w:pos="2700"/>
              </w:tabs>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宋体" w:hAnsi="宋体" w:cs="Times New Roman"/>
                <w:b w:val="0"/>
                <w:bCs w:val="0"/>
                <w:color w:val="auto"/>
                <w:kern w:val="2"/>
                <w:sz w:val="21"/>
                <w:szCs w:val="21"/>
                <w:highlight w:val="none"/>
                <w:u w:val="none"/>
                <w:lang w:val="en-US" w:eastAsia="zh-CN"/>
              </w:rPr>
            </w:pPr>
            <w:r>
              <w:rPr>
                <w:rFonts w:hint="eastAsia" w:ascii="宋体" w:hAnsi="宋体" w:cs="Times New Roman"/>
                <w:b w:val="0"/>
                <w:bCs w:val="0"/>
                <w:color w:val="auto"/>
                <w:kern w:val="2"/>
                <w:sz w:val="21"/>
                <w:szCs w:val="21"/>
                <w:highlight w:val="none"/>
                <w:u w:val="none"/>
                <w:lang w:val="en-US" w:eastAsia="zh-CN"/>
              </w:rPr>
              <w:t>自2023年6月1日至投标截止日（以合同签订时间为准）,投标人具有矿山影响评价报告编制咨询服务项目业绩，提供一个得10分，满分20分。</w:t>
            </w:r>
          </w:p>
          <w:p w14:paraId="30D52D68">
            <w:pPr>
              <w:pStyle w:val="110"/>
              <w:keepNext w:val="0"/>
              <w:keepLines w:val="0"/>
              <w:pageBreakBefore w:val="0"/>
              <w:numPr>
                <w:ilvl w:val="0"/>
                <w:numId w:val="0"/>
              </w:numPr>
              <w:tabs>
                <w:tab w:val="left" w:pos="1800"/>
                <w:tab w:val="left" w:pos="2340"/>
                <w:tab w:val="left" w:pos="2700"/>
              </w:tabs>
              <w:kinsoku/>
              <w:wordWrap/>
              <w:overflowPunct/>
              <w:topLinePunct w:val="0"/>
              <w:autoSpaceDE/>
              <w:autoSpaceDN/>
              <w:bidi w:val="0"/>
              <w:adjustRightInd w:val="0"/>
              <w:snapToGrid w:val="0"/>
              <w:spacing w:before="0" w:beforeAutospacing="0" w:after="0" w:afterAutospacing="0" w:line="500" w:lineRule="exact"/>
              <w:jc w:val="left"/>
              <w:textAlignment w:val="auto"/>
              <w:rPr>
                <w:rFonts w:hint="default" w:ascii="宋体" w:hAnsi="宋体" w:eastAsia="宋体" w:cs="Times New Roman"/>
                <w:color w:val="auto"/>
                <w:kern w:val="2"/>
                <w:sz w:val="21"/>
                <w:szCs w:val="21"/>
                <w:highlight w:val="none"/>
                <w:u w:val="none"/>
                <w:lang w:val="en-US" w:eastAsia="zh-CN"/>
              </w:rPr>
            </w:pPr>
            <w:r>
              <w:rPr>
                <w:rFonts w:hint="eastAsia" w:ascii="宋体" w:hAnsi="宋体" w:cs="Times New Roman"/>
                <w:b/>
                <w:bCs/>
                <w:color w:val="auto"/>
                <w:kern w:val="2"/>
                <w:sz w:val="21"/>
                <w:szCs w:val="21"/>
                <w:highlight w:val="none"/>
                <w:u w:val="none"/>
                <w:lang w:val="en-US" w:eastAsia="zh-CN"/>
              </w:rPr>
              <w:t>【投标文件中须同时</w:t>
            </w:r>
            <w:r>
              <w:rPr>
                <w:rFonts w:hint="default" w:ascii="宋体" w:hAnsi="宋体" w:eastAsia="宋体" w:cs="Times New Roman"/>
                <w:b/>
                <w:bCs/>
                <w:color w:val="auto"/>
                <w:kern w:val="2"/>
                <w:sz w:val="21"/>
                <w:szCs w:val="21"/>
                <w:highlight w:val="none"/>
                <w:u w:val="none"/>
                <w:lang w:val="en-US" w:eastAsia="zh-CN"/>
              </w:rPr>
              <w:t>提供</w:t>
            </w:r>
            <w:r>
              <w:rPr>
                <w:rFonts w:hint="eastAsia" w:ascii="宋体" w:hAnsi="宋体" w:eastAsia="宋体" w:cs="Times New Roman"/>
                <w:b/>
                <w:bCs/>
                <w:color w:val="auto"/>
                <w:kern w:val="2"/>
                <w:sz w:val="21"/>
                <w:szCs w:val="21"/>
                <w:highlight w:val="none"/>
                <w:u w:val="none"/>
                <w:lang w:val="en-US" w:eastAsia="zh-CN"/>
              </w:rPr>
              <w:t>合同复印件并加盖单位公章</w:t>
            </w:r>
            <w:r>
              <w:rPr>
                <w:rFonts w:hint="eastAsia" w:ascii="宋体" w:hAnsi="宋体" w:cs="Times New Roman"/>
                <w:b/>
                <w:bCs/>
                <w:color w:val="auto"/>
                <w:kern w:val="2"/>
                <w:sz w:val="21"/>
                <w:szCs w:val="21"/>
                <w:highlight w:val="none"/>
                <w:u w:val="none"/>
                <w:lang w:val="en-US" w:eastAsia="zh-CN"/>
              </w:rPr>
              <w:t>】</w:t>
            </w:r>
          </w:p>
        </w:tc>
      </w:tr>
      <w:tr w14:paraId="7F03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51097DEC">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078" w:type="dxa"/>
            <w:shd w:val="clear" w:color="auto" w:fill="auto"/>
            <w:noWrap/>
            <w:vAlign w:val="center"/>
          </w:tcPr>
          <w:p w14:paraId="16A9AEA6">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人员配备</w:t>
            </w:r>
          </w:p>
        </w:tc>
        <w:tc>
          <w:tcPr>
            <w:tcW w:w="840" w:type="dxa"/>
            <w:shd w:val="clear" w:color="auto" w:fill="auto"/>
            <w:noWrap/>
            <w:vAlign w:val="center"/>
          </w:tcPr>
          <w:p w14:paraId="0A348BC3">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20分</w:t>
            </w:r>
          </w:p>
        </w:tc>
        <w:tc>
          <w:tcPr>
            <w:tcW w:w="7217" w:type="dxa"/>
            <w:shd w:val="clear" w:color="auto" w:fill="auto"/>
            <w:noWrap/>
            <w:vAlign w:val="center"/>
          </w:tcPr>
          <w:p w14:paraId="130A08B2">
            <w:pPr>
              <w:pStyle w:val="19"/>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1.项目负责人（1人）</w:t>
            </w:r>
            <w:r>
              <w:rPr>
                <w:rFonts w:hint="eastAsia" w:ascii="宋体" w:hAnsi="宋体" w:cs="宋体"/>
                <w:color w:val="auto"/>
                <w:kern w:val="2"/>
                <w:sz w:val="21"/>
                <w:szCs w:val="21"/>
                <w:highlight w:val="none"/>
                <w:lang w:val="en-US" w:eastAsia="zh-CN" w:bidi="ar-SA"/>
              </w:rPr>
              <w:t>:</w:t>
            </w:r>
          </w:p>
          <w:p w14:paraId="3D46E2AC">
            <w:pPr>
              <w:pStyle w:val="19"/>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1.1具有</w:t>
            </w:r>
            <w:r>
              <w:rPr>
                <w:rFonts w:hint="eastAsia" w:ascii="宋体" w:hAnsi="宋体" w:cs="宋体"/>
                <w:color w:val="auto"/>
                <w:kern w:val="2"/>
                <w:sz w:val="21"/>
                <w:szCs w:val="21"/>
                <w:highlight w:val="none"/>
                <w:lang w:val="en-US" w:eastAsia="zh-CN" w:bidi="ar-SA"/>
              </w:rPr>
              <w:t>水利</w:t>
            </w:r>
            <w:r>
              <w:rPr>
                <w:rFonts w:hint="eastAsia" w:ascii="宋体" w:hAnsi="宋体" w:eastAsia="宋体" w:cs="宋体"/>
                <w:color w:val="auto"/>
                <w:kern w:val="2"/>
                <w:sz w:val="21"/>
                <w:szCs w:val="21"/>
                <w:highlight w:val="none"/>
                <w:lang w:val="en-US" w:eastAsia="zh-CN" w:bidi="ar-SA"/>
              </w:rPr>
              <w:t>工程类</w:t>
            </w:r>
            <w:r>
              <w:rPr>
                <w:rFonts w:hint="eastAsia" w:ascii="宋体" w:hAnsi="宋体" w:cs="宋体"/>
                <w:color w:val="auto"/>
                <w:kern w:val="2"/>
                <w:sz w:val="21"/>
                <w:szCs w:val="21"/>
                <w:highlight w:val="none"/>
                <w:lang w:val="en-US" w:eastAsia="zh-CN" w:bidi="ar-SA"/>
              </w:rPr>
              <w:t>中</w:t>
            </w:r>
            <w:r>
              <w:rPr>
                <w:rFonts w:hint="eastAsia" w:ascii="宋体" w:hAnsi="宋体" w:eastAsia="宋体" w:cs="宋体"/>
                <w:color w:val="auto"/>
                <w:kern w:val="2"/>
                <w:sz w:val="21"/>
                <w:szCs w:val="21"/>
                <w:highlight w:val="none"/>
                <w:lang w:val="en-US" w:eastAsia="zh-CN" w:bidi="ar-SA"/>
              </w:rPr>
              <w:t>级工程师</w:t>
            </w:r>
            <w:r>
              <w:rPr>
                <w:rFonts w:hint="eastAsia" w:ascii="宋体" w:hAnsi="宋体" w:cs="宋体"/>
                <w:color w:val="auto"/>
                <w:kern w:val="2"/>
                <w:sz w:val="21"/>
                <w:szCs w:val="21"/>
                <w:highlight w:val="none"/>
                <w:lang w:val="en-US" w:eastAsia="zh-CN" w:bidi="ar-SA"/>
              </w:rPr>
              <w:t>及以上</w:t>
            </w:r>
            <w:r>
              <w:rPr>
                <w:rFonts w:hint="eastAsia" w:ascii="宋体" w:hAnsi="宋体" w:eastAsia="宋体" w:cs="宋体"/>
                <w:color w:val="auto"/>
                <w:kern w:val="2"/>
                <w:sz w:val="21"/>
                <w:szCs w:val="21"/>
                <w:highlight w:val="none"/>
                <w:lang w:val="en-US" w:eastAsia="zh-CN" w:bidi="ar-SA"/>
              </w:rPr>
              <w:t>职称证书的得</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分；</w:t>
            </w:r>
          </w:p>
          <w:p w14:paraId="5EFA53FE">
            <w:pPr>
              <w:pStyle w:val="19"/>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2.项目组成员（不含项目负责人）</w:t>
            </w:r>
          </w:p>
          <w:p w14:paraId="50BFEAE7">
            <w:pPr>
              <w:pStyle w:val="19"/>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2.1每有1人持有</w:t>
            </w:r>
            <w:r>
              <w:rPr>
                <w:rFonts w:hint="eastAsia" w:ascii="宋体" w:hAnsi="宋体" w:cs="宋体"/>
                <w:color w:val="auto"/>
                <w:kern w:val="2"/>
                <w:sz w:val="21"/>
                <w:szCs w:val="21"/>
                <w:highlight w:val="none"/>
                <w:lang w:val="en-US" w:eastAsia="zh-CN" w:bidi="ar-SA"/>
              </w:rPr>
              <w:t>中</w:t>
            </w:r>
            <w:r>
              <w:rPr>
                <w:rFonts w:hint="eastAsia" w:ascii="宋体" w:hAnsi="宋体" w:eastAsia="宋体" w:cs="宋体"/>
                <w:color w:val="auto"/>
                <w:kern w:val="2"/>
                <w:sz w:val="21"/>
                <w:szCs w:val="21"/>
                <w:highlight w:val="none"/>
                <w:lang w:val="en-US" w:eastAsia="zh-CN" w:bidi="ar-SA"/>
              </w:rPr>
              <w:t>级工程师</w:t>
            </w:r>
            <w:r>
              <w:rPr>
                <w:rFonts w:hint="eastAsia" w:ascii="宋体" w:hAnsi="宋体" w:cs="宋体"/>
                <w:color w:val="auto"/>
                <w:kern w:val="2"/>
                <w:sz w:val="21"/>
                <w:szCs w:val="21"/>
                <w:highlight w:val="none"/>
                <w:lang w:val="en-US" w:eastAsia="zh-CN" w:bidi="ar-SA"/>
              </w:rPr>
              <w:t>及以上</w:t>
            </w:r>
            <w:r>
              <w:rPr>
                <w:rFonts w:hint="eastAsia" w:ascii="宋体" w:hAnsi="宋体" w:eastAsia="宋体" w:cs="宋体"/>
                <w:color w:val="auto"/>
                <w:kern w:val="2"/>
                <w:sz w:val="21"/>
                <w:szCs w:val="21"/>
                <w:highlight w:val="none"/>
                <w:lang w:val="en-US" w:eastAsia="zh-CN" w:bidi="ar-SA"/>
              </w:rPr>
              <w:t>职称证书的得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分，满分</w:t>
            </w:r>
            <w:r>
              <w:rPr>
                <w:rFonts w:hint="eastAsia" w:ascii="宋体" w:hAnsi="宋体" w:cs="宋体"/>
                <w:color w:val="auto"/>
                <w:kern w:val="2"/>
                <w:sz w:val="21"/>
                <w:szCs w:val="21"/>
                <w:highlight w:val="none"/>
                <w:lang w:val="en-US" w:eastAsia="zh-CN" w:bidi="ar-SA"/>
              </w:rPr>
              <w:t>12</w:t>
            </w:r>
            <w:r>
              <w:rPr>
                <w:rFonts w:hint="eastAsia" w:ascii="宋体" w:hAnsi="宋体" w:eastAsia="宋体" w:cs="宋体"/>
                <w:color w:val="auto"/>
                <w:kern w:val="2"/>
                <w:sz w:val="21"/>
                <w:szCs w:val="21"/>
                <w:highlight w:val="none"/>
                <w:lang w:val="en-US" w:eastAsia="zh-CN" w:bidi="ar-SA"/>
              </w:rPr>
              <w:t>分；</w:t>
            </w:r>
          </w:p>
          <w:p w14:paraId="2A9BAF1C">
            <w:pPr>
              <w:pStyle w:val="19"/>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本项满分</w:t>
            </w:r>
            <w:r>
              <w:rPr>
                <w:rFonts w:hint="eastAsia" w:ascii="宋体" w:hAnsi="宋体" w:cs="宋体"/>
                <w:color w:val="auto"/>
                <w:kern w:val="2"/>
                <w:sz w:val="21"/>
                <w:szCs w:val="21"/>
                <w:highlight w:val="none"/>
                <w:lang w:val="en-US" w:eastAsia="zh-CN" w:bidi="ar-SA"/>
              </w:rPr>
              <w:t>20</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，一人同时具有多个证书的，不重复计分。</w:t>
            </w:r>
          </w:p>
          <w:p w14:paraId="0B324883">
            <w:pPr>
              <w:pStyle w:val="110"/>
              <w:keepNext w:val="0"/>
              <w:keepLines w:val="0"/>
              <w:pageBreakBefore w:val="0"/>
              <w:numPr>
                <w:ilvl w:val="0"/>
                <w:numId w:val="0"/>
              </w:numPr>
              <w:tabs>
                <w:tab w:val="left" w:pos="1800"/>
                <w:tab w:val="left" w:pos="2340"/>
                <w:tab w:val="left" w:pos="2700"/>
              </w:tabs>
              <w:kinsoku/>
              <w:wordWrap/>
              <w:overflowPunct/>
              <w:topLinePunct w:val="0"/>
              <w:autoSpaceDE/>
              <w:autoSpaceDN/>
              <w:bidi w:val="0"/>
              <w:adjustRightInd w:val="0"/>
              <w:snapToGrid w:val="0"/>
              <w:spacing w:before="0" w:beforeAutospacing="0" w:after="0" w:afterAutospacing="0" w:line="500" w:lineRule="exact"/>
              <w:jc w:val="left"/>
              <w:textAlignment w:val="auto"/>
              <w:rPr>
                <w:rFonts w:hint="eastAsia" w:ascii="宋体" w:hAnsi="宋体" w:eastAsia="宋体" w:cs="Times New Roman"/>
                <w:b/>
                <w:bCs/>
                <w:color w:val="auto"/>
                <w:kern w:val="2"/>
                <w:sz w:val="21"/>
                <w:szCs w:val="21"/>
                <w:highlight w:val="none"/>
                <w:u w:val="none"/>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投标文件中同时</w:t>
            </w:r>
            <w:r>
              <w:rPr>
                <w:rFonts w:hint="eastAsia" w:ascii="宋体" w:hAnsi="宋体" w:eastAsia="宋体" w:cs="宋体"/>
                <w:b/>
                <w:bCs/>
                <w:color w:val="auto"/>
                <w:sz w:val="21"/>
                <w:szCs w:val="21"/>
                <w:highlight w:val="none"/>
              </w:rPr>
              <w:t>提供</w:t>
            </w:r>
            <w:r>
              <w:rPr>
                <w:rFonts w:hint="eastAsia" w:ascii="宋体" w:hAnsi="宋体" w:eastAsia="宋体" w:cs="宋体"/>
                <w:b/>
                <w:bCs/>
                <w:color w:val="auto"/>
                <w:sz w:val="21"/>
                <w:szCs w:val="21"/>
                <w:highlight w:val="none"/>
                <w:lang w:val="en-US" w:eastAsia="zh-CN"/>
              </w:rPr>
              <w:t>下列材料复印件并加盖单位公章：</w:t>
            </w:r>
            <w:r>
              <w:rPr>
                <w:rFonts w:hint="eastAsia" w:ascii="宋体" w:hAnsi="宋体" w:eastAsia="宋体" w:cs="宋体"/>
                <w:b/>
                <w:bCs/>
                <w:color w:val="auto"/>
                <w:sz w:val="21"/>
                <w:szCs w:val="21"/>
                <w:highlight w:val="none"/>
              </w:rPr>
              <w:t>人员配置表（格式自拟）、上述人员有效身份证、相关证书及社保部门出具的本单位为其缴纳的投标前近三个月连续的社保证明（含官网在线打印件，证明文件两个月内有效）</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若为</w:t>
            </w:r>
            <w:r>
              <w:rPr>
                <w:rFonts w:hint="eastAsia" w:ascii="宋体" w:hAnsi="宋体" w:eastAsia="宋体" w:cs="宋体"/>
                <w:b/>
                <w:bCs/>
                <w:color w:val="auto"/>
                <w:sz w:val="21"/>
                <w:szCs w:val="21"/>
                <w:highlight w:val="none"/>
              </w:rPr>
              <w:t>事业单位</w:t>
            </w:r>
            <w:r>
              <w:rPr>
                <w:rFonts w:hint="eastAsia" w:ascii="宋体" w:hAnsi="宋体" w:cs="宋体"/>
                <w:b/>
                <w:bCs/>
                <w:color w:val="auto"/>
                <w:sz w:val="21"/>
                <w:szCs w:val="21"/>
                <w:highlight w:val="none"/>
                <w:lang w:val="en-US" w:eastAsia="zh-CN"/>
              </w:rPr>
              <w:t>人员，</w:t>
            </w:r>
            <w:r>
              <w:rPr>
                <w:rFonts w:hint="eastAsia" w:ascii="宋体" w:hAnsi="宋体" w:eastAsia="宋体" w:cs="宋体"/>
                <w:b/>
                <w:bCs/>
                <w:color w:val="auto"/>
                <w:sz w:val="21"/>
                <w:szCs w:val="21"/>
                <w:highlight w:val="none"/>
              </w:rPr>
              <w:t>须</w:t>
            </w:r>
            <w:r>
              <w:rPr>
                <w:rFonts w:hint="eastAsia" w:ascii="宋体" w:hAnsi="宋体" w:cs="宋体"/>
                <w:b/>
                <w:bCs/>
                <w:color w:val="auto"/>
                <w:sz w:val="21"/>
                <w:szCs w:val="21"/>
                <w:highlight w:val="none"/>
                <w:lang w:val="en-US" w:eastAsia="zh-CN"/>
              </w:rPr>
              <w:t>出具</w:t>
            </w:r>
            <w:r>
              <w:rPr>
                <w:rFonts w:hint="eastAsia" w:ascii="宋体" w:hAnsi="宋体" w:eastAsia="宋体" w:cs="宋体"/>
                <w:b/>
                <w:bCs/>
                <w:color w:val="auto"/>
                <w:sz w:val="21"/>
                <w:szCs w:val="21"/>
                <w:highlight w:val="none"/>
              </w:rPr>
              <w:t>主管部门</w:t>
            </w:r>
            <w:r>
              <w:rPr>
                <w:rFonts w:hint="eastAsia" w:ascii="宋体" w:hAnsi="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证明</w:t>
            </w:r>
            <w:r>
              <w:rPr>
                <w:rFonts w:hint="eastAsia" w:ascii="宋体" w:hAnsi="宋体" w:cs="宋体"/>
                <w:b/>
                <w:bCs/>
                <w:color w:val="auto"/>
                <w:sz w:val="21"/>
                <w:szCs w:val="21"/>
                <w:highlight w:val="none"/>
                <w:lang w:val="en-US" w:eastAsia="zh-CN"/>
              </w:rPr>
              <w:t>文件；若为退休人员应提供退休证明和返聘合同</w:t>
            </w:r>
            <w:r>
              <w:rPr>
                <w:rFonts w:hint="eastAsia" w:ascii="宋体" w:hAnsi="宋体" w:eastAsia="宋体" w:cs="宋体"/>
                <w:b/>
                <w:bCs/>
                <w:color w:val="auto"/>
                <w:sz w:val="21"/>
                <w:szCs w:val="21"/>
                <w:highlight w:val="none"/>
                <w:lang w:eastAsia="zh-CN"/>
              </w:rPr>
              <w:t>】</w:t>
            </w:r>
          </w:p>
        </w:tc>
      </w:tr>
      <w:tr w14:paraId="3CCD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62970A61">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078" w:type="dxa"/>
            <w:shd w:val="clear" w:color="auto" w:fill="auto"/>
            <w:noWrap/>
            <w:vAlign w:val="center"/>
          </w:tcPr>
          <w:p w14:paraId="38B495F6">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olor w:val="auto"/>
                <w:szCs w:val="21"/>
                <w:highlight w:val="none"/>
                <w:lang w:val="en-US" w:eastAsia="zh-CN"/>
              </w:rPr>
              <w:t>服务进度及保障措施</w:t>
            </w:r>
          </w:p>
        </w:tc>
        <w:tc>
          <w:tcPr>
            <w:tcW w:w="840" w:type="dxa"/>
            <w:shd w:val="clear" w:color="auto" w:fill="auto"/>
            <w:noWrap/>
            <w:vAlign w:val="center"/>
          </w:tcPr>
          <w:p w14:paraId="4A3D2558">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7217" w:type="dxa"/>
            <w:shd w:val="clear" w:color="auto" w:fill="auto"/>
            <w:noWrap/>
            <w:vAlign w:val="center"/>
          </w:tcPr>
          <w:p w14:paraId="77026F76">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根据项目需求，提供针对本项目的服务进度及保障措施，服务进度计划满足招标文件要求，保障措施贴合项目实际、完整且全面、具有可操作性</w:t>
            </w:r>
            <w:r>
              <w:rPr>
                <w:rFonts w:hint="eastAsia" w:ascii="宋体" w:hAnsi="宋体" w:cs="宋体"/>
                <w:color w:val="auto"/>
                <w:szCs w:val="21"/>
                <w:highlight w:val="none"/>
                <w:lang w:val="en-US" w:eastAsia="zh-CN"/>
              </w:rPr>
              <w:t>及针对性</w:t>
            </w:r>
            <w:r>
              <w:rPr>
                <w:rFonts w:hint="eastAsia" w:ascii="宋体" w:hAnsi="宋体" w:eastAsia="宋体" w:cs="宋体"/>
                <w:color w:val="auto"/>
                <w:szCs w:val="21"/>
                <w:highlight w:val="none"/>
                <w:lang w:val="en-US" w:eastAsia="zh-CN"/>
              </w:rPr>
              <w:t>。</w:t>
            </w:r>
          </w:p>
          <w:p w14:paraId="2E199C62">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Cs w:val="21"/>
                <w:highlight w:val="none"/>
                <w:lang w:val="en-US" w:eastAsia="zh-CN"/>
              </w:rPr>
              <w:t>评标委员会依据投标文件内容进行综合评价，优秀的得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 xml:space="preserve">0分，良的得 </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 xml:space="preserve"> 分，一般得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分，较差得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分，缺项不得分。</w:t>
            </w:r>
          </w:p>
        </w:tc>
      </w:tr>
      <w:tr w14:paraId="54C8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4F1B83AD">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078" w:type="dxa"/>
            <w:shd w:val="clear" w:color="auto" w:fill="auto"/>
            <w:noWrap/>
            <w:vAlign w:val="center"/>
          </w:tcPr>
          <w:p w14:paraId="4EE10E66">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olor w:val="auto"/>
                <w:szCs w:val="21"/>
                <w:highlight w:val="none"/>
                <w:lang w:val="en-US" w:eastAsia="zh-CN"/>
              </w:rPr>
              <w:t>质量保证措施</w:t>
            </w:r>
          </w:p>
        </w:tc>
        <w:tc>
          <w:tcPr>
            <w:tcW w:w="840" w:type="dxa"/>
            <w:shd w:val="clear" w:color="auto" w:fill="auto"/>
            <w:noWrap/>
            <w:vAlign w:val="center"/>
          </w:tcPr>
          <w:p w14:paraId="29AFAAC3">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7217" w:type="dxa"/>
            <w:shd w:val="clear" w:color="auto" w:fill="auto"/>
            <w:noWrap/>
            <w:vAlign w:val="center"/>
          </w:tcPr>
          <w:p w14:paraId="58E9345B">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根据项目需求，提供针对本项目的</w:t>
            </w:r>
            <w:r>
              <w:rPr>
                <w:rFonts w:hint="eastAsia" w:ascii="宋体" w:hAnsi="宋体" w:cs="宋体"/>
                <w:color w:val="auto"/>
                <w:szCs w:val="21"/>
                <w:highlight w:val="none"/>
                <w:lang w:val="en-US" w:eastAsia="zh-CN"/>
              </w:rPr>
              <w:t>质量保证</w:t>
            </w:r>
            <w:r>
              <w:rPr>
                <w:rFonts w:hint="eastAsia" w:ascii="宋体" w:hAnsi="宋体" w:eastAsia="宋体" w:cs="宋体"/>
                <w:color w:val="auto"/>
                <w:szCs w:val="21"/>
                <w:highlight w:val="none"/>
                <w:lang w:val="en-US" w:eastAsia="zh-CN"/>
              </w:rPr>
              <w:t>措施，贴合项目实际、完整且全面、具有可操作性</w:t>
            </w:r>
            <w:r>
              <w:rPr>
                <w:rFonts w:hint="eastAsia" w:ascii="宋体" w:hAnsi="宋体" w:cs="宋体"/>
                <w:color w:val="auto"/>
                <w:szCs w:val="21"/>
                <w:highlight w:val="none"/>
                <w:lang w:val="en-US" w:eastAsia="zh-CN"/>
              </w:rPr>
              <w:t>及针对性</w:t>
            </w:r>
            <w:r>
              <w:rPr>
                <w:rFonts w:hint="eastAsia" w:ascii="宋体" w:hAnsi="宋体" w:eastAsia="宋体" w:cs="宋体"/>
                <w:color w:val="auto"/>
                <w:szCs w:val="21"/>
                <w:highlight w:val="none"/>
                <w:lang w:val="en-US" w:eastAsia="zh-CN"/>
              </w:rPr>
              <w:t>。</w:t>
            </w:r>
          </w:p>
          <w:p w14:paraId="5C0B275A">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Cs w:val="21"/>
                <w:highlight w:val="none"/>
                <w:lang w:val="en-US" w:eastAsia="zh-CN"/>
              </w:rPr>
              <w:t xml:space="preserve">评标委员会依据投标文件内容进行综合评价，优秀的得 </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 xml:space="preserve">0分，良的得 </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 xml:space="preserve"> 分，一般得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分，较差得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分，缺项不得分。</w:t>
            </w:r>
          </w:p>
        </w:tc>
      </w:tr>
      <w:tr w14:paraId="6BD0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584A2700">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1078" w:type="dxa"/>
            <w:shd w:val="clear" w:color="auto" w:fill="auto"/>
            <w:noWrap/>
            <w:vAlign w:val="center"/>
          </w:tcPr>
          <w:p w14:paraId="5C6CCEDD">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olor w:val="auto"/>
                <w:szCs w:val="21"/>
                <w:highlight w:val="none"/>
              </w:rPr>
              <w:t>后续保障</w:t>
            </w:r>
            <w:r>
              <w:rPr>
                <w:rFonts w:hint="eastAsia" w:ascii="宋体" w:hAnsi="宋体"/>
                <w:color w:val="auto"/>
                <w:szCs w:val="21"/>
                <w:highlight w:val="none"/>
                <w:lang w:val="en-US" w:eastAsia="zh-CN"/>
              </w:rPr>
              <w:t>措施</w:t>
            </w:r>
          </w:p>
        </w:tc>
        <w:tc>
          <w:tcPr>
            <w:tcW w:w="840" w:type="dxa"/>
            <w:shd w:val="clear" w:color="auto" w:fill="auto"/>
            <w:noWrap/>
            <w:vAlign w:val="center"/>
          </w:tcPr>
          <w:p w14:paraId="410976C8">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10分</w:t>
            </w:r>
          </w:p>
        </w:tc>
        <w:tc>
          <w:tcPr>
            <w:tcW w:w="7217" w:type="dxa"/>
            <w:shd w:val="clear" w:color="auto" w:fill="auto"/>
            <w:noWrap/>
            <w:vAlign w:val="center"/>
          </w:tcPr>
          <w:p w14:paraId="08E052B4">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根据项目需求，提供针对本项目的</w:t>
            </w:r>
            <w:r>
              <w:rPr>
                <w:rFonts w:hint="eastAsia" w:ascii="宋体" w:hAnsi="宋体" w:cs="宋体"/>
                <w:color w:val="auto"/>
                <w:szCs w:val="21"/>
                <w:highlight w:val="none"/>
                <w:lang w:val="en-US" w:eastAsia="zh-CN"/>
              </w:rPr>
              <w:t>后续保障服务</w:t>
            </w:r>
            <w:r>
              <w:rPr>
                <w:rFonts w:hint="eastAsia" w:ascii="宋体" w:hAnsi="宋体" w:eastAsia="宋体" w:cs="宋体"/>
                <w:color w:val="auto"/>
                <w:szCs w:val="21"/>
                <w:highlight w:val="none"/>
                <w:lang w:val="en-US" w:eastAsia="zh-CN"/>
              </w:rPr>
              <w:t>措施</w:t>
            </w:r>
            <w:r>
              <w:rPr>
                <w:rFonts w:hint="eastAsia" w:ascii="宋体" w:hAnsi="宋体" w:cs="宋体"/>
                <w:color w:val="auto"/>
                <w:szCs w:val="21"/>
                <w:highlight w:val="none"/>
                <w:lang w:val="en-US" w:eastAsia="zh-CN"/>
              </w:rPr>
              <w:t>，贴合项目实际、</w:t>
            </w:r>
            <w:r>
              <w:rPr>
                <w:rFonts w:hint="eastAsia" w:ascii="宋体" w:hAnsi="宋体" w:eastAsia="宋体" w:cs="宋体"/>
                <w:color w:val="auto"/>
                <w:szCs w:val="21"/>
                <w:highlight w:val="none"/>
                <w:lang w:val="en-US" w:eastAsia="zh-CN"/>
              </w:rPr>
              <w:t>完整且全面、具有可操作性</w:t>
            </w:r>
            <w:r>
              <w:rPr>
                <w:rFonts w:hint="eastAsia" w:ascii="宋体" w:hAnsi="宋体" w:cs="宋体"/>
                <w:color w:val="auto"/>
                <w:szCs w:val="21"/>
                <w:highlight w:val="none"/>
                <w:lang w:val="en-US" w:eastAsia="zh-CN"/>
              </w:rPr>
              <w:t>及针对性</w:t>
            </w:r>
            <w:r>
              <w:rPr>
                <w:rFonts w:hint="eastAsia" w:ascii="宋体" w:hAnsi="宋体" w:eastAsia="宋体" w:cs="宋体"/>
                <w:color w:val="auto"/>
                <w:szCs w:val="21"/>
                <w:highlight w:val="none"/>
                <w:lang w:val="en-US" w:eastAsia="zh-CN"/>
              </w:rPr>
              <w:t>。</w:t>
            </w:r>
          </w:p>
          <w:p w14:paraId="7FA02970">
            <w:pPr>
              <w:keepNext w:val="0"/>
              <w:keepLines w:val="0"/>
              <w:pageBreakBefore w:val="0"/>
              <w:widowControl w:val="0"/>
              <w:kinsoku/>
              <w:overflowPunct/>
              <w:topLinePunct w:val="0"/>
              <w:autoSpaceDE/>
              <w:autoSpaceDN/>
              <w:bidi w:val="0"/>
              <w:spacing w:line="44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Cs w:val="21"/>
                <w:highlight w:val="none"/>
                <w:lang w:val="en-US" w:eastAsia="zh-CN"/>
              </w:rPr>
              <w:t xml:space="preserve">评标委员会依据投标文件内容进行综合评价，优秀的得 </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 xml:space="preserve">0分，良的得 </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 xml:space="preserve"> 分，一般得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分，较差得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分，缺项不得分。</w:t>
            </w:r>
          </w:p>
        </w:tc>
      </w:tr>
      <w:tr w14:paraId="3F33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52" w:type="dxa"/>
            <w:shd w:val="clear" w:color="auto" w:fill="auto"/>
            <w:noWrap/>
            <w:vAlign w:val="center"/>
          </w:tcPr>
          <w:p w14:paraId="3DDE33A7">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1078" w:type="dxa"/>
            <w:shd w:val="clear" w:color="auto" w:fill="auto"/>
            <w:noWrap/>
            <w:vAlign w:val="center"/>
          </w:tcPr>
          <w:p w14:paraId="71981CC3">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报价</w:t>
            </w:r>
          </w:p>
        </w:tc>
        <w:tc>
          <w:tcPr>
            <w:tcW w:w="840" w:type="dxa"/>
            <w:shd w:val="clear" w:color="auto" w:fill="auto"/>
            <w:noWrap/>
            <w:vAlign w:val="center"/>
          </w:tcPr>
          <w:p w14:paraId="1628F88E">
            <w:pPr>
              <w:keepNext w:val="0"/>
              <w:keepLines w:val="0"/>
              <w:pageBreakBefore w:val="0"/>
              <w:kinsoku/>
              <w:wordWrap/>
              <w:overflowPunct/>
              <w:topLinePunct w:val="0"/>
              <w:autoSpaceDE/>
              <w:autoSpaceDN/>
              <w:bidi w:val="0"/>
              <w:adjustRightInd/>
              <w:spacing w:line="50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30分</w:t>
            </w:r>
          </w:p>
        </w:tc>
        <w:tc>
          <w:tcPr>
            <w:tcW w:w="7217" w:type="dxa"/>
            <w:shd w:val="clear" w:color="auto" w:fill="auto"/>
            <w:noWrap/>
            <w:vAlign w:val="center"/>
          </w:tcPr>
          <w:p w14:paraId="564B630B">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商务标评分按下列步骤计算：</w:t>
            </w:r>
          </w:p>
          <w:p w14:paraId="0ED533D8">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第一步：计算评标基准价F值。</w:t>
            </w:r>
          </w:p>
          <w:p w14:paraId="1A4914B5">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①</w:t>
            </w:r>
            <w:r>
              <w:rPr>
                <w:rFonts w:hint="eastAsia" w:ascii="宋体" w:hAnsi="宋体" w:cs="宋体"/>
                <w:color w:val="auto"/>
                <w:sz w:val="21"/>
                <w:szCs w:val="21"/>
                <w:highlight w:val="none"/>
                <w:lang w:val="en-US" w:eastAsia="zh-CN"/>
              </w:rPr>
              <w:t>F值为计算范围内有效投标人报价的算术平均值。</w:t>
            </w:r>
          </w:p>
          <w:p w14:paraId="669AF516">
            <w:pPr>
              <w:keepNext w:val="0"/>
              <w:keepLines w:val="0"/>
              <w:pageBreakBefore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第</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rPr>
              <w:t>步：计算报价偏差率。</w:t>
            </w:r>
          </w:p>
          <w:p w14:paraId="3B2C4994">
            <w:pPr>
              <w:keepNext w:val="0"/>
              <w:keepLines w:val="0"/>
              <w:pageBreakBefore w:val="0"/>
              <w:kinsoku/>
              <w:wordWrap/>
              <w:overflowPunct/>
              <w:topLinePunct w:val="0"/>
              <w:autoSpaceDE/>
              <w:autoSpaceDN/>
              <w:bidi w:val="0"/>
              <w:spacing w:line="5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①偏差率=|（投标报价-评标基准价）/评标基准价|×100%</w:t>
            </w:r>
          </w:p>
          <w:p w14:paraId="584F15F8">
            <w:pPr>
              <w:keepNext w:val="0"/>
              <w:keepLines w:val="0"/>
              <w:pageBreakBefore w:val="0"/>
              <w:kinsoku/>
              <w:wordWrap/>
              <w:overflowPunct/>
              <w:topLinePunct w:val="0"/>
              <w:autoSpaceDE/>
              <w:autoSpaceDN/>
              <w:bidi w:val="0"/>
              <w:spacing w:line="5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第</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rPr>
              <w:t>步：计算报价得分</w:t>
            </w:r>
          </w:p>
          <w:p w14:paraId="05C6F096">
            <w:pPr>
              <w:keepNext w:val="0"/>
              <w:keepLines w:val="0"/>
              <w:pageBreakBefore w:val="0"/>
              <w:kinsoku/>
              <w:wordWrap/>
              <w:overflowPunct/>
              <w:topLinePunct w:val="0"/>
              <w:autoSpaceDE/>
              <w:autoSpaceDN/>
              <w:bidi w:val="0"/>
              <w:spacing w:line="5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①投标报价等于评标基准价的得满分。</w:t>
            </w:r>
          </w:p>
          <w:p w14:paraId="095A04CB">
            <w:pPr>
              <w:keepNext w:val="0"/>
              <w:keepLines w:val="0"/>
              <w:pageBreakBefore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②投标报价高于评标基准价的，投标报价得分=报价满分值-偏差率×</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w:t>
            </w:r>
          </w:p>
          <w:p w14:paraId="5EABE125">
            <w:pPr>
              <w:keepNext w:val="0"/>
              <w:keepLines w:val="0"/>
              <w:pageBreakBefore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③投标报价低于评标基准价的，投标报价得分=报价满分值-偏差率×</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0.5</w:t>
            </w:r>
          </w:p>
          <w:p w14:paraId="2CB41156">
            <w:pPr>
              <w:keepNext w:val="0"/>
              <w:keepLines w:val="0"/>
              <w:pageBreakBefore w:val="0"/>
              <w:kinsoku/>
              <w:wordWrap/>
              <w:overflowPunct/>
              <w:topLinePunct w:val="0"/>
              <w:autoSpaceDE/>
              <w:autoSpaceDN/>
              <w:bidi w:val="0"/>
              <w:adjustRightInd/>
              <w:spacing w:line="50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color w:val="auto"/>
                <w:sz w:val="21"/>
                <w:szCs w:val="21"/>
                <w:highlight w:val="none"/>
              </w:rPr>
              <w:t>注：计算过程中，评标基准价F值、偏差率、报价得分均保留两位小数，小数点后第三位四舍五入。</w:t>
            </w:r>
          </w:p>
        </w:tc>
      </w:tr>
    </w:tbl>
    <w:p w14:paraId="7552D97A">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1"/>
        <w:rPr>
          <w:rFonts w:hint="eastAsia" w:ascii="宋体" w:hAnsi="Times New Roman" w:eastAsia="宋体" w:cs="Times New Roman"/>
          <w:b/>
          <w:color w:val="auto"/>
          <w:sz w:val="28"/>
          <w:szCs w:val="28"/>
          <w:highlight w:val="none"/>
          <w:lang w:val="en-US" w:eastAsia="zh-CN"/>
        </w:rPr>
      </w:pPr>
      <w:r>
        <w:rPr>
          <w:rFonts w:hint="eastAsia" w:ascii="宋体" w:hAnsi="宋体" w:eastAsia="宋体" w:cs="宋体"/>
          <w:b/>
          <w:color w:val="auto"/>
          <w:sz w:val="21"/>
          <w:szCs w:val="21"/>
          <w:highlight w:val="none"/>
          <w:lang w:val="en-US" w:eastAsia="zh-CN"/>
        </w:rPr>
        <w:t>注：</w:t>
      </w:r>
      <w:r>
        <w:rPr>
          <w:rFonts w:hint="eastAsia" w:ascii="宋体" w:hAnsi="宋体" w:eastAsia="宋体" w:cs="宋体"/>
          <w:b/>
          <w:color w:val="auto"/>
          <w:sz w:val="21"/>
          <w:szCs w:val="21"/>
          <w:highlight w:val="none"/>
        </w:rPr>
        <w:t>各评委得分的平均值为</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得分，分值保留两位小数点。</w:t>
      </w:r>
    </w:p>
    <w:p w14:paraId="3800892F">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center"/>
        <w:textAlignment w:val="auto"/>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五、推荐中标候选人</w:t>
      </w:r>
      <w:bookmarkEnd w:id="43"/>
      <w:bookmarkEnd w:id="44"/>
      <w:bookmarkEnd w:id="45"/>
    </w:p>
    <w:bookmarkEnd w:id="34"/>
    <w:p w14:paraId="2F62E0BE">
      <w:pPr>
        <w:keepNext w:val="0"/>
        <w:keepLines w:val="0"/>
        <w:pageBreakBefore w:val="0"/>
        <w:widowControl w:val="0"/>
        <w:kinsoku/>
        <w:wordWrap/>
        <w:overflowPunct/>
        <w:topLinePunct w:val="0"/>
        <w:autoSpaceDE/>
        <w:autoSpaceDN/>
        <w:bidi w:val="0"/>
        <w:adjustRightInd/>
        <w:snapToGrid w:val="0"/>
        <w:spacing w:line="50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7.评标委员会按得分之和从高到低按顺序，推荐3名中标候选人。 </w:t>
      </w:r>
    </w:p>
    <w:p w14:paraId="59A643FB">
      <w:pPr>
        <w:keepNext w:val="0"/>
        <w:keepLines w:val="0"/>
        <w:pageBreakBefore w:val="0"/>
        <w:widowControl w:val="0"/>
        <w:kinsoku/>
        <w:wordWrap/>
        <w:overflowPunct/>
        <w:topLinePunct w:val="0"/>
        <w:autoSpaceDE/>
        <w:autoSpaceDN/>
        <w:bidi w:val="0"/>
        <w:adjustRightInd/>
        <w:snapToGrid w:val="0"/>
        <w:spacing w:line="50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7.1总得分相同的，按报价由低到高顺序排列。总得分且报价相同的并列，由</w:t>
      </w:r>
      <w:r>
        <w:rPr>
          <w:rFonts w:hint="eastAsia" w:ascii="宋体" w:hAnsi="宋体" w:cs="宋体"/>
          <w:color w:val="auto"/>
          <w:szCs w:val="21"/>
          <w:highlight w:val="none"/>
          <w:lang w:val="en-US" w:eastAsia="zh-CN"/>
        </w:rPr>
        <w:t>招标人</w:t>
      </w:r>
      <w:r>
        <w:rPr>
          <w:rFonts w:hint="eastAsia" w:ascii="宋体" w:hAnsi="宋体" w:cs="宋体"/>
          <w:color w:val="auto"/>
          <w:kern w:val="0"/>
          <w:sz w:val="21"/>
          <w:szCs w:val="21"/>
          <w:highlight w:val="none"/>
          <w:lang w:val="en-US" w:eastAsia="zh-CN" w:bidi="ar-SA"/>
        </w:rPr>
        <w:t>或评标委员会主任</w:t>
      </w:r>
      <w:r>
        <w:rPr>
          <w:rFonts w:hint="eastAsia" w:ascii="宋体" w:hAnsi="宋体" w:cs="宋体"/>
          <w:color w:val="auto"/>
          <w:szCs w:val="21"/>
          <w:highlight w:val="none"/>
        </w:rPr>
        <w:t>现场采取随机摇号的方式确定中标候选人。</w:t>
      </w:r>
    </w:p>
    <w:p w14:paraId="6DFDF3F9">
      <w:pPr>
        <w:keepNext w:val="0"/>
        <w:keepLines w:val="0"/>
        <w:pageBreakBefore w:val="0"/>
        <w:widowControl w:val="0"/>
        <w:kinsoku/>
        <w:wordWrap/>
        <w:overflowPunct/>
        <w:topLinePunct w:val="0"/>
        <w:autoSpaceDE/>
        <w:autoSpaceDN/>
        <w:bidi w:val="0"/>
        <w:adjustRightInd/>
        <w:snapToGrid w:val="0"/>
        <w:spacing w:line="500" w:lineRule="exact"/>
        <w:ind w:left="0" w:lef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46" w:name="_Hlk61815781"/>
      <w:r>
        <w:rPr>
          <w:rFonts w:hint="eastAsia" w:ascii="宋体" w:hAnsi="宋体" w:cs="宋体"/>
          <w:b/>
          <w:color w:val="auto"/>
          <w:szCs w:val="21"/>
          <w:highlight w:val="none"/>
        </w:rPr>
        <w:t>无效投标条款</w:t>
      </w:r>
    </w:p>
    <w:p w14:paraId="0617F08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36BFD4E1">
      <w:pPr>
        <w:keepNext w:val="0"/>
        <w:keepLines w:val="0"/>
        <w:pageBreakBefore w:val="0"/>
        <w:widowControl w:val="0"/>
        <w:kinsoku/>
        <w:wordWrap/>
        <w:overflowPunct/>
        <w:topLinePunct w:val="0"/>
        <w:autoSpaceDE/>
        <w:autoSpaceDN/>
        <w:bidi w:val="0"/>
        <w:adjustRightInd/>
        <w:snapToGrid w:val="0"/>
        <w:spacing w:line="500" w:lineRule="exact"/>
        <w:ind w:left="0" w:leftChars="0" w:firstLine="210" w:firstLineChars="1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(1) 未在开标截止时间前通过网上招标投标系统递交有效电子投标文件的，开标系统不予接收，投标将被拒绝。</w:t>
      </w:r>
    </w:p>
    <w:p w14:paraId="00531C6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30分钟，否则投标文件将被拒绝。</w:t>
      </w:r>
    </w:p>
    <w:p w14:paraId="5172C2E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8.2投标人有下列情形之一的,资格审查后其投标作无效投标处理：</w:t>
      </w:r>
    </w:p>
    <w:p w14:paraId="0479EB1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2C606482">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627916A5">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评标专家无法查看并检验投标文件中相关资料的；</w:t>
      </w:r>
    </w:p>
    <w:p w14:paraId="009FB38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14:paraId="60A7265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14:paraId="583BC7F5">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14:paraId="5E43173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)投标人基本资格条件和特定资格条件中有一项及以上不符合要求的；</w:t>
      </w:r>
    </w:p>
    <w:p w14:paraId="701EB54F">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)其它情形，经评标委员会委提出按无效投标处理的；</w:t>
      </w:r>
    </w:p>
    <w:p w14:paraId="429CC88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)招标文件规定的其它无效投标情形。</w:t>
      </w:r>
    </w:p>
    <w:p w14:paraId="70C213B1">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8.3 投标人有下列情形之一的,符合性审查后其投标按无效投标处理：</w:t>
      </w:r>
    </w:p>
    <w:p w14:paraId="31F25F0E">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(1)投标文件签字、盖章不全，经评标委员会一致认定对开评标内容有实质性影响的；</w:t>
      </w:r>
    </w:p>
    <w:p w14:paraId="4E51CC8F">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3088328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1E777854">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0120424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648C6F3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2155D06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14:paraId="44942F7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(8)投标文件含有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14:paraId="65CF8AD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489D1E8B">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1C653D4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1B688BB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15DBC9B4">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(3)投标文件含有违反国家法律、法规的内容，或附有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不能接受的条件的；</w:t>
      </w:r>
    </w:p>
    <w:p w14:paraId="0295C31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3D266858">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0CEC172B">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)其它情形，经评标委员会委提出按无效投标处理的；</w:t>
      </w:r>
    </w:p>
    <w:p w14:paraId="151EE36E">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仿宋" w:hAnsi="仿宋" w:eastAsia="宋体" w:cs="仿宋"/>
          <w:b/>
          <w:bCs/>
          <w:i w:val="0"/>
          <w:iCs w:val="0"/>
          <w:color w:val="auto"/>
          <w:kern w:val="0"/>
          <w:sz w:val="22"/>
          <w:szCs w:val="22"/>
          <w:highlight w:val="none"/>
          <w:u w:val="none"/>
          <w:lang w:val="en-US" w:eastAsia="zh-CN" w:bidi="ar"/>
        </w:rPr>
        <w:sectPr>
          <w:footerReference r:id="rId8" w:type="default"/>
          <w:pgSz w:w="11906" w:h="16838"/>
          <w:pgMar w:top="1440" w:right="1800" w:bottom="1440" w:left="1800" w:header="851" w:footer="992" w:gutter="0"/>
          <w:pgNumType w:fmt="numberInDash" w:start="1"/>
          <w:cols w:space="720" w:num="1"/>
          <w:docGrid w:type="lines" w:linePitch="312" w:charSpace="0"/>
        </w:sect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bookmarkEnd w:id="46"/>
      <w:r>
        <w:rPr>
          <w:rFonts w:hint="eastAsia" w:ascii="宋体" w:hAnsi="宋体" w:cs="宋体"/>
          <w:color w:val="auto"/>
          <w:szCs w:val="21"/>
          <w:highlight w:val="none"/>
          <w:lang w:eastAsia="zh-CN"/>
        </w:rPr>
        <w:t>。</w:t>
      </w:r>
    </w:p>
    <w:p w14:paraId="46EA0D7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jc w:val="center"/>
        <w:textAlignment w:val="auto"/>
        <w:rPr>
          <w:rFonts w:hint="eastAsia" w:ascii="宋体"/>
          <w:b/>
          <w:color w:val="auto"/>
          <w:sz w:val="30"/>
          <w:szCs w:val="30"/>
          <w:highlight w:val="none"/>
        </w:rPr>
      </w:pPr>
      <w:r>
        <w:rPr>
          <w:rStyle w:val="55"/>
          <w:rFonts w:hint="eastAsia" w:ascii="宋体" w:hAnsi="宋体" w:cs="宋体"/>
          <w:color w:val="auto"/>
          <w:sz w:val="32"/>
          <w:szCs w:val="32"/>
          <w:highlight w:val="none"/>
          <w:lang w:val="en-US" w:eastAsia="zh-CN"/>
        </w:rPr>
        <w:t xml:space="preserve">第四章  </w:t>
      </w:r>
      <w:r>
        <w:rPr>
          <w:rStyle w:val="55"/>
          <w:rFonts w:hint="eastAsia" w:ascii="宋体" w:hAnsi="宋体" w:cs="宋体"/>
          <w:color w:val="auto"/>
          <w:sz w:val="32"/>
          <w:szCs w:val="32"/>
          <w:highlight w:val="none"/>
        </w:rPr>
        <w:t>合同条款</w:t>
      </w:r>
      <w:bookmarkStart w:id="47" w:name="_Toc469495741"/>
      <w:r>
        <w:rPr>
          <w:rStyle w:val="55"/>
          <w:rFonts w:hint="eastAsia" w:ascii="宋体" w:hAnsi="宋体" w:cs="宋体"/>
          <w:color w:val="auto"/>
          <w:sz w:val="32"/>
          <w:szCs w:val="32"/>
          <w:highlight w:val="none"/>
        </w:rPr>
        <w:t>（参考）</w:t>
      </w:r>
      <w:bookmarkStart w:id="48" w:name="_Toc11690"/>
      <w:bookmarkStart w:id="49" w:name="_Toc4982"/>
      <w:bookmarkStart w:id="50" w:name="_Toc29433"/>
    </w:p>
    <w:bookmarkEnd w:id="29"/>
    <w:bookmarkEnd w:id="30"/>
    <w:bookmarkEnd w:id="47"/>
    <w:bookmarkEnd w:id="48"/>
    <w:bookmarkEnd w:id="49"/>
    <w:bookmarkEnd w:id="50"/>
    <w:p w14:paraId="0CD11CC6">
      <w:pPr>
        <w:keepNext w:val="0"/>
        <w:keepLines w:val="0"/>
        <w:pageBreakBefore w:val="0"/>
        <w:widowControl w:val="0"/>
        <w:kinsoku/>
        <w:wordWrap/>
        <w:overflowPunct/>
        <w:topLinePunct w:val="0"/>
        <w:autoSpaceDE/>
        <w:autoSpaceDN/>
        <w:bidi w:val="0"/>
        <w:adjustRightInd/>
        <w:snapToGrid/>
        <w:spacing w:line="500" w:lineRule="exact"/>
        <w:ind w:right="-433" w:rightChars="-206" w:firstLine="630" w:firstLineChars="300"/>
        <w:jc w:val="left"/>
        <w:textAlignment w:val="auto"/>
        <w:rPr>
          <w:rFonts w:hint="eastAsia" w:ascii="宋体" w:hAnsi="宋体" w:eastAsia="宋体" w:cs="宋体"/>
          <w:color w:val="auto"/>
          <w:szCs w:val="21"/>
          <w:highlight w:val="none"/>
        </w:rPr>
      </w:pPr>
      <w:bookmarkStart w:id="51" w:name="_Toc449028945"/>
      <w:bookmarkStart w:id="52" w:name="_Toc58430329"/>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单位（全称）: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（以下简称甲方）</w:t>
      </w:r>
    </w:p>
    <w:p w14:paraId="3C632CBE">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服务单位（全称）: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（以下简称乙方）</w:t>
      </w:r>
    </w:p>
    <w:p w14:paraId="6655A0E0">
      <w:pPr>
        <w:keepNext w:val="0"/>
        <w:keepLines w:val="0"/>
        <w:pageBreakBefore w:val="0"/>
        <w:widowControl w:val="0"/>
        <w:kinsoku/>
        <w:wordWrap/>
        <w:overflowPunct/>
        <w:topLinePunct w:val="0"/>
        <w:autoSpaceDE/>
        <w:autoSpaceDN/>
        <w:bidi w:val="0"/>
        <w:adjustRightInd/>
        <w:snapToGrid/>
        <w:spacing w:line="500" w:lineRule="exact"/>
        <w:ind w:right="-433" w:rightChars="-206"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依照《中华人民共和国民法典》</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及其他有关法律、法规，遵循平等、自愿、公平和诚实信用的原则，双方就本此采购服务事项协商一致，订立本合同。</w:t>
      </w:r>
    </w:p>
    <w:p w14:paraId="7B381D30">
      <w:pPr>
        <w:keepNext w:val="0"/>
        <w:keepLines w:val="0"/>
        <w:pageBreakBefore w:val="0"/>
        <w:widowControl w:val="0"/>
        <w:kinsoku/>
        <w:wordWrap/>
        <w:overflowPunct/>
        <w:topLinePunct w:val="0"/>
        <w:autoSpaceDE/>
        <w:autoSpaceDN/>
        <w:bidi w:val="0"/>
        <w:adjustRightInd/>
        <w:snapToGrid/>
        <w:spacing w:line="500" w:lineRule="exact"/>
        <w:ind w:right="-433" w:rightChars="-206"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1、生产建设项目</w:t>
      </w:r>
    </w:p>
    <w:p w14:paraId="26405D8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u w:val="none"/>
          <w:lang w:val="en-US" w:eastAsia="zh-CN"/>
        </w:rPr>
        <w:t>凤阳县灵山～木屐山矿区新2号段石英岩矿深部开采工程对官塘水库影响分析报告编制服务项目</w:t>
      </w:r>
    </w:p>
    <w:p w14:paraId="7ADA7024">
      <w:pPr>
        <w:pStyle w:val="17"/>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2、技术咨询服务范围及内容</w:t>
      </w:r>
    </w:p>
    <w:p w14:paraId="1CDCA76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包括但不限于</w:t>
      </w:r>
      <w:r>
        <w:rPr>
          <w:rFonts w:hint="eastAsia" w:ascii="宋体" w:hAnsi="宋体" w:cs="宋体"/>
          <w:color w:val="auto"/>
          <w:sz w:val="22"/>
          <w:szCs w:val="22"/>
          <w:highlight w:val="none"/>
          <w:lang w:val="en-US" w:eastAsia="zh-CN"/>
        </w:rPr>
        <w:t>环境影响评价、洪水影响评价、水库蓄水能力影响评价等内容</w:t>
      </w:r>
      <w:r>
        <w:rPr>
          <w:rFonts w:hint="eastAsia" w:ascii="宋体" w:hAnsi="宋体" w:cs="宋体"/>
          <w:color w:val="auto"/>
          <w:sz w:val="21"/>
          <w:szCs w:val="21"/>
          <w:highlight w:val="none"/>
          <w:u w:val="none"/>
          <w:lang w:val="en-US" w:eastAsia="zh-CN"/>
        </w:rPr>
        <w:t>编制：</w:t>
      </w:r>
    </w:p>
    <w:p w14:paraId="7E2FB88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（1）根据项目要求考察现场情况，对相关资料进行整理汇总；</w:t>
      </w:r>
    </w:p>
    <w:p w14:paraId="3C5ED5F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（2）与招标人沟通相关影响所涉及内容以及所需资料并出具合格的影响评价报告；</w:t>
      </w:r>
    </w:p>
    <w:p w14:paraId="2C5A1C2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（3）本项服务范围内所编制的方案、报告等所有资料均须满足行政主管部门的备案要求，并完成备案。（投标报价含各类评审费等与本项目有关的一切费用，后期不再增加费用，风险由投标人自行考虑）。</w:t>
      </w:r>
    </w:p>
    <w:p w14:paraId="66B1DD55">
      <w:pPr>
        <w:pStyle w:val="17"/>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3、服务期</w:t>
      </w:r>
    </w:p>
    <w:p w14:paraId="2FCB5775">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 w:val="22"/>
          <w:szCs w:val="22"/>
          <w:highlight w:val="none"/>
          <w:lang w:val="en-US" w:eastAsia="zh-CN"/>
        </w:rPr>
        <w:t>合同签订之日起</w:t>
      </w:r>
      <w:r>
        <w:rPr>
          <w:rFonts w:hint="eastAsia" w:ascii="宋体" w:hAnsi="宋体" w:cs="宋体"/>
          <w:color w:val="auto"/>
          <w:sz w:val="22"/>
          <w:szCs w:val="22"/>
          <w:highlight w:val="none"/>
          <w:u w:val="single" w:color="auto"/>
          <w:lang w:val="en-US" w:eastAsia="zh-CN"/>
        </w:rPr>
        <w:t xml:space="preserve">     </w:t>
      </w:r>
      <w:r>
        <w:rPr>
          <w:rFonts w:hint="eastAsia" w:ascii="宋体" w:hAnsi="宋体" w:eastAsia="宋体" w:cs="宋体"/>
          <w:color w:val="auto"/>
          <w:sz w:val="22"/>
          <w:szCs w:val="22"/>
          <w:highlight w:val="none"/>
          <w:lang w:val="en-US" w:eastAsia="zh-CN"/>
        </w:rPr>
        <w:t>个日历天内</w:t>
      </w:r>
      <w:r>
        <w:rPr>
          <w:rFonts w:hint="eastAsia" w:ascii="宋体" w:hAnsi="宋体" w:cs="宋体"/>
          <w:color w:val="auto"/>
          <w:sz w:val="22"/>
          <w:szCs w:val="22"/>
          <w:highlight w:val="none"/>
          <w:lang w:val="en-US" w:eastAsia="zh-CN"/>
        </w:rPr>
        <w:t>向招标人提交文件并通过行政主管部门备案</w:t>
      </w:r>
      <w:r>
        <w:rPr>
          <w:rFonts w:hint="eastAsia" w:ascii="宋体" w:hAnsi="宋体" w:eastAsia="宋体" w:cs="宋体"/>
          <w:color w:val="auto"/>
          <w:szCs w:val="21"/>
          <w:highlight w:val="none"/>
        </w:rPr>
        <w:t>。因中标人自身原因，导致项目延误，每延期一天中标人需承担</w:t>
      </w:r>
      <w:r>
        <w:rPr>
          <w:rFonts w:hint="eastAsia" w:ascii="宋体" w:hAnsi="宋体" w:eastAsia="宋体" w:cs="宋体"/>
          <w:color w:val="auto"/>
          <w:szCs w:val="21"/>
          <w:highlight w:val="none"/>
          <w:lang w:val="en-US" w:eastAsia="zh-CN"/>
        </w:rPr>
        <w:t>3000</w:t>
      </w:r>
      <w:r>
        <w:rPr>
          <w:rFonts w:hint="eastAsia" w:ascii="宋体" w:hAnsi="宋体" w:eastAsia="宋体" w:cs="宋体"/>
          <w:color w:val="auto"/>
          <w:szCs w:val="21"/>
          <w:highlight w:val="none"/>
        </w:rPr>
        <w:t>元的违约金。延期超过5天，招标人有权终止合同，中标人的损失须自行承担，同时招标人有权追究中标人由此给招标人造成的一切损失。</w:t>
      </w:r>
    </w:p>
    <w:p w14:paraId="41DA7EA3">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因以下原因造成延误，经甲方确认服务期相应顺延：</w:t>
      </w:r>
    </w:p>
    <w:p w14:paraId="481370B4">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3.2.1甲方未按照要求提供服务条件和相应的资料；</w:t>
      </w:r>
    </w:p>
    <w:p w14:paraId="17C961F2">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3.2.2重大设计变更；</w:t>
      </w:r>
    </w:p>
    <w:p w14:paraId="02CB5331">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3.2.3重大民事、停电影响；</w:t>
      </w:r>
    </w:p>
    <w:p w14:paraId="7D9F69AE">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3.2.4因不可抗力影响。</w:t>
      </w:r>
    </w:p>
    <w:p w14:paraId="53E2B095">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4、质量要求</w:t>
      </w:r>
    </w:p>
    <w:p w14:paraId="5A984696">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质量标准</w:t>
      </w:r>
    </w:p>
    <w:p w14:paraId="17F6FA05">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符合国家、安徽省规定或相关行业规范（规程），所有成果文件符合要求并通过相关审批或备案。</w:t>
      </w:r>
    </w:p>
    <w:p w14:paraId="7C98FD62">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服务质量</w:t>
      </w:r>
    </w:p>
    <w:p w14:paraId="49566D12">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4.2.1成果资料必须经相关部门审查合格并备案成功。</w:t>
      </w:r>
    </w:p>
    <w:p w14:paraId="6428F6FE">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4.2.2乙方服务质量达不到规程的质量标准，乙方应承担违约责任。</w:t>
      </w:r>
    </w:p>
    <w:p w14:paraId="06A2D8BD">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5、合同价款及支付</w:t>
      </w:r>
    </w:p>
    <w:p w14:paraId="482CC33A">
      <w:pPr>
        <w:pStyle w:val="17"/>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5.1本项目合同价为：大写</w:t>
      </w:r>
      <w:r>
        <w:rPr>
          <w:rFonts w:hint="eastAsia" w:ascii="宋体" w:hAnsi="宋体" w:eastAsia="宋体" w:cs="宋体"/>
          <w:b/>
          <w:bCs/>
          <w:color w:val="auto"/>
          <w:szCs w:val="21"/>
          <w:highlight w:val="none"/>
          <w:u w:val="single"/>
        </w:rPr>
        <w:t xml:space="preserve">：                小写：       元 </w:t>
      </w:r>
      <w:r>
        <w:rPr>
          <w:rFonts w:hint="eastAsia" w:ascii="宋体" w:hAnsi="宋体" w:eastAsia="宋体" w:cs="宋体"/>
          <w:b/>
          <w:bCs/>
          <w:color w:val="auto"/>
          <w:szCs w:val="21"/>
          <w:highlight w:val="none"/>
        </w:rPr>
        <w:t>。</w:t>
      </w:r>
    </w:p>
    <w:p w14:paraId="47452C23">
      <w:pPr>
        <w:pStyle w:val="17"/>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5.2付款方式：</w:t>
      </w:r>
      <w:r>
        <w:rPr>
          <w:rFonts w:hint="eastAsia" w:ascii="宋体" w:hAnsi="宋体" w:cs="宋体"/>
          <w:b/>
          <w:bCs/>
          <w:color w:val="auto"/>
          <w:sz w:val="21"/>
          <w:szCs w:val="21"/>
          <w:highlight w:val="none"/>
          <w:lang w:val="en-US" w:eastAsia="zh-CN"/>
        </w:rPr>
        <w:t>完成行政主管部门备案并向招标人</w:t>
      </w:r>
      <w:r>
        <w:rPr>
          <w:rFonts w:hint="eastAsia" w:ascii="宋体" w:hAnsi="宋体" w:eastAsia="宋体" w:cs="宋体"/>
          <w:b/>
          <w:bCs/>
          <w:color w:val="auto"/>
          <w:sz w:val="21"/>
          <w:szCs w:val="21"/>
          <w:highlight w:val="none"/>
          <w:lang w:val="en-US" w:eastAsia="zh-CN"/>
        </w:rPr>
        <w:t>提供所有正式报告文本及相应电子档后一次性付清合同价款。</w:t>
      </w:r>
    </w:p>
    <w:p w14:paraId="2BD17766">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6、双方一般权利和义务</w:t>
      </w:r>
    </w:p>
    <w:p w14:paraId="2DD39C9F">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甲方权利和义务</w:t>
      </w:r>
    </w:p>
    <w:p w14:paraId="5DC4D915">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 甲方向乙方提供相关技术资料;</w:t>
      </w:r>
    </w:p>
    <w:p w14:paraId="2C0B1BAE">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6.1.2甲方向乙方提供工作条件: </w:t>
      </w:r>
    </w:p>
    <w:p w14:paraId="09F4112D">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6.1.3甲方协助乙方与项目相关部门进行联系，办理项目所需佐证文件 。</w:t>
      </w:r>
    </w:p>
    <w:p w14:paraId="559EDB91">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6.1.4甲方负责调解项目技术咨询过程中可能存在的民事纠纷问题，如因民事纠纷导致工期延误，乙方不承担由此引发的一系列责任。</w:t>
      </w:r>
    </w:p>
    <w:p w14:paraId="002E30E1">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6.1.5 甲方有义务按时支付咨询款。</w:t>
      </w:r>
    </w:p>
    <w:p w14:paraId="2AF80066">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乙方权利和义务</w:t>
      </w:r>
    </w:p>
    <w:p w14:paraId="12483184">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6.2.1 乙方应保证方案编制必须满足相关规范、标准、以及相关报告编制要求，并确保编制质量和完成行政主管部门备案；负责技术咨询过程中组织专家评审、会务等技术咨询相关事项；</w:t>
      </w:r>
    </w:p>
    <w:p w14:paraId="4C4711F6">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6.2.2 承担因方案编制不合格而返工费用，因乙方的责任而造成工期延误，承担违约责任；</w:t>
      </w:r>
    </w:p>
    <w:p w14:paraId="6C779716">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 乙方对未尽事宜应提前两天向甲方提出；</w:t>
      </w:r>
    </w:p>
    <w:p w14:paraId="5AAB5B55">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6.2.4 乙方选派项目负责人</w:t>
      </w:r>
      <w:r>
        <w:rPr>
          <w:rFonts w:hint="eastAsia" w:ascii="宋体" w:hAnsi="宋体" w:eastAsia="宋体" w:cs="宋体"/>
          <w:color w:val="auto"/>
          <w:szCs w:val="21"/>
          <w:highlight w:val="none"/>
          <w:u w:val="single"/>
        </w:rPr>
        <w:t xml:space="preserve">      （电话：        ）</w:t>
      </w:r>
      <w:r>
        <w:rPr>
          <w:rFonts w:hint="eastAsia" w:ascii="宋体" w:hAnsi="宋体" w:eastAsia="宋体" w:cs="宋体"/>
          <w:color w:val="auto"/>
          <w:szCs w:val="21"/>
          <w:highlight w:val="none"/>
        </w:rPr>
        <w:t>负责协调解决施工现场相关事宜；</w:t>
      </w:r>
    </w:p>
    <w:p w14:paraId="59F8D6AB">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7、安全责任</w:t>
      </w:r>
    </w:p>
    <w:p w14:paraId="0AD4C8F1">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甲方不得要求乙方违反安全管理的规定进行施工，因甲方原因等导致安全事故由甲方承担相应的责任及发生的费用。</w:t>
      </w:r>
    </w:p>
    <w:p w14:paraId="6845DEBE">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乙方应遵守工程建设安全生产的有关管理制度，严格按规程标准组织施工，并接受行业安全人员依法执行的安全检查，采取必要的安全措施，消除事故隐患，由于乙方安全措施不力造成事故责任和因此发生的费用由乙方承担。</w:t>
      </w:r>
    </w:p>
    <w:p w14:paraId="1394460F">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8、违约责任</w:t>
      </w:r>
    </w:p>
    <w:p w14:paraId="09ED2BDA">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   甲方违约：当发生下列情况时：</w:t>
      </w:r>
    </w:p>
    <w:p w14:paraId="09A7CEA0">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8.1.1  甲方不履行合同义务或不按合同约定履行义务的其他情况；</w:t>
      </w:r>
    </w:p>
    <w:p w14:paraId="4CA4FF22">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乙方违约：当发生下列情况时</w:t>
      </w:r>
    </w:p>
    <w:p w14:paraId="7A6FFAAD">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8.2.1  由于乙方原因质量达不到协议书约定的质量标准，乙方无条件返工并承担损失和违约责任；</w:t>
      </w:r>
    </w:p>
    <w:p w14:paraId="56AE34CC">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8.2.2  由于乙方不履行合同义务或不按合同约定履行义务的其他情况；</w:t>
      </w:r>
    </w:p>
    <w:p w14:paraId="563095C8">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8.2.3  乙方承担违约责任，赔偿其因其违约给甲方造成的直接经济损失。</w:t>
      </w:r>
    </w:p>
    <w:p w14:paraId="51E64A54">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8.3    一方违约后， 另一方要求违约方继续履行合同时，违约方承担上述违约责任后，仍继续履行合同。</w:t>
      </w:r>
    </w:p>
    <w:p w14:paraId="06F26172">
      <w:pPr>
        <w:keepNext w:val="0"/>
        <w:keepLines w:val="0"/>
        <w:pageBreakBefore w:val="0"/>
        <w:widowControl w:val="0"/>
        <w:kinsoku/>
        <w:wordWrap/>
        <w:overflowPunct/>
        <w:topLinePunct w:val="0"/>
        <w:autoSpaceDE/>
        <w:autoSpaceDN/>
        <w:bidi w:val="0"/>
        <w:adjustRightInd/>
        <w:snapToGrid/>
        <w:spacing w:line="500" w:lineRule="exact"/>
        <w:ind w:right="-433" w:rightChars="-206"/>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  合同生效及其它</w:t>
      </w:r>
    </w:p>
    <w:p w14:paraId="35082D2B">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本合同发生的相关图纸、技术资料、工程量变更清单、预算书、传真等纸质材料是本合同的组成部分，与本合同具有同等法律效力。</w:t>
      </w:r>
    </w:p>
    <w:p w14:paraId="43D1038A">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未尽事宜，双方在合同执行时协商解决。</w:t>
      </w:r>
    </w:p>
    <w:p w14:paraId="516A770F">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甲乙双方在履行和同事发生争议时，可以协商解决，协商不成，双方同时申请仲裁；</w:t>
      </w:r>
    </w:p>
    <w:p w14:paraId="5B51BFA8">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9.4   本合同规定的责任和义务、付款结清后，本合同及告终止。</w:t>
      </w:r>
    </w:p>
    <w:p w14:paraId="7229BF56">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   甲乙双方法定代表人或其委托代理人在合同书上签名并盖单位公章后合同生效。</w:t>
      </w:r>
    </w:p>
    <w:p w14:paraId="65462A49">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9.6   本合同正本一式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14:paraId="0265F976">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p>
    <w:p w14:paraId="2C9C91D1">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p>
    <w:p w14:paraId="42C02210">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 方：  (公章)                       乙 方：  (公章)                                 </w:t>
      </w:r>
    </w:p>
    <w:p w14:paraId="6B95039C">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167326B2">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                             （签字）</w:t>
      </w:r>
    </w:p>
    <w:p w14:paraId="13BC7076">
      <w:pPr>
        <w:pStyle w:val="17"/>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14:paraId="3F49004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账   号：                           账   号：</w:t>
      </w:r>
    </w:p>
    <w:p w14:paraId="2E153C0A">
      <w:pPr>
        <w:rPr>
          <w:rFonts w:hint="eastAsia" w:ascii="宋体"/>
          <w:b/>
          <w:color w:val="auto"/>
          <w:sz w:val="32"/>
          <w:szCs w:val="32"/>
          <w:highlight w:val="none"/>
        </w:rPr>
      </w:pPr>
      <w:r>
        <w:rPr>
          <w:rFonts w:hint="eastAsia" w:ascii="宋体"/>
          <w:b/>
          <w:color w:val="auto"/>
          <w:sz w:val="32"/>
          <w:szCs w:val="32"/>
          <w:highlight w:val="none"/>
        </w:rPr>
        <w:br w:type="page"/>
      </w:r>
    </w:p>
    <w:p w14:paraId="2A9878F3">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五</w:t>
      </w:r>
      <w:r>
        <w:rPr>
          <w:rFonts w:hint="eastAsia" w:ascii="宋体"/>
          <w:b/>
          <w:color w:val="auto"/>
          <w:sz w:val="32"/>
          <w:szCs w:val="32"/>
          <w:highlight w:val="none"/>
        </w:rPr>
        <w:t>章  投标文件格式</w:t>
      </w:r>
    </w:p>
    <w:p w14:paraId="192C5D0D">
      <w:pPr>
        <w:jc w:val="center"/>
        <w:rPr>
          <w:rFonts w:hint="eastAsia" w:eastAsia="黑体"/>
          <w:color w:val="auto"/>
          <w:sz w:val="20"/>
          <w:highlight w:val="none"/>
        </w:rPr>
      </w:pPr>
    </w:p>
    <w:p w14:paraId="7A18408F">
      <w:pPr>
        <w:rPr>
          <w:rFonts w:hint="eastAsia" w:eastAsia="黑体"/>
          <w:color w:val="auto"/>
          <w:sz w:val="20"/>
          <w:highlight w:val="none"/>
        </w:rPr>
      </w:pPr>
    </w:p>
    <w:p w14:paraId="47C0D956">
      <w:pPr>
        <w:rPr>
          <w:rFonts w:hint="eastAsia" w:eastAsia="黑体"/>
          <w:color w:val="auto"/>
          <w:sz w:val="20"/>
          <w:highlight w:val="none"/>
        </w:rPr>
      </w:pPr>
    </w:p>
    <w:p w14:paraId="73E63B1A">
      <w:pPr>
        <w:rPr>
          <w:rFonts w:hint="eastAsia" w:eastAsia="黑体"/>
          <w:color w:val="auto"/>
          <w:sz w:val="20"/>
          <w:highlight w:val="none"/>
        </w:rPr>
      </w:pPr>
    </w:p>
    <w:p w14:paraId="38E2A728">
      <w:pPr>
        <w:jc w:val="center"/>
        <w:rPr>
          <w:rFonts w:hint="eastAsia" w:ascii="宋体"/>
          <w:b/>
          <w:color w:val="auto"/>
          <w:sz w:val="44"/>
          <w:szCs w:val="44"/>
          <w:highlight w:val="none"/>
        </w:rPr>
      </w:pPr>
      <w:bookmarkStart w:id="53" w:name="_Toc449028949"/>
      <w:bookmarkStart w:id="54" w:name="_Toc350698753"/>
      <w:r>
        <w:rPr>
          <w:rFonts w:hint="eastAsia" w:ascii="宋体"/>
          <w:b/>
          <w:color w:val="auto"/>
          <w:sz w:val="44"/>
          <w:szCs w:val="44"/>
          <w:highlight w:val="none"/>
          <w:lang w:val="en-US" w:eastAsia="zh-CN"/>
        </w:rPr>
        <w:t>投标</w:t>
      </w:r>
      <w:r>
        <w:rPr>
          <w:rFonts w:hint="eastAsia" w:ascii="宋体"/>
          <w:b/>
          <w:color w:val="auto"/>
          <w:sz w:val="44"/>
          <w:szCs w:val="44"/>
          <w:highlight w:val="none"/>
        </w:rPr>
        <w:t>文件</w:t>
      </w:r>
      <w:bookmarkEnd w:id="53"/>
      <w:bookmarkEnd w:id="54"/>
    </w:p>
    <w:p w14:paraId="755F472F">
      <w:pPr>
        <w:jc w:val="center"/>
        <w:rPr>
          <w:rFonts w:hint="eastAsia" w:eastAsia="黑体"/>
          <w:color w:val="auto"/>
          <w:sz w:val="44"/>
          <w:szCs w:val="44"/>
          <w:highlight w:val="none"/>
        </w:rPr>
      </w:pPr>
    </w:p>
    <w:p w14:paraId="384FEDE3">
      <w:pPr>
        <w:jc w:val="center"/>
        <w:rPr>
          <w:rFonts w:hint="eastAsia" w:eastAsia="黑体"/>
          <w:color w:val="auto"/>
          <w:sz w:val="44"/>
          <w:szCs w:val="44"/>
          <w:highlight w:val="none"/>
        </w:rPr>
      </w:pPr>
    </w:p>
    <w:p w14:paraId="2A27B71A">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87A5569">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1FE17F29">
      <w:pPr>
        <w:rPr>
          <w:rFonts w:hint="eastAsia" w:ascii="宋体"/>
          <w:color w:val="auto"/>
          <w:sz w:val="28"/>
          <w:szCs w:val="28"/>
          <w:highlight w:val="none"/>
        </w:rPr>
      </w:pPr>
    </w:p>
    <w:p w14:paraId="21A1FF30">
      <w:pPr>
        <w:rPr>
          <w:rFonts w:hint="eastAsia" w:ascii="宋体"/>
          <w:color w:val="auto"/>
          <w:sz w:val="28"/>
          <w:szCs w:val="28"/>
          <w:highlight w:val="none"/>
        </w:rPr>
      </w:pPr>
    </w:p>
    <w:p w14:paraId="7A219189">
      <w:pPr>
        <w:rPr>
          <w:rFonts w:hint="eastAsia" w:ascii="宋体"/>
          <w:color w:val="auto"/>
          <w:sz w:val="28"/>
          <w:szCs w:val="28"/>
          <w:highlight w:val="none"/>
        </w:rPr>
      </w:pPr>
    </w:p>
    <w:p w14:paraId="6349E5BB">
      <w:pPr>
        <w:rPr>
          <w:rFonts w:hint="eastAsia" w:ascii="宋体"/>
          <w:color w:val="auto"/>
          <w:sz w:val="28"/>
          <w:szCs w:val="28"/>
          <w:highlight w:val="none"/>
        </w:rPr>
      </w:pPr>
    </w:p>
    <w:p w14:paraId="68ED8F5B">
      <w:pPr>
        <w:rPr>
          <w:rFonts w:hint="eastAsia" w:ascii="宋体"/>
          <w:color w:val="auto"/>
          <w:sz w:val="28"/>
          <w:szCs w:val="28"/>
          <w:highlight w:val="none"/>
        </w:rPr>
      </w:pPr>
    </w:p>
    <w:p w14:paraId="3BF14EC4">
      <w:pPr>
        <w:rPr>
          <w:rFonts w:hint="eastAsia" w:ascii="宋体"/>
          <w:color w:val="auto"/>
          <w:sz w:val="28"/>
          <w:szCs w:val="28"/>
          <w:highlight w:val="none"/>
        </w:rPr>
      </w:pPr>
    </w:p>
    <w:p w14:paraId="0DD29A80">
      <w:pPr>
        <w:rPr>
          <w:rFonts w:hint="eastAsia" w:ascii="宋体"/>
          <w:color w:val="auto"/>
          <w:sz w:val="28"/>
          <w:szCs w:val="28"/>
          <w:highlight w:val="none"/>
        </w:rPr>
      </w:pPr>
    </w:p>
    <w:p w14:paraId="0664DC25">
      <w:pPr>
        <w:rPr>
          <w:rFonts w:hint="eastAsia" w:ascii="宋体"/>
          <w:color w:val="auto"/>
          <w:sz w:val="28"/>
          <w:szCs w:val="28"/>
          <w:highlight w:val="none"/>
        </w:rPr>
      </w:pPr>
    </w:p>
    <w:p w14:paraId="4D3AA46C">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113CAA7D">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658F2E04">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3E803545">
      <w:pPr>
        <w:spacing w:line="720" w:lineRule="auto"/>
        <w:jc w:val="center"/>
        <w:rPr>
          <w:rFonts w:hint="eastAsia" w:ascii="宋体"/>
          <w:b/>
          <w:color w:val="auto"/>
          <w:sz w:val="36"/>
          <w:szCs w:val="36"/>
          <w:highlight w:val="none"/>
        </w:rPr>
      </w:pPr>
    </w:p>
    <w:p w14:paraId="019BFAEC">
      <w:pPr>
        <w:spacing w:line="400" w:lineRule="exact"/>
        <w:ind w:firstLine="4130" w:firstLineChars="935"/>
        <w:rPr>
          <w:rFonts w:hint="eastAsia"/>
          <w:b/>
          <w:color w:val="auto"/>
          <w:sz w:val="44"/>
          <w:szCs w:val="44"/>
          <w:highlight w:val="none"/>
        </w:rPr>
      </w:pPr>
    </w:p>
    <w:p w14:paraId="1F360597">
      <w:pPr>
        <w:spacing w:line="400" w:lineRule="exact"/>
        <w:ind w:firstLine="4130" w:firstLineChars="935"/>
        <w:rPr>
          <w:rFonts w:hint="eastAsia"/>
          <w:b/>
          <w:color w:val="auto"/>
          <w:sz w:val="44"/>
          <w:szCs w:val="44"/>
          <w:highlight w:val="none"/>
        </w:rPr>
      </w:pPr>
    </w:p>
    <w:p w14:paraId="611E799E">
      <w:pPr>
        <w:spacing w:line="400" w:lineRule="exact"/>
        <w:ind w:firstLine="4130" w:firstLineChars="935"/>
        <w:rPr>
          <w:rFonts w:hint="eastAsia"/>
          <w:b/>
          <w:color w:val="auto"/>
          <w:sz w:val="44"/>
          <w:szCs w:val="44"/>
          <w:highlight w:val="none"/>
        </w:rPr>
      </w:pPr>
    </w:p>
    <w:p w14:paraId="0C005E99">
      <w:pPr>
        <w:jc w:val="center"/>
        <w:rPr>
          <w:rFonts w:hint="eastAsia"/>
          <w:b/>
          <w:color w:val="auto"/>
          <w:sz w:val="28"/>
          <w:szCs w:val="28"/>
          <w:highlight w:val="none"/>
        </w:rPr>
      </w:pPr>
      <w:r>
        <w:rPr>
          <w:rFonts w:hint="eastAsia"/>
          <w:b/>
          <w:color w:val="auto"/>
          <w:sz w:val="36"/>
          <w:szCs w:val="36"/>
          <w:highlight w:val="none"/>
        </w:rPr>
        <w:t>目   录</w:t>
      </w:r>
    </w:p>
    <w:p w14:paraId="75F9A0ED">
      <w:pPr>
        <w:spacing w:line="500" w:lineRule="exact"/>
        <w:ind w:firstLine="420" w:firstLineChars="200"/>
        <w:jc w:val="left"/>
        <w:rPr>
          <w:rFonts w:hint="eastAsia"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 xml:space="preserve">（1）法定代表人身份证明及其有效身份证复印件（或法定代表人授权委托书及其有效身份证复印件）（格式见附件）；                                                                                                                                                                                                                                                                                                                                                                                                                                                                                                                                                                                                                                                                                                                                                                                                                                                                                                                                                                                                                                                                                                                                                                                                                                                                                                                                                                                                                                                                                                                                                                                                                                                                                        </w:t>
      </w:r>
    </w:p>
    <w:p w14:paraId="526B214F">
      <w:pPr>
        <w:spacing w:line="500" w:lineRule="exact"/>
        <w:ind w:firstLine="420" w:firstLineChars="200"/>
        <w:jc w:val="left"/>
        <w:rPr>
          <w:rFonts w:hint="eastAsia"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（2）投标人</w:t>
      </w:r>
      <w:r>
        <w:rPr>
          <w:rFonts w:hint="eastAsia" w:ascii="Times New Roman" w:hAnsi="宋体" w:eastAsia="宋体" w:cs="Times New Roman"/>
          <w:color w:val="auto"/>
          <w:szCs w:val="21"/>
          <w:highlight w:val="none"/>
          <w:lang w:val="en-US" w:eastAsia="zh-CN"/>
        </w:rPr>
        <w:t>有效的营业执照（或三证合一的有效证件）</w:t>
      </w:r>
      <w:r>
        <w:rPr>
          <w:rFonts w:hint="eastAsia" w:ascii="Times New Roman" w:hAnsi="宋体" w:eastAsia="宋体" w:cs="Times New Roman"/>
          <w:color w:val="auto"/>
          <w:szCs w:val="21"/>
          <w:highlight w:val="none"/>
        </w:rPr>
        <w:t>；</w:t>
      </w:r>
    </w:p>
    <w:p w14:paraId="55C366E0">
      <w:pPr>
        <w:spacing w:line="500" w:lineRule="exact"/>
        <w:ind w:firstLine="420" w:firstLineChars="200"/>
        <w:jc w:val="left"/>
        <w:rPr>
          <w:rFonts w:hint="eastAsia"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w:t>
      </w:r>
      <w:r>
        <w:rPr>
          <w:rFonts w:hint="eastAsia" w:ascii="Times New Roman" w:hAnsi="宋体" w:eastAsia="宋体" w:cs="Times New Roman"/>
          <w:color w:val="auto"/>
          <w:szCs w:val="21"/>
          <w:highlight w:val="none"/>
          <w:lang w:val="en-US" w:eastAsia="zh-CN"/>
        </w:rPr>
        <w:t>3</w:t>
      </w:r>
      <w:r>
        <w:rPr>
          <w:rFonts w:hint="eastAsia" w:ascii="Times New Roman" w:hAnsi="宋体" w:eastAsia="宋体" w:cs="Times New Roman"/>
          <w:color w:val="auto"/>
          <w:szCs w:val="21"/>
          <w:highlight w:val="none"/>
        </w:rPr>
        <w:t>）诚信投标承诺书（格式见附件）；</w:t>
      </w:r>
    </w:p>
    <w:p w14:paraId="389D5D09">
      <w:pPr>
        <w:spacing w:line="500" w:lineRule="exact"/>
        <w:ind w:firstLine="420" w:firstLineChars="200"/>
        <w:jc w:val="left"/>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eastAsia="zh-CN"/>
        </w:rPr>
        <w:t>（</w:t>
      </w:r>
      <w:r>
        <w:rPr>
          <w:rFonts w:hint="eastAsia" w:hAnsi="宋体" w:cs="Times New Roman"/>
          <w:color w:val="auto"/>
          <w:szCs w:val="21"/>
          <w:highlight w:val="none"/>
          <w:lang w:val="en-US" w:eastAsia="zh-CN"/>
        </w:rPr>
        <w:t>4</w:t>
      </w:r>
      <w:r>
        <w:rPr>
          <w:rFonts w:hint="eastAsia"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Cs w:val="21"/>
          <w:highlight w:val="none"/>
        </w:rPr>
        <w:t>开标一览表（格式见附件）</w:t>
      </w:r>
      <w:r>
        <w:rPr>
          <w:rFonts w:hint="eastAsia" w:ascii="Times New Roman" w:hAnsi="宋体" w:eastAsia="宋体" w:cs="Times New Roman"/>
          <w:color w:val="auto"/>
          <w:szCs w:val="21"/>
          <w:highlight w:val="none"/>
          <w:lang w:eastAsia="zh-CN"/>
        </w:rPr>
        <w:t>；</w:t>
      </w:r>
    </w:p>
    <w:p w14:paraId="2FC4B52F">
      <w:pPr>
        <w:spacing w:line="500" w:lineRule="exact"/>
        <w:ind w:firstLine="420" w:firstLineChars="200"/>
        <w:jc w:val="left"/>
        <w:rPr>
          <w:rFonts w:hint="eastAsia"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val="en-US" w:eastAsia="zh-CN"/>
        </w:rPr>
        <w:t>（</w:t>
      </w:r>
      <w:r>
        <w:rPr>
          <w:rFonts w:hint="eastAsia" w:hAnsi="宋体" w:cs="Times New Roman"/>
          <w:color w:val="auto"/>
          <w:szCs w:val="21"/>
          <w:highlight w:val="none"/>
          <w:lang w:val="en-US" w:eastAsia="zh-CN"/>
        </w:rPr>
        <w:t>5</w:t>
      </w:r>
      <w:r>
        <w:rPr>
          <w:rFonts w:hint="eastAsia" w:ascii="Times New Roman" w:hAnsi="宋体" w:eastAsia="宋体" w:cs="Times New Roman"/>
          <w:color w:val="auto"/>
          <w:szCs w:val="21"/>
          <w:highlight w:val="none"/>
          <w:lang w:val="en-US" w:eastAsia="zh-CN"/>
        </w:rPr>
        <w:t>）投标函（格式见附件）；</w:t>
      </w:r>
    </w:p>
    <w:p w14:paraId="376DB283">
      <w:pPr>
        <w:spacing w:line="500" w:lineRule="exact"/>
        <w:ind w:firstLine="420" w:firstLineChars="200"/>
        <w:jc w:val="left"/>
        <w:rPr>
          <w:rFonts w:hint="default" w:ascii="Times New Roman" w:hAnsi="宋体" w:eastAsia="宋体" w:cs="Times New Roman"/>
          <w:color w:val="auto"/>
          <w:szCs w:val="21"/>
          <w:highlight w:val="none"/>
          <w:lang w:val="en-US" w:eastAsia="zh-CN"/>
        </w:rPr>
      </w:pPr>
      <w:r>
        <w:rPr>
          <w:rFonts w:hint="eastAsia" w:hAnsi="宋体" w:cs="Times New Roman"/>
          <w:color w:val="auto"/>
          <w:szCs w:val="21"/>
          <w:highlight w:val="none"/>
          <w:lang w:eastAsia="zh-CN"/>
        </w:rPr>
        <w:t>（</w:t>
      </w:r>
      <w:r>
        <w:rPr>
          <w:rFonts w:hint="eastAsia" w:hAnsi="宋体" w:cs="Times New Roman"/>
          <w:color w:val="auto"/>
          <w:szCs w:val="21"/>
          <w:highlight w:val="none"/>
          <w:lang w:val="en-US" w:eastAsia="zh-CN"/>
        </w:rPr>
        <w:t>6）评分细则所需提供证明材料；</w:t>
      </w:r>
    </w:p>
    <w:p w14:paraId="7F656E67">
      <w:pPr>
        <w:spacing w:line="500" w:lineRule="exact"/>
        <w:ind w:firstLine="420" w:firstLineChars="200"/>
        <w:jc w:val="left"/>
        <w:rPr>
          <w:rFonts w:hint="default" w:ascii="Times New Roman" w:hAnsi="宋体" w:eastAsia="宋体" w:cs="Times New Roman"/>
          <w:color w:val="auto"/>
          <w:szCs w:val="21"/>
          <w:highlight w:val="none"/>
          <w:lang w:val="en-US" w:eastAsia="zh-CN"/>
        </w:rPr>
      </w:pPr>
      <w:r>
        <w:rPr>
          <w:rFonts w:hint="eastAsia" w:ascii="Times New Roman" w:hAnsi="宋体" w:eastAsia="宋体" w:cs="Times New Roman"/>
          <w:color w:val="auto"/>
          <w:szCs w:val="21"/>
          <w:highlight w:val="none"/>
          <w:lang w:eastAsia="zh-CN"/>
        </w:rPr>
        <w:t>（</w:t>
      </w:r>
      <w:r>
        <w:rPr>
          <w:rFonts w:hint="eastAsia" w:hAnsi="宋体" w:cs="Times New Roman"/>
          <w:color w:val="auto"/>
          <w:szCs w:val="21"/>
          <w:highlight w:val="none"/>
          <w:lang w:val="en-US" w:eastAsia="zh-CN"/>
        </w:rPr>
        <w:t>7</w:t>
      </w:r>
      <w:r>
        <w:rPr>
          <w:rFonts w:hint="eastAsia" w:ascii="Times New Roman" w:hAnsi="宋体" w:eastAsia="宋体" w:cs="Times New Roman"/>
          <w:color w:val="auto"/>
          <w:szCs w:val="21"/>
          <w:highlight w:val="none"/>
          <w:lang w:val="en-US" w:eastAsia="zh-CN"/>
        </w:rPr>
        <w:t>）投标人认为需要提供的其他证明材料。</w:t>
      </w:r>
    </w:p>
    <w:p w14:paraId="6DC9CAFA">
      <w:pPr>
        <w:spacing w:line="400" w:lineRule="exact"/>
        <w:ind w:firstLine="562" w:firstLineChars="200"/>
        <w:rPr>
          <w:rFonts w:hint="eastAsia"/>
          <w:b/>
          <w:color w:val="auto"/>
          <w:sz w:val="28"/>
          <w:szCs w:val="28"/>
          <w:highlight w:val="none"/>
        </w:rPr>
      </w:pPr>
    </w:p>
    <w:p w14:paraId="7A834E1B">
      <w:pPr>
        <w:spacing w:line="400" w:lineRule="exact"/>
        <w:ind w:firstLine="562" w:firstLineChars="200"/>
        <w:rPr>
          <w:rFonts w:hint="eastAsia"/>
          <w:b/>
          <w:color w:val="auto"/>
          <w:sz w:val="28"/>
          <w:szCs w:val="28"/>
          <w:highlight w:val="none"/>
        </w:rPr>
      </w:pPr>
    </w:p>
    <w:p w14:paraId="3A6C7476">
      <w:pPr>
        <w:spacing w:line="400" w:lineRule="exact"/>
        <w:ind w:firstLine="562" w:firstLineChars="200"/>
        <w:rPr>
          <w:rFonts w:hint="eastAsia"/>
          <w:b/>
          <w:color w:val="auto"/>
          <w:sz w:val="28"/>
          <w:szCs w:val="28"/>
          <w:highlight w:val="none"/>
        </w:rPr>
      </w:pPr>
    </w:p>
    <w:p w14:paraId="0EF61178">
      <w:pPr>
        <w:spacing w:line="400" w:lineRule="exact"/>
        <w:ind w:firstLine="562" w:firstLineChars="200"/>
        <w:rPr>
          <w:rFonts w:hint="eastAsia"/>
          <w:b/>
          <w:color w:val="auto"/>
          <w:sz w:val="28"/>
          <w:szCs w:val="28"/>
          <w:highlight w:val="none"/>
        </w:rPr>
      </w:pPr>
    </w:p>
    <w:p w14:paraId="475E98A4">
      <w:pPr>
        <w:spacing w:line="400" w:lineRule="exact"/>
        <w:rPr>
          <w:b/>
          <w:color w:val="auto"/>
          <w:sz w:val="28"/>
          <w:szCs w:val="28"/>
          <w:highlight w:val="none"/>
        </w:rPr>
        <w:sectPr>
          <w:headerReference r:id="rId9" w:type="default"/>
          <w:footerReference r:id="rId10" w:type="default"/>
          <w:pgSz w:w="11906" w:h="16838"/>
          <w:pgMar w:top="1440" w:right="866" w:bottom="1440" w:left="1800" w:header="851" w:footer="992" w:gutter="0"/>
          <w:pgNumType w:fmt="numberInDash"/>
          <w:cols w:space="720" w:num="1"/>
          <w:docGrid w:type="lines" w:linePitch="312" w:charSpace="0"/>
        </w:sectPr>
      </w:pPr>
    </w:p>
    <w:p w14:paraId="4DAC4449">
      <w:pPr>
        <w:spacing w:line="360" w:lineRule="auto"/>
        <w:rPr>
          <w:rFonts w:hint="eastAsia"/>
          <w:b/>
          <w:color w:val="auto"/>
          <w:sz w:val="28"/>
          <w:szCs w:val="28"/>
          <w:highlight w:val="none"/>
        </w:rPr>
      </w:pPr>
      <w:r>
        <w:rPr>
          <w:rFonts w:hint="eastAsia"/>
          <w:b/>
          <w:color w:val="auto"/>
          <w:sz w:val="28"/>
          <w:szCs w:val="28"/>
          <w:highlight w:val="none"/>
        </w:rPr>
        <w:t>附件1</w:t>
      </w:r>
    </w:p>
    <w:p w14:paraId="5E205FBA">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3C4A335E">
      <w:pPr>
        <w:pStyle w:val="121"/>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2BDA0FEA">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2EAD80A4">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6DC32C14">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1BCBCEE4">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2C9BDBEE">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792DC8DE">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12A48925">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1906E03C">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11B20BDB">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09213383">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63C22545">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568F9012">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3580B65B">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032ED004">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5EF36269">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620A394F">
      <w:pPr>
        <w:spacing w:line="480" w:lineRule="exact"/>
        <w:rPr>
          <w:rFonts w:hint="eastAsia" w:ascii="宋体"/>
          <w:color w:val="auto"/>
          <w:sz w:val="24"/>
          <w:highlight w:val="none"/>
        </w:rPr>
      </w:pPr>
      <w:r>
        <w:rPr>
          <w:rFonts w:hint="eastAsia" w:ascii="宋体"/>
          <w:color w:val="auto"/>
          <w:sz w:val="24"/>
          <w:highlight w:val="none"/>
        </w:rPr>
        <w:t xml:space="preserve">                                     投标人：             </w:t>
      </w:r>
      <w:r>
        <w:rPr>
          <w:rFonts w:hint="eastAsia" w:ascii="宋体"/>
          <w:color w:val="auto"/>
          <w:sz w:val="28"/>
          <w:szCs w:val="28"/>
          <w:highlight w:val="none"/>
        </w:rPr>
        <w:t>（盖单位章）</w:t>
      </w:r>
    </w:p>
    <w:p w14:paraId="759D2557">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60EECB41">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45280725">
      <w:pPr>
        <w:spacing w:line="360" w:lineRule="exact"/>
        <w:ind w:firstLine="413" w:firstLineChars="147"/>
        <w:rPr>
          <w:rFonts w:hint="eastAsia"/>
          <w:b/>
          <w:color w:val="auto"/>
          <w:sz w:val="28"/>
          <w:szCs w:val="28"/>
          <w:highlight w:val="none"/>
          <w:u w:val="single"/>
        </w:rPr>
      </w:pPr>
    </w:p>
    <w:p w14:paraId="5C500451">
      <w:pPr>
        <w:spacing w:line="360" w:lineRule="exact"/>
        <w:ind w:firstLine="413" w:firstLineChars="147"/>
        <w:rPr>
          <w:rFonts w:hint="eastAsia"/>
          <w:b/>
          <w:color w:val="auto"/>
          <w:sz w:val="28"/>
          <w:szCs w:val="28"/>
          <w:highlight w:val="none"/>
          <w:u w:val="single"/>
        </w:rPr>
      </w:pPr>
    </w:p>
    <w:p w14:paraId="16714551">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5A8CB3A6">
      <w:pPr>
        <w:spacing w:line="360" w:lineRule="auto"/>
        <w:jc w:val="center"/>
        <w:rPr>
          <w:rFonts w:hint="eastAsia"/>
          <w:b/>
          <w:color w:val="auto"/>
          <w:sz w:val="28"/>
          <w:szCs w:val="28"/>
          <w:highlight w:val="none"/>
        </w:rPr>
      </w:pPr>
      <w:bookmarkStart w:id="55" w:name="_Toc440443268"/>
      <w:bookmarkStart w:id="56" w:name="_Toc449028950"/>
      <w:r>
        <w:rPr>
          <w:rFonts w:hint="eastAsia"/>
          <w:b/>
          <w:color w:val="auto"/>
          <w:sz w:val="28"/>
          <w:szCs w:val="28"/>
          <w:highlight w:val="none"/>
        </w:rPr>
        <w:t>诚信投标承诺书 </w:t>
      </w:r>
    </w:p>
    <w:p w14:paraId="4478385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322F6FB2">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23F9102A">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E083148">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E28221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24BB4675">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7C1B42D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Start w:id="57" w:name="OLE_LINK134"/>
      <w:bookmarkStart w:id="58" w:name="OLE_LINK133"/>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w:t>
      </w:r>
      <w:r>
        <w:rPr>
          <w:rFonts w:hint="eastAsia" w:ascii="宋体" w:hAnsi="宋体"/>
          <w:color w:val="auto"/>
          <w:szCs w:val="21"/>
          <w:highlight w:val="none"/>
          <w:lang w:eastAsia="zh-CN"/>
        </w:rPr>
        <w:t>期内</w:t>
      </w:r>
      <w:r>
        <w:rPr>
          <w:rFonts w:hint="eastAsia" w:ascii="宋体" w:hAnsi="宋体"/>
          <w:color w:val="auto"/>
          <w:szCs w:val="21"/>
          <w:highlight w:val="none"/>
        </w:rPr>
        <w:t>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w:t>
      </w:r>
      <w:bookmarkEnd w:id="57"/>
      <w:bookmarkEnd w:id="58"/>
    </w:p>
    <w:p w14:paraId="2A030D96">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、严格遵守开标现场纪律，服从监管人员管理；</w:t>
      </w:r>
    </w:p>
    <w:p w14:paraId="5994E018">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、保证中标后不转包，若有分包征得招标人同意；</w:t>
      </w:r>
    </w:p>
    <w:p w14:paraId="7E08DAC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、保证中标之后，按照投标文件要求提供相关后续服务；</w:t>
      </w:r>
    </w:p>
    <w:p w14:paraId="1889242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309527B">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7EFA42E">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46A79AC7">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w:t>
      </w:r>
    </w:p>
    <w:p w14:paraId="31706AF0">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                          基本账户：</w:t>
      </w:r>
    </w:p>
    <w:p w14:paraId="1FCEC20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投标单位（盖单位章）：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73F389B5">
      <w:pPr>
        <w:spacing w:line="500" w:lineRule="exact"/>
        <w:ind w:firstLine="420" w:firstLineChars="200"/>
        <w:rPr>
          <w:rFonts w:hint="eastAsia" w:ascii="宋体" w:hAnsi="宋体"/>
          <w:color w:val="auto"/>
          <w:szCs w:val="21"/>
          <w:highlight w:val="none"/>
        </w:rPr>
      </w:pPr>
    </w:p>
    <w:p w14:paraId="0F644AB8">
      <w:pPr>
        <w:spacing w:line="560" w:lineRule="exact"/>
        <w:jc w:val="right"/>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2FE5E06">
      <w:pPr>
        <w:spacing w:line="360" w:lineRule="auto"/>
        <w:jc w:val="center"/>
        <w:rPr>
          <w:rFonts w:hint="eastAsia"/>
          <w:b/>
          <w:color w:val="auto"/>
          <w:sz w:val="28"/>
          <w:szCs w:val="28"/>
          <w:highlight w:val="none"/>
        </w:rPr>
      </w:pPr>
    </w:p>
    <w:p w14:paraId="069C38AA">
      <w:pPr>
        <w:spacing w:line="360" w:lineRule="exact"/>
        <w:ind w:firstLine="443" w:firstLineChars="147"/>
        <w:rPr>
          <w:rFonts w:hint="eastAsia" w:ascii="宋体"/>
          <w:b/>
          <w:color w:val="auto"/>
          <w:sz w:val="30"/>
          <w:szCs w:val="30"/>
          <w:highlight w:val="none"/>
        </w:rPr>
      </w:pPr>
    </w:p>
    <w:p w14:paraId="3E33275C">
      <w:pPr>
        <w:spacing w:line="360" w:lineRule="exact"/>
        <w:ind w:firstLine="443" w:firstLineChars="147"/>
        <w:rPr>
          <w:rFonts w:hint="eastAsia" w:ascii="宋体"/>
          <w:b/>
          <w:color w:val="auto"/>
          <w:sz w:val="30"/>
          <w:szCs w:val="30"/>
          <w:highlight w:val="none"/>
        </w:rPr>
      </w:pPr>
    </w:p>
    <w:p w14:paraId="0FB3720D">
      <w:pPr>
        <w:spacing w:line="360" w:lineRule="exact"/>
        <w:ind w:firstLine="443" w:firstLineChars="147"/>
        <w:rPr>
          <w:rFonts w:hint="eastAsia" w:ascii="宋体"/>
          <w:b/>
          <w:color w:val="auto"/>
          <w:sz w:val="30"/>
          <w:szCs w:val="30"/>
          <w:highlight w:val="none"/>
        </w:rPr>
      </w:pPr>
    </w:p>
    <w:p w14:paraId="1934444A">
      <w:pPr>
        <w:spacing w:line="360" w:lineRule="exact"/>
        <w:ind w:firstLine="443" w:firstLineChars="147"/>
        <w:rPr>
          <w:rFonts w:hint="eastAsia" w:ascii="宋体"/>
          <w:b/>
          <w:color w:val="auto"/>
          <w:sz w:val="30"/>
          <w:szCs w:val="30"/>
          <w:highlight w:val="none"/>
        </w:rPr>
      </w:pPr>
    </w:p>
    <w:p w14:paraId="7EEF0DF2">
      <w:pPr>
        <w:spacing w:line="360" w:lineRule="exact"/>
        <w:ind w:firstLine="443" w:firstLineChars="147"/>
        <w:rPr>
          <w:rFonts w:hint="eastAsia" w:ascii="宋体"/>
          <w:b/>
          <w:color w:val="auto"/>
          <w:sz w:val="30"/>
          <w:szCs w:val="30"/>
          <w:highlight w:val="none"/>
        </w:rPr>
      </w:pPr>
    </w:p>
    <w:p w14:paraId="697750F7">
      <w:pPr>
        <w:spacing w:line="360" w:lineRule="exact"/>
        <w:ind w:firstLine="443" w:firstLineChars="147"/>
        <w:rPr>
          <w:rFonts w:hint="eastAsia" w:ascii="宋体"/>
          <w:b/>
          <w:color w:val="auto"/>
          <w:sz w:val="30"/>
          <w:szCs w:val="30"/>
          <w:highlight w:val="none"/>
        </w:rPr>
      </w:pPr>
    </w:p>
    <w:p w14:paraId="30F7440A">
      <w:pPr>
        <w:spacing w:line="360" w:lineRule="exact"/>
        <w:ind w:firstLine="443" w:firstLineChars="147"/>
        <w:rPr>
          <w:rFonts w:hint="eastAsia" w:ascii="宋体"/>
          <w:b/>
          <w:color w:val="auto"/>
          <w:sz w:val="30"/>
          <w:szCs w:val="30"/>
          <w:highlight w:val="none"/>
        </w:rPr>
      </w:pPr>
    </w:p>
    <w:p w14:paraId="4757B296">
      <w:pPr>
        <w:spacing w:line="360" w:lineRule="exact"/>
        <w:ind w:firstLine="443" w:firstLineChars="147"/>
        <w:rPr>
          <w:rFonts w:hint="eastAsia" w:ascii="宋体"/>
          <w:b/>
          <w:color w:val="auto"/>
          <w:sz w:val="30"/>
          <w:szCs w:val="30"/>
          <w:highlight w:val="none"/>
        </w:rPr>
      </w:pPr>
    </w:p>
    <w:p w14:paraId="3BF3ED0E">
      <w:pP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br w:type="page"/>
      </w:r>
    </w:p>
    <w:bookmarkEnd w:id="55"/>
    <w:bookmarkEnd w:id="56"/>
    <w:p w14:paraId="15303EA0">
      <w:pPr>
        <w:spacing w:line="360" w:lineRule="exact"/>
        <w:ind w:firstLine="443" w:firstLineChars="147"/>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3</w:t>
      </w:r>
    </w:p>
    <w:p w14:paraId="6298BA5C">
      <w:pPr>
        <w:spacing w:line="360" w:lineRule="exact"/>
        <w:ind w:firstLine="472" w:firstLineChars="147"/>
        <w:jc w:val="center"/>
        <w:rPr>
          <w:rFonts w:hint="eastAsia" w:ascii="宋体"/>
          <w:b/>
          <w:color w:val="auto"/>
          <w:sz w:val="32"/>
          <w:szCs w:val="32"/>
          <w:highlight w:val="none"/>
        </w:rPr>
      </w:pPr>
    </w:p>
    <w:p w14:paraId="10197C38">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14:paraId="0870403D">
      <w:pPr>
        <w:spacing w:line="360" w:lineRule="exact"/>
        <w:ind w:firstLine="354" w:firstLineChars="147"/>
        <w:rPr>
          <w:rFonts w:hint="eastAsia" w:ascii="宋体"/>
          <w:b/>
          <w:color w:val="auto"/>
          <w:sz w:val="24"/>
          <w:highlight w:val="none"/>
        </w:rPr>
      </w:pPr>
    </w:p>
    <w:p w14:paraId="1208517F">
      <w:pPr>
        <w:spacing w:line="360" w:lineRule="exact"/>
        <w:ind w:firstLine="240" w:firstLineChars="100"/>
        <w:rPr>
          <w:rFonts w:hint="eastAsia" w:ascii="宋体"/>
          <w:color w:val="auto"/>
          <w:sz w:val="24"/>
          <w:highlight w:val="none"/>
        </w:rPr>
      </w:pPr>
      <w:r>
        <w:rPr>
          <w:rFonts w:hint="eastAsia" w:ascii="宋体"/>
          <w:color w:val="auto"/>
          <w:sz w:val="24"/>
          <w:highlight w:val="none"/>
        </w:rPr>
        <w:t>（注：开标一览表必须编入投标文件，唱标时，以投标文件中的开标一览表进行唱标）</w:t>
      </w:r>
    </w:p>
    <w:p w14:paraId="09F12BE1">
      <w:pPr>
        <w:snapToGrid w:val="0"/>
        <w:spacing w:line="460" w:lineRule="exact"/>
        <w:ind w:left="2940" w:leftChars="1400" w:firstLine="720" w:firstLineChars="300"/>
        <w:rPr>
          <w:rFonts w:hint="eastAsia" w:ascii="宋体"/>
          <w:color w:val="auto"/>
          <w:sz w:val="24"/>
          <w:highlight w:val="none"/>
        </w:rPr>
      </w:pP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4404A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0"/>
            <w:vAlign w:val="center"/>
          </w:tcPr>
          <w:p w14:paraId="6FFF4C7B">
            <w:pPr>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37A83495">
            <w:pPr>
              <w:spacing w:line="360" w:lineRule="auto"/>
              <w:jc w:val="left"/>
              <w:rPr>
                <w:rFonts w:hint="eastAsia"/>
                <w:color w:val="auto"/>
                <w:sz w:val="24"/>
                <w:highlight w:val="none"/>
              </w:rPr>
            </w:pPr>
            <w:r>
              <w:rPr>
                <w:rFonts w:hint="eastAsia"/>
                <w:color w:val="auto"/>
                <w:sz w:val="24"/>
                <w:highlight w:val="none"/>
              </w:rPr>
              <w:t xml:space="preserve">         </w:t>
            </w:r>
          </w:p>
        </w:tc>
      </w:tr>
      <w:tr w14:paraId="17D55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71070668">
            <w:pPr>
              <w:spacing w:line="46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3845560D">
            <w:pPr>
              <w:rPr>
                <w:rFonts w:hint="eastAsia" w:ascii="宋体"/>
                <w:color w:val="auto"/>
                <w:sz w:val="24"/>
                <w:highlight w:val="none"/>
              </w:rPr>
            </w:pPr>
          </w:p>
        </w:tc>
      </w:tr>
      <w:tr w14:paraId="541DA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3EEE56DD">
            <w:pPr>
              <w:spacing w:line="46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37F07D5A">
            <w:pPr>
              <w:pStyle w:val="18"/>
              <w:spacing w:line="460" w:lineRule="exact"/>
              <w:ind w:left="86" w:leftChars="41"/>
              <w:rPr>
                <w:rFonts w:hint="eastAsia" w:ascii="宋体" w:eastAsia="宋体"/>
                <w:color w:val="auto"/>
                <w:sz w:val="24"/>
                <w:szCs w:val="24"/>
                <w:highlight w:val="none"/>
              </w:rPr>
            </w:pPr>
          </w:p>
        </w:tc>
      </w:tr>
      <w:tr w14:paraId="5239E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noWrap w:val="0"/>
            <w:vAlign w:val="center"/>
          </w:tcPr>
          <w:p w14:paraId="1DC26B0F">
            <w:pPr>
              <w:spacing w:line="360" w:lineRule="auto"/>
              <w:jc w:val="center"/>
              <w:rPr>
                <w:rFonts w:ascii="宋体"/>
                <w:color w:val="auto"/>
                <w:sz w:val="24"/>
                <w:highlight w:val="none"/>
              </w:rPr>
            </w:pPr>
            <w:r>
              <w:rPr>
                <w:rFonts w:hint="eastAsia" w:ascii="宋体"/>
                <w:color w:val="auto"/>
                <w:sz w:val="24"/>
                <w:highlight w:val="none"/>
              </w:rPr>
              <w:t>总投标价\</w:t>
            </w:r>
            <w:r>
              <w:rPr>
                <w:rFonts w:hint="eastAsia" w:ascii="宋体"/>
                <w:color w:val="auto"/>
                <w:sz w:val="24"/>
                <w:highlight w:val="none"/>
                <w:lang w:val="en-US" w:eastAsia="zh-CN"/>
              </w:rPr>
              <w:t>服务</w:t>
            </w:r>
            <w:r>
              <w:rPr>
                <w:rFonts w:hint="eastAsia" w:ascii="宋体"/>
                <w:color w:val="auto"/>
                <w:sz w:val="24"/>
                <w:highlight w:val="none"/>
              </w:rPr>
              <w:t>期</w:t>
            </w:r>
          </w:p>
        </w:tc>
        <w:tc>
          <w:tcPr>
            <w:tcW w:w="6952" w:type="dxa"/>
            <w:tcBorders>
              <w:left w:val="single" w:color="auto" w:sz="12" w:space="0"/>
            </w:tcBorders>
            <w:noWrap w:val="0"/>
            <w:vAlign w:val="center"/>
          </w:tcPr>
          <w:p w14:paraId="6CFA899F">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rPr>
            </w:pPr>
            <w:r>
              <w:rPr>
                <w:rFonts w:hint="eastAsia" w:ascii="宋体"/>
                <w:color w:val="auto"/>
                <w:sz w:val="24"/>
                <w:highlight w:val="none"/>
              </w:rPr>
              <w:t>投标报价 （大写）：</w:t>
            </w:r>
            <w:r>
              <w:rPr>
                <w:rFonts w:hint="eastAsia" w:ascii="宋体"/>
                <w:color w:val="auto"/>
                <w:sz w:val="24"/>
                <w:highlight w:val="none"/>
                <w:u w:val="single"/>
              </w:rPr>
              <w:t xml:space="preserve">                   </w:t>
            </w:r>
            <w:r>
              <w:rPr>
                <w:rFonts w:hint="eastAsia" w:ascii="宋体"/>
                <w:color w:val="auto"/>
                <w:sz w:val="24"/>
                <w:highlight w:val="none"/>
              </w:rPr>
              <w:t>；</w:t>
            </w:r>
          </w:p>
          <w:p w14:paraId="3D0C2DB1">
            <w:pPr>
              <w:keepNext w:val="0"/>
              <w:keepLines w:val="0"/>
              <w:pageBreakBefore w:val="0"/>
              <w:widowControl w:val="0"/>
              <w:kinsoku/>
              <w:wordWrap/>
              <w:overflowPunct/>
              <w:topLinePunct w:val="0"/>
              <w:autoSpaceDE/>
              <w:autoSpaceDN/>
              <w:bidi w:val="0"/>
              <w:adjustRightInd/>
              <w:snapToGrid/>
              <w:spacing w:line="900" w:lineRule="exact"/>
              <w:ind w:firstLine="1200" w:firstLineChars="500"/>
              <w:textAlignment w:val="auto"/>
              <w:rPr>
                <w:rFonts w:hint="eastAsia" w:ascii="宋体"/>
                <w:color w:val="auto"/>
                <w:sz w:val="24"/>
                <w:highlight w:val="none"/>
              </w:rPr>
            </w:pPr>
            <w:r>
              <w:rPr>
                <w:rFonts w:hint="eastAsia" w:ascii="宋体"/>
                <w:color w:val="auto"/>
                <w:sz w:val="24"/>
                <w:highlight w:val="none"/>
              </w:rPr>
              <w:t>(小写) ：</w:t>
            </w:r>
            <w:r>
              <w:rPr>
                <w:rFonts w:hint="eastAsia" w:ascii="宋体"/>
                <w:color w:val="auto"/>
                <w:sz w:val="24"/>
                <w:highlight w:val="none"/>
                <w:u w:val="single"/>
              </w:rPr>
              <w:t xml:space="preserve">                   </w:t>
            </w:r>
            <w:r>
              <w:rPr>
                <w:rFonts w:hint="eastAsia" w:ascii="宋体"/>
                <w:color w:val="auto"/>
                <w:sz w:val="24"/>
                <w:highlight w:val="none"/>
              </w:rPr>
              <w:t>；</w:t>
            </w:r>
          </w:p>
          <w:p w14:paraId="1F0D0799">
            <w:pPr>
              <w:keepNext w:val="0"/>
              <w:keepLines w:val="0"/>
              <w:pageBreakBefore w:val="0"/>
              <w:widowControl w:val="0"/>
              <w:kinsoku/>
              <w:wordWrap/>
              <w:overflowPunct/>
              <w:topLinePunct w:val="0"/>
              <w:autoSpaceDE/>
              <w:autoSpaceDN/>
              <w:bidi w:val="0"/>
              <w:adjustRightInd/>
              <w:snapToGrid/>
              <w:spacing w:line="900" w:lineRule="exact"/>
              <w:textAlignment w:val="auto"/>
              <w:rPr>
                <w:rFonts w:hint="default"/>
                <w:color w:val="auto"/>
                <w:sz w:val="24"/>
                <w:highlight w:val="none"/>
                <w:lang w:val="en-US"/>
              </w:rPr>
            </w:pPr>
            <w:r>
              <w:rPr>
                <w:rFonts w:hint="eastAsia" w:ascii="宋体"/>
                <w:color w:val="auto"/>
                <w:sz w:val="24"/>
                <w:highlight w:val="none"/>
                <w:lang w:val="en-US" w:eastAsia="zh-CN"/>
              </w:rPr>
              <w:t>服务期</w:t>
            </w:r>
            <w:r>
              <w:rPr>
                <w:rFonts w:hint="eastAsia" w:ascii="宋体"/>
                <w:color w:val="auto"/>
                <w:sz w:val="24"/>
                <w:highlight w:val="none"/>
              </w:rPr>
              <w:t>：</w:t>
            </w:r>
            <w:r>
              <w:rPr>
                <w:rFonts w:hint="eastAsia" w:ascii="宋体" w:hAnsi="宋体" w:cs="宋体"/>
                <w:color w:val="auto"/>
                <w:sz w:val="22"/>
                <w:szCs w:val="22"/>
                <w:highlight w:val="none"/>
                <w:lang w:val="en-US" w:eastAsia="zh-CN"/>
              </w:rPr>
              <w:t>响应招标文件要求。</w:t>
            </w:r>
          </w:p>
        </w:tc>
      </w:tr>
    </w:tbl>
    <w:p w14:paraId="6CDE8AE6">
      <w:pPr>
        <w:snapToGrid w:val="0"/>
        <w:spacing w:line="460" w:lineRule="exact"/>
        <w:ind w:left="2940" w:leftChars="1400" w:firstLine="723" w:firstLineChars="300"/>
        <w:rPr>
          <w:rFonts w:hint="eastAsia" w:ascii="宋体"/>
          <w:b/>
          <w:color w:val="auto"/>
          <w:sz w:val="24"/>
          <w:highlight w:val="none"/>
        </w:rPr>
      </w:pPr>
    </w:p>
    <w:p w14:paraId="37E88748">
      <w:pPr>
        <w:rPr>
          <w:rFonts w:hint="eastAsia"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lang w:val="en-US" w:eastAsia="zh-CN"/>
        </w:rPr>
        <w:t>盖章</w:t>
      </w:r>
      <w:r>
        <w:rPr>
          <w:rFonts w:hint="eastAsia" w:ascii="宋体"/>
          <w:color w:val="auto"/>
          <w:sz w:val="24"/>
          <w:highlight w:val="none"/>
        </w:rPr>
        <w:t>）：         投标人（盖单位章）：</w:t>
      </w:r>
    </w:p>
    <w:p w14:paraId="59B6C7D4">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4B31D8FF">
      <w:pPr>
        <w:spacing w:line="360" w:lineRule="exact"/>
        <w:ind w:firstLine="443" w:firstLineChars="147"/>
        <w:rPr>
          <w:rFonts w:hint="eastAsia" w:ascii="宋体"/>
          <w:b/>
          <w:color w:val="auto"/>
          <w:sz w:val="30"/>
          <w:szCs w:val="30"/>
          <w:highlight w:val="none"/>
        </w:rPr>
      </w:pPr>
    </w:p>
    <w:p w14:paraId="419FFF36">
      <w:pPr>
        <w:spacing w:line="360" w:lineRule="exact"/>
        <w:ind w:firstLine="443" w:firstLineChars="147"/>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2F99B462">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513E0A26">
      <w:pPr>
        <w:spacing w:line="440" w:lineRule="exact"/>
        <w:rPr>
          <w:rFonts w:hint="eastAsia" w:ascii="宋体"/>
          <w:color w:val="auto"/>
          <w:sz w:val="24"/>
          <w:highlight w:val="none"/>
        </w:rPr>
      </w:pPr>
    </w:p>
    <w:p w14:paraId="7BB3375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4EB42D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rPr>
        <w:t>2.我方愿意按照招标文件规定的各项要求，向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）”项目的服务，投标</w:t>
      </w:r>
      <w:r>
        <w:rPr>
          <w:rFonts w:hint="eastAsia" w:ascii="宋体" w:hAnsi="宋体" w:cs="宋体"/>
          <w:color w:val="auto"/>
          <w:sz w:val="24"/>
          <w:highlight w:val="none"/>
          <w:lang w:val="en-US" w:eastAsia="zh-CN"/>
        </w:rPr>
        <w:t>报</w:t>
      </w:r>
      <w:r>
        <w:rPr>
          <w:rFonts w:hint="eastAsia" w:ascii="宋体" w:hAnsi="宋体" w:cs="宋体"/>
          <w:color w:val="auto"/>
          <w:sz w:val="24"/>
          <w:highlight w:val="none"/>
        </w:rPr>
        <w:t>价为人民币（大写）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小写）：      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p>
    <w:p w14:paraId="714AB8F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6C19E90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618EFE6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color w:val="auto"/>
          <w:sz w:val="24"/>
          <w:highlight w:val="none"/>
        </w:rPr>
      </w:pPr>
      <w:r>
        <w:rPr>
          <w:rFonts w:hint="eastAsia" w:ascii="宋体"/>
          <w:color w:val="auto"/>
          <w:sz w:val="24"/>
          <w:highlight w:val="none"/>
        </w:rPr>
        <w:t>5、投标有效期为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22A835F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color w:val="auto"/>
          <w:sz w:val="24"/>
          <w:highlight w:val="none"/>
        </w:rPr>
      </w:pPr>
      <w:r>
        <w:rPr>
          <w:rFonts w:hint="eastAsia" w:ascii="宋体"/>
          <w:color w:val="auto"/>
          <w:sz w:val="24"/>
          <w:highlight w:val="none"/>
        </w:rPr>
        <w:t>6、我单位提供如下通讯地址：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7D021C2E">
      <w:pPr>
        <w:spacing w:line="440" w:lineRule="exact"/>
        <w:rPr>
          <w:rFonts w:hint="eastAsia" w:ascii="宋体"/>
          <w:color w:val="auto"/>
          <w:sz w:val="24"/>
          <w:highlight w:val="none"/>
        </w:rPr>
      </w:pPr>
      <w:r>
        <w:rPr>
          <w:rFonts w:hint="eastAsia" w:ascii="宋体"/>
          <w:color w:val="auto"/>
          <w:sz w:val="24"/>
          <w:highlight w:val="none"/>
        </w:rPr>
        <w:t> </w:t>
      </w:r>
    </w:p>
    <w:p w14:paraId="047CBAD0">
      <w:pPr>
        <w:spacing w:line="440" w:lineRule="exact"/>
        <w:jc w:val="right"/>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（盖单位章）</w:t>
      </w:r>
    </w:p>
    <w:p w14:paraId="5FA1CD3C">
      <w:pPr>
        <w:spacing w:line="440" w:lineRule="exact"/>
        <w:jc w:val="right"/>
        <w:rPr>
          <w:rFonts w:hint="eastAsia" w:ascii="宋体"/>
          <w:color w:val="auto"/>
          <w:sz w:val="24"/>
          <w:highlight w:val="none"/>
        </w:rPr>
      </w:pPr>
    </w:p>
    <w:p w14:paraId="25AD0F43">
      <w:pPr>
        <w:spacing w:line="440" w:lineRule="exact"/>
        <w:jc w:val="right"/>
        <w:rPr>
          <w:rFonts w:hint="eastAsia" w:ascii="宋体"/>
          <w:color w:val="auto"/>
          <w:sz w:val="24"/>
          <w:highlight w:val="none"/>
        </w:rPr>
      </w:pPr>
      <w:r>
        <w:rPr>
          <w:rFonts w:hint="eastAsia" w:ascii="宋体"/>
          <w:color w:val="auto"/>
          <w:sz w:val="24"/>
          <w:highlight w:val="none"/>
        </w:rPr>
        <w:t>投标人法定代表人：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14:paraId="474C4B8F">
      <w:pPr>
        <w:spacing w:line="440" w:lineRule="exact"/>
        <w:ind w:firstLine="2520" w:firstLineChars="10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5B0116EB">
      <w:pPr>
        <w:spacing w:line="440" w:lineRule="exact"/>
        <w:ind w:firstLine="2520" w:firstLineChars="1050"/>
        <w:rPr>
          <w:rFonts w:hint="eastAsia" w:ascii="宋体"/>
          <w:color w:val="auto"/>
          <w:sz w:val="24"/>
          <w:highlight w:val="none"/>
        </w:rPr>
      </w:pPr>
      <w:r>
        <w:rPr>
          <w:rFonts w:hint="eastAsia" w:ascii="宋体"/>
          <w:color w:val="auto"/>
          <w:sz w:val="24"/>
          <w:highlight w:val="none"/>
        </w:rPr>
        <w:t>通讯地址：</w:t>
      </w:r>
      <w:r>
        <w:rPr>
          <w:rFonts w:hint="eastAsia" w:ascii="宋体"/>
          <w:color w:val="auto"/>
          <w:sz w:val="24"/>
          <w:highlight w:val="none"/>
          <w:u w:val="single"/>
        </w:rPr>
        <w:t xml:space="preserve">                 </w:t>
      </w:r>
    </w:p>
    <w:p w14:paraId="01B5114C">
      <w:pPr>
        <w:spacing w:line="440" w:lineRule="exact"/>
        <w:ind w:firstLine="2520" w:firstLineChars="1050"/>
        <w:rPr>
          <w:rFonts w:hint="eastAsia" w:ascii="宋体"/>
          <w:color w:val="auto"/>
          <w:sz w:val="24"/>
          <w:highlight w:val="none"/>
        </w:rPr>
      </w:pPr>
      <w:r>
        <w:rPr>
          <w:rFonts w:hint="eastAsia" w:ascii="宋体"/>
          <w:color w:val="auto"/>
          <w:sz w:val="24"/>
          <w:highlight w:val="none"/>
        </w:rPr>
        <w:t>电    话：</w:t>
      </w:r>
      <w:r>
        <w:rPr>
          <w:rFonts w:hint="eastAsia" w:ascii="宋体"/>
          <w:color w:val="auto"/>
          <w:sz w:val="24"/>
          <w:highlight w:val="none"/>
          <w:u w:val="single"/>
        </w:rPr>
        <w:t xml:space="preserve">                 </w:t>
      </w:r>
    </w:p>
    <w:p w14:paraId="51EAD083">
      <w:pPr>
        <w:ind w:right="-178" w:rightChars="-85" w:firstLine="2520" w:firstLineChars="1050"/>
        <w:rPr>
          <w:rFonts w:hint="eastAsia" w:ascii="宋体"/>
          <w:color w:val="auto"/>
          <w:sz w:val="24"/>
          <w:highlight w:val="none"/>
          <w:u w:val="single"/>
        </w:rPr>
      </w:pPr>
      <w:r>
        <w:rPr>
          <w:rFonts w:hint="eastAsia" w:ascii="宋体"/>
          <w:color w:val="auto"/>
          <w:sz w:val="24"/>
          <w:highlight w:val="none"/>
        </w:rPr>
        <w:t>传    真：</w:t>
      </w:r>
      <w:r>
        <w:rPr>
          <w:rFonts w:hint="eastAsia" w:ascii="宋体"/>
          <w:color w:val="auto"/>
          <w:sz w:val="24"/>
          <w:highlight w:val="none"/>
          <w:u w:val="single"/>
        </w:rPr>
        <w:t xml:space="preserve">                 </w:t>
      </w:r>
    </w:p>
    <w:p w14:paraId="7BAE05F4">
      <w:pPr>
        <w:spacing w:line="360" w:lineRule="exact"/>
        <w:rPr>
          <w:rFonts w:hint="eastAsia" w:ascii="宋体"/>
          <w:b/>
          <w:color w:val="auto"/>
          <w:sz w:val="28"/>
          <w:szCs w:val="28"/>
          <w:highlight w:val="none"/>
        </w:rPr>
      </w:pPr>
    </w:p>
    <w:p w14:paraId="3F8999DE">
      <w:pPr>
        <w:spacing w:line="440" w:lineRule="exact"/>
        <w:jc w:val="center"/>
        <w:outlineLvl w:val="0"/>
        <w:rPr>
          <w:rFonts w:hint="eastAsia" w:ascii="宋体"/>
          <w:b/>
          <w:color w:val="auto"/>
          <w:sz w:val="32"/>
          <w:szCs w:val="32"/>
          <w:highlight w:val="none"/>
        </w:rPr>
      </w:pPr>
    </w:p>
    <w:p w14:paraId="598AD089">
      <w:pPr>
        <w:rPr>
          <w:rFonts w:hint="eastAsia" w:ascii="宋体"/>
          <w:b/>
          <w:color w:val="auto"/>
          <w:sz w:val="32"/>
          <w:szCs w:val="32"/>
          <w:highlight w:val="none"/>
          <w:lang w:val="en-US" w:eastAsia="zh-CN"/>
        </w:rPr>
      </w:pPr>
      <w:r>
        <w:rPr>
          <w:rFonts w:hint="eastAsia" w:ascii="宋体" w:hAnsi="宋体"/>
          <w:b/>
          <w:color w:val="auto"/>
          <w:sz w:val="30"/>
          <w:szCs w:val="30"/>
          <w:highlight w:val="none"/>
        </w:rPr>
        <w:br w:type="page"/>
      </w:r>
      <w:bookmarkEnd w:id="51"/>
      <w:bookmarkEnd w:id="52"/>
      <w:bookmarkStart w:id="59" w:name="_Toc449028957"/>
      <w:bookmarkStart w:id="60" w:name="_Toc58430333"/>
    </w:p>
    <w:p w14:paraId="63A652FD">
      <w:pPr>
        <w:spacing w:line="440" w:lineRule="exact"/>
        <w:jc w:val="center"/>
        <w:outlineLvl w:val="0"/>
        <w:rPr>
          <w:rFonts w:hint="eastAsia" w:ascii="宋体"/>
          <w:b/>
          <w:color w:val="auto"/>
          <w:sz w:val="32"/>
          <w:szCs w:val="32"/>
          <w:highlight w:val="none"/>
          <w:lang w:val="en-US" w:eastAsia="zh-CN"/>
        </w:rPr>
      </w:pPr>
    </w:p>
    <w:p w14:paraId="387F4CC8">
      <w:pPr>
        <w:spacing w:line="440" w:lineRule="exact"/>
        <w:jc w:val="center"/>
        <w:outlineLvl w:val="0"/>
        <w:rPr>
          <w:rFonts w:hint="eastAsia" w:ascii="宋体"/>
          <w:b/>
          <w:color w:val="auto"/>
          <w:sz w:val="32"/>
          <w:szCs w:val="32"/>
          <w:highlight w:val="none"/>
        </w:rPr>
      </w:pPr>
      <w:r>
        <w:rPr>
          <w:rFonts w:hint="eastAsia" w:ascii="宋体"/>
          <w:b/>
          <w:color w:val="auto"/>
          <w:sz w:val="32"/>
          <w:szCs w:val="32"/>
          <w:highlight w:val="none"/>
          <w:lang w:val="en-US" w:eastAsia="zh-CN"/>
        </w:rPr>
        <w:t>招标人</w:t>
      </w:r>
      <w:r>
        <w:rPr>
          <w:rFonts w:hint="eastAsia" w:ascii="宋体"/>
          <w:b/>
          <w:color w:val="auto"/>
          <w:sz w:val="32"/>
          <w:szCs w:val="32"/>
          <w:highlight w:val="none"/>
        </w:rPr>
        <w:t>、</w:t>
      </w: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代理机构对本招标文件的确认</w:t>
      </w:r>
      <w:bookmarkEnd w:id="59"/>
      <w:bookmarkEnd w:id="60"/>
    </w:p>
    <w:p w14:paraId="30321077">
      <w:pPr>
        <w:spacing w:line="440" w:lineRule="exact"/>
        <w:rPr>
          <w:rFonts w:hint="eastAsia" w:ascii="宋体"/>
          <w:color w:val="auto"/>
          <w:sz w:val="24"/>
          <w:highlight w:val="none"/>
          <w:u w:val="single"/>
        </w:rPr>
      </w:pPr>
    </w:p>
    <w:tbl>
      <w:tblPr>
        <w:tblStyle w:val="35"/>
        <w:tblW w:w="0" w:type="auto"/>
        <w:jc w:val="center"/>
        <w:tblLayout w:type="fixed"/>
        <w:tblCellMar>
          <w:top w:w="0" w:type="dxa"/>
          <w:left w:w="108" w:type="dxa"/>
          <w:bottom w:w="0" w:type="dxa"/>
          <w:right w:w="108" w:type="dxa"/>
        </w:tblCellMar>
      </w:tblPr>
      <w:tblGrid>
        <w:gridCol w:w="9374"/>
      </w:tblGrid>
      <w:tr w14:paraId="737E625B">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7A7ABF5F">
            <w:pPr>
              <w:spacing w:line="440" w:lineRule="exact"/>
              <w:ind w:firstLine="560" w:firstLineChars="200"/>
              <w:rPr>
                <w:rFonts w:hint="eastAsia" w:ascii="宋体" w:cs="宋体"/>
                <w:color w:val="auto"/>
                <w:sz w:val="28"/>
                <w:szCs w:val="28"/>
                <w:highlight w:val="none"/>
              </w:rPr>
            </w:pPr>
          </w:p>
          <w:p w14:paraId="75CB13B3">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lang w:val="en-US" w:eastAsia="zh-CN"/>
              </w:rPr>
              <w:t xml:space="preserve"> 凤阳县灵山～木屐山矿区新2号段石英岩矿深部开采工程对官塘水库影响分析报告编制服务项目 </w:t>
            </w:r>
            <w:r>
              <w:rPr>
                <w:rFonts w:hint="eastAsia" w:ascii="宋体" w:cs="宋体"/>
                <w:color w:val="auto"/>
                <w:sz w:val="28"/>
                <w:szCs w:val="28"/>
                <w:highlight w:val="none"/>
              </w:rPr>
              <w:t>的招标文件进行确认。</w:t>
            </w:r>
          </w:p>
          <w:p w14:paraId="3D76DFFA">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滁州中都瑞华矿业发展有限公司</w:t>
            </w:r>
          </w:p>
          <w:p w14:paraId="7A03B3CB">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委托代理人：高加敏</w:t>
            </w:r>
          </w:p>
          <w:p w14:paraId="12CBF71D">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18005505812</w:t>
            </w:r>
          </w:p>
          <w:p w14:paraId="4383ACA9">
            <w:pPr>
              <w:spacing w:line="540" w:lineRule="exact"/>
              <w:ind w:firstLine="7140" w:firstLineChars="2550"/>
              <w:rPr>
                <w:rFonts w:hint="eastAsia" w:ascii="宋体" w:cs="宋体"/>
                <w:color w:val="auto"/>
                <w:sz w:val="28"/>
                <w:szCs w:val="28"/>
                <w:highlight w:val="none"/>
              </w:rPr>
            </w:pPr>
          </w:p>
          <w:p w14:paraId="07CD1B6D">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010C3253">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月</w:t>
            </w:r>
          </w:p>
        </w:tc>
      </w:tr>
      <w:tr w14:paraId="002C3551">
        <w:tblPrEx>
          <w:tblCellMar>
            <w:top w:w="0" w:type="dxa"/>
            <w:left w:w="108" w:type="dxa"/>
            <w:bottom w:w="0" w:type="dxa"/>
            <w:right w:w="108" w:type="dxa"/>
          </w:tblCellMar>
        </w:tblPrEx>
        <w:trPr>
          <w:trHeight w:val="492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625D445C">
            <w:pPr>
              <w:spacing w:line="440" w:lineRule="exact"/>
              <w:rPr>
                <w:rFonts w:hint="eastAsia" w:ascii="宋体" w:cs="宋体"/>
                <w:color w:val="auto"/>
                <w:sz w:val="28"/>
                <w:szCs w:val="28"/>
                <w:highlight w:val="none"/>
              </w:rPr>
            </w:pPr>
          </w:p>
          <w:p w14:paraId="4FDA7679">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480CAE96">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3032B2B3">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7070E7D4">
            <w:pPr>
              <w:spacing w:line="520" w:lineRule="exact"/>
              <w:ind w:firstLine="6300" w:firstLineChars="2250"/>
              <w:rPr>
                <w:rFonts w:hint="eastAsia" w:ascii="宋体" w:cs="宋体"/>
                <w:color w:val="auto"/>
                <w:sz w:val="28"/>
                <w:szCs w:val="28"/>
                <w:highlight w:val="none"/>
              </w:rPr>
            </w:pPr>
          </w:p>
          <w:p w14:paraId="297599F8">
            <w:pPr>
              <w:pStyle w:val="34"/>
              <w:rPr>
                <w:rFonts w:hint="eastAsia"/>
                <w:color w:val="auto"/>
                <w:highlight w:val="none"/>
              </w:rPr>
            </w:pPr>
          </w:p>
          <w:p w14:paraId="77858E6D">
            <w:pPr>
              <w:spacing w:line="520" w:lineRule="exact"/>
              <w:ind w:firstLine="6580" w:firstLineChars="2350"/>
              <w:rPr>
                <w:rFonts w:hint="eastAsia" w:ascii="宋体" w:cs="宋体"/>
                <w:color w:val="auto"/>
                <w:sz w:val="28"/>
                <w:szCs w:val="28"/>
                <w:highlight w:val="none"/>
              </w:rPr>
            </w:pPr>
          </w:p>
          <w:p w14:paraId="13F6E5CB">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12FF7607">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月</w:t>
            </w:r>
          </w:p>
        </w:tc>
      </w:tr>
      <w:bookmarkEnd w:id="0"/>
    </w:tbl>
    <w:p w14:paraId="442BC392">
      <w:pPr>
        <w:rPr>
          <w:color w:val="auto"/>
          <w:highlight w:val="none"/>
        </w:rPr>
      </w:pPr>
    </w:p>
    <w:sectPr>
      <w:headerReference r:id="rId11" w:type="default"/>
      <w:footerReference r:id="rId12" w:type="default"/>
      <w:pgSz w:w="11906" w:h="16838"/>
      <w:pgMar w:top="1440" w:right="1800" w:bottom="1440" w:left="16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Leelawadee UI"/>
    <w:panose1 w:val="020B0604020202020204"/>
    <w:charset w:val="00"/>
    <w:family w:val="swiss"/>
    <w:pitch w:val="default"/>
    <w:sig w:usb0="00000000" w:usb1="00000000" w:usb2="00000000" w:usb3="00000000" w:csb0="40010001" w:csb1="00000000"/>
  </w:font>
  <w:font w:name="Leelawadee UI">
    <w:panose1 w:val="020B0502040204020203"/>
    <w:charset w:val="00"/>
    <w:family w:val="auto"/>
    <w:pitch w:val="default"/>
    <w:sig w:usb0="83000003" w:usb1="00000000" w:usb2="00010000" w:usb3="00000001" w:csb0="000101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7F" w:usb3="00000000" w:csb0="203F01FF" w:csb1="DFFF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B33A1">
    <w:pPr>
      <w:pStyle w:val="22"/>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1C526">
    <w:pPr>
      <w:pStyle w:val="22"/>
      <w:framePr w:wrap="around" w:vAnchor="text" w:hAnchor="margin" w:xAlign="center" w:y="1"/>
      <w:tabs>
        <w:tab w:val="clear" w:pos="4153"/>
        <w:tab w:val="clear" w:pos="8306"/>
      </w:tabs>
      <w:rPr>
        <w:rStyle w:val="39"/>
      </w:rPr>
    </w:pPr>
    <w:r>
      <w:fldChar w:fldCharType="begin"/>
    </w:r>
    <w:r>
      <w:rPr>
        <w:rStyle w:val="39"/>
      </w:rPr>
      <w:instrText xml:space="preserve">PAGE  </w:instrText>
    </w:r>
    <w:r>
      <w:fldChar w:fldCharType="separate"/>
    </w:r>
    <w:r>
      <w:t xml:space="preserve"> </w:t>
    </w:r>
    <w:r>
      <w:fldChar w:fldCharType="end"/>
    </w:r>
  </w:p>
  <w:p w14:paraId="2590DA70">
    <w:pPr>
      <w:pStyle w:val="22"/>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8726B">
    <w:pPr>
      <w:pStyle w:val="22"/>
      <w:framePr w:wrap="around" w:vAnchor="text" w:hAnchor="margin" w:xAlign="center" w:y="1"/>
      <w:tabs>
        <w:tab w:val="clear" w:pos="4153"/>
        <w:tab w:val="clear" w:pos="8306"/>
      </w:tabs>
      <w:rPr>
        <w:rStyle w:val="39"/>
        <w:rFonts w:hint="eastAsia"/>
      </w:rPr>
    </w:pPr>
  </w:p>
  <w:p w14:paraId="0695E02E">
    <w:pPr>
      <w:pStyle w:val="22"/>
      <w:tabs>
        <w:tab w:val="clear" w:pos="4153"/>
        <w:tab w:val="clear" w:pos="8306"/>
      </w:tabs>
      <w:rPr>
        <w:rFonts w:hint="eastAsia"/>
        <w:szCs w:val="21"/>
      </w:rPr>
    </w:pPr>
  </w:p>
  <w:p w14:paraId="63411DC4">
    <w:pPr>
      <w:pStyle w:val="22"/>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4C9D6">
    <w:pPr>
      <w:pStyle w:val="22"/>
      <w:tabs>
        <w:tab w:val="clear" w:pos="4153"/>
        <w:tab w:val="clear" w:pos="8306"/>
      </w:tabs>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5C482">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095C482">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A4761">
    <w:pPr>
      <w:pStyle w:val="22"/>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C38DD">
                          <w:pPr>
                            <w:pStyle w:val="2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3DC38DD">
                    <w:pPr>
                      <w:pStyle w:val="2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B2522">
    <w:pPr>
      <w:pStyle w:val="22"/>
      <w:tabs>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20EDC">
                          <w:pPr>
                            <w:pStyle w:val="2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6C20EDC">
                    <w:pPr>
                      <w:pStyle w:val="2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6CF2E">
    <w:pPr>
      <w:pStyle w:val="23"/>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DCA50">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3013D">
    <w:pPr>
      <w:pStyle w:val="23"/>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047C">
    <w:pPr>
      <w:pStyle w:val="23"/>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9"/>
    <w:multiLevelType w:val="multilevel"/>
    <w:tmpl w:val="00000019"/>
    <w:lvl w:ilvl="0" w:tentative="0">
      <w:start w:val="1"/>
      <w:numFmt w:val="chineseCountingThousand"/>
      <w:pStyle w:val="118"/>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
    <w:nsid w:val="18995355"/>
    <w:multiLevelType w:val="multilevel"/>
    <w:tmpl w:val="18995355"/>
    <w:lvl w:ilvl="0" w:tentative="0">
      <w:start w:val="1"/>
      <w:numFmt w:val="decimal"/>
      <w:pStyle w:val="103"/>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323379E"/>
    <w:multiLevelType w:val="multilevel"/>
    <w:tmpl w:val="2323379E"/>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857717"/>
    <w:multiLevelType w:val="multilevel"/>
    <w:tmpl w:val="26857717"/>
    <w:lvl w:ilvl="0" w:tentative="0">
      <w:start w:val="1"/>
      <w:numFmt w:val="chineseCountingThousand"/>
      <w:pStyle w:val="101"/>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4">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6F1D7D26"/>
    <w:multiLevelType w:val="multilevel"/>
    <w:tmpl w:val="6F1D7D26"/>
    <w:lvl w:ilvl="0" w:tentative="0">
      <w:start w:val="1"/>
      <w:numFmt w:val="decimal"/>
      <w:pStyle w:val="25"/>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2B55"/>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20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793"/>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6C6"/>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56352C"/>
    <w:rsid w:val="0160078A"/>
    <w:rsid w:val="016025FC"/>
    <w:rsid w:val="016C2D4F"/>
    <w:rsid w:val="01727AD4"/>
    <w:rsid w:val="018C519F"/>
    <w:rsid w:val="01910A08"/>
    <w:rsid w:val="01A56261"/>
    <w:rsid w:val="01CE57B8"/>
    <w:rsid w:val="01EA636A"/>
    <w:rsid w:val="01F30A1B"/>
    <w:rsid w:val="02136A35"/>
    <w:rsid w:val="02263E9A"/>
    <w:rsid w:val="02276CDB"/>
    <w:rsid w:val="02602E58"/>
    <w:rsid w:val="026A14A8"/>
    <w:rsid w:val="0284108D"/>
    <w:rsid w:val="02846ED2"/>
    <w:rsid w:val="029F0F02"/>
    <w:rsid w:val="02AB3F80"/>
    <w:rsid w:val="02F576C6"/>
    <w:rsid w:val="02F92D08"/>
    <w:rsid w:val="02FF011F"/>
    <w:rsid w:val="0306625F"/>
    <w:rsid w:val="0314369E"/>
    <w:rsid w:val="032B6C3A"/>
    <w:rsid w:val="03433F84"/>
    <w:rsid w:val="034D4E02"/>
    <w:rsid w:val="03636F78"/>
    <w:rsid w:val="038F7198"/>
    <w:rsid w:val="03905CE5"/>
    <w:rsid w:val="03925EFB"/>
    <w:rsid w:val="03960557"/>
    <w:rsid w:val="03AC7D7B"/>
    <w:rsid w:val="03B41164"/>
    <w:rsid w:val="03B659B7"/>
    <w:rsid w:val="03BE2FFA"/>
    <w:rsid w:val="03C055D4"/>
    <w:rsid w:val="03D8291E"/>
    <w:rsid w:val="03E33071"/>
    <w:rsid w:val="03E56DE9"/>
    <w:rsid w:val="04215F12"/>
    <w:rsid w:val="04221DEB"/>
    <w:rsid w:val="043072F8"/>
    <w:rsid w:val="043F0BEF"/>
    <w:rsid w:val="0441254B"/>
    <w:rsid w:val="044874C7"/>
    <w:rsid w:val="044B0EDF"/>
    <w:rsid w:val="04650E5C"/>
    <w:rsid w:val="04673CA2"/>
    <w:rsid w:val="04775A3C"/>
    <w:rsid w:val="047A7CF9"/>
    <w:rsid w:val="04936845"/>
    <w:rsid w:val="04AD3DAA"/>
    <w:rsid w:val="04BD2AAB"/>
    <w:rsid w:val="04C00E1E"/>
    <w:rsid w:val="04C90D1F"/>
    <w:rsid w:val="04F03C97"/>
    <w:rsid w:val="050138D2"/>
    <w:rsid w:val="050339CA"/>
    <w:rsid w:val="05037796"/>
    <w:rsid w:val="05072DB3"/>
    <w:rsid w:val="051C4A8C"/>
    <w:rsid w:val="05281683"/>
    <w:rsid w:val="05392E27"/>
    <w:rsid w:val="0563090D"/>
    <w:rsid w:val="05713E65"/>
    <w:rsid w:val="05777F14"/>
    <w:rsid w:val="057F7413"/>
    <w:rsid w:val="059302F0"/>
    <w:rsid w:val="05A0746B"/>
    <w:rsid w:val="05B55DC4"/>
    <w:rsid w:val="05C56ED2"/>
    <w:rsid w:val="05EB7E30"/>
    <w:rsid w:val="0600615C"/>
    <w:rsid w:val="0619721E"/>
    <w:rsid w:val="061E65E2"/>
    <w:rsid w:val="062459A5"/>
    <w:rsid w:val="06304C93"/>
    <w:rsid w:val="063420AA"/>
    <w:rsid w:val="064510DB"/>
    <w:rsid w:val="0650515A"/>
    <w:rsid w:val="06581AF4"/>
    <w:rsid w:val="06620B3A"/>
    <w:rsid w:val="066E7569"/>
    <w:rsid w:val="069717B9"/>
    <w:rsid w:val="06BA630B"/>
    <w:rsid w:val="06D0451E"/>
    <w:rsid w:val="06DA6FC6"/>
    <w:rsid w:val="06EB6E0C"/>
    <w:rsid w:val="06F34B4B"/>
    <w:rsid w:val="06FF299A"/>
    <w:rsid w:val="0708176C"/>
    <w:rsid w:val="070A729C"/>
    <w:rsid w:val="07342561"/>
    <w:rsid w:val="073C599D"/>
    <w:rsid w:val="073E5575"/>
    <w:rsid w:val="074128B0"/>
    <w:rsid w:val="074A10F8"/>
    <w:rsid w:val="0754675F"/>
    <w:rsid w:val="0761194E"/>
    <w:rsid w:val="076432D3"/>
    <w:rsid w:val="0781151E"/>
    <w:rsid w:val="078D3A1F"/>
    <w:rsid w:val="0790350F"/>
    <w:rsid w:val="07B54D24"/>
    <w:rsid w:val="07B63215"/>
    <w:rsid w:val="07B77A9C"/>
    <w:rsid w:val="07BC624E"/>
    <w:rsid w:val="07C1191B"/>
    <w:rsid w:val="07DC7A53"/>
    <w:rsid w:val="08000695"/>
    <w:rsid w:val="08041560"/>
    <w:rsid w:val="08081FA5"/>
    <w:rsid w:val="080B7557"/>
    <w:rsid w:val="080E430D"/>
    <w:rsid w:val="08147C9D"/>
    <w:rsid w:val="08181E21"/>
    <w:rsid w:val="08184EC7"/>
    <w:rsid w:val="081C0B89"/>
    <w:rsid w:val="082B48A9"/>
    <w:rsid w:val="082D6348"/>
    <w:rsid w:val="084F5179"/>
    <w:rsid w:val="085005E4"/>
    <w:rsid w:val="085264A2"/>
    <w:rsid w:val="085D7896"/>
    <w:rsid w:val="08684A24"/>
    <w:rsid w:val="0878647D"/>
    <w:rsid w:val="08924472"/>
    <w:rsid w:val="08A454C4"/>
    <w:rsid w:val="08A62997"/>
    <w:rsid w:val="08A969C4"/>
    <w:rsid w:val="08AF6108"/>
    <w:rsid w:val="08B001C4"/>
    <w:rsid w:val="08C6543B"/>
    <w:rsid w:val="08D00FFA"/>
    <w:rsid w:val="08D35DAA"/>
    <w:rsid w:val="08EF5F46"/>
    <w:rsid w:val="08F71A98"/>
    <w:rsid w:val="09086D86"/>
    <w:rsid w:val="090F12E9"/>
    <w:rsid w:val="092B34F0"/>
    <w:rsid w:val="09367BAA"/>
    <w:rsid w:val="09381D73"/>
    <w:rsid w:val="09473B2C"/>
    <w:rsid w:val="096A3477"/>
    <w:rsid w:val="097C361B"/>
    <w:rsid w:val="09AB5942"/>
    <w:rsid w:val="09B064D1"/>
    <w:rsid w:val="09BF2ED7"/>
    <w:rsid w:val="09BF7674"/>
    <w:rsid w:val="09EC1268"/>
    <w:rsid w:val="09F45FD8"/>
    <w:rsid w:val="09F806A3"/>
    <w:rsid w:val="0A0B50CF"/>
    <w:rsid w:val="0A0D1190"/>
    <w:rsid w:val="0A236E14"/>
    <w:rsid w:val="0A2456C5"/>
    <w:rsid w:val="0A2543E3"/>
    <w:rsid w:val="0A474057"/>
    <w:rsid w:val="0A641E3D"/>
    <w:rsid w:val="0AA34B1B"/>
    <w:rsid w:val="0AAD7CD9"/>
    <w:rsid w:val="0AB6328D"/>
    <w:rsid w:val="0ABD15CE"/>
    <w:rsid w:val="0ABF263A"/>
    <w:rsid w:val="0AD12B8F"/>
    <w:rsid w:val="0ADD081A"/>
    <w:rsid w:val="0AF618DB"/>
    <w:rsid w:val="0B0A6314"/>
    <w:rsid w:val="0B100BEF"/>
    <w:rsid w:val="0B1C3A38"/>
    <w:rsid w:val="0B335CF7"/>
    <w:rsid w:val="0B5C5BE2"/>
    <w:rsid w:val="0B6B051B"/>
    <w:rsid w:val="0B6E6353"/>
    <w:rsid w:val="0B7B2E88"/>
    <w:rsid w:val="0B8415DD"/>
    <w:rsid w:val="0B842ECF"/>
    <w:rsid w:val="0BA53A0C"/>
    <w:rsid w:val="0BA8462C"/>
    <w:rsid w:val="0BD10EF4"/>
    <w:rsid w:val="0BEC0639"/>
    <w:rsid w:val="0BED19DF"/>
    <w:rsid w:val="0C130BB2"/>
    <w:rsid w:val="0C193B8E"/>
    <w:rsid w:val="0C1C4E30"/>
    <w:rsid w:val="0C2653A0"/>
    <w:rsid w:val="0C392862"/>
    <w:rsid w:val="0C3C47EA"/>
    <w:rsid w:val="0C403BDE"/>
    <w:rsid w:val="0C447B66"/>
    <w:rsid w:val="0C4B726D"/>
    <w:rsid w:val="0C563442"/>
    <w:rsid w:val="0C56723C"/>
    <w:rsid w:val="0C6172A8"/>
    <w:rsid w:val="0C782EF0"/>
    <w:rsid w:val="0C7B0EF4"/>
    <w:rsid w:val="0C895BC7"/>
    <w:rsid w:val="0C8E44C1"/>
    <w:rsid w:val="0C9C7EE1"/>
    <w:rsid w:val="0CA20839"/>
    <w:rsid w:val="0CA21D1B"/>
    <w:rsid w:val="0CAC4948"/>
    <w:rsid w:val="0CB14648"/>
    <w:rsid w:val="0CB21A52"/>
    <w:rsid w:val="0CD72DE2"/>
    <w:rsid w:val="0CDD592A"/>
    <w:rsid w:val="0CED2FC7"/>
    <w:rsid w:val="0CF1374F"/>
    <w:rsid w:val="0D0429D6"/>
    <w:rsid w:val="0D0B3D64"/>
    <w:rsid w:val="0D0E399A"/>
    <w:rsid w:val="0D126D3D"/>
    <w:rsid w:val="0D194DAA"/>
    <w:rsid w:val="0D26294C"/>
    <w:rsid w:val="0D3D634E"/>
    <w:rsid w:val="0D3F756A"/>
    <w:rsid w:val="0D4472E3"/>
    <w:rsid w:val="0D5124F3"/>
    <w:rsid w:val="0D5374B9"/>
    <w:rsid w:val="0D56790F"/>
    <w:rsid w:val="0D622EB4"/>
    <w:rsid w:val="0D63594E"/>
    <w:rsid w:val="0D6B65B1"/>
    <w:rsid w:val="0D83708C"/>
    <w:rsid w:val="0D854328"/>
    <w:rsid w:val="0DDB1F25"/>
    <w:rsid w:val="0DE34346"/>
    <w:rsid w:val="0DF465A6"/>
    <w:rsid w:val="0DFC545B"/>
    <w:rsid w:val="0E004116"/>
    <w:rsid w:val="0E077E36"/>
    <w:rsid w:val="0E0E22E1"/>
    <w:rsid w:val="0E554C8F"/>
    <w:rsid w:val="0E5A2C39"/>
    <w:rsid w:val="0E736B11"/>
    <w:rsid w:val="0E7F3562"/>
    <w:rsid w:val="0E8E126E"/>
    <w:rsid w:val="0EBD2885"/>
    <w:rsid w:val="0EC34B2B"/>
    <w:rsid w:val="0ECA6B2D"/>
    <w:rsid w:val="0ECB5D10"/>
    <w:rsid w:val="0ECC1E18"/>
    <w:rsid w:val="0EE11257"/>
    <w:rsid w:val="0EE35EF2"/>
    <w:rsid w:val="0EEE7499"/>
    <w:rsid w:val="0EFA5849"/>
    <w:rsid w:val="0F16254C"/>
    <w:rsid w:val="0F1E6594"/>
    <w:rsid w:val="0F295746"/>
    <w:rsid w:val="0F2B6888"/>
    <w:rsid w:val="0F4F5F19"/>
    <w:rsid w:val="0F547B71"/>
    <w:rsid w:val="0F590199"/>
    <w:rsid w:val="0F7936CC"/>
    <w:rsid w:val="0F882744"/>
    <w:rsid w:val="0F8F3081"/>
    <w:rsid w:val="0FA5195F"/>
    <w:rsid w:val="0FAD4701"/>
    <w:rsid w:val="0FE825FD"/>
    <w:rsid w:val="0FF61E2B"/>
    <w:rsid w:val="10134CDE"/>
    <w:rsid w:val="10280789"/>
    <w:rsid w:val="104D01F0"/>
    <w:rsid w:val="104D6442"/>
    <w:rsid w:val="106F4618"/>
    <w:rsid w:val="10735462"/>
    <w:rsid w:val="10760938"/>
    <w:rsid w:val="10771710"/>
    <w:rsid w:val="10934AB9"/>
    <w:rsid w:val="10953945"/>
    <w:rsid w:val="109B448D"/>
    <w:rsid w:val="109E4EEF"/>
    <w:rsid w:val="10B64B12"/>
    <w:rsid w:val="10B7072A"/>
    <w:rsid w:val="10B93AD7"/>
    <w:rsid w:val="10C04E65"/>
    <w:rsid w:val="10C36704"/>
    <w:rsid w:val="10D57578"/>
    <w:rsid w:val="10E83584"/>
    <w:rsid w:val="10F245C8"/>
    <w:rsid w:val="10FD18AA"/>
    <w:rsid w:val="11136BE5"/>
    <w:rsid w:val="112244C7"/>
    <w:rsid w:val="112F5B47"/>
    <w:rsid w:val="113E38BD"/>
    <w:rsid w:val="11457119"/>
    <w:rsid w:val="114A472F"/>
    <w:rsid w:val="114B014D"/>
    <w:rsid w:val="11531836"/>
    <w:rsid w:val="11633A20"/>
    <w:rsid w:val="11700B96"/>
    <w:rsid w:val="11717F0E"/>
    <w:rsid w:val="117A7D9D"/>
    <w:rsid w:val="117B6FDE"/>
    <w:rsid w:val="117D1895"/>
    <w:rsid w:val="1189681F"/>
    <w:rsid w:val="118D065E"/>
    <w:rsid w:val="119111DD"/>
    <w:rsid w:val="119836EC"/>
    <w:rsid w:val="119D0D92"/>
    <w:rsid w:val="11A007F3"/>
    <w:rsid w:val="11B01C7F"/>
    <w:rsid w:val="11C72224"/>
    <w:rsid w:val="11D16BFE"/>
    <w:rsid w:val="11E20E0C"/>
    <w:rsid w:val="11EB5F12"/>
    <w:rsid w:val="11EE155E"/>
    <w:rsid w:val="11EE77B0"/>
    <w:rsid w:val="11F63B39"/>
    <w:rsid w:val="11F811A4"/>
    <w:rsid w:val="121534BC"/>
    <w:rsid w:val="12321755"/>
    <w:rsid w:val="12324FEA"/>
    <w:rsid w:val="12392DC6"/>
    <w:rsid w:val="123A0C48"/>
    <w:rsid w:val="125735A8"/>
    <w:rsid w:val="125E4649"/>
    <w:rsid w:val="12653E6A"/>
    <w:rsid w:val="127658D7"/>
    <w:rsid w:val="12864FA7"/>
    <w:rsid w:val="12957C2C"/>
    <w:rsid w:val="12CC7D65"/>
    <w:rsid w:val="12DE7825"/>
    <w:rsid w:val="12F466E5"/>
    <w:rsid w:val="130D010A"/>
    <w:rsid w:val="130E5DFE"/>
    <w:rsid w:val="130F5C30"/>
    <w:rsid w:val="1318492B"/>
    <w:rsid w:val="13195D86"/>
    <w:rsid w:val="131E7C21"/>
    <w:rsid w:val="133415D2"/>
    <w:rsid w:val="13390EFF"/>
    <w:rsid w:val="134659BB"/>
    <w:rsid w:val="135A334F"/>
    <w:rsid w:val="1362355A"/>
    <w:rsid w:val="136B46BF"/>
    <w:rsid w:val="13860D94"/>
    <w:rsid w:val="138A779A"/>
    <w:rsid w:val="138D2BCA"/>
    <w:rsid w:val="139879D4"/>
    <w:rsid w:val="13A12FBB"/>
    <w:rsid w:val="13A9398F"/>
    <w:rsid w:val="13BE1E5C"/>
    <w:rsid w:val="13C44C6D"/>
    <w:rsid w:val="13F53078"/>
    <w:rsid w:val="13FD017F"/>
    <w:rsid w:val="1400703C"/>
    <w:rsid w:val="14024E31"/>
    <w:rsid w:val="14223741"/>
    <w:rsid w:val="142F0857"/>
    <w:rsid w:val="1444680B"/>
    <w:rsid w:val="14473B09"/>
    <w:rsid w:val="14526E7B"/>
    <w:rsid w:val="145853B5"/>
    <w:rsid w:val="147246C9"/>
    <w:rsid w:val="14834C84"/>
    <w:rsid w:val="14840D97"/>
    <w:rsid w:val="14861F22"/>
    <w:rsid w:val="148D4AEF"/>
    <w:rsid w:val="148F7029"/>
    <w:rsid w:val="14A32AD4"/>
    <w:rsid w:val="14CA62B3"/>
    <w:rsid w:val="14CF3D47"/>
    <w:rsid w:val="14D94AE9"/>
    <w:rsid w:val="14EB2AE0"/>
    <w:rsid w:val="14EE05A3"/>
    <w:rsid w:val="14F50E56"/>
    <w:rsid w:val="14F7288F"/>
    <w:rsid w:val="14FC59FF"/>
    <w:rsid w:val="15063688"/>
    <w:rsid w:val="15336151"/>
    <w:rsid w:val="156275CE"/>
    <w:rsid w:val="157952EA"/>
    <w:rsid w:val="157B75AD"/>
    <w:rsid w:val="15876E40"/>
    <w:rsid w:val="158A5A42"/>
    <w:rsid w:val="158C2DC7"/>
    <w:rsid w:val="158F3058"/>
    <w:rsid w:val="15A718D7"/>
    <w:rsid w:val="15BF64B6"/>
    <w:rsid w:val="15CC1BB7"/>
    <w:rsid w:val="15D975F0"/>
    <w:rsid w:val="15E74C42"/>
    <w:rsid w:val="15EC6D9F"/>
    <w:rsid w:val="15F64207"/>
    <w:rsid w:val="15FB6C69"/>
    <w:rsid w:val="160B3752"/>
    <w:rsid w:val="161B13E4"/>
    <w:rsid w:val="1626576B"/>
    <w:rsid w:val="163F2811"/>
    <w:rsid w:val="16442095"/>
    <w:rsid w:val="164E7686"/>
    <w:rsid w:val="165322D8"/>
    <w:rsid w:val="16535142"/>
    <w:rsid w:val="165665A6"/>
    <w:rsid w:val="165C2B80"/>
    <w:rsid w:val="16630A92"/>
    <w:rsid w:val="16640041"/>
    <w:rsid w:val="16677B31"/>
    <w:rsid w:val="16704820"/>
    <w:rsid w:val="16850E26"/>
    <w:rsid w:val="16893F4C"/>
    <w:rsid w:val="1699418F"/>
    <w:rsid w:val="169C3C7F"/>
    <w:rsid w:val="16A22419"/>
    <w:rsid w:val="16BB08D6"/>
    <w:rsid w:val="16C33CD0"/>
    <w:rsid w:val="16C86EEE"/>
    <w:rsid w:val="16CF74AC"/>
    <w:rsid w:val="16D12AC9"/>
    <w:rsid w:val="16D62899"/>
    <w:rsid w:val="16D86AD9"/>
    <w:rsid w:val="16E24DAF"/>
    <w:rsid w:val="16E478E9"/>
    <w:rsid w:val="16F21AF1"/>
    <w:rsid w:val="16F45869"/>
    <w:rsid w:val="16FD5ABC"/>
    <w:rsid w:val="17025136"/>
    <w:rsid w:val="17080CB3"/>
    <w:rsid w:val="17104E33"/>
    <w:rsid w:val="172779EC"/>
    <w:rsid w:val="172C5003"/>
    <w:rsid w:val="17435B9A"/>
    <w:rsid w:val="174C1201"/>
    <w:rsid w:val="17530278"/>
    <w:rsid w:val="1770488D"/>
    <w:rsid w:val="177251DB"/>
    <w:rsid w:val="179F403B"/>
    <w:rsid w:val="17AB4A68"/>
    <w:rsid w:val="17B46DA6"/>
    <w:rsid w:val="17BF5E77"/>
    <w:rsid w:val="17C27715"/>
    <w:rsid w:val="17C92852"/>
    <w:rsid w:val="17E07B23"/>
    <w:rsid w:val="17F04282"/>
    <w:rsid w:val="181D21AB"/>
    <w:rsid w:val="18241EFA"/>
    <w:rsid w:val="182551D2"/>
    <w:rsid w:val="18302625"/>
    <w:rsid w:val="18316C72"/>
    <w:rsid w:val="183C5221"/>
    <w:rsid w:val="184B770B"/>
    <w:rsid w:val="188056B2"/>
    <w:rsid w:val="1887731B"/>
    <w:rsid w:val="188B5D59"/>
    <w:rsid w:val="18A312F5"/>
    <w:rsid w:val="18A71570"/>
    <w:rsid w:val="18AF5EEB"/>
    <w:rsid w:val="18B06992"/>
    <w:rsid w:val="18BF29A5"/>
    <w:rsid w:val="18C43019"/>
    <w:rsid w:val="18D95C4B"/>
    <w:rsid w:val="18E33521"/>
    <w:rsid w:val="18EB67F8"/>
    <w:rsid w:val="18FA4C8D"/>
    <w:rsid w:val="18FF7748"/>
    <w:rsid w:val="19133920"/>
    <w:rsid w:val="19296091"/>
    <w:rsid w:val="194562A6"/>
    <w:rsid w:val="19526877"/>
    <w:rsid w:val="195E521C"/>
    <w:rsid w:val="196C36C2"/>
    <w:rsid w:val="19733208"/>
    <w:rsid w:val="1978271D"/>
    <w:rsid w:val="197E7B00"/>
    <w:rsid w:val="19933B34"/>
    <w:rsid w:val="199944A6"/>
    <w:rsid w:val="19A76BC3"/>
    <w:rsid w:val="19C96DDB"/>
    <w:rsid w:val="19CF01B9"/>
    <w:rsid w:val="19DC46F7"/>
    <w:rsid w:val="19DE34A8"/>
    <w:rsid w:val="19E52623"/>
    <w:rsid w:val="19FA6457"/>
    <w:rsid w:val="1A0B2274"/>
    <w:rsid w:val="1A187AC0"/>
    <w:rsid w:val="1A393B90"/>
    <w:rsid w:val="1A3D7527"/>
    <w:rsid w:val="1A535B25"/>
    <w:rsid w:val="1A5443DC"/>
    <w:rsid w:val="1A5B5BFF"/>
    <w:rsid w:val="1A7208D9"/>
    <w:rsid w:val="1A764FB0"/>
    <w:rsid w:val="1A767F97"/>
    <w:rsid w:val="1A8C60A2"/>
    <w:rsid w:val="1A932C82"/>
    <w:rsid w:val="1AA37850"/>
    <w:rsid w:val="1AA650CC"/>
    <w:rsid w:val="1AA864FA"/>
    <w:rsid w:val="1AAE21D3"/>
    <w:rsid w:val="1AB97B24"/>
    <w:rsid w:val="1AC75042"/>
    <w:rsid w:val="1AC90DBB"/>
    <w:rsid w:val="1AD930B1"/>
    <w:rsid w:val="1AFA71C6"/>
    <w:rsid w:val="1B267FBB"/>
    <w:rsid w:val="1B3C77DE"/>
    <w:rsid w:val="1B3E1360"/>
    <w:rsid w:val="1B453F87"/>
    <w:rsid w:val="1B4A02FA"/>
    <w:rsid w:val="1B6D0A69"/>
    <w:rsid w:val="1B7D2468"/>
    <w:rsid w:val="1B886580"/>
    <w:rsid w:val="1BAB30F2"/>
    <w:rsid w:val="1BB64807"/>
    <w:rsid w:val="1BC45815"/>
    <w:rsid w:val="1BCA6B98"/>
    <w:rsid w:val="1BEC2FB3"/>
    <w:rsid w:val="1BEE345E"/>
    <w:rsid w:val="1BF209FD"/>
    <w:rsid w:val="1BF530EC"/>
    <w:rsid w:val="1C044843"/>
    <w:rsid w:val="1C165429"/>
    <w:rsid w:val="1C4C7B54"/>
    <w:rsid w:val="1C557CD0"/>
    <w:rsid w:val="1C6D30D8"/>
    <w:rsid w:val="1C7911F1"/>
    <w:rsid w:val="1C7B60E4"/>
    <w:rsid w:val="1C8C3DCA"/>
    <w:rsid w:val="1CCB47C0"/>
    <w:rsid w:val="1CE27F12"/>
    <w:rsid w:val="1CF3330B"/>
    <w:rsid w:val="1D0C2883"/>
    <w:rsid w:val="1D3B1144"/>
    <w:rsid w:val="1D44297A"/>
    <w:rsid w:val="1D4E4561"/>
    <w:rsid w:val="1D5C4168"/>
    <w:rsid w:val="1D703128"/>
    <w:rsid w:val="1D7C5FBA"/>
    <w:rsid w:val="1D81336E"/>
    <w:rsid w:val="1D9F19C4"/>
    <w:rsid w:val="1DA575B0"/>
    <w:rsid w:val="1DAF24EA"/>
    <w:rsid w:val="1DB375C5"/>
    <w:rsid w:val="1DB46449"/>
    <w:rsid w:val="1DBC69B5"/>
    <w:rsid w:val="1DC1221D"/>
    <w:rsid w:val="1DC332DD"/>
    <w:rsid w:val="1DD737EE"/>
    <w:rsid w:val="1DDB0E18"/>
    <w:rsid w:val="1DE80C95"/>
    <w:rsid w:val="1DF34884"/>
    <w:rsid w:val="1E061E25"/>
    <w:rsid w:val="1E226345"/>
    <w:rsid w:val="1E2E1716"/>
    <w:rsid w:val="1E364F56"/>
    <w:rsid w:val="1E366767"/>
    <w:rsid w:val="1E37428D"/>
    <w:rsid w:val="1E3A6C06"/>
    <w:rsid w:val="1E424E8A"/>
    <w:rsid w:val="1E736290"/>
    <w:rsid w:val="1E8C6387"/>
    <w:rsid w:val="1E9A6CF6"/>
    <w:rsid w:val="1EB06519"/>
    <w:rsid w:val="1EB458DE"/>
    <w:rsid w:val="1EC00497"/>
    <w:rsid w:val="1ECA6EAF"/>
    <w:rsid w:val="1EDA5344"/>
    <w:rsid w:val="1EE613D0"/>
    <w:rsid w:val="1EF1268E"/>
    <w:rsid w:val="1EF21855"/>
    <w:rsid w:val="1EF501D6"/>
    <w:rsid w:val="1F1830CB"/>
    <w:rsid w:val="1F1C3BAF"/>
    <w:rsid w:val="1F1D4CEA"/>
    <w:rsid w:val="1F3431EF"/>
    <w:rsid w:val="1F412ACD"/>
    <w:rsid w:val="1F896D6A"/>
    <w:rsid w:val="1FA51C58"/>
    <w:rsid w:val="1FA7649E"/>
    <w:rsid w:val="1FBE7B22"/>
    <w:rsid w:val="1FD96543"/>
    <w:rsid w:val="1FEE7C0E"/>
    <w:rsid w:val="20061562"/>
    <w:rsid w:val="200A7EAB"/>
    <w:rsid w:val="2017317A"/>
    <w:rsid w:val="201D0468"/>
    <w:rsid w:val="202857A9"/>
    <w:rsid w:val="202D76F6"/>
    <w:rsid w:val="203D7B26"/>
    <w:rsid w:val="20436F19"/>
    <w:rsid w:val="20B10327"/>
    <w:rsid w:val="20B15A28"/>
    <w:rsid w:val="20C655D1"/>
    <w:rsid w:val="20C77B4A"/>
    <w:rsid w:val="20C92795"/>
    <w:rsid w:val="20D34741"/>
    <w:rsid w:val="20D65FDF"/>
    <w:rsid w:val="20DB0CE4"/>
    <w:rsid w:val="20E961FA"/>
    <w:rsid w:val="20F10A60"/>
    <w:rsid w:val="211A14D6"/>
    <w:rsid w:val="211F34E2"/>
    <w:rsid w:val="21564CC5"/>
    <w:rsid w:val="21725E20"/>
    <w:rsid w:val="217F21D3"/>
    <w:rsid w:val="21894835"/>
    <w:rsid w:val="219F6403"/>
    <w:rsid w:val="21A148C9"/>
    <w:rsid w:val="21A84B20"/>
    <w:rsid w:val="21D06ED2"/>
    <w:rsid w:val="21D547D9"/>
    <w:rsid w:val="21E36C06"/>
    <w:rsid w:val="21F841CB"/>
    <w:rsid w:val="22094970"/>
    <w:rsid w:val="2224426F"/>
    <w:rsid w:val="22462CF1"/>
    <w:rsid w:val="22486A69"/>
    <w:rsid w:val="224C10D0"/>
    <w:rsid w:val="225222AD"/>
    <w:rsid w:val="22541289"/>
    <w:rsid w:val="22560474"/>
    <w:rsid w:val="225C24EF"/>
    <w:rsid w:val="226433E0"/>
    <w:rsid w:val="22685BE4"/>
    <w:rsid w:val="22786DC6"/>
    <w:rsid w:val="22951269"/>
    <w:rsid w:val="22952C4B"/>
    <w:rsid w:val="22A07A2E"/>
    <w:rsid w:val="22AE1FD7"/>
    <w:rsid w:val="22B00DA9"/>
    <w:rsid w:val="22B1460E"/>
    <w:rsid w:val="22BA5BB9"/>
    <w:rsid w:val="22EB3FC4"/>
    <w:rsid w:val="22F10EAE"/>
    <w:rsid w:val="230D3F37"/>
    <w:rsid w:val="231128EB"/>
    <w:rsid w:val="23307C29"/>
    <w:rsid w:val="233415C5"/>
    <w:rsid w:val="234C07DB"/>
    <w:rsid w:val="23566F63"/>
    <w:rsid w:val="2362143C"/>
    <w:rsid w:val="23645B24"/>
    <w:rsid w:val="23887A65"/>
    <w:rsid w:val="238B7AB9"/>
    <w:rsid w:val="238E2BA1"/>
    <w:rsid w:val="239A6033"/>
    <w:rsid w:val="23A418A2"/>
    <w:rsid w:val="23AE1EA3"/>
    <w:rsid w:val="23D11B74"/>
    <w:rsid w:val="23D5432C"/>
    <w:rsid w:val="23EE71CC"/>
    <w:rsid w:val="2404346B"/>
    <w:rsid w:val="24172B97"/>
    <w:rsid w:val="24292475"/>
    <w:rsid w:val="242977C5"/>
    <w:rsid w:val="24351601"/>
    <w:rsid w:val="24375486"/>
    <w:rsid w:val="24390A60"/>
    <w:rsid w:val="243E33BC"/>
    <w:rsid w:val="246F7026"/>
    <w:rsid w:val="248745FF"/>
    <w:rsid w:val="2495534F"/>
    <w:rsid w:val="24A773D3"/>
    <w:rsid w:val="24B65FDB"/>
    <w:rsid w:val="24DB6D9D"/>
    <w:rsid w:val="24E16D01"/>
    <w:rsid w:val="24E6171F"/>
    <w:rsid w:val="24F904EE"/>
    <w:rsid w:val="25237319"/>
    <w:rsid w:val="25276E09"/>
    <w:rsid w:val="253311F6"/>
    <w:rsid w:val="253B3193"/>
    <w:rsid w:val="25552E9E"/>
    <w:rsid w:val="255866F6"/>
    <w:rsid w:val="25654FC9"/>
    <w:rsid w:val="25851E17"/>
    <w:rsid w:val="2586379D"/>
    <w:rsid w:val="25DF1492"/>
    <w:rsid w:val="25EB1207"/>
    <w:rsid w:val="25F723E2"/>
    <w:rsid w:val="261C26E6"/>
    <w:rsid w:val="26377520"/>
    <w:rsid w:val="263C274B"/>
    <w:rsid w:val="264B7744"/>
    <w:rsid w:val="2651082C"/>
    <w:rsid w:val="267E7EE2"/>
    <w:rsid w:val="26A76454"/>
    <w:rsid w:val="26A804CA"/>
    <w:rsid w:val="26AB5818"/>
    <w:rsid w:val="26C66AA9"/>
    <w:rsid w:val="26DD1E76"/>
    <w:rsid w:val="26F64CE5"/>
    <w:rsid w:val="26F87EF2"/>
    <w:rsid w:val="271703C5"/>
    <w:rsid w:val="27351CB2"/>
    <w:rsid w:val="27361586"/>
    <w:rsid w:val="277D1B2D"/>
    <w:rsid w:val="27835FFC"/>
    <w:rsid w:val="2794279E"/>
    <w:rsid w:val="279E7050"/>
    <w:rsid w:val="27A466B8"/>
    <w:rsid w:val="27A764DB"/>
    <w:rsid w:val="27AF6D80"/>
    <w:rsid w:val="27B0198F"/>
    <w:rsid w:val="27B92AB7"/>
    <w:rsid w:val="27BC5F2F"/>
    <w:rsid w:val="27D43FB1"/>
    <w:rsid w:val="27DE552A"/>
    <w:rsid w:val="27E022D4"/>
    <w:rsid w:val="27F84A8D"/>
    <w:rsid w:val="27FC3AE4"/>
    <w:rsid w:val="28065AFB"/>
    <w:rsid w:val="280C4E96"/>
    <w:rsid w:val="281B7D88"/>
    <w:rsid w:val="282E4FCE"/>
    <w:rsid w:val="28342B35"/>
    <w:rsid w:val="2834568E"/>
    <w:rsid w:val="283F0442"/>
    <w:rsid w:val="284E32AF"/>
    <w:rsid w:val="286D1F27"/>
    <w:rsid w:val="28924EE2"/>
    <w:rsid w:val="28956780"/>
    <w:rsid w:val="28975940"/>
    <w:rsid w:val="28A2738B"/>
    <w:rsid w:val="28A70580"/>
    <w:rsid w:val="28A86838"/>
    <w:rsid w:val="28C4031B"/>
    <w:rsid w:val="28CB6760"/>
    <w:rsid w:val="28DA7C9C"/>
    <w:rsid w:val="28E62B38"/>
    <w:rsid w:val="28EC71CA"/>
    <w:rsid w:val="28FB7A80"/>
    <w:rsid w:val="290B259E"/>
    <w:rsid w:val="291D0C4F"/>
    <w:rsid w:val="2924258A"/>
    <w:rsid w:val="29274E04"/>
    <w:rsid w:val="293F46A3"/>
    <w:rsid w:val="296714B7"/>
    <w:rsid w:val="296D1EE4"/>
    <w:rsid w:val="297939AC"/>
    <w:rsid w:val="29944EB8"/>
    <w:rsid w:val="299C4433"/>
    <w:rsid w:val="29DB4666"/>
    <w:rsid w:val="29E4351B"/>
    <w:rsid w:val="29E736D3"/>
    <w:rsid w:val="29EC0622"/>
    <w:rsid w:val="29FB1FE8"/>
    <w:rsid w:val="29FE68AE"/>
    <w:rsid w:val="2A031B89"/>
    <w:rsid w:val="2A070C32"/>
    <w:rsid w:val="2A0B0AA8"/>
    <w:rsid w:val="2A32072A"/>
    <w:rsid w:val="2A3C5105"/>
    <w:rsid w:val="2A491993"/>
    <w:rsid w:val="2A567D20"/>
    <w:rsid w:val="2A602177"/>
    <w:rsid w:val="2A6F4131"/>
    <w:rsid w:val="2A821832"/>
    <w:rsid w:val="2AA77572"/>
    <w:rsid w:val="2ABC3312"/>
    <w:rsid w:val="2AC50660"/>
    <w:rsid w:val="2ACE42A1"/>
    <w:rsid w:val="2AD156A5"/>
    <w:rsid w:val="2AD73080"/>
    <w:rsid w:val="2AE01F34"/>
    <w:rsid w:val="2AE44BDB"/>
    <w:rsid w:val="2AFA0B1C"/>
    <w:rsid w:val="2B037727"/>
    <w:rsid w:val="2B0379D1"/>
    <w:rsid w:val="2B1240B8"/>
    <w:rsid w:val="2B1334DC"/>
    <w:rsid w:val="2B1505A0"/>
    <w:rsid w:val="2B165951"/>
    <w:rsid w:val="2B165956"/>
    <w:rsid w:val="2B214434"/>
    <w:rsid w:val="2B3559A3"/>
    <w:rsid w:val="2B3B716B"/>
    <w:rsid w:val="2B471B7C"/>
    <w:rsid w:val="2B4E474F"/>
    <w:rsid w:val="2B604E23"/>
    <w:rsid w:val="2B674404"/>
    <w:rsid w:val="2B6E1B3C"/>
    <w:rsid w:val="2B7E79EC"/>
    <w:rsid w:val="2B801021"/>
    <w:rsid w:val="2B91392E"/>
    <w:rsid w:val="2B9C153F"/>
    <w:rsid w:val="2BA56CDA"/>
    <w:rsid w:val="2BA9570A"/>
    <w:rsid w:val="2BB238A2"/>
    <w:rsid w:val="2BB255CF"/>
    <w:rsid w:val="2BBE3714"/>
    <w:rsid w:val="2BC76C50"/>
    <w:rsid w:val="2BD24D2D"/>
    <w:rsid w:val="2BDE71AB"/>
    <w:rsid w:val="2BEE51CA"/>
    <w:rsid w:val="2BF8505C"/>
    <w:rsid w:val="2C3B319A"/>
    <w:rsid w:val="2C3C1A6A"/>
    <w:rsid w:val="2C540D91"/>
    <w:rsid w:val="2C6537E2"/>
    <w:rsid w:val="2C6C7279"/>
    <w:rsid w:val="2C857976"/>
    <w:rsid w:val="2C8965FC"/>
    <w:rsid w:val="2C903C46"/>
    <w:rsid w:val="2CA14AE9"/>
    <w:rsid w:val="2CAB6572"/>
    <w:rsid w:val="2CAC2D20"/>
    <w:rsid w:val="2CC10625"/>
    <w:rsid w:val="2CC47634"/>
    <w:rsid w:val="2CD326FB"/>
    <w:rsid w:val="2CD33D72"/>
    <w:rsid w:val="2CDD2170"/>
    <w:rsid w:val="2CE15DF9"/>
    <w:rsid w:val="2CEA7FC6"/>
    <w:rsid w:val="2CF220D0"/>
    <w:rsid w:val="2CFF066C"/>
    <w:rsid w:val="2D032370"/>
    <w:rsid w:val="2D056154"/>
    <w:rsid w:val="2D065688"/>
    <w:rsid w:val="2D094BEA"/>
    <w:rsid w:val="2D19172E"/>
    <w:rsid w:val="2D283624"/>
    <w:rsid w:val="2D2A52C6"/>
    <w:rsid w:val="2D4D7629"/>
    <w:rsid w:val="2D7050C6"/>
    <w:rsid w:val="2D742E08"/>
    <w:rsid w:val="2D8F1DD6"/>
    <w:rsid w:val="2D915A33"/>
    <w:rsid w:val="2D954534"/>
    <w:rsid w:val="2D9800A5"/>
    <w:rsid w:val="2DB15E0A"/>
    <w:rsid w:val="2DC3712A"/>
    <w:rsid w:val="2DE171DF"/>
    <w:rsid w:val="2DE376C1"/>
    <w:rsid w:val="2DEF1551"/>
    <w:rsid w:val="2E0200C9"/>
    <w:rsid w:val="2E3C6ABB"/>
    <w:rsid w:val="2E4345B4"/>
    <w:rsid w:val="2E532A1D"/>
    <w:rsid w:val="2E5A3DAC"/>
    <w:rsid w:val="2E5D53FD"/>
    <w:rsid w:val="2E61599C"/>
    <w:rsid w:val="2E6332CF"/>
    <w:rsid w:val="2E684689"/>
    <w:rsid w:val="2EA63495"/>
    <w:rsid w:val="2EBA0298"/>
    <w:rsid w:val="2EBF09B3"/>
    <w:rsid w:val="2ED22F7C"/>
    <w:rsid w:val="2ED73784"/>
    <w:rsid w:val="2EDF3673"/>
    <w:rsid w:val="2EE213C2"/>
    <w:rsid w:val="2EFA558F"/>
    <w:rsid w:val="2EFC30B5"/>
    <w:rsid w:val="2F486989"/>
    <w:rsid w:val="2F653004"/>
    <w:rsid w:val="2F684953"/>
    <w:rsid w:val="2F8135BA"/>
    <w:rsid w:val="2F8D622E"/>
    <w:rsid w:val="2F9037FD"/>
    <w:rsid w:val="2F917CA1"/>
    <w:rsid w:val="2F982E42"/>
    <w:rsid w:val="2F9B0B20"/>
    <w:rsid w:val="2FCB7EDC"/>
    <w:rsid w:val="2FD951A4"/>
    <w:rsid w:val="2FE60F0B"/>
    <w:rsid w:val="2FFE3400"/>
    <w:rsid w:val="30173341"/>
    <w:rsid w:val="301B0290"/>
    <w:rsid w:val="303C4D07"/>
    <w:rsid w:val="304459EB"/>
    <w:rsid w:val="30450A8C"/>
    <w:rsid w:val="304B5055"/>
    <w:rsid w:val="30647164"/>
    <w:rsid w:val="306C3ED5"/>
    <w:rsid w:val="306C6C6A"/>
    <w:rsid w:val="306D3F93"/>
    <w:rsid w:val="30711C4D"/>
    <w:rsid w:val="308A649E"/>
    <w:rsid w:val="308E5A68"/>
    <w:rsid w:val="30A2226B"/>
    <w:rsid w:val="30AC5ED6"/>
    <w:rsid w:val="30BB2AFC"/>
    <w:rsid w:val="30C22649"/>
    <w:rsid w:val="30CB71E3"/>
    <w:rsid w:val="30DC08E6"/>
    <w:rsid w:val="30E97669"/>
    <w:rsid w:val="312E022B"/>
    <w:rsid w:val="314221E6"/>
    <w:rsid w:val="314A45AB"/>
    <w:rsid w:val="314D7BF8"/>
    <w:rsid w:val="31534D0D"/>
    <w:rsid w:val="31701B38"/>
    <w:rsid w:val="317118EE"/>
    <w:rsid w:val="318555E4"/>
    <w:rsid w:val="318A3760"/>
    <w:rsid w:val="31C84C92"/>
    <w:rsid w:val="31D163B5"/>
    <w:rsid w:val="31D976DD"/>
    <w:rsid w:val="31DE4220"/>
    <w:rsid w:val="3201528F"/>
    <w:rsid w:val="322F3FB8"/>
    <w:rsid w:val="32391589"/>
    <w:rsid w:val="324C06E6"/>
    <w:rsid w:val="324C4353"/>
    <w:rsid w:val="32537654"/>
    <w:rsid w:val="327775A4"/>
    <w:rsid w:val="32794A1C"/>
    <w:rsid w:val="327B7589"/>
    <w:rsid w:val="32931F82"/>
    <w:rsid w:val="32B36180"/>
    <w:rsid w:val="32BB5035"/>
    <w:rsid w:val="32C203CA"/>
    <w:rsid w:val="32C43EEA"/>
    <w:rsid w:val="32CD6692"/>
    <w:rsid w:val="32D71710"/>
    <w:rsid w:val="32D94B0D"/>
    <w:rsid w:val="32E70612"/>
    <w:rsid w:val="32ED5A24"/>
    <w:rsid w:val="32F966F8"/>
    <w:rsid w:val="33010C9A"/>
    <w:rsid w:val="33171483"/>
    <w:rsid w:val="332C4891"/>
    <w:rsid w:val="332E38A7"/>
    <w:rsid w:val="332F3D9F"/>
    <w:rsid w:val="33380434"/>
    <w:rsid w:val="334703EE"/>
    <w:rsid w:val="335E1849"/>
    <w:rsid w:val="335F4F26"/>
    <w:rsid w:val="33625BED"/>
    <w:rsid w:val="337F6063"/>
    <w:rsid w:val="3380392C"/>
    <w:rsid w:val="3381627F"/>
    <w:rsid w:val="33900270"/>
    <w:rsid w:val="33A37FA3"/>
    <w:rsid w:val="33B73A4E"/>
    <w:rsid w:val="33B946F2"/>
    <w:rsid w:val="33B95A18"/>
    <w:rsid w:val="33D4718D"/>
    <w:rsid w:val="33E54418"/>
    <w:rsid w:val="33F07509"/>
    <w:rsid w:val="33F627C9"/>
    <w:rsid w:val="34001D02"/>
    <w:rsid w:val="341A5E10"/>
    <w:rsid w:val="34272982"/>
    <w:rsid w:val="342804A8"/>
    <w:rsid w:val="343C7EFD"/>
    <w:rsid w:val="34472085"/>
    <w:rsid w:val="34572B3B"/>
    <w:rsid w:val="3474193F"/>
    <w:rsid w:val="347A4AA6"/>
    <w:rsid w:val="34806536"/>
    <w:rsid w:val="348F22D5"/>
    <w:rsid w:val="34AC732B"/>
    <w:rsid w:val="34BA5036"/>
    <w:rsid w:val="34BC5AFA"/>
    <w:rsid w:val="34D337DA"/>
    <w:rsid w:val="34D6600F"/>
    <w:rsid w:val="34EE34A0"/>
    <w:rsid w:val="34FA7F15"/>
    <w:rsid w:val="34FB24F0"/>
    <w:rsid w:val="3509652C"/>
    <w:rsid w:val="352930DB"/>
    <w:rsid w:val="353B59DD"/>
    <w:rsid w:val="35534E88"/>
    <w:rsid w:val="355D3D83"/>
    <w:rsid w:val="35633752"/>
    <w:rsid w:val="3569521C"/>
    <w:rsid w:val="35823489"/>
    <w:rsid w:val="35897E8C"/>
    <w:rsid w:val="35926521"/>
    <w:rsid w:val="35953A4C"/>
    <w:rsid w:val="35A66D4C"/>
    <w:rsid w:val="35B5404A"/>
    <w:rsid w:val="35C83CF1"/>
    <w:rsid w:val="35CA6E6E"/>
    <w:rsid w:val="35D73F34"/>
    <w:rsid w:val="35F950CF"/>
    <w:rsid w:val="35FA1CB2"/>
    <w:rsid w:val="36050AA1"/>
    <w:rsid w:val="361E1B63"/>
    <w:rsid w:val="361E6D32"/>
    <w:rsid w:val="362F5B1E"/>
    <w:rsid w:val="36301896"/>
    <w:rsid w:val="36320657"/>
    <w:rsid w:val="36321AB2"/>
    <w:rsid w:val="36673AC2"/>
    <w:rsid w:val="3683401A"/>
    <w:rsid w:val="369D7707"/>
    <w:rsid w:val="36AB2FBA"/>
    <w:rsid w:val="36C3270A"/>
    <w:rsid w:val="37044B4A"/>
    <w:rsid w:val="371448CE"/>
    <w:rsid w:val="371D2877"/>
    <w:rsid w:val="372A0A3B"/>
    <w:rsid w:val="372A4537"/>
    <w:rsid w:val="373C4996"/>
    <w:rsid w:val="374A1E98"/>
    <w:rsid w:val="37533C0B"/>
    <w:rsid w:val="375F68D7"/>
    <w:rsid w:val="37794D4F"/>
    <w:rsid w:val="37A02925"/>
    <w:rsid w:val="37A60062"/>
    <w:rsid w:val="37B3277F"/>
    <w:rsid w:val="37B34CA4"/>
    <w:rsid w:val="37BD7469"/>
    <w:rsid w:val="37D9327F"/>
    <w:rsid w:val="37E93A81"/>
    <w:rsid w:val="37F75EE1"/>
    <w:rsid w:val="38172D0E"/>
    <w:rsid w:val="38317A04"/>
    <w:rsid w:val="383438BF"/>
    <w:rsid w:val="38430BE0"/>
    <w:rsid w:val="384B5B0E"/>
    <w:rsid w:val="38591578"/>
    <w:rsid w:val="385B0E4C"/>
    <w:rsid w:val="385C66C2"/>
    <w:rsid w:val="38645F08"/>
    <w:rsid w:val="38697E97"/>
    <w:rsid w:val="386C12AB"/>
    <w:rsid w:val="386F66A6"/>
    <w:rsid w:val="387168C2"/>
    <w:rsid w:val="387B2540"/>
    <w:rsid w:val="3888121E"/>
    <w:rsid w:val="389B1BDF"/>
    <w:rsid w:val="38A1659F"/>
    <w:rsid w:val="38AF2F46"/>
    <w:rsid w:val="38C95821"/>
    <w:rsid w:val="38D155B2"/>
    <w:rsid w:val="38F02478"/>
    <w:rsid w:val="390239BE"/>
    <w:rsid w:val="39180C1C"/>
    <w:rsid w:val="3929719C"/>
    <w:rsid w:val="392A1B36"/>
    <w:rsid w:val="392A34F7"/>
    <w:rsid w:val="392A4E38"/>
    <w:rsid w:val="393A6E69"/>
    <w:rsid w:val="393C6ED0"/>
    <w:rsid w:val="39675500"/>
    <w:rsid w:val="396B1563"/>
    <w:rsid w:val="39754190"/>
    <w:rsid w:val="39BF57BB"/>
    <w:rsid w:val="39C40C73"/>
    <w:rsid w:val="39CD2DB0"/>
    <w:rsid w:val="39D92970"/>
    <w:rsid w:val="39FE7012"/>
    <w:rsid w:val="3A0D5454"/>
    <w:rsid w:val="3A1172F4"/>
    <w:rsid w:val="3A23599A"/>
    <w:rsid w:val="3A255086"/>
    <w:rsid w:val="3A2E4C8D"/>
    <w:rsid w:val="3A35147E"/>
    <w:rsid w:val="3A446EBF"/>
    <w:rsid w:val="3A4B4EF0"/>
    <w:rsid w:val="3A514258"/>
    <w:rsid w:val="3A543DA5"/>
    <w:rsid w:val="3A6802CC"/>
    <w:rsid w:val="3A684F47"/>
    <w:rsid w:val="3A6A4A9F"/>
    <w:rsid w:val="3A6F6E31"/>
    <w:rsid w:val="3A7D77A0"/>
    <w:rsid w:val="3A810023"/>
    <w:rsid w:val="3A860F49"/>
    <w:rsid w:val="3A8D5509"/>
    <w:rsid w:val="3AA1177A"/>
    <w:rsid w:val="3AA16C0F"/>
    <w:rsid w:val="3ABC194A"/>
    <w:rsid w:val="3AF37A62"/>
    <w:rsid w:val="3AF61300"/>
    <w:rsid w:val="3AFB6916"/>
    <w:rsid w:val="3AFD73E8"/>
    <w:rsid w:val="3B2A0FAA"/>
    <w:rsid w:val="3B381919"/>
    <w:rsid w:val="3B5B1163"/>
    <w:rsid w:val="3B615DAA"/>
    <w:rsid w:val="3B944458"/>
    <w:rsid w:val="3B954675"/>
    <w:rsid w:val="3B9823B7"/>
    <w:rsid w:val="3BAF7463"/>
    <w:rsid w:val="3BB271C7"/>
    <w:rsid w:val="3BB557AB"/>
    <w:rsid w:val="3BBF5B96"/>
    <w:rsid w:val="3BC744EA"/>
    <w:rsid w:val="3BD60968"/>
    <w:rsid w:val="3BE625B7"/>
    <w:rsid w:val="3C4414D2"/>
    <w:rsid w:val="3C552056"/>
    <w:rsid w:val="3C595B04"/>
    <w:rsid w:val="3C5C17D2"/>
    <w:rsid w:val="3C5F42F8"/>
    <w:rsid w:val="3C6C0F9B"/>
    <w:rsid w:val="3C7301F1"/>
    <w:rsid w:val="3C7356FA"/>
    <w:rsid w:val="3C83219C"/>
    <w:rsid w:val="3CA1704A"/>
    <w:rsid w:val="3CD4741F"/>
    <w:rsid w:val="3CFB3A43"/>
    <w:rsid w:val="3CFB661F"/>
    <w:rsid w:val="3D0B626C"/>
    <w:rsid w:val="3D0F4D1C"/>
    <w:rsid w:val="3D487A50"/>
    <w:rsid w:val="3D4C5207"/>
    <w:rsid w:val="3D5139EC"/>
    <w:rsid w:val="3D7A6218"/>
    <w:rsid w:val="3D8552FA"/>
    <w:rsid w:val="3D8C367A"/>
    <w:rsid w:val="3DA94ACB"/>
    <w:rsid w:val="3DB039E8"/>
    <w:rsid w:val="3DBD7EB3"/>
    <w:rsid w:val="3DC254CA"/>
    <w:rsid w:val="3DCF2188"/>
    <w:rsid w:val="3DD1570D"/>
    <w:rsid w:val="3DDE7492"/>
    <w:rsid w:val="3DF2026B"/>
    <w:rsid w:val="3DF244A5"/>
    <w:rsid w:val="3DF80EEB"/>
    <w:rsid w:val="3DFA1107"/>
    <w:rsid w:val="3DFF04CC"/>
    <w:rsid w:val="3E01077B"/>
    <w:rsid w:val="3E1F291C"/>
    <w:rsid w:val="3E24689A"/>
    <w:rsid w:val="3E2B5F1B"/>
    <w:rsid w:val="3E2E2B5F"/>
    <w:rsid w:val="3E326FCB"/>
    <w:rsid w:val="3E557A55"/>
    <w:rsid w:val="3E59305F"/>
    <w:rsid w:val="3E5D2794"/>
    <w:rsid w:val="3E774506"/>
    <w:rsid w:val="3E8134BC"/>
    <w:rsid w:val="3E864749"/>
    <w:rsid w:val="3E8D1F7B"/>
    <w:rsid w:val="3E9073D3"/>
    <w:rsid w:val="3E9F6F58"/>
    <w:rsid w:val="3EAC582F"/>
    <w:rsid w:val="3EC80F65"/>
    <w:rsid w:val="3ECD4126"/>
    <w:rsid w:val="3ED35D96"/>
    <w:rsid w:val="3EE0310F"/>
    <w:rsid w:val="3F21764F"/>
    <w:rsid w:val="3F225C99"/>
    <w:rsid w:val="3F270382"/>
    <w:rsid w:val="3F4D34B9"/>
    <w:rsid w:val="3F5C61BC"/>
    <w:rsid w:val="3F821E5A"/>
    <w:rsid w:val="3F826617"/>
    <w:rsid w:val="3F882148"/>
    <w:rsid w:val="3FAD5B09"/>
    <w:rsid w:val="3FAF5707"/>
    <w:rsid w:val="3FC76E01"/>
    <w:rsid w:val="3FD61700"/>
    <w:rsid w:val="3FD85683"/>
    <w:rsid w:val="3FFB4C8A"/>
    <w:rsid w:val="3FFF6096"/>
    <w:rsid w:val="40044B90"/>
    <w:rsid w:val="40153FD6"/>
    <w:rsid w:val="402042D4"/>
    <w:rsid w:val="40273D0A"/>
    <w:rsid w:val="40297A82"/>
    <w:rsid w:val="40300E10"/>
    <w:rsid w:val="40310071"/>
    <w:rsid w:val="4045485F"/>
    <w:rsid w:val="40730CFD"/>
    <w:rsid w:val="40752CC7"/>
    <w:rsid w:val="40A01D3A"/>
    <w:rsid w:val="40C652D1"/>
    <w:rsid w:val="40C92CD2"/>
    <w:rsid w:val="40EE1315"/>
    <w:rsid w:val="410B7187"/>
    <w:rsid w:val="411249BA"/>
    <w:rsid w:val="414172BF"/>
    <w:rsid w:val="41596145"/>
    <w:rsid w:val="416A190F"/>
    <w:rsid w:val="416E7E42"/>
    <w:rsid w:val="418770B8"/>
    <w:rsid w:val="41B6712E"/>
    <w:rsid w:val="41BA6A45"/>
    <w:rsid w:val="41C85859"/>
    <w:rsid w:val="41CA339C"/>
    <w:rsid w:val="41D103D1"/>
    <w:rsid w:val="41D758D6"/>
    <w:rsid w:val="41DD28D2"/>
    <w:rsid w:val="41DF2F7B"/>
    <w:rsid w:val="41EC6AFF"/>
    <w:rsid w:val="41F63994"/>
    <w:rsid w:val="42277327"/>
    <w:rsid w:val="422F448D"/>
    <w:rsid w:val="42312C1E"/>
    <w:rsid w:val="42334BE8"/>
    <w:rsid w:val="42366258"/>
    <w:rsid w:val="42415557"/>
    <w:rsid w:val="424514EC"/>
    <w:rsid w:val="424C228D"/>
    <w:rsid w:val="424E40FE"/>
    <w:rsid w:val="42576B28"/>
    <w:rsid w:val="42613503"/>
    <w:rsid w:val="427E4A81"/>
    <w:rsid w:val="428C524B"/>
    <w:rsid w:val="42927D62"/>
    <w:rsid w:val="429A4C67"/>
    <w:rsid w:val="429B3874"/>
    <w:rsid w:val="429F5DD9"/>
    <w:rsid w:val="42AD499A"/>
    <w:rsid w:val="42B61086"/>
    <w:rsid w:val="42C26869"/>
    <w:rsid w:val="42DD6902"/>
    <w:rsid w:val="42ED02B3"/>
    <w:rsid w:val="42F97BDF"/>
    <w:rsid w:val="42FE6FA4"/>
    <w:rsid w:val="43040332"/>
    <w:rsid w:val="430F518E"/>
    <w:rsid w:val="43144A19"/>
    <w:rsid w:val="43152860"/>
    <w:rsid w:val="431762B8"/>
    <w:rsid w:val="431A4176"/>
    <w:rsid w:val="431B17D2"/>
    <w:rsid w:val="433C62B1"/>
    <w:rsid w:val="434A043B"/>
    <w:rsid w:val="43560B8E"/>
    <w:rsid w:val="43607C5E"/>
    <w:rsid w:val="43772A58"/>
    <w:rsid w:val="437E00E5"/>
    <w:rsid w:val="438761B4"/>
    <w:rsid w:val="4389474A"/>
    <w:rsid w:val="43923B90"/>
    <w:rsid w:val="43A4707C"/>
    <w:rsid w:val="43B43B06"/>
    <w:rsid w:val="43D67B4D"/>
    <w:rsid w:val="43D9531B"/>
    <w:rsid w:val="43DF0926"/>
    <w:rsid w:val="43F15324"/>
    <w:rsid w:val="440B706C"/>
    <w:rsid w:val="440D6621"/>
    <w:rsid w:val="44110F59"/>
    <w:rsid w:val="441A605F"/>
    <w:rsid w:val="441D70DF"/>
    <w:rsid w:val="441E176A"/>
    <w:rsid w:val="44292D63"/>
    <w:rsid w:val="443B0E5E"/>
    <w:rsid w:val="4445330B"/>
    <w:rsid w:val="44484B78"/>
    <w:rsid w:val="445826E4"/>
    <w:rsid w:val="445C06B9"/>
    <w:rsid w:val="445F3A72"/>
    <w:rsid w:val="446077EA"/>
    <w:rsid w:val="44665E49"/>
    <w:rsid w:val="446C618F"/>
    <w:rsid w:val="448F024A"/>
    <w:rsid w:val="449D27EC"/>
    <w:rsid w:val="44A86DE9"/>
    <w:rsid w:val="44B26298"/>
    <w:rsid w:val="44BE2E8F"/>
    <w:rsid w:val="44C86593"/>
    <w:rsid w:val="44D02189"/>
    <w:rsid w:val="44D73F50"/>
    <w:rsid w:val="44FC1D24"/>
    <w:rsid w:val="44FE1514"/>
    <w:rsid w:val="451008C2"/>
    <w:rsid w:val="451277B0"/>
    <w:rsid w:val="451505D5"/>
    <w:rsid w:val="45246F22"/>
    <w:rsid w:val="452470E5"/>
    <w:rsid w:val="45280308"/>
    <w:rsid w:val="45435142"/>
    <w:rsid w:val="45464C32"/>
    <w:rsid w:val="45492AC0"/>
    <w:rsid w:val="45513D03"/>
    <w:rsid w:val="45675331"/>
    <w:rsid w:val="458021A9"/>
    <w:rsid w:val="45834749"/>
    <w:rsid w:val="458D7ACD"/>
    <w:rsid w:val="45943BEF"/>
    <w:rsid w:val="45AB63C3"/>
    <w:rsid w:val="45C30031"/>
    <w:rsid w:val="45D73ADC"/>
    <w:rsid w:val="45D93CF8"/>
    <w:rsid w:val="45EE30CE"/>
    <w:rsid w:val="45F20395"/>
    <w:rsid w:val="45FE72BB"/>
    <w:rsid w:val="45FE7CC8"/>
    <w:rsid w:val="46053A9B"/>
    <w:rsid w:val="46121C64"/>
    <w:rsid w:val="46162856"/>
    <w:rsid w:val="462036D5"/>
    <w:rsid w:val="46226EB0"/>
    <w:rsid w:val="464F3CA4"/>
    <w:rsid w:val="4658671E"/>
    <w:rsid w:val="465C2A22"/>
    <w:rsid w:val="466E205D"/>
    <w:rsid w:val="467911B3"/>
    <w:rsid w:val="46812B8D"/>
    <w:rsid w:val="46832413"/>
    <w:rsid w:val="46885E2A"/>
    <w:rsid w:val="468B0932"/>
    <w:rsid w:val="469F2601"/>
    <w:rsid w:val="46A82FBF"/>
    <w:rsid w:val="46AB40C3"/>
    <w:rsid w:val="46BA58D8"/>
    <w:rsid w:val="46C439A8"/>
    <w:rsid w:val="46CC73B9"/>
    <w:rsid w:val="46CE7995"/>
    <w:rsid w:val="46D7323F"/>
    <w:rsid w:val="46E0501A"/>
    <w:rsid w:val="46FC1214"/>
    <w:rsid w:val="47021DBA"/>
    <w:rsid w:val="471F2FD5"/>
    <w:rsid w:val="475D3DAD"/>
    <w:rsid w:val="477535AD"/>
    <w:rsid w:val="479C5383"/>
    <w:rsid w:val="479F646B"/>
    <w:rsid w:val="47A56FB4"/>
    <w:rsid w:val="47AD7CF1"/>
    <w:rsid w:val="47D12ED9"/>
    <w:rsid w:val="47D67F88"/>
    <w:rsid w:val="4803505C"/>
    <w:rsid w:val="480831B5"/>
    <w:rsid w:val="480D66CD"/>
    <w:rsid w:val="480F105A"/>
    <w:rsid w:val="48194880"/>
    <w:rsid w:val="482849BA"/>
    <w:rsid w:val="483D056E"/>
    <w:rsid w:val="483F2BC9"/>
    <w:rsid w:val="485A1120"/>
    <w:rsid w:val="48761B9A"/>
    <w:rsid w:val="488C47BA"/>
    <w:rsid w:val="48945CB4"/>
    <w:rsid w:val="48A04659"/>
    <w:rsid w:val="48A7549C"/>
    <w:rsid w:val="48B545A9"/>
    <w:rsid w:val="48BA15B1"/>
    <w:rsid w:val="48BC5937"/>
    <w:rsid w:val="48D273AC"/>
    <w:rsid w:val="48D76D49"/>
    <w:rsid w:val="48E97759"/>
    <w:rsid w:val="491F1E48"/>
    <w:rsid w:val="49337978"/>
    <w:rsid w:val="494B0A69"/>
    <w:rsid w:val="495D26EB"/>
    <w:rsid w:val="49600707"/>
    <w:rsid w:val="49656EDC"/>
    <w:rsid w:val="49793828"/>
    <w:rsid w:val="4987138C"/>
    <w:rsid w:val="49883A6B"/>
    <w:rsid w:val="49A81A17"/>
    <w:rsid w:val="49B91793"/>
    <w:rsid w:val="49C37596"/>
    <w:rsid w:val="49CF169A"/>
    <w:rsid w:val="49D348F2"/>
    <w:rsid w:val="49E204D8"/>
    <w:rsid w:val="49FA66B9"/>
    <w:rsid w:val="4A0D3F70"/>
    <w:rsid w:val="4A103FF4"/>
    <w:rsid w:val="4A1277D9"/>
    <w:rsid w:val="4A190B67"/>
    <w:rsid w:val="4A541B9F"/>
    <w:rsid w:val="4A595408"/>
    <w:rsid w:val="4A5D0A54"/>
    <w:rsid w:val="4A666565"/>
    <w:rsid w:val="4A7B66E4"/>
    <w:rsid w:val="4A7D5113"/>
    <w:rsid w:val="4A7F4FCB"/>
    <w:rsid w:val="4A812A30"/>
    <w:rsid w:val="4A89523C"/>
    <w:rsid w:val="4AB019AF"/>
    <w:rsid w:val="4AC54E91"/>
    <w:rsid w:val="4AD5154D"/>
    <w:rsid w:val="4AEA3364"/>
    <w:rsid w:val="4AF73617"/>
    <w:rsid w:val="4B101F6A"/>
    <w:rsid w:val="4B593BC4"/>
    <w:rsid w:val="4B6A463C"/>
    <w:rsid w:val="4B902FB1"/>
    <w:rsid w:val="4B9E0E3F"/>
    <w:rsid w:val="4BB63B5B"/>
    <w:rsid w:val="4BB9615E"/>
    <w:rsid w:val="4BCC283D"/>
    <w:rsid w:val="4BD35E6D"/>
    <w:rsid w:val="4BDC1E4C"/>
    <w:rsid w:val="4BE1231B"/>
    <w:rsid w:val="4BE807F1"/>
    <w:rsid w:val="4BEE2CC8"/>
    <w:rsid w:val="4BFF5353"/>
    <w:rsid w:val="4C130973"/>
    <w:rsid w:val="4C1F6EFC"/>
    <w:rsid w:val="4C2F265F"/>
    <w:rsid w:val="4C5B5DF1"/>
    <w:rsid w:val="4C61157A"/>
    <w:rsid w:val="4C6D6DCE"/>
    <w:rsid w:val="4C752052"/>
    <w:rsid w:val="4C7D3694"/>
    <w:rsid w:val="4C9E7102"/>
    <w:rsid w:val="4C9F27AB"/>
    <w:rsid w:val="4CBD4A44"/>
    <w:rsid w:val="4CD40D75"/>
    <w:rsid w:val="4CD96FF5"/>
    <w:rsid w:val="4CDE3815"/>
    <w:rsid w:val="4D0D2958"/>
    <w:rsid w:val="4D145493"/>
    <w:rsid w:val="4D2D4855"/>
    <w:rsid w:val="4D393332"/>
    <w:rsid w:val="4D3B01A7"/>
    <w:rsid w:val="4D4746C5"/>
    <w:rsid w:val="4D4D1254"/>
    <w:rsid w:val="4D5A74CD"/>
    <w:rsid w:val="4D64659D"/>
    <w:rsid w:val="4D6759FB"/>
    <w:rsid w:val="4D6E3517"/>
    <w:rsid w:val="4DB639B0"/>
    <w:rsid w:val="4DB7491F"/>
    <w:rsid w:val="4DE70682"/>
    <w:rsid w:val="4DF53699"/>
    <w:rsid w:val="4DFD50C1"/>
    <w:rsid w:val="4E2B70BB"/>
    <w:rsid w:val="4E3F1F38"/>
    <w:rsid w:val="4E4645AE"/>
    <w:rsid w:val="4E496865"/>
    <w:rsid w:val="4E58321E"/>
    <w:rsid w:val="4E6B2193"/>
    <w:rsid w:val="4E824F2D"/>
    <w:rsid w:val="4E9B1B4B"/>
    <w:rsid w:val="4EB66985"/>
    <w:rsid w:val="4EB91CD7"/>
    <w:rsid w:val="4EDE7C89"/>
    <w:rsid w:val="4EE72FE2"/>
    <w:rsid w:val="4EFF135C"/>
    <w:rsid w:val="4F0E00E7"/>
    <w:rsid w:val="4F1E16AF"/>
    <w:rsid w:val="4F22412F"/>
    <w:rsid w:val="4F285863"/>
    <w:rsid w:val="4F2A1121"/>
    <w:rsid w:val="4F6264CF"/>
    <w:rsid w:val="4F6E6D3E"/>
    <w:rsid w:val="4F7F68E8"/>
    <w:rsid w:val="4F864B42"/>
    <w:rsid w:val="4F926200"/>
    <w:rsid w:val="4F9A0295"/>
    <w:rsid w:val="4FA1745C"/>
    <w:rsid w:val="4FA26F09"/>
    <w:rsid w:val="4FBA4253"/>
    <w:rsid w:val="4FC55461"/>
    <w:rsid w:val="4FCE7CFE"/>
    <w:rsid w:val="4FDC12AC"/>
    <w:rsid w:val="4FE20FB2"/>
    <w:rsid w:val="501C4F0D"/>
    <w:rsid w:val="502B7CA9"/>
    <w:rsid w:val="5038679F"/>
    <w:rsid w:val="50463D38"/>
    <w:rsid w:val="5047222E"/>
    <w:rsid w:val="5057300E"/>
    <w:rsid w:val="5060129E"/>
    <w:rsid w:val="50670571"/>
    <w:rsid w:val="5099655E"/>
    <w:rsid w:val="50B45146"/>
    <w:rsid w:val="50B95E75"/>
    <w:rsid w:val="50C54952"/>
    <w:rsid w:val="50CA6916"/>
    <w:rsid w:val="50CD6207"/>
    <w:rsid w:val="51015649"/>
    <w:rsid w:val="51034416"/>
    <w:rsid w:val="512151F2"/>
    <w:rsid w:val="512656C9"/>
    <w:rsid w:val="5139564B"/>
    <w:rsid w:val="5156444F"/>
    <w:rsid w:val="516B70CD"/>
    <w:rsid w:val="516C74EC"/>
    <w:rsid w:val="516E5337"/>
    <w:rsid w:val="517130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1FF6894"/>
    <w:rsid w:val="520D0FB1"/>
    <w:rsid w:val="521142C4"/>
    <w:rsid w:val="5224097B"/>
    <w:rsid w:val="522508B8"/>
    <w:rsid w:val="52291B63"/>
    <w:rsid w:val="523E1BC7"/>
    <w:rsid w:val="523F6E00"/>
    <w:rsid w:val="524B22B7"/>
    <w:rsid w:val="524D7600"/>
    <w:rsid w:val="52692D61"/>
    <w:rsid w:val="527728CF"/>
    <w:rsid w:val="528172AA"/>
    <w:rsid w:val="52833022"/>
    <w:rsid w:val="52B8492E"/>
    <w:rsid w:val="52CD201A"/>
    <w:rsid w:val="52DB316A"/>
    <w:rsid w:val="52DF5523"/>
    <w:rsid w:val="530C01BA"/>
    <w:rsid w:val="530F02BC"/>
    <w:rsid w:val="53130F14"/>
    <w:rsid w:val="531C6A38"/>
    <w:rsid w:val="53373E0C"/>
    <w:rsid w:val="534972AB"/>
    <w:rsid w:val="536966BB"/>
    <w:rsid w:val="5373169B"/>
    <w:rsid w:val="53747D16"/>
    <w:rsid w:val="5378497F"/>
    <w:rsid w:val="53B536AF"/>
    <w:rsid w:val="53C6061F"/>
    <w:rsid w:val="53E544DB"/>
    <w:rsid w:val="53F046E7"/>
    <w:rsid w:val="53F341D7"/>
    <w:rsid w:val="53F561A1"/>
    <w:rsid w:val="53F82EC8"/>
    <w:rsid w:val="540B1521"/>
    <w:rsid w:val="5415227F"/>
    <w:rsid w:val="542258CB"/>
    <w:rsid w:val="542D741B"/>
    <w:rsid w:val="543211F5"/>
    <w:rsid w:val="543640C4"/>
    <w:rsid w:val="544B4013"/>
    <w:rsid w:val="5456472A"/>
    <w:rsid w:val="54667951"/>
    <w:rsid w:val="546D5D37"/>
    <w:rsid w:val="5484718E"/>
    <w:rsid w:val="548C1FAB"/>
    <w:rsid w:val="549E4143"/>
    <w:rsid w:val="54B5148C"/>
    <w:rsid w:val="54E63064"/>
    <w:rsid w:val="54EC75A4"/>
    <w:rsid w:val="54F41028"/>
    <w:rsid w:val="54F75F49"/>
    <w:rsid w:val="54FE72D7"/>
    <w:rsid w:val="550F5D8E"/>
    <w:rsid w:val="552F326D"/>
    <w:rsid w:val="553D5D3A"/>
    <w:rsid w:val="554D7917"/>
    <w:rsid w:val="55654C60"/>
    <w:rsid w:val="55663533"/>
    <w:rsid w:val="556F6CD4"/>
    <w:rsid w:val="55782BE6"/>
    <w:rsid w:val="558B0806"/>
    <w:rsid w:val="55944949"/>
    <w:rsid w:val="559C154A"/>
    <w:rsid w:val="55A21094"/>
    <w:rsid w:val="55B24181"/>
    <w:rsid w:val="55B96238"/>
    <w:rsid w:val="55F94209"/>
    <w:rsid w:val="560501F2"/>
    <w:rsid w:val="56202E38"/>
    <w:rsid w:val="564447FE"/>
    <w:rsid w:val="56466840"/>
    <w:rsid w:val="565467A5"/>
    <w:rsid w:val="56644224"/>
    <w:rsid w:val="5666680E"/>
    <w:rsid w:val="5669634B"/>
    <w:rsid w:val="56735DD8"/>
    <w:rsid w:val="567A473C"/>
    <w:rsid w:val="567F7FA4"/>
    <w:rsid w:val="5685797A"/>
    <w:rsid w:val="568C1A21"/>
    <w:rsid w:val="569F4D37"/>
    <w:rsid w:val="56AB2F3F"/>
    <w:rsid w:val="56B04601"/>
    <w:rsid w:val="56C42FEC"/>
    <w:rsid w:val="56EA73AE"/>
    <w:rsid w:val="56F0657B"/>
    <w:rsid w:val="56F20621"/>
    <w:rsid w:val="56F20776"/>
    <w:rsid w:val="56F37AB8"/>
    <w:rsid w:val="56FC15F5"/>
    <w:rsid w:val="57122BC6"/>
    <w:rsid w:val="572D6623"/>
    <w:rsid w:val="57364C46"/>
    <w:rsid w:val="57435475"/>
    <w:rsid w:val="575A47E7"/>
    <w:rsid w:val="575C02E5"/>
    <w:rsid w:val="577473DD"/>
    <w:rsid w:val="57911484"/>
    <w:rsid w:val="57BE00CF"/>
    <w:rsid w:val="57C33EC0"/>
    <w:rsid w:val="57CF104F"/>
    <w:rsid w:val="57CF47C9"/>
    <w:rsid w:val="57D939CD"/>
    <w:rsid w:val="57FF0946"/>
    <w:rsid w:val="58075B26"/>
    <w:rsid w:val="580A355F"/>
    <w:rsid w:val="58127ED2"/>
    <w:rsid w:val="58172F6B"/>
    <w:rsid w:val="58281E5B"/>
    <w:rsid w:val="582C247D"/>
    <w:rsid w:val="583D29A8"/>
    <w:rsid w:val="58406187"/>
    <w:rsid w:val="58537A63"/>
    <w:rsid w:val="58643CC2"/>
    <w:rsid w:val="588075E9"/>
    <w:rsid w:val="588C2AEC"/>
    <w:rsid w:val="58AB32D2"/>
    <w:rsid w:val="58CA7BFC"/>
    <w:rsid w:val="58D740C7"/>
    <w:rsid w:val="58E80082"/>
    <w:rsid w:val="58E83887"/>
    <w:rsid w:val="58F90DE0"/>
    <w:rsid w:val="59106321"/>
    <w:rsid w:val="59140C82"/>
    <w:rsid w:val="59202A8D"/>
    <w:rsid w:val="59372DB8"/>
    <w:rsid w:val="593B01E1"/>
    <w:rsid w:val="59493F76"/>
    <w:rsid w:val="594F0101"/>
    <w:rsid w:val="59550FA6"/>
    <w:rsid w:val="595650B7"/>
    <w:rsid w:val="59576FB6"/>
    <w:rsid w:val="595C1075"/>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3D7F5A"/>
    <w:rsid w:val="5A405C9C"/>
    <w:rsid w:val="5A447687"/>
    <w:rsid w:val="5A4C2893"/>
    <w:rsid w:val="5A603305"/>
    <w:rsid w:val="5A701838"/>
    <w:rsid w:val="5A8156DE"/>
    <w:rsid w:val="5ABB3699"/>
    <w:rsid w:val="5ADF3707"/>
    <w:rsid w:val="5AE3249E"/>
    <w:rsid w:val="5AE56545"/>
    <w:rsid w:val="5AE76118"/>
    <w:rsid w:val="5AE92129"/>
    <w:rsid w:val="5AF102AB"/>
    <w:rsid w:val="5B093A9E"/>
    <w:rsid w:val="5B163201"/>
    <w:rsid w:val="5B1A473F"/>
    <w:rsid w:val="5B2E3D47"/>
    <w:rsid w:val="5B345801"/>
    <w:rsid w:val="5B37709F"/>
    <w:rsid w:val="5B4D4C9E"/>
    <w:rsid w:val="5B6149A2"/>
    <w:rsid w:val="5B636D7E"/>
    <w:rsid w:val="5B7A6DEA"/>
    <w:rsid w:val="5B7E6A7C"/>
    <w:rsid w:val="5BA20303"/>
    <w:rsid w:val="5BB26726"/>
    <w:rsid w:val="5BB926FC"/>
    <w:rsid w:val="5BD84A88"/>
    <w:rsid w:val="5BF54320"/>
    <w:rsid w:val="5C1633F6"/>
    <w:rsid w:val="5C246971"/>
    <w:rsid w:val="5C4867F4"/>
    <w:rsid w:val="5C6737F1"/>
    <w:rsid w:val="5C91458D"/>
    <w:rsid w:val="5C9C18B0"/>
    <w:rsid w:val="5C9E7970"/>
    <w:rsid w:val="5CBD1826"/>
    <w:rsid w:val="5CC37F37"/>
    <w:rsid w:val="5CE943C9"/>
    <w:rsid w:val="5CF8285E"/>
    <w:rsid w:val="5CF96FBB"/>
    <w:rsid w:val="5CFD1C22"/>
    <w:rsid w:val="5D044DFB"/>
    <w:rsid w:val="5D2A3C5C"/>
    <w:rsid w:val="5D2C42B6"/>
    <w:rsid w:val="5D2E4206"/>
    <w:rsid w:val="5D447851"/>
    <w:rsid w:val="5D486FBE"/>
    <w:rsid w:val="5D5D40F9"/>
    <w:rsid w:val="5D8B5480"/>
    <w:rsid w:val="5DA21809"/>
    <w:rsid w:val="5DAB5B22"/>
    <w:rsid w:val="5DD0374A"/>
    <w:rsid w:val="5DD064FA"/>
    <w:rsid w:val="5DDA30BD"/>
    <w:rsid w:val="5DE33611"/>
    <w:rsid w:val="5DEA03F9"/>
    <w:rsid w:val="5DEB5F1F"/>
    <w:rsid w:val="5DEB608F"/>
    <w:rsid w:val="5E033269"/>
    <w:rsid w:val="5E211941"/>
    <w:rsid w:val="5E2719AF"/>
    <w:rsid w:val="5E2C7B5F"/>
    <w:rsid w:val="5E2F405E"/>
    <w:rsid w:val="5E324AF8"/>
    <w:rsid w:val="5E37388C"/>
    <w:rsid w:val="5E49652D"/>
    <w:rsid w:val="5E55621E"/>
    <w:rsid w:val="5E556A51"/>
    <w:rsid w:val="5E6C7060"/>
    <w:rsid w:val="5E983083"/>
    <w:rsid w:val="5EA7453C"/>
    <w:rsid w:val="5EAD5A88"/>
    <w:rsid w:val="5EAE0F71"/>
    <w:rsid w:val="5ED27BE1"/>
    <w:rsid w:val="5ED35BB4"/>
    <w:rsid w:val="5ED75612"/>
    <w:rsid w:val="5F1F1B33"/>
    <w:rsid w:val="5F1F40D2"/>
    <w:rsid w:val="5F2136D8"/>
    <w:rsid w:val="5F2D0AE0"/>
    <w:rsid w:val="5F432EF8"/>
    <w:rsid w:val="5F47659C"/>
    <w:rsid w:val="5F4C72CA"/>
    <w:rsid w:val="5F526256"/>
    <w:rsid w:val="5F555D46"/>
    <w:rsid w:val="5F7E529D"/>
    <w:rsid w:val="5FB40CBE"/>
    <w:rsid w:val="5FC2239B"/>
    <w:rsid w:val="5FCA04E2"/>
    <w:rsid w:val="5FDF1F8A"/>
    <w:rsid w:val="5FE356A8"/>
    <w:rsid w:val="5FF40024"/>
    <w:rsid w:val="602676E1"/>
    <w:rsid w:val="602E4F74"/>
    <w:rsid w:val="602F47E9"/>
    <w:rsid w:val="603418A5"/>
    <w:rsid w:val="60366D51"/>
    <w:rsid w:val="604D4C6F"/>
    <w:rsid w:val="606C131B"/>
    <w:rsid w:val="608C39E9"/>
    <w:rsid w:val="60936B26"/>
    <w:rsid w:val="60A457EB"/>
    <w:rsid w:val="60A74497"/>
    <w:rsid w:val="60A96349"/>
    <w:rsid w:val="60B61030"/>
    <w:rsid w:val="60BE1C9B"/>
    <w:rsid w:val="60C356C4"/>
    <w:rsid w:val="60DD5FF3"/>
    <w:rsid w:val="60E92BEA"/>
    <w:rsid w:val="60FF41BB"/>
    <w:rsid w:val="61020C7F"/>
    <w:rsid w:val="6110461A"/>
    <w:rsid w:val="612B3202"/>
    <w:rsid w:val="612C0D28"/>
    <w:rsid w:val="61406582"/>
    <w:rsid w:val="61483DB4"/>
    <w:rsid w:val="61543299"/>
    <w:rsid w:val="61592960"/>
    <w:rsid w:val="615A5A4D"/>
    <w:rsid w:val="61706E67"/>
    <w:rsid w:val="61AC41D6"/>
    <w:rsid w:val="61B50223"/>
    <w:rsid w:val="61D70DF9"/>
    <w:rsid w:val="61D77A00"/>
    <w:rsid w:val="61EE148D"/>
    <w:rsid w:val="621B3277"/>
    <w:rsid w:val="6228211F"/>
    <w:rsid w:val="6229771A"/>
    <w:rsid w:val="622C555D"/>
    <w:rsid w:val="623563AE"/>
    <w:rsid w:val="623B7475"/>
    <w:rsid w:val="62487DE4"/>
    <w:rsid w:val="626478C2"/>
    <w:rsid w:val="626529F4"/>
    <w:rsid w:val="626C4988"/>
    <w:rsid w:val="62854B94"/>
    <w:rsid w:val="629C7E91"/>
    <w:rsid w:val="62DA4EE0"/>
    <w:rsid w:val="62E224E8"/>
    <w:rsid w:val="62FE497B"/>
    <w:rsid w:val="62FF03D9"/>
    <w:rsid w:val="62FF64C2"/>
    <w:rsid w:val="630E4B89"/>
    <w:rsid w:val="6313016A"/>
    <w:rsid w:val="631A52DC"/>
    <w:rsid w:val="63352116"/>
    <w:rsid w:val="63377DE5"/>
    <w:rsid w:val="633C769A"/>
    <w:rsid w:val="63452A53"/>
    <w:rsid w:val="635B58F5"/>
    <w:rsid w:val="637531A0"/>
    <w:rsid w:val="63966FB4"/>
    <w:rsid w:val="63973036"/>
    <w:rsid w:val="639B6291"/>
    <w:rsid w:val="639C2D33"/>
    <w:rsid w:val="63A105E6"/>
    <w:rsid w:val="63AD6150"/>
    <w:rsid w:val="63C82F8A"/>
    <w:rsid w:val="63C96D02"/>
    <w:rsid w:val="63D36046"/>
    <w:rsid w:val="63D6255C"/>
    <w:rsid w:val="63D86F45"/>
    <w:rsid w:val="63E61F5F"/>
    <w:rsid w:val="63F00811"/>
    <w:rsid w:val="63F657AA"/>
    <w:rsid w:val="64124205"/>
    <w:rsid w:val="64144421"/>
    <w:rsid w:val="643A7DF2"/>
    <w:rsid w:val="644D7933"/>
    <w:rsid w:val="645152C2"/>
    <w:rsid w:val="64607667"/>
    <w:rsid w:val="64800394"/>
    <w:rsid w:val="648814BB"/>
    <w:rsid w:val="648F3AA8"/>
    <w:rsid w:val="64975171"/>
    <w:rsid w:val="64990483"/>
    <w:rsid w:val="64A15589"/>
    <w:rsid w:val="64AA0614"/>
    <w:rsid w:val="64AB4ABB"/>
    <w:rsid w:val="64AF7CA6"/>
    <w:rsid w:val="64BE5FF1"/>
    <w:rsid w:val="64C549E2"/>
    <w:rsid w:val="64D4770D"/>
    <w:rsid w:val="64E831B8"/>
    <w:rsid w:val="64EA2425"/>
    <w:rsid w:val="64F1206D"/>
    <w:rsid w:val="64F25DE5"/>
    <w:rsid w:val="65031DA0"/>
    <w:rsid w:val="65220A06"/>
    <w:rsid w:val="65384140"/>
    <w:rsid w:val="653A1C66"/>
    <w:rsid w:val="65426D6C"/>
    <w:rsid w:val="654B0EF9"/>
    <w:rsid w:val="654F3237"/>
    <w:rsid w:val="65540C76"/>
    <w:rsid w:val="656E7B61"/>
    <w:rsid w:val="65707FBA"/>
    <w:rsid w:val="657753A5"/>
    <w:rsid w:val="657A5833"/>
    <w:rsid w:val="65812DF0"/>
    <w:rsid w:val="65842EE1"/>
    <w:rsid w:val="659B022A"/>
    <w:rsid w:val="65A767B0"/>
    <w:rsid w:val="65AE3104"/>
    <w:rsid w:val="65B838A4"/>
    <w:rsid w:val="65C94D98"/>
    <w:rsid w:val="65D025CA"/>
    <w:rsid w:val="6602534E"/>
    <w:rsid w:val="66065FEC"/>
    <w:rsid w:val="660A5F17"/>
    <w:rsid w:val="66332DC3"/>
    <w:rsid w:val="6639006E"/>
    <w:rsid w:val="663C7C5F"/>
    <w:rsid w:val="663F7785"/>
    <w:rsid w:val="664804B3"/>
    <w:rsid w:val="665E7BD6"/>
    <w:rsid w:val="66632EA0"/>
    <w:rsid w:val="66633E9A"/>
    <w:rsid w:val="66656C51"/>
    <w:rsid w:val="66664CDC"/>
    <w:rsid w:val="666B5E4F"/>
    <w:rsid w:val="668D3AA7"/>
    <w:rsid w:val="668D6304"/>
    <w:rsid w:val="669C6028"/>
    <w:rsid w:val="669F0689"/>
    <w:rsid w:val="66A87A0F"/>
    <w:rsid w:val="66B20509"/>
    <w:rsid w:val="66C50541"/>
    <w:rsid w:val="66C509D5"/>
    <w:rsid w:val="66DA2CB3"/>
    <w:rsid w:val="66DF3B52"/>
    <w:rsid w:val="66F40793"/>
    <w:rsid w:val="670E33AA"/>
    <w:rsid w:val="6717038D"/>
    <w:rsid w:val="671706D3"/>
    <w:rsid w:val="672F48CC"/>
    <w:rsid w:val="6730396A"/>
    <w:rsid w:val="67346B89"/>
    <w:rsid w:val="6751773B"/>
    <w:rsid w:val="677B5B6F"/>
    <w:rsid w:val="67801EB9"/>
    <w:rsid w:val="67835E6F"/>
    <w:rsid w:val="67A71109"/>
    <w:rsid w:val="67BD4548"/>
    <w:rsid w:val="67C76B2D"/>
    <w:rsid w:val="67CE0D8B"/>
    <w:rsid w:val="67E933F9"/>
    <w:rsid w:val="67EE2A60"/>
    <w:rsid w:val="68036CFD"/>
    <w:rsid w:val="681A38D9"/>
    <w:rsid w:val="68324E76"/>
    <w:rsid w:val="6839795B"/>
    <w:rsid w:val="683E5252"/>
    <w:rsid w:val="68456C28"/>
    <w:rsid w:val="684C67E9"/>
    <w:rsid w:val="685118DE"/>
    <w:rsid w:val="685E101E"/>
    <w:rsid w:val="688233FF"/>
    <w:rsid w:val="68883E6D"/>
    <w:rsid w:val="68AD6BF3"/>
    <w:rsid w:val="68D56A00"/>
    <w:rsid w:val="68DA1F54"/>
    <w:rsid w:val="68EB078F"/>
    <w:rsid w:val="69280C5E"/>
    <w:rsid w:val="693A3226"/>
    <w:rsid w:val="693B7D5A"/>
    <w:rsid w:val="693E4935"/>
    <w:rsid w:val="694D54E1"/>
    <w:rsid w:val="699944EC"/>
    <w:rsid w:val="69995724"/>
    <w:rsid w:val="69B47EE5"/>
    <w:rsid w:val="69C4686C"/>
    <w:rsid w:val="6A176F2F"/>
    <w:rsid w:val="6A23687A"/>
    <w:rsid w:val="6A240036"/>
    <w:rsid w:val="6A372756"/>
    <w:rsid w:val="6A3B19C7"/>
    <w:rsid w:val="6A4B5F33"/>
    <w:rsid w:val="6A577BBA"/>
    <w:rsid w:val="6A590439"/>
    <w:rsid w:val="6A597D4C"/>
    <w:rsid w:val="6A680FC7"/>
    <w:rsid w:val="6A880A74"/>
    <w:rsid w:val="6A942216"/>
    <w:rsid w:val="6A9B0075"/>
    <w:rsid w:val="6AB853DB"/>
    <w:rsid w:val="6AC51D73"/>
    <w:rsid w:val="6AC82C33"/>
    <w:rsid w:val="6AD67F71"/>
    <w:rsid w:val="6AE213F9"/>
    <w:rsid w:val="6AE85CC0"/>
    <w:rsid w:val="6AF7771D"/>
    <w:rsid w:val="6B036F9E"/>
    <w:rsid w:val="6B1765A5"/>
    <w:rsid w:val="6B311795"/>
    <w:rsid w:val="6B4D0219"/>
    <w:rsid w:val="6BA17867"/>
    <w:rsid w:val="6BA8544F"/>
    <w:rsid w:val="6BB141CE"/>
    <w:rsid w:val="6BBA58AE"/>
    <w:rsid w:val="6BBE4C73"/>
    <w:rsid w:val="6BD45513"/>
    <w:rsid w:val="6BEE7306"/>
    <w:rsid w:val="6BEF0C80"/>
    <w:rsid w:val="6BF41DBA"/>
    <w:rsid w:val="6C102618"/>
    <w:rsid w:val="6C1D408F"/>
    <w:rsid w:val="6C1F3963"/>
    <w:rsid w:val="6C1F5711"/>
    <w:rsid w:val="6C2A0D97"/>
    <w:rsid w:val="6C3664AD"/>
    <w:rsid w:val="6C3D203B"/>
    <w:rsid w:val="6C477211"/>
    <w:rsid w:val="6C62746F"/>
    <w:rsid w:val="6C7B0D4F"/>
    <w:rsid w:val="6C7C7008"/>
    <w:rsid w:val="6C7F575C"/>
    <w:rsid w:val="6CA36342"/>
    <w:rsid w:val="6CAB3449"/>
    <w:rsid w:val="6CAD0F6F"/>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85E21"/>
    <w:rsid w:val="6D651B39"/>
    <w:rsid w:val="6D737889"/>
    <w:rsid w:val="6D787B59"/>
    <w:rsid w:val="6D7F4662"/>
    <w:rsid w:val="6D832E39"/>
    <w:rsid w:val="6D8A7542"/>
    <w:rsid w:val="6D916E4E"/>
    <w:rsid w:val="6DB3108B"/>
    <w:rsid w:val="6DBD5004"/>
    <w:rsid w:val="6DC63E68"/>
    <w:rsid w:val="6DCF4F15"/>
    <w:rsid w:val="6DD447A6"/>
    <w:rsid w:val="6DE9247B"/>
    <w:rsid w:val="6DEF4626"/>
    <w:rsid w:val="6E066FBB"/>
    <w:rsid w:val="6E0C7F17"/>
    <w:rsid w:val="6E1152C9"/>
    <w:rsid w:val="6E4A52DC"/>
    <w:rsid w:val="6E531FEA"/>
    <w:rsid w:val="6E5C6B75"/>
    <w:rsid w:val="6E6D037E"/>
    <w:rsid w:val="6E95214E"/>
    <w:rsid w:val="6E9B7282"/>
    <w:rsid w:val="6EA3225C"/>
    <w:rsid w:val="6EA84CF4"/>
    <w:rsid w:val="6EAC10F7"/>
    <w:rsid w:val="6EB135A6"/>
    <w:rsid w:val="6EE747F2"/>
    <w:rsid w:val="6F003A11"/>
    <w:rsid w:val="6F0A08FB"/>
    <w:rsid w:val="6F153111"/>
    <w:rsid w:val="6F3B3D99"/>
    <w:rsid w:val="6F415A91"/>
    <w:rsid w:val="6F5479EB"/>
    <w:rsid w:val="6F5558BD"/>
    <w:rsid w:val="6F5C177F"/>
    <w:rsid w:val="6F5E47A3"/>
    <w:rsid w:val="6F6373A3"/>
    <w:rsid w:val="6F6B6EC0"/>
    <w:rsid w:val="6F866FBD"/>
    <w:rsid w:val="6F870169"/>
    <w:rsid w:val="6F8B1310"/>
    <w:rsid w:val="6F914B78"/>
    <w:rsid w:val="6F927913"/>
    <w:rsid w:val="6F9D176F"/>
    <w:rsid w:val="6F9E1043"/>
    <w:rsid w:val="6FA13625"/>
    <w:rsid w:val="6FA77FDB"/>
    <w:rsid w:val="6FBB1BF5"/>
    <w:rsid w:val="6FBB5193"/>
    <w:rsid w:val="6FDE7692"/>
    <w:rsid w:val="6FE3114C"/>
    <w:rsid w:val="6FE77690"/>
    <w:rsid w:val="6FE949B4"/>
    <w:rsid w:val="6FF6159B"/>
    <w:rsid w:val="6FF8081F"/>
    <w:rsid w:val="70032313"/>
    <w:rsid w:val="70057314"/>
    <w:rsid w:val="700A492A"/>
    <w:rsid w:val="701049D0"/>
    <w:rsid w:val="701653C9"/>
    <w:rsid w:val="70195AED"/>
    <w:rsid w:val="702F13E2"/>
    <w:rsid w:val="70335C2F"/>
    <w:rsid w:val="704C1556"/>
    <w:rsid w:val="705D5373"/>
    <w:rsid w:val="707D50FC"/>
    <w:rsid w:val="707E0FD5"/>
    <w:rsid w:val="70867402"/>
    <w:rsid w:val="70A408DB"/>
    <w:rsid w:val="70A95654"/>
    <w:rsid w:val="70C04599"/>
    <w:rsid w:val="70C312D3"/>
    <w:rsid w:val="70D43718"/>
    <w:rsid w:val="70F73101"/>
    <w:rsid w:val="7116172E"/>
    <w:rsid w:val="71241D10"/>
    <w:rsid w:val="712437CA"/>
    <w:rsid w:val="712D0854"/>
    <w:rsid w:val="713B389B"/>
    <w:rsid w:val="7142463B"/>
    <w:rsid w:val="71601B2E"/>
    <w:rsid w:val="71816E6E"/>
    <w:rsid w:val="71910D2E"/>
    <w:rsid w:val="719A1ED8"/>
    <w:rsid w:val="71AC2056"/>
    <w:rsid w:val="71C1345D"/>
    <w:rsid w:val="71C51099"/>
    <w:rsid w:val="71CB2462"/>
    <w:rsid w:val="71D445CE"/>
    <w:rsid w:val="71DA38CD"/>
    <w:rsid w:val="71E25B41"/>
    <w:rsid w:val="71F650B9"/>
    <w:rsid w:val="720F6001"/>
    <w:rsid w:val="72473CB6"/>
    <w:rsid w:val="72686E3D"/>
    <w:rsid w:val="727A26CE"/>
    <w:rsid w:val="72983176"/>
    <w:rsid w:val="72AB51FE"/>
    <w:rsid w:val="72BE2D27"/>
    <w:rsid w:val="72D92A8F"/>
    <w:rsid w:val="72DA2EC0"/>
    <w:rsid w:val="72E70F53"/>
    <w:rsid w:val="72F739A7"/>
    <w:rsid w:val="73016068"/>
    <w:rsid w:val="73320420"/>
    <w:rsid w:val="73504D4A"/>
    <w:rsid w:val="7363682B"/>
    <w:rsid w:val="73816CB2"/>
    <w:rsid w:val="73893830"/>
    <w:rsid w:val="738C238F"/>
    <w:rsid w:val="73A125FD"/>
    <w:rsid w:val="73A3604A"/>
    <w:rsid w:val="73C03C7E"/>
    <w:rsid w:val="73C81640"/>
    <w:rsid w:val="73CD6A9A"/>
    <w:rsid w:val="73DD6D17"/>
    <w:rsid w:val="73DF015D"/>
    <w:rsid w:val="73E2776E"/>
    <w:rsid w:val="73F52103"/>
    <w:rsid w:val="73FE0302"/>
    <w:rsid w:val="74022067"/>
    <w:rsid w:val="74097116"/>
    <w:rsid w:val="740A4EF9"/>
    <w:rsid w:val="740A7DB8"/>
    <w:rsid w:val="740E54D1"/>
    <w:rsid w:val="741B5358"/>
    <w:rsid w:val="742170E9"/>
    <w:rsid w:val="745B4F58"/>
    <w:rsid w:val="74784559"/>
    <w:rsid w:val="747B5DF7"/>
    <w:rsid w:val="74852209"/>
    <w:rsid w:val="748527D2"/>
    <w:rsid w:val="74921493"/>
    <w:rsid w:val="749E5641"/>
    <w:rsid w:val="74A509B1"/>
    <w:rsid w:val="74B01B4A"/>
    <w:rsid w:val="74CA3328"/>
    <w:rsid w:val="74DF4B7F"/>
    <w:rsid w:val="74DF4EF4"/>
    <w:rsid w:val="74EC2851"/>
    <w:rsid w:val="74F11C15"/>
    <w:rsid w:val="74F62CED"/>
    <w:rsid w:val="74F83595"/>
    <w:rsid w:val="7510653F"/>
    <w:rsid w:val="75120509"/>
    <w:rsid w:val="75133BF1"/>
    <w:rsid w:val="7518727D"/>
    <w:rsid w:val="752173ED"/>
    <w:rsid w:val="752217A7"/>
    <w:rsid w:val="75355FA6"/>
    <w:rsid w:val="75370EA5"/>
    <w:rsid w:val="7538094B"/>
    <w:rsid w:val="754730F9"/>
    <w:rsid w:val="754937FF"/>
    <w:rsid w:val="75502B1F"/>
    <w:rsid w:val="75544BB9"/>
    <w:rsid w:val="75752A67"/>
    <w:rsid w:val="75881F6D"/>
    <w:rsid w:val="758962F1"/>
    <w:rsid w:val="75D35377"/>
    <w:rsid w:val="75D51537"/>
    <w:rsid w:val="75D91027"/>
    <w:rsid w:val="75F93477"/>
    <w:rsid w:val="76063D02"/>
    <w:rsid w:val="76104493"/>
    <w:rsid w:val="762D1373"/>
    <w:rsid w:val="7631116A"/>
    <w:rsid w:val="76312C11"/>
    <w:rsid w:val="76345B3A"/>
    <w:rsid w:val="764346F2"/>
    <w:rsid w:val="76454D95"/>
    <w:rsid w:val="76544B51"/>
    <w:rsid w:val="767317AC"/>
    <w:rsid w:val="7686064F"/>
    <w:rsid w:val="769474D0"/>
    <w:rsid w:val="769E4F43"/>
    <w:rsid w:val="76B37E99"/>
    <w:rsid w:val="76B858B5"/>
    <w:rsid w:val="76BF021D"/>
    <w:rsid w:val="76DF0673"/>
    <w:rsid w:val="77176354"/>
    <w:rsid w:val="773310E1"/>
    <w:rsid w:val="773D3F97"/>
    <w:rsid w:val="774910E8"/>
    <w:rsid w:val="774950AA"/>
    <w:rsid w:val="774A0F8C"/>
    <w:rsid w:val="774A385E"/>
    <w:rsid w:val="77535F52"/>
    <w:rsid w:val="776D232C"/>
    <w:rsid w:val="77951A25"/>
    <w:rsid w:val="77960CE5"/>
    <w:rsid w:val="77C95C94"/>
    <w:rsid w:val="77CB650B"/>
    <w:rsid w:val="77CC2A1C"/>
    <w:rsid w:val="77CE4490"/>
    <w:rsid w:val="77D82698"/>
    <w:rsid w:val="77DA1086"/>
    <w:rsid w:val="77E67A2B"/>
    <w:rsid w:val="78042DEB"/>
    <w:rsid w:val="78175E36"/>
    <w:rsid w:val="78261305"/>
    <w:rsid w:val="784974F5"/>
    <w:rsid w:val="784B19A6"/>
    <w:rsid w:val="78540E39"/>
    <w:rsid w:val="78681083"/>
    <w:rsid w:val="7875067F"/>
    <w:rsid w:val="788B24B1"/>
    <w:rsid w:val="789079E5"/>
    <w:rsid w:val="7891016B"/>
    <w:rsid w:val="78A04C44"/>
    <w:rsid w:val="78C338C8"/>
    <w:rsid w:val="78E72828"/>
    <w:rsid w:val="78EA7B9F"/>
    <w:rsid w:val="790E0E19"/>
    <w:rsid w:val="79224F56"/>
    <w:rsid w:val="792E100D"/>
    <w:rsid w:val="79336CA0"/>
    <w:rsid w:val="793A7966"/>
    <w:rsid w:val="793B1C09"/>
    <w:rsid w:val="7947274B"/>
    <w:rsid w:val="79BA79F3"/>
    <w:rsid w:val="79BB215E"/>
    <w:rsid w:val="79D87646"/>
    <w:rsid w:val="79E20998"/>
    <w:rsid w:val="79E82BC7"/>
    <w:rsid w:val="79F226B7"/>
    <w:rsid w:val="79F3642F"/>
    <w:rsid w:val="7A1067EC"/>
    <w:rsid w:val="7A192CE7"/>
    <w:rsid w:val="7A2E2EA3"/>
    <w:rsid w:val="7A3007C8"/>
    <w:rsid w:val="7A3231AD"/>
    <w:rsid w:val="7A460C55"/>
    <w:rsid w:val="7A4A77F3"/>
    <w:rsid w:val="7A5A72EE"/>
    <w:rsid w:val="7A805F15"/>
    <w:rsid w:val="7A844288"/>
    <w:rsid w:val="7AA82540"/>
    <w:rsid w:val="7AB931D5"/>
    <w:rsid w:val="7AD63D87"/>
    <w:rsid w:val="7ADC02AF"/>
    <w:rsid w:val="7AE56AF0"/>
    <w:rsid w:val="7B0012E6"/>
    <w:rsid w:val="7B002DC3"/>
    <w:rsid w:val="7B080E99"/>
    <w:rsid w:val="7B0C23FF"/>
    <w:rsid w:val="7B110428"/>
    <w:rsid w:val="7B113011"/>
    <w:rsid w:val="7B205002"/>
    <w:rsid w:val="7B220D7A"/>
    <w:rsid w:val="7B2F5349"/>
    <w:rsid w:val="7B5666FB"/>
    <w:rsid w:val="7B5C232E"/>
    <w:rsid w:val="7B5E12BB"/>
    <w:rsid w:val="7B605171"/>
    <w:rsid w:val="7B637C47"/>
    <w:rsid w:val="7BA14395"/>
    <w:rsid w:val="7BA43E85"/>
    <w:rsid w:val="7BBF4208"/>
    <w:rsid w:val="7BC0312E"/>
    <w:rsid w:val="7BC62E25"/>
    <w:rsid w:val="7BD02203"/>
    <w:rsid w:val="7BD22006"/>
    <w:rsid w:val="7BE349AD"/>
    <w:rsid w:val="7BFC0690"/>
    <w:rsid w:val="7BFE17E7"/>
    <w:rsid w:val="7C013085"/>
    <w:rsid w:val="7C0E2B1C"/>
    <w:rsid w:val="7C0E57A2"/>
    <w:rsid w:val="7C151079"/>
    <w:rsid w:val="7C2253BC"/>
    <w:rsid w:val="7C2E374F"/>
    <w:rsid w:val="7C4756C9"/>
    <w:rsid w:val="7C582C3F"/>
    <w:rsid w:val="7C593EE8"/>
    <w:rsid w:val="7C753C13"/>
    <w:rsid w:val="7C7A6994"/>
    <w:rsid w:val="7C855A65"/>
    <w:rsid w:val="7C9932BE"/>
    <w:rsid w:val="7C9B286D"/>
    <w:rsid w:val="7C9B7FF0"/>
    <w:rsid w:val="7CB53251"/>
    <w:rsid w:val="7CB62D19"/>
    <w:rsid w:val="7CD25682"/>
    <w:rsid w:val="7CD80937"/>
    <w:rsid w:val="7CD93821"/>
    <w:rsid w:val="7CD95805"/>
    <w:rsid w:val="7D13314E"/>
    <w:rsid w:val="7D230DDA"/>
    <w:rsid w:val="7D365DD8"/>
    <w:rsid w:val="7D3A23FC"/>
    <w:rsid w:val="7D625FC7"/>
    <w:rsid w:val="7D650CA3"/>
    <w:rsid w:val="7D6A0419"/>
    <w:rsid w:val="7D6B6B06"/>
    <w:rsid w:val="7D6B7727"/>
    <w:rsid w:val="7D7A5D33"/>
    <w:rsid w:val="7DB12889"/>
    <w:rsid w:val="7DB52379"/>
    <w:rsid w:val="7DBC3708"/>
    <w:rsid w:val="7DD018F6"/>
    <w:rsid w:val="7DD4016C"/>
    <w:rsid w:val="7DEC566F"/>
    <w:rsid w:val="7DEE5D3D"/>
    <w:rsid w:val="7E107758"/>
    <w:rsid w:val="7E167D92"/>
    <w:rsid w:val="7E1A50EB"/>
    <w:rsid w:val="7E1D2CB4"/>
    <w:rsid w:val="7E222BD7"/>
    <w:rsid w:val="7E24305B"/>
    <w:rsid w:val="7E290672"/>
    <w:rsid w:val="7E4266E2"/>
    <w:rsid w:val="7E576F8D"/>
    <w:rsid w:val="7E595AD8"/>
    <w:rsid w:val="7E682F48"/>
    <w:rsid w:val="7E6C2A49"/>
    <w:rsid w:val="7E6D4A02"/>
    <w:rsid w:val="7E722A66"/>
    <w:rsid w:val="7E794FBB"/>
    <w:rsid w:val="7E806AA4"/>
    <w:rsid w:val="7E8F4979"/>
    <w:rsid w:val="7E9C305C"/>
    <w:rsid w:val="7EA06B86"/>
    <w:rsid w:val="7EA26042"/>
    <w:rsid w:val="7EAF6879"/>
    <w:rsid w:val="7EB45D48"/>
    <w:rsid w:val="7EC17031"/>
    <w:rsid w:val="7EEA7E01"/>
    <w:rsid w:val="7F0417A2"/>
    <w:rsid w:val="7F192494"/>
    <w:rsid w:val="7F360FA8"/>
    <w:rsid w:val="7F3D43D5"/>
    <w:rsid w:val="7F427C3D"/>
    <w:rsid w:val="7F517E80"/>
    <w:rsid w:val="7F673755"/>
    <w:rsid w:val="7F7211CD"/>
    <w:rsid w:val="7F8B3961"/>
    <w:rsid w:val="7F8F3102"/>
    <w:rsid w:val="7F9C0E05"/>
    <w:rsid w:val="7F9F140C"/>
    <w:rsid w:val="7FA53D28"/>
    <w:rsid w:val="7FA76140"/>
    <w:rsid w:val="7FC17096"/>
    <w:rsid w:val="7FE505C8"/>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autoRedefine/>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6"/>
    <w:autoRedefine/>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7"/>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58"/>
    <w:autoRedefine/>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autoRedefine/>
    <w:qFormat/>
    <w:uiPriority w:val="0"/>
    <w:pPr>
      <w:keepNext/>
      <w:keepLines/>
      <w:spacing w:before="240" w:after="64" w:line="320" w:lineRule="auto"/>
      <w:outlineLvl w:val="6"/>
    </w:pPr>
    <w:rPr>
      <w:b/>
      <w:bCs/>
      <w:sz w:val="24"/>
    </w:rPr>
  </w:style>
  <w:style w:type="character" w:default="1" w:styleId="37">
    <w:name w:val="Default Paragraph Font"/>
    <w:autoRedefine/>
    <w:semiHidden/>
    <w:qFormat/>
    <w:uiPriority w:val="0"/>
  </w:style>
  <w:style w:type="table" w:default="1" w:styleId="35">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autoRedefine/>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autoRedefine/>
    <w:qFormat/>
    <w:uiPriority w:val="0"/>
    <w:pPr>
      <w:adjustRightInd w:val="0"/>
      <w:spacing w:line="360" w:lineRule="atLeast"/>
      <w:ind w:firstLine="482"/>
      <w:textAlignment w:val="baseline"/>
    </w:pPr>
    <w:rPr>
      <w:kern w:val="0"/>
      <w:sz w:val="24"/>
      <w:szCs w:val="20"/>
    </w:rPr>
  </w:style>
  <w:style w:type="paragraph" w:styleId="12">
    <w:name w:val="annotation text"/>
    <w:basedOn w:val="1"/>
    <w:link w:val="60"/>
    <w:autoRedefine/>
    <w:qFormat/>
    <w:uiPriority w:val="0"/>
    <w:pPr>
      <w:jc w:val="left"/>
    </w:pPr>
  </w:style>
  <w:style w:type="paragraph" w:styleId="13">
    <w:name w:val="Body Text"/>
    <w:basedOn w:val="1"/>
    <w:autoRedefine/>
    <w:semiHidden/>
    <w:qFormat/>
    <w:uiPriority w:val="0"/>
    <w:pPr>
      <w:spacing w:after="120"/>
    </w:pPr>
  </w:style>
  <w:style w:type="paragraph" w:styleId="14">
    <w:name w:val="Body Text Indent"/>
    <w:basedOn w:val="1"/>
    <w:next w:val="15"/>
    <w:link w:val="53"/>
    <w:autoRedefine/>
    <w:qFormat/>
    <w:uiPriority w:val="0"/>
    <w:pPr>
      <w:spacing w:after="120"/>
      <w:ind w:left="200" w:leftChars="200"/>
    </w:pPr>
  </w:style>
  <w:style w:type="paragraph" w:styleId="15">
    <w:name w:val="envelope return"/>
    <w:basedOn w:val="1"/>
    <w:next w:val="9"/>
    <w:autoRedefine/>
    <w:qFormat/>
    <w:uiPriority w:val="0"/>
    <w:pPr>
      <w:snapToGrid w:val="0"/>
    </w:pPr>
    <w:rPr>
      <w:rFonts w:ascii="Arial" w:hAnsi="Arial"/>
    </w:rPr>
  </w:style>
  <w:style w:type="paragraph" w:styleId="16">
    <w:name w:val="toc 3"/>
    <w:basedOn w:val="1"/>
    <w:next w:val="1"/>
    <w:autoRedefine/>
    <w:qFormat/>
    <w:uiPriority w:val="39"/>
    <w:pPr>
      <w:tabs>
        <w:tab w:val="right" w:leader="dot" w:pos="9288"/>
      </w:tabs>
      <w:ind w:left="400" w:leftChars="400"/>
    </w:pPr>
    <w:rPr>
      <w:rFonts w:ascii="宋体"/>
    </w:rPr>
  </w:style>
  <w:style w:type="paragraph" w:styleId="17">
    <w:name w:val="Plain Text"/>
    <w:basedOn w:val="1"/>
    <w:next w:val="1"/>
    <w:link w:val="61"/>
    <w:autoRedefine/>
    <w:qFormat/>
    <w:uiPriority w:val="99"/>
    <w:rPr>
      <w:rFonts w:ascii="宋体"/>
      <w:color w:val="000000"/>
      <w:szCs w:val="20"/>
      <w:u w:val="none" w:color="000000"/>
    </w:rPr>
  </w:style>
  <w:style w:type="paragraph" w:styleId="18">
    <w:name w:val="Date"/>
    <w:basedOn w:val="1"/>
    <w:next w:val="1"/>
    <w:link w:val="62"/>
    <w:autoRedefine/>
    <w:qFormat/>
    <w:uiPriority w:val="0"/>
    <w:rPr>
      <w:rFonts w:ascii="Arial" w:hAnsi="Arial" w:eastAsia="仿宋_GB2312"/>
      <w:color w:val="000000"/>
      <w:sz w:val="32"/>
      <w:szCs w:val="20"/>
      <w:u w:val="none" w:color="000000"/>
    </w:rPr>
  </w:style>
  <w:style w:type="paragraph" w:styleId="19">
    <w:name w:val="Body Text Indent 2"/>
    <w:basedOn w:val="1"/>
    <w:link w:val="63"/>
    <w:autoRedefine/>
    <w:qFormat/>
    <w:uiPriority w:val="0"/>
    <w:pPr>
      <w:spacing w:after="120" w:line="480" w:lineRule="auto"/>
      <w:ind w:left="420" w:leftChars="200"/>
    </w:pPr>
  </w:style>
  <w:style w:type="paragraph" w:styleId="20">
    <w:name w:val="endnote text"/>
    <w:basedOn w:val="1"/>
    <w:autoRedefine/>
    <w:qFormat/>
    <w:uiPriority w:val="99"/>
    <w:pPr>
      <w:snapToGrid w:val="0"/>
    </w:pPr>
    <w:rPr>
      <w:rFonts w:ascii="仿宋" w:hAnsi="仿宋"/>
    </w:rPr>
  </w:style>
  <w:style w:type="paragraph" w:styleId="21">
    <w:name w:val="Balloon Text"/>
    <w:basedOn w:val="1"/>
    <w:link w:val="64"/>
    <w:autoRedefine/>
    <w:qFormat/>
    <w:uiPriority w:val="0"/>
    <w:rPr>
      <w:sz w:val="18"/>
      <w:szCs w:val="18"/>
    </w:rPr>
  </w:style>
  <w:style w:type="paragraph" w:styleId="22">
    <w:name w:val="footer"/>
    <w:basedOn w:val="1"/>
    <w:link w:val="65"/>
    <w:autoRedefine/>
    <w:qFormat/>
    <w:uiPriority w:val="0"/>
    <w:pPr>
      <w:tabs>
        <w:tab w:val="center" w:pos="4153"/>
        <w:tab w:val="right" w:pos="8306"/>
      </w:tabs>
      <w:snapToGrid w:val="0"/>
      <w:jc w:val="left"/>
    </w:pPr>
    <w:rPr>
      <w:sz w:val="18"/>
      <w:szCs w:val="18"/>
    </w:rPr>
  </w:style>
  <w:style w:type="paragraph" w:styleId="23">
    <w:name w:val="header"/>
    <w:basedOn w:val="1"/>
    <w:link w:val="66"/>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Subtitle"/>
    <w:basedOn w:val="1"/>
    <w:next w:val="1"/>
    <w:autoRedefine/>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6">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7">
    <w:name w:val="toc 2"/>
    <w:basedOn w:val="1"/>
    <w:next w:val="1"/>
    <w:autoRedefine/>
    <w:qFormat/>
    <w:uiPriority w:val="39"/>
    <w:pPr>
      <w:ind w:left="200" w:leftChars="200"/>
    </w:pPr>
  </w:style>
  <w:style w:type="paragraph" w:styleId="28">
    <w:name w:val="Body Text 2"/>
    <w:basedOn w:val="1"/>
    <w:qFormat/>
    <w:uiPriority w:val="0"/>
    <w:pPr>
      <w:spacing w:after="120" w:line="480" w:lineRule="auto"/>
    </w:pPr>
  </w:style>
  <w:style w:type="paragraph" w:styleId="29">
    <w:name w:val="Normal (Web)"/>
    <w:basedOn w:val="1"/>
    <w:next w:val="30"/>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文字 8"/>
    <w:basedOn w:val="1"/>
    <w:next w:val="1"/>
    <w:autoRedefine/>
    <w:qFormat/>
    <w:uiPriority w:val="0"/>
    <w:pPr>
      <w:ind w:left="240"/>
    </w:pPr>
    <w:rPr>
      <w:sz w:val="16"/>
    </w:rPr>
  </w:style>
  <w:style w:type="paragraph" w:styleId="31">
    <w:name w:val="index 1"/>
    <w:basedOn w:val="1"/>
    <w:next w:val="1"/>
    <w:autoRedefine/>
    <w:qFormat/>
    <w:uiPriority w:val="0"/>
    <w:pPr>
      <w:jc w:val="center"/>
    </w:pPr>
    <w:rPr>
      <w:rFonts w:ascii="Arial" w:hAnsi="Arial" w:eastAsia="Arial" w:cs="Arial"/>
      <w:b/>
      <w:bCs/>
      <w:sz w:val="28"/>
    </w:rPr>
  </w:style>
  <w:style w:type="paragraph" w:styleId="32">
    <w:name w:val="Title"/>
    <w:basedOn w:val="1"/>
    <w:next w:val="1"/>
    <w:autoRedefine/>
    <w:qFormat/>
    <w:uiPriority w:val="0"/>
    <w:pPr>
      <w:numPr>
        <w:ilvl w:val="0"/>
        <w:numId w:val="4"/>
      </w:numPr>
      <w:spacing w:line="360" w:lineRule="auto"/>
      <w:jc w:val="left"/>
      <w:outlineLvl w:val="0"/>
    </w:pPr>
    <w:rPr>
      <w:rFonts w:ascii="Cambria" w:hAnsi="Cambria" w:cs="Times New Roman"/>
      <w:b/>
      <w:bCs/>
      <w:sz w:val="28"/>
      <w:szCs w:val="32"/>
    </w:rPr>
  </w:style>
  <w:style w:type="paragraph" w:styleId="33">
    <w:name w:val="annotation subject"/>
    <w:basedOn w:val="12"/>
    <w:next w:val="12"/>
    <w:link w:val="67"/>
    <w:autoRedefine/>
    <w:qFormat/>
    <w:uiPriority w:val="0"/>
    <w:rPr>
      <w:b/>
      <w:bCs/>
    </w:rPr>
  </w:style>
  <w:style w:type="paragraph" w:styleId="34">
    <w:name w:val="Body Text First Indent 2"/>
    <w:basedOn w:val="14"/>
    <w:next w:val="1"/>
    <w:link w:val="54"/>
    <w:autoRedefine/>
    <w:qFormat/>
    <w:uiPriority w:val="0"/>
    <w:pPr>
      <w:ind w:left="420" w:firstLine="420" w:firstLineChars="200"/>
    </w:p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b/>
      <w:bCs/>
    </w:rPr>
  </w:style>
  <w:style w:type="character" w:styleId="39">
    <w:name w:val="page number"/>
    <w:autoRedefine/>
    <w:qFormat/>
    <w:uiPriority w:val="0"/>
  </w:style>
  <w:style w:type="character" w:styleId="40">
    <w:name w:val="FollowedHyperlink"/>
    <w:autoRedefine/>
    <w:qFormat/>
    <w:uiPriority w:val="0"/>
    <w:rPr>
      <w:color w:val="333333"/>
      <w:u w:val="none"/>
    </w:rPr>
  </w:style>
  <w:style w:type="character" w:styleId="41">
    <w:name w:val="Emphasis"/>
    <w:autoRedefine/>
    <w:qFormat/>
    <w:uiPriority w:val="20"/>
    <w:rPr>
      <w:i/>
      <w:iCs/>
    </w:rPr>
  </w:style>
  <w:style w:type="character" w:styleId="42">
    <w:name w:val="HTML Definition"/>
    <w:autoRedefine/>
    <w:qFormat/>
    <w:uiPriority w:val="0"/>
  </w:style>
  <w:style w:type="character" w:styleId="43">
    <w:name w:val="HTML Typewriter"/>
    <w:autoRedefine/>
    <w:qFormat/>
    <w:uiPriority w:val="0"/>
    <w:rPr>
      <w:rFonts w:ascii="monospace" w:hAnsi="monospace" w:eastAsia="monospace" w:cs="monospace"/>
      <w:sz w:val="20"/>
    </w:rPr>
  </w:style>
  <w:style w:type="character" w:styleId="44">
    <w:name w:val="HTML Acronym"/>
    <w:basedOn w:val="37"/>
    <w:autoRedefine/>
    <w:qFormat/>
    <w:uiPriority w:val="0"/>
  </w:style>
  <w:style w:type="character" w:styleId="45">
    <w:name w:val="HTML Variable"/>
    <w:autoRedefine/>
    <w:qFormat/>
    <w:uiPriority w:val="0"/>
  </w:style>
  <w:style w:type="character" w:styleId="46">
    <w:name w:val="Hyperlink"/>
    <w:basedOn w:val="37"/>
    <w:autoRedefine/>
    <w:qFormat/>
    <w:uiPriority w:val="99"/>
    <w:rPr>
      <w:color w:val="333333"/>
      <w:u w:val="none"/>
    </w:rPr>
  </w:style>
  <w:style w:type="character" w:styleId="47">
    <w:name w:val="HTML Code"/>
    <w:autoRedefine/>
    <w:qFormat/>
    <w:uiPriority w:val="0"/>
    <w:rPr>
      <w:rFonts w:hint="default" w:ascii="monospace" w:hAnsi="monospace" w:eastAsia="monospace" w:cs="monospace"/>
      <w:sz w:val="20"/>
    </w:rPr>
  </w:style>
  <w:style w:type="character" w:styleId="48">
    <w:name w:val="annotation reference"/>
    <w:autoRedefine/>
    <w:qFormat/>
    <w:uiPriority w:val="0"/>
    <w:rPr>
      <w:sz w:val="21"/>
      <w:szCs w:val="21"/>
    </w:rPr>
  </w:style>
  <w:style w:type="character" w:styleId="49">
    <w:name w:val="HTML Cite"/>
    <w:autoRedefine/>
    <w:qFormat/>
    <w:uiPriority w:val="0"/>
  </w:style>
  <w:style w:type="character" w:styleId="50">
    <w:name w:val="HTML Keyboard"/>
    <w:autoRedefine/>
    <w:qFormat/>
    <w:uiPriority w:val="0"/>
    <w:rPr>
      <w:rFonts w:hint="default" w:ascii="monospace" w:hAnsi="monospace" w:eastAsia="monospace" w:cs="monospace"/>
      <w:sz w:val="20"/>
    </w:rPr>
  </w:style>
  <w:style w:type="character" w:styleId="51">
    <w:name w:val="HTML Sample"/>
    <w:autoRedefine/>
    <w:qFormat/>
    <w:uiPriority w:val="0"/>
    <w:rPr>
      <w:rFonts w:hint="default" w:ascii="monospace" w:hAnsi="monospace" w:eastAsia="monospace" w:cs="monospace"/>
    </w:rPr>
  </w:style>
  <w:style w:type="paragraph" w:customStyle="1" w:styleId="52">
    <w:name w:val="首行缩进"/>
    <w:basedOn w:val="1"/>
    <w:qFormat/>
    <w:uiPriority w:val="0"/>
    <w:pPr>
      <w:spacing w:line="360" w:lineRule="auto"/>
      <w:ind w:firstLine="480" w:firstLineChars="200"/>
      <w:jc w:val="left"/>
    </w:pPr>
    <w:rPr>
      <w:rFonts w:ascii="宋体" w:hAnsi="宋体"/>
      <w:sz w:val="24"/>
    </w:rPr>
  </w:style>
  <w:style w:type="character" w:customStyle="1" w:styleId="53">
    <w:name w:val="正文文本缩进 字符"/>
    <w:link w:val="14"/>
    <w:autoRedefine/>
    <w:qFormat/>
    <w:uiPriority w:val="0"/>
    <w:rPr>
      <w:kern w:val="2"/>
      <w:sz w:val="21"/>
      <w:szCs w:val="24"/>
    </w:rPr>
  </w:style>
  <w:style w:type="character" w:customStyle="1" w:styleId="54">
    <w:name w:val="正文文本首行缩进 2 字符"/>
    <w:link w:val="34"/>
    <w:autoRedefine/>
    <w:qFormat/>
    <w:uiPriority w:val="0"/>
  </w:style>
  <w:style w:type="character" w:customStyle="1" w:styleId="55">
    <w:name w:val="标题 1 字符"/>
    <w:link w:val="2"/>
    <w:autoRedefine/>
    <w:qFormat/>
    <w:uiPriority w:val="0"/>
    <w:rPr>
      <w:b/>
      <w:bCs/>
      <w:kern w:val="44"/>
      <w:sz w:val="44"/>
      <w:szCs w:val="44"/>
    </w:rPr>
  </w:style>
  <w:style w:type="character" w:customStyle="1" w:styleId="56">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7">
    <w:name w:val="标题 5 字符"/>
    <w:link w:val="6"/>
    <w:autoRedefine/>
    <w:semiHidden/>
    <w:qFormat/>
    <w:uiPriority w:val="0"/>
    <w:rPr>
      <w:b/>
      <w:bCs/>
      <w:kern w:val="2"/>
      <w:sz w:val="28"/>
      <w:szCs w:val="28"/>
    </w:rPr>
  </w:style>
  <w:style w:type="character" w:customStyle="1" w:styleId="58">
    <w:name w:val="标题 6 字符"/>
    <w:link w:val="7"/>
    <w:autoRedefine/>
    <w:semiHidden/>
    <w:qFormat/>
    <w:uiPriority w:val="0"/>
    <w:rPr>
      <w:rFonts w:ascii="Cambria" w:hAnsi="Cambria" w:eastAsia="宋体" w:cs="Times New Roman"/>
      <w:b/>
      <w:bCs/>
      <w:kern w:val="2"/>
      <w:sz w:val="24"/>
      <w:szCs w:val="24"/>
    </w:rPr>
  </w:style>
  <w:style w:type="character" w:customStyle="1" w:styleId="59">
    <w:name w:val="标题 7 字符"/>
    <w:link w:val="8"/>
    <w:autoRedefine/>
    <w:semiHidden/>
    <w:qFormat/>
    <w:uiPriority w:val="0"/>
    <w:rPr>
      <w:b/>
      <w:bCs/>
      <w:kern w:val="2"/>
      <w:sz w:val="24"/>
      <w:szCs w:val="24"/>
    </w:rPr>
  </w:style>
  <w:style w:type="character" w:customStyle="1" w:styleId="60">
    <w:name w:val="批注文字 字符"/>
    <w:link w:val="12"/>
    <w:autoRedefine/>
    <w:qFormat/>
    <w:uiPriority w:val="0"/>
    <w:rPr>
      <w:kern w:val="2"/>
      <w:sz w:val="21"/>
      <w:szCs w:val="24"/>
    </w:rPr>
  </w:style>
  <w:style w:type="character" w:customStyle="1" w:styleId="61">
    <w:name w:val="纯文本 字符"/>
    <w:link w:val="17"/>
    <w:autoRedefine/>
    <w:qFormat/>
    <w:uiPriority w:val="99"/>
    <w:rPr>
      <w:rFonts w:ascii="宋体" w:eastAsia="宋体"/>
      <w:color w:val="000000"/>
      <w:kern w:val="2"/>
      <w:sz w:val="21"/>
      <w:u w:val="none" w:color="000000"/>
      <w:lang w:val="en-US" w:eastAsia="zh-CN" w:bidi="ar-SA"/>
    </w:rPr>
  </w:style>
  <w:style w:type="character" w:customStyle="1" w:styleId="62">
    <w:name w:val="日期 字符"/>
    <w:link w:val="18"/>
    <w:autoRedefine/>
    <w:qFormat/>
    <w:uiPriority w:val="0"/>
    <w:rPr>
      <w:rFonts w:ascii="Arial" w:hAnsi="Arial" w:eastAsia="仿宋_GB2312"/>
      <w:color w:val="000000"/>
      <w:kern w:val="2"/>
      <w:sz w:val="32"/>
      <w:u w:val="none" w:color="000000"/>
    </w:rPr>
  </w:style>
  <w:style w:type="character" w:customStyle="1" w:styleId="63">
    <w:name w:val="正文文本缩进 2 字符"/>
    <w:link w:val="19"/>
    <w:autoRedefine/>
    <w:qFormat/>
    <w:uiPriority w:val="0"/>
    <w:rPr>
      <w:kern w:val="2"/>
      <w:sz w:val="21"/>
      <w:szCs w:val="24"/>
    </w:rPr>
  </w:style>
  <w:style w:type="character" w:customStyle="1" w:styleId="64">
    <w:name w:val="批注框文本 字符"/>
    <w:link w:val="21"/>
    <w:autoRedefine/>
    <w:qFormat/>
    <w:uiPriority w:val="0"/>
    <w:rPr>
      <w:kern w:val="2"/>
      <w:sz w:val="18"/>
      <w:szCs w:val="18"/>
    </w:rPr>
  </w:style>
  <w:style w:type="character" w:customStyle="1" w:styleId="65">
    <w:name w:val="页脚 字符"/>
    <w:link w:val="22"/>
    <w:autoRedefine/>
    <w:qFormat/>
    <w:locked/>
    <w:uiPriority w:val="0"/>
    <w:rPr>
      <w:kern w:val="2"/>
      <w:sz w:val="18"/>
      <w:szCs w:val="18"/>
    </w:rPr>
  </w:style>
  <w:style w:type="character" w:customStyle="1" w:styleId="66">
    <w:name w:val="页眉 字符"/>
    <w:link w:val="23"/>
    <w:autoRedefine/>
    <w:qFormat/>
    <w:locked/>
    <w:uiPriority w:val="0"/>
    <w:rPr>
      <w:kern w:val="2"/>
      <w:sz w:val="18"/>
      <w:szCs w:val="18"/>
    </w:rPr>
  </w:style>
  <w:style w:type="character" w:customStyle="1" w:styleId="67">
    <w:name w:val="批注主题 字符"/>
    <w:link w:val="33"/>
    <w:autoRedefine/>
    <w:qFormat/>
    <w:uiPriority w:val="0"/>
    <w:rPr>
      <w:b/>
      <w:bCs/>
      <w:kern w:val="2"/>
      <w:sz w:val="21"/>
      <w:szCs w:val="24"/>
    </w:rPr>
  </w:style>
  <w:style w:type="character" w:customStyle="1" w:styleId="68">
    <w:name w:val="font121"/>
    <w:autoRedefine/>
    <w:qFormat/>
    <w:uiPriority w:val="0"/>
    <w:rPr>
      <w:rFonts w:hint="eastAsia" w:ascii="宋体" w:hAnsi="宋体" w:eastAsia="宋体" w:cs="宋体"/>
      <w:color w:val="000000"/>
      <w:sz w:val="24"/>
      <w:szCs w:val="24"/>
      <w:u w:val="none"/>
    </w:rPr>
  </w:style>
  <w:style w:type="character" w:customStyle="1" w:styleId="69">
    <w:name w:val="font141"/>
    <w:autoRedefine/>
    <w:qFormat/>
    <w:uiPriority w:val="0"/>
    <w:rPr>
      <w:rFonts w:ascii="Arial" w:hAnsi="Arial" w:cs="Arial"/>
      <w:color w:val="000000"/>
      <w:sz w:val="24"/>
      <w:szCs w:val="24"/>
      <w:u w:val="none"/>
    </w:rPr>
  </w:style>
  <w:style w:type="character" w:customStyle="1" w:styleId="70">
    <w:name w:val="_37aak"/>
    <w:autoRedefine/>
    <w:qFormat/>
    <w:uiPriority w:val="0"/>
  </w:style>
  <w:style w:type="character" w:customStyle="1" w:styleId="71">
    <w:name w:val="图表 Char"/>
    <w:link w:val="72"/>
    <w:autoRedefine/>
    <w:qFormat/>
    <w:uiPriority w:val="0"/>
    <w:rPr>
      <w:kern w:val="2"/>
      <w:sz w:val="21"/>
      <w:szCs w:val="21"/>
    </w:rPr>
  </w:style>
  <w:style w:type="paragraph" w:customStyle="1" w:styleId="72">
    <w:name w:val="图表"/>
    <w:basedOn w:val="1"/>
    <w:next w:val="1"/>
    <w:link w:val="71"/>
    <w:autoRedefine/>
    <w:qFormat/>
    <w:uiPriority w:val="0"/>
    <w:pPr>
      <w:jc w:val="center"/>
    </w:pPr>
    <w:rPr>
      <w:szCs w:val="21"/>
    </w:rPr>
  </w:style>
  <w:style w:type="character" w:customStyle="1" w:styleId="73">
    <w:name w:val="font01"/>
    <w:autoRedefine/>
    <w:qFormat/>
    <w:uiPriority w:val="0"/>
    <w:rPr>
      <w:rFonts w:hint="eastAsia" w:ascii="宋体" w:hAnsi="宋体" w:eastAsia="宋体" w:cs="宋体"/>
      <w:color w:val="000000"/>
      <w:sz w:val="22"/>
      <w:szCs w:val="22"/>
      <w:u w:val="none"/>
    </w:rPr>
  </w:style>
  <w:style w:type="character" w:customStyle="1" w:styleId="74">
    <w:name w:val="hover4"/>
    <w:autoRedefine/>
    <w:qFormat/>
    <w:uiPriority w:val="0"/>
    <w:rPr>
      <w:color w:val="2590EB"/>
      <w:shd w:val="clear" w:color="auto" w:fill="E9F4FD"/>
    </w:rPr>
  </w:style>
  <w:style w:type="character" w:customStyle="1" w:styleId="75">
    <w:name w:val="font101"/>
    <w:autoRedefine/>
    <w:qFormat/>
    <w:uiPriority w:val="0"/>
    <w:rPr>
      <w:rFonts w:hint="eastAsia" w:ascii="宋体" w:hAnsi="宋体" w:eastAsia="宋体" w:cs="宋体"/>
      <w:color w:val="000000"/>
      <w:sz w:val="18"/>
      <w:szCs w:val="18"/>
      <w:u w:val="none"/>
    </w:rPr>
  </w:style>
  <w:style w:type="character" w:customStyle="1" w:styleId="76">
    <w:name w:val="font161"/>
    <w:autoRedefine/>
    <w:qFormat/>
    <w:uiPriority w:val="0"/>
    <w:rPr>
      <w:rFonts w:hint="eastAsia" w:ascii="宋体" w:hAnsi="宋体" w:eastAsia="宋体" w:cs="宋体"/>
      <w:b/>
      <w:bCs/>
      <w:color w:val="333333"/>
      <w:sz w:val="27"/>
      <w:szCs w:val="27"/>
      <w:u w:val="none"/>
    </w:rPr>
  </w:style>
  <w:style w:type="character" w:customStyle="1" w:styleId="77">
    <w:name w:val="first-child"/>
    <w:autoRedefine/>
    <w:qFormat/>
    <w:uiPriority w:val="0"/>
  </w:style>
  <w:style w:type="character" w:customStyle="1" w:styleId="78">
    <w:name w:val="【正文】 Char"/>
    <w:link w:val="79"/>
    <w:autoRedefine/>
    <w:qFormat/>
    <w:uiPriority w:val="0"/>
    <w:rPr>
      <w:rFonts w:cs="DokChampa"/>
      <w:kern w:val="2"/>
      <w:sz w:val="24"/>
      <w:szCs w:val="22"/>
    </w:rPr>
  </w:style>
  <w:style w:type="paragraph" w:customStyle="1" w:styleId="79">
    <w:name w:val="【正文】"/>
    <w:basedOn w:val="1"/>
    <w:link w:val="78"/>
    <w:autoRedefine/>
    <w:qFormat/>
    <w:uiPriority w:val="0"/>
    <w:pPr>
      <w:spacing w:line="360" w:lineRule="auto"/>
      <w:ind w:firstLine="480" w:firstLineChars="200"/>
    </w:pPr>
    <w:rPr>
      <w:sz w:val="24"/>
      <w:szCs w:val="22"/>
    </w:rPr>
  </w:style>
  <w:style w:type="character" w:customStyle="1" w:styleId="80">
    <w:name w:val="font131"/>
    <w:autoRedefine/>
    <w:qFormat/>
    <w:uiPriority w:val="0"/>
    <w:rPr>
      <w:rFonts w:ascii="仿宋" w:hAnsi="仿宋" w:eastAsia="仿宋" w:cs="仿宋"/>
      <w:color w:val="000000"/>
      <w:sz w:val="24"/>
      <w:szCs w:val="24"/>
      <w:u w:val="none"/>
    </w:rPr>
  </w:style>
  <w:style w:type="character" w:customStyle="1" w:styleId="81">
    <w:name w:val="font181"/>
    <w:autoRedefine/>
    <w:qFormat/>
    <w:uiPriority w:val="0"/>
    <w:rPr>
      <w:rFonts w:hint="eastAsia" w:ascii="宋体" w:hAnsi="宋体" w:eastAsia="宋体" w:cs="宋体"/>
      <w:color w:val="1A66B3"/>
      <w:sz w:val="18"/>
      <w:szCs w:val="18"/>
      <w:u w:val="none"/>
    </w:rPr>
  </w:style>
  <w:style w:type="character" w:customStyle="1" w:styleId="82">
    <w:name w:val="hover3"/>
    <w:autoRedefine/>
    <w:qFormat/>
    <w:uiPriority w:val="0"/>
  </w:style>
  <w:style w:type="character" w:customStyle="1" w:styleId="83">
    <w:name w:val="font112"/>
    <w:autoRedefine/>
    <w:qFormat/>
    <w:uiPriority w:val="0"/>
    <w:rPr>
      <w:rFonts w:ascii="Verdana" w:hAnsi="Verdana" w:cs="Verdana"/>
      <w:color w:val="000000"/>
      <w:sz w:val="18"/>
      <w:szCs w:val="18"/>
      <w:u w:val="none"/>
    </w:rPr>
  </w:style>
  <w:style w:type="character" w:customStyle="1" w:styleId="84">
    <w:name w:val="font81"/>
    <w:autoRedefine/>
    <w:qFormat/>
    <w:uiPriority w:val="0"/>
    <w:rPr>
      <w:rFonts w:hint="default" w:ascii="Verdana" w:hAnsi="Verdana" w:cs="Verdana"/>
      <w:color w:val="000000"/>
      <w:sz w:val="18"/>
      <w:szCs w:val="18"/>
      <w:u w:val="none"/>
    </w:rPr>
  </w:style>
  <w:style w:type="character" w:customStyle="1" w:styleId="85">
    <w:name w:val="hover"/>
    <w:autoRedefine/>
    <w:qFormat/>
    <w:uiPriority w:val="0"/>
    <w:rPr>
      <w:color w:val="2590EB"/>
      <w:shd w:val="clear" w:color="auto" w:fill="E9F4FD"/>
    </w:rPr>
  </w:style>
  <w:style w:type="character" w:customStyle="1" w:styleId="86">
    <w:name w:val="font41"/>
    <w:autoRedefine/>
    <w:qFormat/>
    <w:uiPriority w:val="0"/>
    <w:rPr>
      <w:rFonts w:hint="eastAsia" w:ascii="宋体" w:hAnsi="宋体" w:eastAsia="宋体" w:cs="宋体"/>
      <w:color w:val="000000"/>
      <w:sz w:val="22"/>
      <w:szCs w:val="22"/>
      <w:u w:val="none"/>
    </w:rPr>
  </w:style>
  <w:style w:type="character" w:customStyle="1" w:styleId="87">
    <w:name w:val="hover2"/>
    <w:autoRedefine/>
    <w:qFormat/>
    <w:uiPriority w:val="0"/>
    <w:rPr>
      <w:color w:val="2590EB"/>
    </w:rPr>
  </w:style>
  <w:style w:type="character" w:customStyle="1" w:styleId="88">
    <w:name w:val="hover1"/>
    <w:autoRedefine/>
    <w:qFormat/>
    <w:uiPriority w:val="0"/>
    <w:rPr>
      <w:color w:val="2590EB"/>
    </w:rPr>
  </w:style>
  <w:style w:type="character" w:customStyle="1" w:styleId="89">
    <w:name w:val="first-child1"/>
    <w:autoRedefine/>
    <w:qFormat/>
    <w:uiPriority w:val="0"/>
  </w:style>
  <w:style w:type="character" w:customStyle="1" w:styleId="90">
    <w:name w:val="selected"/>
    <w:autoRedefine/>
    <w:qFormat/>
    <w:uiPriority w:val="0"/>
    <w:rPr>
      <w:shd w:val="clear" w:color="auto" w:fill="B00006"/>
    </w:rPr>
  </w:style>
  <w:style w:type="character" w:customStyle="1" w:styleId="91">
    <w:name w:val="gpa"/>
    <w:autoRedefine/>
    <w:qFormat/>
    <w:uiPriority w:val="0"/>
    <w:rPr>
      <w:rFonts w:ascii="Arial" w:hAnsi="Arial" w:cs="Arial"/>
      <w:sz w:val="15"/>
      <w:szCs w:val="15"/>
    </w:rPr>
  </w:style>
  <w:style w:type="character" w:customStyle="1" w:styleId="92">
    <w:name w:val="apple-converted-space"/>
    <w:autoRedefine/>
    <w:qFormat/>
    <w:uiPriority w:val="0"/>
  </w:style>
  <w:style w:type="character" w:customStyle="1" w:styleId="93">
    <w:name w:val="列出段落 Char"/>
    <w:link w:val="94"/>
    <w:autoRedefine/>
    <w:qFormat/>
    <w:locked/>
    <w:uiPriority w:val="0"/>
    <w:rPr>
      <w:rFonts w:ascii="Calibri" w:hAnsi="Calibri" w:eastAsia="宋体"/>
      <w:kern w:val="2"/>
      <w:sz w:val="21"/>
      <w:szCs w:val="22"/>
      <w:lang w:val="en-US" w:eastAsia="zh-CN" w:bidi="ar-SA"/>
    </w:rPr>
  </w:style>
  <w:style w:type="paragraph" w:customStyle="1" w:styleId="94">
    <w:name w:val="List Paragraph1"/>
    <w:basedOn w:val="1"/>
    <w:link w:val="93"/>
    <w:autoRedefine/>
    <w:qFormat/>
    <w:uiPriority w:val="0"/>
    <w:pPr>
      <w:spacing w:line="312" w:lineRule="auto"/>
      <w:ind w:firstLine="420" w:firstLineChars="200"/>
    </w:pPr>
    <w:rPr>
      <w:rFonts w:ascii="Calibri" w:hAnsi="Calibri"/>
      <w:szCs w:val="22"/>
    </w:rPr>
  </w:style>
  <w:style w:type="character" w:customStyle="1" w:styleId="95">
    <w:name w:val="displayarti"/>
    <w:autoRedefine/>
    <w:qFormat/>
    <w:uiPriority w:val="0"/>
    <w:rPr>
      <w:color w:val="FFFFFF"/>
      <w:shd w:val="clear" w:color="auto" w:fill="A00000"/>
    </w:rPr>
  </w:style>
  <w:style w:type="character" w:customStyle="1" w:styleId="96">
    <w:name w:val="正文首行缩进 2 Char1"/>
    <w:autoRedefine/>
    <w:qFormat/>
    <w:uiPriority w:val="0"/>
  </w:style>
  <w:style w:type="character" w:customStyle="1" w:styleId="97">
    <w:name w:val="layui-this"/>
    <w:autoRedefine/>
    <w:qFormat/>
    <w:uiPriority w:val="0"/>
    <w:rPr>
      <w:bdr w:val="single" w:color="EEEEEE" w:sz="6" w:space="0"/>
      <w:shd w:val="clear" w:color="auto" w:fill="FFFFFF"/>
    </w:rPr>
  </w:style>
  <w:style w:type="character" w:customStyle="1" w:styleId="98">
    <w:name w:val="font151"/>
    <w:autoRedefine/>
    <w:qFormat/>
    <w:uiPriority w:val="0"/>
    <w:rPr>
      <w:rFonts w:hint="default" w:ascii="Verdana" w:hAnsi="Verdana" w:cs="Verdana"/>
      <w:b/>
      <w:bCs/>
      <w:color w:val="333333"/>
      <w:sz w:val="27"/>
      <w:szCs w:val="27"/>
      <w:u w:val="none"/>
    </w:rPr>
  </w:style>
  <w:style w:type="character" w:customStyle="1" w:styleId="99">
    <w:name w:val="font171"/>
    <w:autoRedefine/>
    <w:qFormat/>
    <w:uiPriority w:val="0"/>
    <w:rPr>
      <w:rFonts w:hint="eastAsia" w:ascii="宋体" w:hAnsi="宋体" w:eastAsia="宋体" w:cs="宋体"/>
      <w:color w:val="646464"/>
      <w:sz w:val="18"/>
      <w:szCs w:val="18"/>
      <w:u w:val="none"/>
    </w:rPr>
  </w:style>
  <w:style w:type="character" w:customStyle="1" w:styleId="100">
    <w:name w:val="hover7"/>
    <w:autoRedefine/>
    <w:qFormat/>
    <w:uiPriority w:val="0"/>
    <w:rPr>
      <w:color w:val="315EFB"/>
    </w:rPr>
  </w:style>
  <w:style w:type="paragraph" w:customStyle="1" w:styleId="101">
    <w:name w:val="列表2"/>
    <w:basedOn w:val="1"/>
    <w:next w:val="1"/>
    <w:autoRedefine/>
    <w:qFormat/>
    <w:uiPriority w:val="0"/>
    <w:pPr>
      <w:numPr>
        <w:ilvl w:val="0"/>
        <w:numId w:val="5"/>
      </w:numPr>
      <w:spacing w:line="200" w:lineRule="atLeast"/>
    </w:pPr>
    <w:rPr>
      <w:rFonts w:eastAsia="仿宋"/>
      <w:sz w:val="28"/>
    </w:rPr>
  </w:style>
  <w:style w:type="paragraph" w:customStyle="1" w:styleId="102">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3">
    <w:name w:val="标题4"/>
    <w:basedOn w:val="1"/>
    <w:autoRedefine/>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4">
    <w:name w:val="Char"/>
    <w:basedOn w:val="1"/>
    <w:next w:val="1"/>
    <w:autoRedefine/>
    <w:qFormat/>
    <w:uiPriority w:val="0"/>
    <w:pPr>
      <w:widowControl/>
      <w:spacing w:line="360" w:lineRule="auto"/>
      <w:jc w:val="left"/>
    </w:pPr>
    <w:rPr>
      <w:kern w:val="0"/>
      <w:szCs w:val="20"/>
      <w:lang w:eastAsia="en-US"/>
    </w:rPr>
  </w:style>
  <w:style w:type="paragraph" w:customStyle="1" w:styleId="105">
    <w:name w:val="样式1"/>
    <w:basedOn w:val="1"/>
    <w:autoRedefine/>
    <w:qFormat/>
    <w:uiPriority w:val="0"/>
    <w:pPr>
      <w:spacing w:line="360" w:lineRule="auto"/>
      <w:jc w:val="center"/>
    </w:pPr>
    <w:rPr>
      <w:rFonts w:ascii="Times New Roman" w:hAnsi="Times New Roman" w:cs="Times New Roman"/>
      <w:b/>
      <w:sz w:val="30"/>
      <w:szCs w:val="30"/>
    </w:rPr>
  </w:style>
  <w:style w:type="paragraph" w:customStyle="1" w:styleId="106">
    <w:name w:val=" Char Char Char Char"/>
    <w:basedOn w:val="1"/>
    <w:autoRedefine/>
    <w:qFormat/>
    <w:uiPriority w:val="0"/>
    <w:rPr>
      <w:rFonts w:ascii="Tahoma" w:hAnsi="Tahoma"/>
      <w:sz w:val="24"/>
      <w:szCs w:val="20"/>
    </w:rPr>
  </w:style>
  <w:style w:type="paragraph" w:customStyle="1" w:styleId="107">
    <w:name w:val="_Style 4"/>
    <w:basedOn w:val="1"/>
    <w:autoRedefine/>
    <w:qFormat/>
    <w:uiPriority w:val="34"/>
    <w:pPr>
      <w:adjustRightInd w:val="0"/>
      <w:ind w:firstLine="420" w:firstLineChars="200"/>
      <w:jc w:val="left"/>
      <w:textAlignment w:val="baseline"/>
    </w:pPr>
    <w:rPr>
      <w:kern w:val="0"/>
      <w:szCs w:val="20"/>
    </w:rPr>
  </w:style>
  <w:style w:type="paragraph" w:customStyle="1" w:styleId="108">
    <w:name w:val="列出段落2"/>
    <w:basedOn w:val="1"/>
    <w:autoRedefine/>
    <w:qFormat/>
    <w:uiPriority w:val="0"/>
    <w:pPr>
      <w:ind w:firstLine="420" w:firstLineChars="200"/>
    </w:pPr>
    <w:rPr>
      <w:rFonts w:ascii="Calibri" w:hAnsi="Calibri"/>
      <w:szCs w:val="22"/>
    </w:rPr>
  </w:style>
  <w:style w:type="paragraph" w:customStyle="1" w:styleId="109">
    <w:name w:val="列出段落11"/>
    <w:basedOn w:val="1"/>
    <w:autoRedefine/>
    <w:qFormat/>
    <w:uiPriority w:val="0"/>
    <w:pPr>
      <w:spacing w:after="120" w:line="360" w:lineRule="auto"/>
      <w:ind w:firstLine="420" w:firstLineChars="200"/>
    </w:pPr>
    <w:rPr>
      <w:rFonts w:ascii="Calibri" w:hAnsi="Calibri"/>
      <w:szCs w:val="22"/>
    </w:rPr>
  </w:style>
  <w:style w:type="paragraph" w:customStyle="1" w:styleId="110">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1">
    <w:name w:val="_Style 10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Table Paragraph"/>
    <w:basedOn w:val="1"/>
    <w:autoRedefine/>
    <w:qFormat/>
    <w:uiPriority w:val="1"/>
    <w:rPr>
      <w:rFonts w:ascii="宋体" w:hAnsi="宋体" w:eastAsia="宋体" w:cs="宋体"/>
      <w:lang w:val="zh-CN" w:eastAsia="zh-CN" w:bidi="zh-CN"/>
    </w:rPr>
  </w:style>
  <w:style w:type="paragraph" w:customStyle="1" w:styleId="113">
    <w:name w:val="D&amp;L"/>
    <w:basedOn w:val="2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4">
    <w:name w:val="列出段落1"/>
    <w:basedOn w:val="1"/>
    <w:autoRedefine/>
    <w:qFormat/>
    <w:uiPriority w:val="34"/>
    <w:pPr>
      <w:ind w:firstLine="420" w:firstLineChars="200"/>
    </w:pPr>
  </w:style>
  <w:style w:type="paragraph" w:customStyle="1" w:styleId="115">
    <w:name w:val="Char Char Char Char Char Char Char1 Char"/>
    <w:basedOn w:val="1"/>
    <w:autoRedefine/>
    <w:qFormat/>
    <w:uiPriority w:val="0"/>
    <w:rPr>
      <w:rFonts w:ascii="Tahoma" w:hAnsi="Tahoma"/>
      <w:sz w:val="24"/>
      <w:szCs w:val="20"/>
    </w:rPr>
  </w:style>
  <w:style w:type="paragraph" w:styleId="116">
    <w:name w:val="List Paragraph"/>
    <w:basedOn w:val="1"/>
    <w:autoRedefine/>
    <w:qFormat/>
    <w:uiPriority w:val="0"/>
    <w:pPr>
      <w:spacing w:line="360" w:lineRule="auto"/>
      <w:ind w:firstLine="420" w:firstLineChars="200"/>
    </w:pPr>
    <w:rPr>
      <w:rFonts w:ascii="宋体" w:hAnsi="宋体" w:cs="宋体"/>
      <w:sz w:val="24"/>
    </w:rPr>
  </w:style>
  <w:style w:type="paragraph" w:customStyle="1" w:styleId="117">
    <w:name w:val="List Paragraph2"/>
    <w:basedOn w:val="1"/>
    <w:autoRedefine/>
    <w:qFormat/>
    <w:uiPriority w:val="0"/>
    <w:pPr>
      <w:spacing w:line="360" w:lineRule="auto"/>
      <w:ind w:firstLine="420"/>
    </w:pPr>
    <w:rPr>
      <w:color w:val="000000"/>
      <w:sz w:val="24"/>
      <w:szCs w:val="21"/>
    </w:rPr>
  </w:style>
  <w:style w:type="paragraph" w:customStyle="1" w:styleId="118">
    <w:name w:val="（无样式）"/>
    <w:basedOn w:val="1"/>
    <w:autoRedefine/>
    <w:qFormat/>
    <w:uiPriority w:val="0"/>
    <w:pPr>
      <w:widowControl/>
      <w:numPr>
        <w:ilvl w:val="0"/>
        <w:numId w:val="7"/>
      </w:numPr>
      <w:spacing w:line="360" w:lineRule="auto"/>
      <w:ind w:firstLine="0"/>
    </w:pPr>
    <w:rPr>
      <w:sz w:val="24"/>
      <w:szCs w:val="20"/>
    </w:rPr>
  </w:style>
  <w:style w:type="paragraph" w:customStyle="1" w:styleId="11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20">
    <w:name w:val="标题3-副本"/>
    <w:basedOn w:val="25"/>
    <w:autoRedefine/>
    <w:qFormat/>
    <w:uiPriority w:val="0"/>
    <w:pPr>
      <w:numPr>
        <w:ilvl w:val="0"/>
        <w:numId w:val="0"/>
      </w:numPr>
      <w:ind w:left="840"/>
    </w:pPr>
  </w:style>
  <w:style w:type="paragraph" w:customStyle="1" w:styleId="121">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2">
    <w:name w:val="_Style 2"/>
    <w:basedOn w:val="1"/>
    <w:autoRedefine/>
    <w:qFormat/>
    <w:uiPriority w:val="0"/>
  </w:style>
  <w:style w:type="paragraph" w:customStyle="1" w:styleId="123">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25">
    <w:name w:val=" Char"/>
    <w:basedOn w:val="1"/>
    <w:autoRedefine/>
    <w:qFormat/>
    <w:uiPriority w:val="0"/>
  </w:style>
  <w:style w:type="paragraph" w:customStyle="1" w:styleId="126">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7">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28">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29">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30">
    <w:name w:val="num"/>
    <w:basedOn w:val="37"/>
    <w:autoRedefine/>
    <w:qFormat/>
    <w:uiPriority w:val="0"/>
    <w:rPr>
      <w:b/>
      <w:bCs/>
      <w:color w:val="FF7800"/>
    </w:rPr>
  </w:style>
  <w:style w:type="character" w:customStyle="1" w:styleId="131">
    <w:name w:val="a-desc"/>
    <w:basedOn w:val="37"/>
    <w:autoRedefine/>
    <w:qFormat/>
    <w:uiPriority w:val="0"/>
    <w:rPr>
      <w:color w:val="315EFB"/>
    </w:rPr>
  </w:style>
  <w:style w:type="character" w:customStyle="1" w:styleId="132">
    <w:name w:val="bg"/>
    <w:basedOn w:val="37"/>
    <w:autoRedefine/>
    <w:qFormat/>
    <w:uiPriority w:val="0"/>
    <w:rPr>
      <w:shd w:val="clear" w:color="auto" w:fill="000000"/>
    </w:rPr>
  </w:style>
  <w:style w:type="character" w:customStyle="1" w:styleId="133">
    <w:name w:val="bg1"/>
    <w:basedOn w:val="37"/>
    <w:autoRedefine/>
    <w:qFormat/>
    <w:uiPriority w:val="0"/>
    <w:rPr>
      <w:shd w:val="clear" w:color="auto" w:fill="000000"/>
    </w:rPr>
  </w:style>
  <w:style w:type="character" w:customStyle="1" w:styleId="134">
    <w:name w:val="bg2"/>
    <w:basedOn w:val="37"/>
    <w:autoRedefine/>
    <w:qFormat/>
    <w:uiPriority w:val="0"/>
    <w:rPr>
      <w:shd w:val="clear" w:color="auto" w:fill="000000"/>
    </w:rPr>
  </w:style>
  <w:style w:type="character" w:customStyle="1" w:styleId="135">
    <w:name w:val="iknow-qb-ad-sou-icon"/>
    <w:basedOn w:val="37"/>
    <w:autoRedefine/>
    <w:qFormat/>
    <w:uiPriority w:val="0"/>
  </w:style>
  <w:style w:type="character" w:customStyle="1" w:styleId="136">
    <w:name w:val="del-btn"/>
    <w:basedOn w:val="37"/>
    <w:autoRedefine/>
    <w:qFormat/>
    <w:uiPriority w:val="0"/>
  </w:style>
  <w:style w:type="character" w:customStyle="1" w:styleId="137">
    <w:name w:val="del-btn1"/>
    <w:basedOn w:val="37"/>
    <w:autoRedefine/>
    <w:qFormat/>
    <w:uiPriority w:val="0"/>
  </w:style>
  <w:style w:type="character" w:customStyle="1" w:styleId="138">
    <w:name w:val="del-btn2"/>
    <w:basedOn w:val="37"/>
    <w:autoRedefine/>
    <w:qFormat/>
    <w:uiPriority w:val="0"/>
  </w:style>
  <w:style w:type="character" w:customStyle="1" w:styleId="139">
    <w:name w:val="answer-title"/>
    <w:basedOn w:val="37"/>
    <w:autoRedefine/>
    <w:qFormat/>
    <w:uiPriority w:val="0"/>
  </w:style>
  <w:style w:type="character" w:customStyle="1" w:styleId="140">
    <w:name w:val="new-icon2"/>
    <w:basedOn w:val="37"/>
    <w:autoRedefine/>
    <w:qFormat/>
    <w:uiPriority w:val="0"/>
  </w:style>
  <w:style w:type="character" w:customStyle="1" w:styleId="141">
    <w:name w:val="new-icon3"/>
    <w:basedOn w:val="37"/>
    <w:autoRedefine/>
    <w:qFormat/>
    <w:uiPriority w:val="0"/>
  </w:style>
  <w:style w:type="character" w:customStyle="1" w:styleId="142">
    <w:name w:val="green"/>
    <w:basedOn w:val="37"/>
    <w:autoRedefine/>
    <w:qFormat/>
    <w:uiPriority w:val="0"/>
    <w:rPr>
      <w:color w:val="3B6FFF"/>
    </w:rPr>
  </w:style>
  <w:style w:type="character" w:customStyle="1" w:styleId="143">
    <w:name w:val="green1"/>
    <w:basedOn w:val="37"/>
    <w:autoRedefine/>
    <w:qFormat/>
    <w:uiPriority w:val="0"/>
    <w:rPr>
      <w:color w:val="3B6FFF"/>
    </w:rPr>
  </w:style>
  <w:style w:type="character" w:customStyle="1" w:styleId="144">
    <w:name w:val="green2"/>
    <w:basedOn w:val="37"/>
    <w:autoRedefine/>
    <w:qFormat/>
    <w:uiPriority w:val="0"/>
    <w:rPr>
      <w:color w:val="4DC86F"/>
    </w:rPr>
  </w:style>
  <w:style w:type="character" w:customStyle="1" w:styleId="145">
    <w:name w:val="green3"/>
    <w:basedOn w:val="37"/>
    <w:autoRedefine/>
    <w:qFormat/>
    <w:uiPriority w:val="0"/>
    <w:rPr>
      <w:color w:val="4DC86F"/>
    </w:rPr>
  </w:style>
  <w:style w:type="character" w:customStyle="1" w:styleId="146">
    <w:name w:val="answer-title2"/>
    <w:basedOn w:val="37"/>
    <w:autoRedefine/>
    <w:qFormat/>
    <w:uiPriority w:val="0"/>
  </w:style>
  <w:style w:type="character" w:customStyle="1" w:styleId="147">
    <w:name w:val="new-icon"/>
    <w:basedOn w:val="37"/>
    <w:autoRedefine/>
    <w:qFormat/>
    <w:uiPriority w:val="0"/>
  </w:style>
  <w:style w:type="character" w:customStyle="1" w:styleId="148">
    <w:name w:val="new-icon1"/>
    <w:basedOn w:val="37"/>
    <w:autoRedefine/>
    <w:qFormat/>
    <w:uiPriority w:val="0"/>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张世华的正文"/>
    <w:basedOn w:val="1"/>
    <w:qFormat/>
    <w:uiPriority w:val="0"/>
    <w:pPr>
      <w:spacing w:line="360" w:lineRule="auto"/>
      <w:ind w:firstLine="200" w:firstLineChars="200"/>
    </w:pPr>
  </w:style>
  <w:style w:type="character" w:customStyle="1" w:styleId="151">
    <w:name w:val="status"/>
    <w:basedOn w:val="37"/>
    <w:uiPriority w:val="0"/>
    <w:rPr>
      <w:color w:val="0776DD"/>
    </w:rPr>
  </w:style>
  <w:style w:type="character" w:customStyle="1" w:styleId="152">
    <w:name w:val="room"/>
    <w:basedOn w:val="37"/>
    <w:uiPriority w:val="0"/>
  </w:style>
  <w:style w:type="character" w:customStyle="1" w:styleId="153">
    <w:name w:val="timeaxis"/>
    <w:basedOn w:val="37"/>
    <w:uiPriority w:val="0"/>
  </w:style>
  <w:style w:type="character" w:customStyle="1" w:styleId="154">
    <w:name w:val="time"/>
    <w:basedOn w:val="37"/>
    <w:uiPriority w:val="0"/>
  </w:style>
  <w:style w:type="character" w:customStyle="1" w:styleId="155">
    <w:name w:val="layui-layer-tabnow"/>
    <w:basedOn w:val="37"/>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15394</Words>
  <Characters>16843</Characters>
  <Lines>358</Lines>
  <Paragraphs>100</Paragraphs>
  <TotalTime>51</TotalTime>
  <ScaleCrop>false</ScaleCrop>
  <LinksUpToDate>false</LinksUpToDate>
  <CharactersWithSpaces>20052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2023-12-28T05:27:00Z</cp:lastPrinted>
  <dcterms:modified xsi:type="dcterms:W3CDTF">2026-06-16T05:18:20Z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91D8BF28A9424ABD8B2624B47A4C9DCB_13</vt:lpwstr>
  </property>
  <property fmtid="{D5CDD505-2E9C-101B-9397-08002B2CF9AE}" pid="4" name="KSOTemplateDocerSaveRecord">
    <vt:lpwstr>eyJoZGlkIjoiZmQ5MGI3YTdkMjVkZTZjM2ZjZTQ5YjMxYTJjZjRlOWEiLCJ1c2VySWQiOiIzNjE4MjQ5In0=</vt:lpwstr>
  </property>
</Properties>
</file>