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287B7F">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lang w:val="en-US" w:eastAsia="zh-CN"/>
        </w:rPr>
      </w:pPr>
      <w:r>
        <w:rPr>
          <w:rFonts w:hint="eastAsia" w:ascii="宋体" w:hAnsi="宋体" w:eastAsia="宋体"/>
          <w:b/>
          <w:bCs/>
          <w:color w:val="auto"/>
          <w:sz w:val="52"/>
          <w:szCs w:val="52"/>
          <w:highlight w:val="none"/>
          <w:lang w:val="en-US" w:eastAsia="zh-CN"/>
        </w:rPr>
        <w:t xml:space="preserve"> </w:t>
      </w:r>
    </w:p>
    <w:p w14:paraId="6725B9D7">
      <w:pPr>
        <w:tabs>
          <w:tab w:val="left" w:pos="315"/>
          <w:tab w:val="left" w:pos="8820"/>
        </w:tabs>
        <w:spacing w:before="312" w:beforeLines="100" w:after="156" w:afterLines="50" w:line="500" w:lineRule="exact"/>
        <w:ind w:right="267" w:rightChars="127"/>
        <w:jc w:val="center"/>
        <w:rPr>
          <w:rFonts w:ascii="宋体" w:hAnsi="宋体" w:eastAsia="宋体"/>
          <w:b/>
          <w:bCs/>
          <w:color w:val="auto"/>
          <w:sz w:val="52"/>
          <w:szCs w:val="52"/>
          <w:highlight w:val="none"/>
        </w:rPr>
      </w:pPr>
    </w:p>
    <w:p w14:paraId="1ADDD8AC">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lang w:val="en-US" w:eastAsia="zh-CN"/>
        </w:rPr>
      </w:pPr>
      <w:bookmarkStart w:id="0" w:name="_Hlk9544796"/>
      <w:r>
        <w:rPr>
          <w:rFonts w:hint="eastAsia" w:ascii="宋体" w:hAnsi="宋体" w:eastAsia="宋体"/>
          <w:b/>
          <w:bCs/>
          <w:color w:val="auto"/>
          <w:sz w:val="52"/>
          <w:szCs w:val="52"/>
          <w:highlight w:val="none"/>
          <w:lang w:val="en-US" w:eastAsia="zh-CN"/>
        </w:rPr>
        <w:t>安徽省</w:t>
      </w:r>
      <w:r>
        <w:rPr>
          <w:rFonts w:hint="eastAsia" w:ascii="宋体" w:hAnsi="宋体" w:eastAsia="宋体"/>
          <w:b/>
          <w:bCs/>
          <w:color w:val="auto"/>
          <w:sz w:val="52"/>
          <w:szCs w:val="52"/>
          <w:highlight w:val="none"/>
        </w:rPr>
        <w:t>政府采购</w:t>
      </w:r>
      <w:r>
        <w:rPr>
          <w:rFonts w:hint="eastAsia" w:ascii="宋体" w:hAnsi="宋体" w:eastAsia="宋体"/>
          <w:b/>
          <w:bCs/>
          <w:color w:val="auto"/>
          <w:sz w:val="52"/>
          <w:szCs w:val="52"/>
          <w:highlight w:val="none"/>
          <w:lang w:eastAsia="zh-CN"/>
        </w:rPr>
        <w:t>项目</w:t>
      </w:r>
    </w:p>
    <w:p w14:paraId="34C1B8CD">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lang w:eastAsia="zh-CN"/>
        </w:rPr>
      </w:pPr>
      <w:r>
        <w:rPr>
          <w:rFonts w:hint="eastAsia" w:ascii="宋体" w:hAnsi="宋体" w:eastAsia="宋体"/>
          <w:b/>
          <w:bCs/>
          <w:color w:val="auto"/>
          <w:sz w:val="52"/>
          <w:szCs w:val="52"/>
          <w:highlight w:val="none"/>
        </w:rPr>
        <w:t>公开招标文件示范文本</w:t>
      </w:r>
      <w:bookmarkEnd w:id="0"/>
      <w:r>
        <w:rPr>
          <w:rFonts w:hint="eastAsia" w:ascii="宋体" w:hAnsi="宋体" w:eastAsia="宋体"/>
          <w:b/>
          <w:bCs/>
          <w:color w:val="auto"/>
          <w:sz w:val="52"/>
          <w:szCs w:val="52"/>
          <w:highlight w:val="none"/>
          <w:lang w:eastAsia="zh-CN"/>
        </w:rPr>
        <w:t>（</w:t>
      </w:r>
      <w:r>
        <w:rPr>
          <w:rFonts w:hint="eastAsia" w:ascii="宋体" w:hAnsi="宋体" w:eastAsia="宋体"/>
          <w:b/>
          <w:bCs/>
          <w:color w:val="auto"/>
          <w:sz w:val="52"/>
          <w:szCs w:val="52"/>
          <w:highlight w:val="none"/>
          <w:lang w:val="en-US" w:eastAsia="zh-CN"/>
        </w:rPr>
        <w:t>货物类</w:t>
      </w:r>
      <w:r>
        <w:rPr>
          <w:rFonts w:hint="eastAsia" w:ascii="宋体" w:hAnsi="宋体" w:eastAsia="宋体"/>
          <w:b/>
          <w:bCs/>
          <w:color w:val="auto"/>
          <w:sz w:val="52"/>
          <w:szCs w:val="52"/>
          <w:highlight w:val="none"/>
          <w:lang w:eastAsia="zh-CN"/>
        </w:rPr>
        <w:t>）</w:t>
      </w:r>
    </w:p>
    <w:p w14:paraId="20B9F3B4">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lang w:eastAsia="zh-CN"/>
        </w:rPr>
      </w:pPr>
      <w:r>
        <w:rPr>
          <w:rFonts w:hint="eastAsia" w:ascii="宋体" w:hAnsi="宋体" w:eastAsia="宋体"/>
          <w:b/>
          <w:bCs/>
          <w:color w:val="auto"/>
          <w:sz w:val="52"/>
          <w:szCs w:val="52"/>
          <w:highlight w:val="none"/>
          <w:lang w:eastAsia="zh-CN"/>
        </w:rPr>
        <w:t>（</w:t>
      </w:r>
      <w:r>
        <w:rPr>
          <w:rFonts w:hint="eastAsia" w:ascii="宋体" w:hAnsi="宋体" w:eastAsia="宋体"/>
          <w:b/>
          <w:bCs/>
          <w:color w:val="auto"/>
          <w:sz w:val="52"/>
          <w:szCs w:val="52"/>
          <w:highlight w:val="none"/>
          <w:lang w:val="en-US" w:eastAsia="zh-CN"/>
        </w:rPr>
        <w:t>2026年版</w:t>
      </w:r>
      <w:r>
        <w:rPr>
          <w:rFonts w:hint="eastAsia" w:ascii="宋体" w:hAnsi="宋体" w:eastAsia="宋体"/>
          <w:b/>
          <w:bCs/>
          <w:color w:val="auto"/>
          <w:sz w:val="52"/>
          <w:szCs w:val="52"/>
          <w:highlight w:val="none"/>
          <w:lang w:eastAsia="zh-CN"/>
        </w:rPr>
        <w:t>）</w:t>
      </w:r>
    </w:p>
    <w:p w14:paraId="27483BD5">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2A6A03D6">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4B01004E">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6A1633E1">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071E930E">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215682ED">
      <w:pPr>
        <w:tabs>
          <w:tab w:val="left" w:pos="2410"/>
        </w:tabs>
        <w:autoSpaceDE w:val="0"/>
        <w:autoSpaceDN w:val="0"/>
        <w:adjustRightInd w:val="0"/>
        <w:snapToGrid w:val="0"/>
        <w:spacing w:line="360" w:lineRule="auto"/>
        <w:ind w:right="-313" w:rightChars="-149" w:firstLine="723" w:firstLineChars="200"/>
        <w:rPr>
          <w:rFonts w:hint="eastAsia" w:ascii="宋体" w:hAnsi="宋体" w:eastAsia="宋体"/>
          <w:b/>
          <w:color w:val="auto"/>
          <w:spacing w:val="20"/>
          <w:kern w:val="0"/>
          <w:sz w:val="32"/>
          <w:szCs w:val="32"/>
          <w:highlight w:val="none"/>
          <w:u w:val="single"/>
          <w:lang w:val="en-US" w:eastAsia="zh-CN"/>
        </w:rPr>
      </w:pPr>
      <w:r>
        <w:rPr>
          <w:rFonts w:hint="eastAsia" w:ascii="宋体" w:hAnsi="宋体" w:eastAsia="宋体"/>
          <w:b/>
          <w:color w:val="auto"/>
          <w:spacing w:val="20"/>
          <w:kern w:val="0"/>
          <w:sz w:val="32"/>
          <w:szCs w:val="32"/>
          <w:highlight w:val="none"/>
        </w:rPr>
        <w:t>项目名称：</w:t>
      </w:r>
      <w:r>
        <w:rPr>
          <w:rFonts w:hint="eastAsia" w:ascii="宋体" w:hAnsi="宋体" w:eastAsia="宋体"/>
          <w:b/>
          <w:color w:val="auto"/>
          <w:spacing w:val="20"/>
          <w:kern w:val="0"/>
          <w:sz w:val="32"/>
          <w:szCs w:val="32"/>
          <w:highlight w:val="none"/>
          <w:u w:val="single"/>
          <w:lang w:val="en-US" w:eastAsia="zh-CN"/>
        </w:rPr>
        <w:t>滁州技师学院新校区大礼堂大屏及电动窗帘建设项目</w:t>
      </w:r>
    </w:p>
    <w:p w14:paraId="3C8870C8">
      <w:pPr>
        <w:tabs>
          <w:tab w:val="left" w:pos="2410"/>
        </w:tabs>
        <w:autoSpaceDE w:val="0"/>
        <w:autoSpaceDN w:val="0"/>
        <w:adjustRightInd w:val="0"/>
        <w:snapToGrid w:val="0"/>
        <w:spacing w:line="360" w:lineRule="auto"/>
        <w:ind w:firstLine="723" w:firstLineChars="200"/>
        <w:rPr>
          <w:rFonts w:hint="default" w:ascii="宋体" w:hAnsi="宋体" w:eastAsia="宋体" w:cs="宋体"/>
          <w:b/>
          <w:color w:val="auto"/>
          <w:spacing w:val="0"/>
          <w:kern w:val="0"/>
          <w:sz w:val="32"/>
          <w:szCs w:val="32"/>
          <w:highlight w:val="none"/>
          <w:u w:val="single"/>
          <w:lang w:val="en-US" w:eastAsia="zh-CN"/>
        </w:rPr>
      </w:pPr>
      <w:r>
        <w:rPr>
          <w:rFonts w:hint="eastAsia" w:ascii="宋体" w:hAnsi="宋体" w:eastAsia="宋体"/>
          <w:b/>
          <w:color w:val="auto"/>
          <w:spacing w:val="20"/>
          <w:kern w:val="0"/>
          <w:sz w:val="32"/>
          <w:szCs w:val="32"/>
          <w:highlight w:val="none"/>
        </w:rPr>
        <w:t>项目编号：</w:t>
      </w:r>
      <w:r>
        <w:rPr>
          <w:rFonts w:hint="eastAsia" w:ascii="宋体" w:hAnsi="宋体" w:eastAsia="宋体" w:cs="宋体"/>
          <w:b/>
          <w:color w:val="auto"/>
          <w:spacing w:val="0"/>
          <w:kern w:val="0"/>
          <w:sz w:val="32"/>
          <w:szCs w:val="32"/>
          <w:highlight w:val="none"/>
          <w:u w:val="single"/>
          <w:lang w:val="en-US" w:eastAsia="zh-CN"/>
        </w:rPr>
        <w:t>czsjcg202607-020</w:t>
      </w:r>
    </w:p>
    <w:p w14:paraId="640B7E36">
      <w:pPr>
        <w:tabs>
          <w:tab w:val="left" w:pos="2410"/>
        </w:tabs>
        <w:autoSpaceDE w:val="0"/>
        <w:autoSpaceDN w:val="0"/>
        <w:adjustRightInd w:val="0"/>
        <w:snapToGrid w:val="0"/>
        <w:spacing w:line="360" w:lineRule="auto"/>
        <w:ind w:firstLine="723" w:firstLineChars="200"/>
        <w:rPr>
          <w:rFonts w:hint="eastAsia" w:ascii="宋体" w:hAnsi="宋体" w:eastAsia="宋体" w:cs="宋体"/>
          <w:b/>
          <w:color w:val="auto"/>
          <w:spacing w:val="0"/>
          <w:kern w:val="0"/>
          <w:sz w:val="32"/>
          <w:szCs w:val="32"/>
          <w:highlight w:val="none"/>
          <w:u w:val="single"/>
          <w:lang w:val="en-US" w:eastAsia="zh-CN"/>
        </w:rPr>
      </w:pPr>
      <w:r>
        <w:rPr>
          <w:rFonts w:hint="eastAsia" w:ascii="宋体" w:hAnsi="宋体" w:eastAsia="宋体"/>
          <w:b/>
          <w:color w:val="auto"/>
          <w:spacing w:val="20"/>
          <w:kern w:val="0"/>
          <w:sz w:val="32"/>
          <w:szCs w:val="32"/>
          <w:highlight w:val="none"/>
        </w:rPr>
        <w:t>采 购 人：</w:t>
      </w:r>
      <w:r>
        <w:rPr>
          <w:rFonts w:hint="eastAsia" w:ascii="宋体" w:hAnsi="宋体" w:eastAsia="宋体" w:cs="宋体"/>
          <w:b/>
          <w:color w:val="auto"/>
          <w:spacing w:val="0"/>
          <w:kern w:val="0"/>
          <w:sz w:val="32"/>
          <w:szCs w:val="32"/>
          <w:highlight w:val="none"/>
          <w:u w:val="single"/>
          <w:lang w:val="en-US" w:eastAsia="zh-CN"/>
        </w:rPr>
        <w:t>滁州市机电工程学校</w:t>
      </w:r>
    </w:p>
    <w:p w14:paraId="092C3BD0">
      <w:pPr>
        <w:tabs>
          <w:tab w:val="left" w:pos="2410"/>
        </w:tabs>
        <w:autoSpaceDE w:val="0"/>
        <w:autoSpaceDN w:val="0"/>
        <w:adjustRightInd w:val="0"/>
        <w:snapToGrid w:val="0"/>
        <w:spacing w:line="360" w:lineRule="auto"/>
        <w:ind w:right="-313" w:rightChars="-149" w:firstLine="723" w:firstLineChars="200"/>
        <w:rPr>
          <w:rFonts w:hint="default" w:ascii="宋体" w:hAnsi="宋体" w:eastAsia="宋体"/>
          <w:b/>
          <w:color w:val="auto"/>
          <w:spacing w:val="20"/>
          <w:kern w:val="0"/>
          <w:sz w:val="32"/>
          <w:szCs w:val="32"/>
          <w:highlight w:val="none"/>
          <w:lang w:val="en-US"/>
        </w:rPr>
      </w:pPr>
      <w:r>
        <w:rPr>
          <w:rFonts w:hint="eastAsia" w:ascii="宋体" w:hAnsi="宋体" w:eastAsia="宋体"/>
          <w:b/>
          <w:color w:val="auto"/>
          <w:spacing w:val="20"/>
          <w:kern w:val="0"/>
          <w:sz w:val="32"/>
          <w:szCs w:val="32"/>
          <w:highlight w:val="none"/>
        </w:rPr>
        <w:t>采购代理机构：</w:t>
      </w:r>
      <w:r>
        <w:rPr>
          <w:rFonts w:hint="eastAsia" w:ascii="宋体" w:hAnsi="宋体" w:eastAsia="宋体" w:cs="宋体"/>
          <w:b/>
          <w:color w:val="auto"/>
          <w:spacing w:val="20"/>
          <w:kern w:val="0"/>
          <w:sz w:val="32"/>
          <w:szCs w:val="32"/>
          <w:highlight w:val="none"/>
          <w:u w:val="single"/>
          <w:lang w:val="en-US" w:eastAsia="zh-CN"/>
        </w:rPr>
        <w:t>滁州市政府采购中心</w:t>
      </w:r>
    </w:p>
    <w:p w14:paraId="2993693E">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206ABA13">
      <w:pPr>
        <w:tabs>
          <w:tab w:val="left" w:pos="2410"/>
        </w:tabs>
        <w:autoSpaceDE w:val="0"/>
        <w:autoSpaceDN w:val="0"/>
        <w:adjustRightInd w:val="0"/>
        <w:snapToGrid w:val="0"/>
        <w:spacing w:line="360" w:lineRule="auto"/>
        <w:jc w:val="center"/>
        <w:rPr>
          <w:rFonts w:hint="eastAsia" w:ascii="宋体" w:hAnsi="宋体" w:eastAsia="宋体"/>
          <w:b/>
          <w:color w:val="auto"/>
          <w:sz w:val="28"/>
          <w:highlight w:val="none"/>
        </w:rPr>
      </w:pPr>
      <w:r>
        <w:rPr>
          <w:rFonts w:hint="eastAsia" w:ascii="宋体" w:hAnsi="宋体" w:eastAsia="宋体"/>
          <w:b/>
          <w:color w:val="auto"/>
          <w:sz w:val="36"/>
          <w:highlight w:val="none"/>
          <w:u w:val="single"/>
          <w:lang w:val="en-US" w:eastAsia="zh-CN"/>
        </w:rPr>
        <w:t>2026</w:t>
      </w:r>
      <w:r>
        <w:rPr>
          <w:rFonts w:hint="eastAsia" w:ascii="宋体" w:hAnsi="宋体" w:eastAsia="宋体"/>
          <w:b/>
          <w:color w:val="auto"/>
          <w:sz w:val="36"/>
          <w:highlight w:val="none"/>
        </w:rPr>
        <w:t>年</w:t>
      </w:r>
      <w:r>
        <w:rPr>
          <w:rFonts w:hint="eastAsia" w:ascii="宋体" w:hAnsi="宋体" w:eastAsia="宋体"/>
          <w:b/>
          <w:color w:val="auto"/>
          <w:sz w:val="36"/>
          <w:highlight w:val="none"/>
          <w:u w:val="single"/>
          <w:lang w:val="en-US" w:eastAsia="zh-CN"/>
        </w:rPr>
        <w:t>7</w:t>
      </w:r>
      <w:r>
        <w:rPr>
          <w:rFonts w:hint="eastAsia" w:ascii="宋体" w:hAnsi="宋体" w:eastAsia="宋体"/>
          <w:b/>
          <w:color w:val="auto"/>
          <w:sz w:val="36"/>
          <w:highlight w:val="none"/>
        </w:rPr>
        <w:t>月</w:t>
      </w:r>
      <w:r>
        <w:rPr>
          <w:rFonts w:hint="eastAsia" w:ascii="宋体" w:hAnsi="宋体" w:eastAsia="宋体"/>
          <w:b/>
          <w:color w:val="auto"/>
          <w:sz w:val="28"/>
          <w:highlight w:val="none"/>
        </w:rPr>
        <w:br w:type="page"/>
      </w:r>
    </w:p>
    <w:p w14:paraId="61384983">
      <w:pPr>
        <w:tabs>
          <w:tab w:val="left" w:pos="2410"/>
        </w:tabs>
        <w:autoSpaceDE w:val="0"/>
        <w:autoSpaceDN w:val="0"/>
        <w:adjustRightInd w:val="0"/>
        <w:snapToGrid w:val="0"/>
        <w:spacing w:line="360" w:lineRule="auto"/>
        <w:jc w:val="center"/>
        <w:rPr>
          <w:rFonts w:ascii="宋体" w:hAnsi="宋体" w:eastAsia="宋体"/>
          <w:b/>
          <w:color w:val="auto"/>
          <w:sz w:val="28"/>
          <w:highlight w:val="none"/>
        </w:rPr>
      </w:pPr>
      <w:r>
        <w:rPr>
          <w:rFonts w:hint="eastAsia" w:ascii="宋体" w:hAnsi="宋体" w:eastAsia="宋体"/>
          <w:b/>
          <w:color w:val="auto"/>
          <w:sz w:val="28"/>
          <w:highlight w:val="none"/>
        </w:rPr>
        <w:t>目  录</w:t>
      </w:r>
    </w:p>
    <w:p w14:paraId="27E83B8E">
      <w:pPr>
        <w:pStyle w:val="18"/>
        <w:tabs>
          <w:tab w:val="right" w:leader="dot" w:pos="9129"/>
        </w:tabs>
      </w:pPr>
      <w:r>
        <w:rPr>
          <w:rFonts w:asciiTheme="minorEastAsia" w:hAnsiTheme="minorEastAsia"/>
          <w:b/>
          <w:color w:val="auto"/>
          <w:sz w:val="24"/>
          <w:szCs w:val="24"/>
          <w:highlight w:val="none"/>
        </w:rPr>
        <w:fldChar w:fldCharType="begin"/>
      </w:r>
      <w:r>
        <w:rPr>
          <w:rFonts w:asciiTheme="minorEastAsia" w:hAnsiTheme="minorEastAsia"/>
          <w:b/>
          <w:color w:val="auto"/>
          <w:sz w:val="24"/>
          <w:szCs w:val="24"/>
          <w:highlight w:val="none"/>
        </w:rPr>
        <w:instrText xml:space="preserve"> </w:instrText>
      </w:r>
      <w:r>
        <w:rPr>
          <w:rFonts w:hint="eastAsia" w:asciiTheme="minorEastAsia" w:hAnsiTheme="minorEastAsia"/>
          <w:b/>
          <w:color w:val="auto"/>
          <w:sz w:val="24"/>
          <w:szCs w:val="24"/>
          <w:highlight w:val="none"/>
        </w:rPr>
        <w:instrText xml:space="preserve">TOC \o "1-2" \h \z \u</w:instrText>
      </w:r>
      <w:r>
        <w:rPr>
          <w:rFonts w:asciiTheme="minorEastAsia" w:hAnsiTheme="minorEastAsia"/>
          <w:b/>
          <w:color w:val="auto"/>
          <w:sz w:val="24"/>
          <w:szCs w:val="24"/>
          <w:highlight w:val="none"/>
        </w:rPr>
        <w:instrText xml:space="preserve"> </w:instrText>
      </w:r>
      <w:r>
        <w:rPr>
          <w:rFonts w:asciiTheme="minorEastAsia" w:hAnsiTheme="minorEastAsia"/>
          <w:b/>
          <w:color w:val="auto"/>
          <w:sz w:val="24"/>
          <w:szCs w:val="24"/>
          <w:highlight w:val="none"/>
        </w:rPr>
        <w:fldChar w:fldCharType="separate"/>
      </w:r>
      <w:r>
        <w:rPr>
          <w:rFonts w:asciiTheme="minorEastAsia" w:hAnsiTheme="minorEastAsia"/>
          <w:color w:val="auto"/>
          <w:szCs w:val="24"/>
          <w:highlight w:val="none"/>
        </w:rPr>
        <w:fldChar w:fldCharType="begin"/>
      </w:r>
      <w:r>
        <w:rPr>
          <w:rFonts w:asciiTheme="minorEastAsia" w:hAnsiTheme="minorEastAsia"/>
          <w:szCs w:val="24"/>
          <w:highlight w:val="none"/>
        </w:rPr>
        <w:instrText xml:space="preserve"> HYPERLINK \l _Toc9157 </w:instrText>
      </w:r>
      <w:r>
        <w:rPr>
          <w:rFonts w:asciiTheme="minorEastAsia" w:hAnsiTheme="minorEastAsia"/>
          <w:szCs w:val="24"/>
          <w:highlight w:val="none"/>
        </w:rPr>
        <w:fldChar w:fldCharType="separate"/>
      </w:r>
      <w:r>
        <w:rPr>
          <w:rFonts w:hint="eastAsia" w:asciiTheme="minorEastAsia" w:hAnsiTheme="minorEastAsia" w:eastAsiaTheme="minorEastAsia"/>
          <w:highlight w:val="none"/>
        </w:rPr>
        <w:t xml:space="preserve">第一章 </w:t>
      </w:r>
      <w:r>
        <w:rPr>
          <w:rFonts w:asciiTheme="minorEastAsia" w:hAnsiTheme="minorEastAsia" w:eastAsiaTheme="minorEastAsia"/>
          <w:highlight w:val="none"/>
        </w:rPr>
        <w:t xml:space="preserve"> 投标邀请</w:t>
      </w:r>
      <w:r>
        <w:tab/>
      </w:r>
      <w:r>
        <w:fldChar w:fldCharType="begin"/>
      </w:r>
      <w:r>
        <w:instrText xml:space="preserve"> PAGEREF _Toc9157 \h </w:instrText>
      </w:r>
      <w:r>
        <w:fldChar w:fldCharType="separate"/>
      </w:r>
      <w:r>
        <w:t>1</w:t>
      </w:r>
      <w:r>
        <w:fldChar w:fldCharType="end"/>
      </w:r>
      <w:r>
        <w:rPr>
          <w:rFonts w:asciiTheme="minorEastAsia" w:hAnsiTheme="minorEastAsia"/>
          <w:color w:val="auto"/>
          <w:szCs w:val="24"/>
          <w:highlight w:val="none"/>
        </w:rPr>
        <w:fldChar w:fldCharType="end"/>
      </w:r>
    </w:p>
    <w:p w14:paraId="0EF48279">
      <w:pPr>
        <w:pStyle w:val="18"/>
        <w:tabs>
          <w:tab w:val="right" w:leader="dot" w:pos="9129"/>
        </w:tabs>
      </w:pPr>
      <w:r>
        <w:rPr>
          <w:rFonts w:asciiTheme="minorEastAsia" w:hAnsiTheme="minorEastAsia" w:eastAsiaTheme="minorEastAsia"/>
          <w:color w:val="auto"/>
          <w:szCs w:val="24"/>
          <w:highlight w:val="none"/>
        </w:rPr>
        <w:fldChar w:fldCharType="begin"/>
      </w:r>
      <w:r>
        <w:rPr>
          <w:rFonts w:asciiTheme="minorEastAsia" w:hAnsiTheme="minorEastAsia" w:eastAsiaTheme="minorEastAsia"/>
          <w:szCs w:val="24"/>
          <w:highlight w:val="none"/>
        </w:rPr>
        <w:instrText xml:space="preserve"> HYPERLINK \l _Toc31816 </w:instrText>
      </w:r>
      <w:r>
        <w:rPr>
          <w:rFonts w:asciiTheme="minorEastAsia" w:hAnsiTheme="minorEastAsia" w:eastAsiaTheme="minorEastAsia"/>
          <w:szCs w:val="24"/>
          <w:highlight w:val="none"/>
        </w:rPr>
        <w:fldChar w:fldCharType="separate"/>
      </w:r>
      <w:r>
        <w:rPr>
          <w:rFonts w:hint="eastAsia" w:asciiTheme="minorEastAsia" w:hAnsiTheme="minorEastAsia" w:eastAsiaTheme="minorEastAsia"/>
          <w:highlight w:val="none"/>
        </w:rPr>
        <w:t>第二章</w:t>
      </w:r>
      <w:r>
        <w:rPr>
          <w:rFonts w:asciiTheme="minorEastAsia" w:hAnsiTheme="minorEastAsia" w:eastAsiaTheme="minorEastAsia"/>
          <w:highlight w:val="none"/>
        </w:rPr>
        <w:t xml:space="preserve"> </w:t>
      </w:r>
      <w:r>
        <w:rPr>
          <w:rFonts w:hint="eastAsia" w:asciiTheme="minorEastAsia" w:hAnsiTheme="minorEastAsia" w:eastAsiaTheme="minorEastAsia"/>
          <w:highlight w:val="none"/>
        </w:rPr>
        <w:t xml:space="preserve"> </w:t>
      </w:r>
      <w:r>
        <w:rPr>
          <w:rFonts w:asciiTheme="minorEastAsia" w:hAnsiTheme="minorEastAsia" w:eastAsiaTheme="minorEastAsia"/>
          <w:highlight w:val="none"/>
        </w:rPr>
        <w:t>投标人须知</w:t>
      </w:r>
      <w:r>
        <w:tab/>
      </w:r>
      <w:r>
        <w:fldChar w:fldCharType="begin"/>
      </w:r>
      <w:r>
        <w:instrText xml:space="preserve"> PAGEREF _Toc31816 \h </w:instrText>
      </w:r>
      <w:r>
        <w:fldChar w:fldCharType="separate"/>
      </w:r>
      <w:r>
        <w:t>4</w:t>
      </w:r>
      <w:r>
        <w:fldChar w:fldCharType="end"/>
      </w:r>
      <w:r>
        <w:rPr>
          <w:rFonts w:asciiTheme="minorEastAsia" w:hAnsiTheme="minorEastAsia" w:eastAsiaTheme="minorEastAsia"/>
          <w:color w:val="auto"/>
          <w:szCs w:val="24"/>
          <w:highlight w:val="none"/>
        </w:rPr>
        <w:fldChar w:fldCharType="end"/>
      </w:r>
    </w:p>
    <w:p w14:paraId="0C9AB943">
      <w:pPr>
        <w:pStyle w:val="18"/>
        <w:tabs>
          <w:tab w:val="right" w:leader="dot" w:pos="9129"/>
        </w:tabs>
      </w:pPr>
      <w:r>
        <w:rPr>
          <w:rFonts w:asciiTheme="minorEastAsia" w:hAnsiTheme="minorEastAsia" w:eastAsiaTheme="minorEastAsia"/>
          <w:color w:val="auto"/>
          <w:szCs w:val="24"/>
          <w:highlight w:val="none"/>
        </w:rPr>
        <w:fldChar w:fldCharType="begin"/>
      </w:r>
      <w:r>
        <w:rPr>
          <w:rFonts w:asciiTheme="minorEastAsia" w:hAnsiTheme="minorEastAsia" w:eastAsiaTheme="minorEastAsia"/>
          <w:szCs w:val="24"/>
          <w:highlight w:val="none"/>
        </w:rPr>
        <w:instrText xml:space="preserve"> HYPERLINK \l _Toc13685 </w:instrText>
      </w:r>
      <w:r>
        <w:rPr>
          <w:rFonts w:asciiTheme="minorEastAsia" w:hAnsiTheme="minorEastAsia" w:eastAsiaTheme="minorEastAsia"/>
          <w:szCs w:val="24"/>
          <w:highlight w:val="none"/>
        </w:rPr>
        <w:fldChar w:fldCharType="separate"/>
      </w:r>
      <w:r>
        <w:rPr>
          <w:rFonts w:hint="eastAsia" w:asciiTheme="minorEastAsia" w:hAnsiTheme="minorEastAsia" w:eastAsiaTheme="minorEastAsia"/>
          <w:highlight w:val="none"/>
        </w:rPr>
        <w:t>第三章  采购需求</w:t>
      </w:r>
      <w:r>
        <w:tab/>
      </w:r>
      <w:r>
        <w:fldChar w:fldCharType="begin"/>
      </w:r>
      <w:r>
        <w:instrText xml:space="preserve"> PAGEREF _Toc13685 \h </w:instrText>
      </w:r>
      <w:r>
        <w:fldChar w:fldCharType="separate"/>
      </w:r>
      <w:r>
        <w:t>22</w:t>
      </w:r>
      <w:r>
        <w:fldChar w:fldCharType="end"/>
      </w:r>
      <w:r>
        <w:rPr>
          <w:rFonts w:asciiTheme="minorEastAsia" w:hAnsiTheme="minorEastAsia" w:eastAsiaTheme="minorEastAsia"/>
          <w:color w:val="auto"/>
          <w:szCs w:val="24"/>
          <w:highlight w:val="none"/>
        </w:rPr>
        <w:fldChar w:fldCharType="end"/>
      </w:r>
    </w:p>
    <w:p w14:paraId="390196FD">
      <w:pPr>
        <w:pStyle w:val="18"/>
        <w:tabs>
          <w:tab w:val="right" w:leader="dot" w:pos="9129"/>
        </w:tabs>
      </w:pPr>
      <w:r>
        <w:rPr>
          <w:rFonts w:asciiTheme="minorEastAsia" w:hAnsiTheme="minorEastAsia" w:eastAsiaTheme="minorEastAsia"/>
          <w:color w:val="auto"/>
          <w:szCs w:val="24"/>
          <w:highlight w:val="none"/>
        </w:rPr>
        <w:fldChar w:fldCharType="begin"/>
      </w:r>
      <w:r>
        <w:rPr>
          <w:rFonts w:asciiTheme="minorEastAsia" w:hAnsiTheme="minorEastAsia" w:eastAsiaTheme="minorEastAsia"/>
          <w:szCs w:val="24"/>
          <w:highlight w:val="none"/>
        </w:rPr>
        <w:instrText xml:space="preserve"> HYPERLINK \l _Toc15604 </w:instrText>
      </w:r>
      <w:r>
        <w:rPr>
          <w:rFonts w:asciiTheme="minorEastAsia" w:hAnsiTheme="minorEastAsia" w:eastAsiaTheme="minorEastAsia"/>
          <w:szCs w:val="24"/>
          <w:highlight w:val="none"/>
        </w:rPr>
        <w:fldChar w:fldCharType="separate"/>
      </w:r>
      <w:r>
        <w:rPr>
          <w:rFonts w:hint="eastAsia" w:asciiTheme="minorEastAsia" w:hAnsiTheme="minorEastAsia" w:eastAsiaTheme="minorEastAsia"/>
          <w:highlight w:val="none"/>
        </w:rPr>
        <w:t>第四章  评标方法和标准（综合评分法）</w:t>
      </w:r>
      <w:r>
        <w:tab/>
      </w:r>
      <w:r>
        <w:fldChar w:fldCharType="begin"/>
      </w:r>
      <w:r>
        <w:instrText xml:space="preserve"> PAGEREF _Toc15604 \h </w:instrText>
      </w:r>
      <w:r>
        <w:fldChar w:fldCharType="separate"/>
      </w:r>
      <w:r>
        <w:t>42</w:t>
      </w:r>
      <w:r>
        <w:fldChar w:fldCharType="end"/>
      </w:r>
      <w:r>
        <w:rPr>
          <w:rFonts w:asciiTheme="minorEastAsia" w:hAnsiTheme="minorEastAsia" w:eastAsiaTheme="minorEastAsia"/>
          <w:color w:val="auto"/>
          <w:szCs w:val="24"/>
          <w:highlight w:val="none"/>
        </w:rPr>
        <w:fldChar w:fldCharType="end"/>
      </w:r>
    </w:p>
    <w:p w14:paraId="4ED1F09D">
      <w:pPr>
        <w:pStyle w:val="18"/>
        <w:tabs>
          <w:tab w:val="right" w:leader="dot" w:pos="9129"/>
        </w:tabs>
      </w:pPr>
      <w:r>
        <w:rPr>
          <w:rFonts w:asciiTheme="minorEastAsia" w:hAnsiTheme="minorEastAsia" w:eastAsiaTheme="minorEastAsia"/>
          <w:color w:val="auto"/>
          <w:szCs w:val="24"/>
          <w:highlight w:val="none"/>
        </w:rPr>
        <w:fldChar w:fldCharType="begin"/>
      </w:r>
      <w:r>
        <w:rPr>
          <w:rFonts w:asciiTheme="minorEastAsia" w:hAnsiTheme="minorEastAsia" w:eastAsiaTheme="minorEastAsia"/>
          <w:szCs w:val="24"/>
          <w:highlight w:val="none"/>
        </w:rPr>
        <w:instrText xml:space="preserve"> HYPERLINK \l _Toc9233 </w:instrText>
      </w:r>
      <w:r>
        <w:rPr>
          <w:rFonts w:asciiTheme="minorEastAsia" w:hAnsiTheme="minorEastAsia" w:eastAsiaTheme="minorEastAsia"/>
          <w:szCs w:val="24"/>
          <w:highlight w:val="none"/>
        </w:rPr>
        <w:fldChar w:fldCharType="separate"/>
      </w:r>
      <w:r>
        <w:rPr>
          <w:rFonts w:hint="eastAsia" w:asciiTheme="minorEastAsia" w:hAnsiTheme="minorEastAsia" w:eastAsiaTheme="minorEastAsia"/>
          <w:highlight w:val="none"/>
        </w:rPr>
        <w:t xml:space="preserve">第五章  </w:t>
      </w:r>
      <w:r>
        <w:rPr>
          <w:rFonts w:asciiTheme="minorEastAsia" w:hAnsiTheme="minorEastAsia" w:eastAsiaTheme="minorEastAsia"/>
          <w:highlight w:val="none"/>
        </w:rPr>
        <w:t>政府采购合同</w:t>
      </w:r>
      <w:r>
        <w:tab/>
      </w:r>
      <w:r>
        <w:fldChar w:fldCharType="begin"/>
      </w:r>
      <w:r>
        <w:instrText xml:space="preserve"> PAGEREF _Toc9233 \h </w:instrText>
      </w:r>
      <w:r>
        <w:fldChar w:fldCharType="separate"/>
      </w:r>
      <w:r>
        <w:t>50</w:t>
      </w:r>
      <w:r>
        <w:fldChar w:fldCharType="end"/>
      </w:r>
      <w:r>
        <w:rPr>
          <w:rFonts w:asciiTheme="minorEastAsia" w:hAnsiTheme="minorEastAsia" w:eastAsiaTheme="minorEastAsia"/>
          <w:color w:val="auto"/>
          <w:szCs w:val="24"/>
          <w:highlight w:val="none"/>
        </w:rPr>
        <w:fldChar w:fldCharType="end"/>
      </w:r>
    </w:p>
    <w:p w14:paraId="7A81ED69">
      <w:pPr>
        <w:pStyle w:val="18"/>
        <w:tabs>
          <w:tab w:val="right" w:leader="dot" w:pos="9129"/>
        </w:tabs>
      </w:pPr>
      <w:r>
        <w:rPr>
          <w:rFonts w:asciiTheme="minorEastAsia" w:hAnsiTheme="minorEastAsia" w:eastAsiaTheme="minorEastAsia"/>
          <w:color w:val="auto"/>
          <w:szCs w:val="24"/>
          <w:highlight w:val="none"/>
        </w:rPr>
        <w:fldChar w:fldCharType="begin"/>
      </w:r>
      <w:r>
        <w:rPr>
          <w:rFonts w:asciiTheme="minorEastAsia" w:hAnsiTheme="minorEastAsia" w:eastAsiaTheme="minorEastAsia"/>
          <w:szCs w:val="24"/>
          <w:highlight w:val="none"/>
        </w:rPr>
        <w:instrText xml:space="preserve"> HYPERLINK \l _Toc22711 </w:instrText>
      </w:r>
      <w:r>
        <w:rPr>
          <w:rFonts w:asciiTheme="minorEastAsia" w:hAnsiTheme="minorEastAsia" w:eastAsiaTheme="minorEastAsia"/>
          <w:szCs w:val="24"/>
          <w:highlight w:val="none"/>
        </w:rPr>
        <w:fldChar w:fldCharType="separate"/>
      </w:r>
      <w:r>
        <w:rPr>
          <w:rFonts w:hint="eastAsia" w:asciiTheme="minorEastAsia" w:hAnsiTheme="minorEastAsia" w:eastAsiaTheme="minorEastAsia"/>
          <w:highlight w:val="none"/>
        </w:rPr>
        <w:t>第六章  投标文件格式</w:t>
      </w:r>
      <w:r>
        <w:tab/>
      </w:r>
      <w:r>
        <w:fldChar w:fldCharType="begin"/>
      </w:r>
      <w:r>
        <w:instrText xml:space="preserve"> PAGEREF _Toc22711 \h </w:instrText>
      </w:r>
      <w:r>
        <w:fldChar w:fldCharType="separate"/>
      </w:r>
      <w:r>
        <w:t>63</w:t>
      </w:r>
      <w:r>
        <w:fldChar w:fldCharType="end"/>
      </w:r>
      <w:r>
        <w:rPr>
          <w:rFonts w:asciiTheme="minorEastAsia" w:hAnsiTheme="minorEastAsia" w:eastAsiaTheme="minorEastAsia"/>
          <w:color w:val="auto"/>
          <w:szCs w:val="24"/>
          <w:highlight w:val="none"/>
        </w:rPr>
        <w:fldChar w:fldCharType="end"/>
      </w:r>
    </w:p>
    <w:p w14:paraId="3BB75A30">
      <w:pPr>
        <w:pStyle w:val="18"/>
        <w:tabs>
          <w:tab w:val="right" w:leader="dot" w:pos="9129"/>
        </w:tabs>
      </w:pPr>
      <w:r>
        <w:rPr>
          <w:rFonts w:asciiTheme="minorEastAsia" w:hAnsiTheme="minorEastAsia" w:eastAsiaTheme="minorEastAsia"/>
          <w:color w:val="auto"/>
          <w:szCs w:val="24"/>
          <w:highlight w:val="none"/>
        </w:rPr>
        <w:fldChar w:fldCharType="begin"/>
      </w:r>
      <w:r>
        <w:rPr>
          <w:rFonts w:asciiTheme="minorEastAsia" w:hAnsiTheme="minorEastAsia" w:eastAsiaTheme="minorEastAsia"/>
          <w:szCs w:val="24"/>
          <w:highlight w:val="none"/>
        </w:rPr>
        <w:instrText xml:space="preserve"> HYPERLINK \l _Toc15595 </w:instrText>
      </w:r>
      <w:r>
        <w:rPr>
          <w:rFonts w:asciiTheme="minorEastAsia" w:hAnsiTheme="minorEastAsia" w:eastAsiaTheme="minorEastAsia"/>
          <w:szCs w:val="24"/>
          <w:highlight w:val="none"/>
        </w:rPr>
        <w:fldChar w:fldCharType="separate"/>
      </w:r>
      <w:r>
        <w:rPr>
          <w:rFonts w:hint="eastAsia" w:asciiTheme="minorEastAsia" w:hAnsiTheme="minorEastAsia" w:eastAsiaTheme="minorEastAsia"/>
          <w:highlight w:val="none"/>
        </w:rPr>
        <w:t>第</w:t>
      </w:r>
      <w:r>
        <w:rPr>
          <w:rFonts w:hint="eastAsia" w:asciiTheme="minorEastAsia" w:hAnsiTheme="minorEastAsia" w:eastAsiaTheme="minorEastAsia"/>
          <w:highlight w:val="none"/>
          <w:lang w:val="en-US" w:eastAsia="zh-CN"/>
        </w:rPr>
        <w:t>七</w:t>
      </w:r>
      <w:r>
        <w:rPr>
          <w:rFonts w:hint="eastAsia" w:asciiTheme="minorEastAsia" w:hAnsiTheme="minorEastAsia" w:eastAsiaTheme="minorEastAsia"/>
          <w:highlight w:val="none"/>
        </w:rPr>
        <w:t>章</w:t>
      </w:r>
      <w:r>
        <w:rPr>
          <w:rFonts w:hint="eastAsia" w:ascii="宋体" w:hAnsi="宋体" w:eastAsia="宋体"/>
          <w:bCs/>
          <w:highlight w:val="none"/>
        </w:rPr>
        <w:t xml:space="preserve">  政府采购</w:t>
      </w:r>
      <w:r>
        <w:rPr>
          <w:rFonts w:hint="eastAsia" w:asciiTheme="minorEastAsia" w:hAnsiTheme="minorEastAsia" w:eastAsiaTheme="minorEastAsia"/>
          <w:highlight w:val="none"/>
        </w:rPr>
        <w:t>供应</w:t>
      </w:r>
      <w:r>
        <w:rPr>
          <w:rFonts w:hint="eastAsia" w:ascii="宋体" w:hAnsi="宋体" w:eastAsia="宋体"/>
          <w:bCs/>
          <w:highlight w:val="none"/>
        </w:rPr>
        <w:t>商询问函和质疑函范本</w:t>
      </w:r>
      <w:r>
        <w:tab/>
      </w:r>
      <w:r>
        <w:fldChar w:fldCharType="begin"/>
      </w:r>
      <w:r>
        <w:instrText xml:space="preserve"> PAGEREF _Toc15595 \h </w:instrText>
      </w:r>
      <w:r>
        <w:fldChar w:fldCharType="separate"/>
      </w:r>
      <w:r>
        <w:t>95</w:t>
      </w:r>
      <w:r>
        <w:fldChar w:fldCharType="end"/>
      </w:r>
      <w:r>
        <w:rPr>
          <w:rFonts w:asciiTheme="minorEastAsia" w:hAnsiTheme="minorEastAsia" w:eastAsiaTheme="minorEastAsia"/>
          <w:color w:val="auto"/>
          <w:szCs w:val="24"/>
          <w:highlight w:val="none"/>
        </w:rPr>
        <w:fldChar w:fldCharType="end"/>
      </w:r>
    </w:p>
    <w:p w14:paraId="5061F5D6">
      <w:pPr>
        <w:spacing w:line="360" w:lineRule="auto"/>
        <w:jc w:val="center"/>
        <w:outlineLvl w:val="0"/>
        <w:rPr>
          <w:rFonts w:asciiTheme="minorEastAsia" w:hAnsiTheme="minorEastAsia" w:eastAsiaTheme="minorEastAsia"/>
          <w:color w:val="auto"/>
          <w:szCs w:val="24"/>
          <w:highlight w:val="none"/>
        </w:rPr>
      </w:pPr>
      <w:r>
        <w:rPr>
          <w:rFonts w:asciiTheme="minorEastAsia" w:hAnsiTheme="minorEastAsia" w:eastAsiaTheme="minorEastAsia"/>
          <w:color w:val="auto"/>
          <w:szCs w:val="24"/>
          <w:highlight w:val="none"/>
        </w:rPr>
        <w:fldChar w:fldCharType="end"/>
      </w:r>
    </w:p>
    <w:p w14:paraId="1CADD384">
      <w:pPr>
        <w:spacing w:line="360" w:lineRule="auto"/>
        <w:jc w:val="center"/>
        <w:outlineLvl w:val="0"/>
        <w:rPr>
          <w:rFonts w:hint="eastAsia" w:asciiTheme="minorEastAsia" w:hAnsiTheme="minorEastAsia" w:eastAsiaTheme="minorEastAsia"/>
          <w:b/>
          <w:color w:val="auto"/>
          <w:sz w:val="28"/>
          <w:highlight w:val="none"/>
        </w:rPr>
        <w:sectPr>
          <w:headerReference r:id="rId3" w:type="default"/>
          <w:footerReference r:id="rId4" w:type="default"/>
          <w:pgSz w:w="11907" w:h="16840"/>
          <w:pgMar w:top="1117" w:right="1078" w:bottom="1060" w:left="1700" w:header="510" w:footer="886" w:gutter="0"/>
          <w:pgNumType w:fmt="decimal"/>
          <w:cols w:space="720" w:num="1"/>
        </w:sectPr>
      </w:pPr>
    </w:p>
    <w:p w14:paraId="5720CCCC">
      <w:pPr>
        <w:spacing w:line="360" w:lineRule="auto"/>
        <w:jc w:val="center"/>
        <w:outlineLvl w:val="0"/>
        <w:rPr>
          <w:rFonts w:asciiTheme="minorEastAsia" w:hAnsiTheme="minorEastAsia" w:eastAsiaTheme="minorEastAsia"/>
          <w:b/>
          <w:color w:val="auto"/>
          <w:sz w:val="28"/>
          <w:highlight w:val="none"/>
        </w:rPr>
      </w:pPr>
      <w:bookmarkStart w:id="1" w:name="_Toc9157"/>
      <w:r>
        <w:rPr>
          <w:rFonts w:hint="eastAsia" w:asciiTheme="minorEastAsia" w:hAnsiTheme="minorEastAsia" w:eastAsiaTheme="minorEastAsia"/>
          <w:b/>
          <w:color w:val="auto"/>
          <w:sz w:val="28"/>
          <w:highlight w:val="none"/>
        </w:rPr>
        <w:t xml:space="preserve">第一章 </w:t>
      </w:r>
      <w:r>
        <w:rPr>
          <w:rFonts w:asciiTheme="minorEastAsia" w:hAnsiTheme="minorEastAsia" w:eastAsiaTheme="minorEastAsia"/>
          <w:b/>
          <w:color w:val="auto"/>
          <w:sz w:val="28"/>
          <w:highlight w:val="none"/>
        </w:rPr>
        <w:t xml:space="preserve"> 投标邀请</w:t>
      </w:r>
      <w:bookmarkEnd w:id="1"/>
    </w:p>
    <w:p w14:paraId="5082C564">
      <w:pPr>
        <w:keepNext/>
        <w:keepLines/>
        <w:pageBreakBefore w:val="0"/>
        <w:widowControl w:val="0"/>
        <w:suppressLineNumbers w:val="0"/>
        <w:kinsoku/>
        <w:overflowPunct/>
        <w:topLinePunct w:val="0"/>
        <w:bidi w:val="0"/>
        <w:spacing w:before="0" w:beforeAutospacing="0" w:after="0" w:afterAutospacing="0" w:line="420" w:lineRule="exact"/>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项目概况</w:t>
      </w:r>
    </w:p>
    <w:p w14:paraId="16B3CBFA">
      <w:pPr>
        <w:keepNext/>
        <w:keepLines/>
        <w:pageBreakBefore w:val="0"/>
        <w:widowControl w:val="0"/>
        <w:suppressLineNumbers w:val="0"/>
        <w:kinsoku/>
        <w:wordWrap w:val="0"/>
        <w:overflowPunct/>
        <w:topLinePunct w:val="0"/>
        <w:bidi w:val="0"/>
        <w:spacing w:before="0" w:beforeAutospacing="0" w:after="0" w:afterAutospacing="0" w:line="420" w:lineRule="exact"/>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b w:val="0"/>
          <w:color w:val="auto"/>
          <w:kern w:val="2"/>
          <w:sz w:val="24"/>
          <w:szCs w:val="24"/>
          <w:highlight w:val="none"/>
          <w:u w:val="single"/>
          <w:lang w:val="en-US" w:eastAsia="zh-CN" w:bidi="ar"/>
        </w:rPr>
        <w:t>滁州技师学院新校区大礼堂大屏及电动窗帘建设项目</w:t>
      </w:r>
      <w:r>
        <w:rPr>
          <w:rFonts w:hint="eastAsia" w:ascii="宋体" w:hAnsi="宋体" w:eastAsia="宋体" w:cs="宋体"/>
          <w:color w:val="auto"/>
          <w:kern w:val="2"/>
          <w:sz w:val="24"/>
          <w:szCs w:val="24"/>
          <w:highlight w:val="none"/>
          <w:lang w:val="en-US" w:eastAsia="zh-CN" w:bidi="ar"/>
        </w:rPr>
        <w:t>的潜在投标人应在</w:t>
      </w:r>
      <w:r>
        <w:rPr>
          <w:rFonts w:hint="eastAsia" w:ascii="宋体" w:hAnsi="宋体" w:eastAsia="宋体" w:cs="宋体"/>
          <w:color w:val="auto"/>
          <w:kern w:val="2"/>
          <w:sz w:val="24"/>
          <w:szCs w:val="24"/>
          <w:highlight w:val="none"/>
          <w:u w:val="single"/>
          <w:lang w:val="en-US" w:eastAsia="zh-CN" w:bidi="ar"/>
        </w:rPr>
        <w:t>滁州市公共资源交易中心网（http：//ggzy.chuzhou.gov.cn/）</w:t>
      </w:r>
      <w:r>
        <w:rPr>
          <w:rFonts w:hint="eastAsia" w:ascii="宋体" w:hAnsi="宋体" w:eastAsia="宋体" w:cs="宋体"/>
          <w:color w:val="auto"/>
          <w:kern w:val="2"/>
          <w:sz w:val="24"/>
          <w:szCs w:val="24"/>
          <w:highlight w:val="none"/>
          <w:lang w:val="en-US" w:eastAsia="zh-CN" w:bidi="ar"/>
        </w:rPr>
        <w:t>获取招标文件，并于</w:t>
      </w:r>
      <w:r>
        <w:rPr>
          <w:rFonts w:hint="eastAsia" w:ascii="宋体" w:hAnsi="宋体" w:eastAsia="宋体" w:cs="宋体"/>
          <w:color w:val="auto"/>
          <w:kern w:val="2"/>
          <w:sz w:val="24"/>
          <w:szCs w:val="24"/>
          <w:highlight w:val="none"/>
          <w:u w:val="single"/>
          <w:lang w:val="en-US" w:eastAsia="zh-CN" w:bidi="ar"/>
        </w:rPr>
        <w:t>2026年8月3日8点30分</w:t>
      </w:r>
      <w:r>
        <w:rPr>
          <w:rFonts w:hint="eastAsia" w:ascii="宋体" w:hAnsi="宋体" w:eastAsia="宋体" w:cs="宋体"/>
          <w:color w:val="auto"/>
          <w:kern w:val="2"/>
          <w:sz w:val="24"/>
          <w:szCs w:val="24"/>
          <w:highlight w:val="none"/>
          <w:lang w:val="en-US" w:eastAsia="zh-CN" w:bidi="ar"/>
        </w:rPr>
        <w:t>（北京时间）前递交投标文件。</w:t>
      </w:r>
    </w:p>
    <w:p w14:paraId="6E00CD69">
      <w:pPr>
        <w:pageBreakBefore w:val="0"/>
        <w:widowControl w:val="0"/>
        <w:kinsoku/>
        <w:overflowPunct/>
        <w:topLinePunct w:val="0"/>
        <w:bidi w:val="0"/>
        <w:spacing w:line="420" w:lineRule="exact"/>
        <w:ind w:firstLine="437"/>
        <w:textAlignment w:val="auto"/>
        <w:outlineLvl w:val="1"/>
        <w:rPr>
          <w:rFonts w:hint="eastAsia" w:ascii="宋体" w:hAnsi="宋体" w:eastAsia="宋体" w:cstheme="minorBidi"/>
          <w:b/>
          <w:color w:val="auto"/>
          <w:kern w:val="0"/>
          <w:sz w:val="24"/>
          <w:highlight w:val="none"/>
          <w:lang w:val="en-US" w:eastAsia="zh-CN"/>
        </w:rPr>
      </w:pPr>
      <w:bookmarkStart w:id="2" w:name="_Toc10869"/>
      <w:r>
        <w:rPr>
          <w:rFonts w:hint="eastAsia" w:ascii="宋体" w:hAnsi="宋体" w:eastAsia="宋体" w:cstheme="minorBidi"/>
          <w:b/>
          <w:color w:val="auto"/>
          <w:kern w:val="0"/>
          <w:sz w:val="24"/>
          <w:highlight w:val="none"/>
          <w:lang w:val="en-US" w:eastAsia="zh-CN"/>
        </w:rPr>
        <w:t>一、项目基本情况</w:t>
      </w:r>
      <w:bookmarkEnd w:id="2"/>
    </w:p>
    <w:p w14:paraId="5F766666">
      <w:pPr>
        <w:pageBreakBefore w:val="0"/>
        <w:widowControl w:val="0"/>
        <w:tabs>
          <w:tab w:val="left" w:pos="2410"/>
        </w:tabs>
        <w:kinsoku/>
        <w:overflowPunct/>
        <w:topLinePunct w:val="0"/>
        <w:autoSpaceDE w:val="0"/>
        <w:autoSpaceDN w:val="0"/>
        <w:bidi w:val="0"/>
        <w:adjustRightInd w:val="0"/>
        <w:snapToGrid w:val="0"/>
        <w:spacing w:line="420" w:lineRule="exact"/>
        <w:ind w:firstLine="480" w:firstLineChars="200"/>
        <w:textAlignment w:val="auto"/>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项目编号：czsjcg202607-020</w:t>
      </w:r>
    </w:p>
    <w:p w14:paraId="1AFC82FA">
      <w:pPr>
        <w:pageBreakBefore w:val="0"/>
        <w:widowControl w:val="0"/>
        <w:tabs>
          <w:tab w:val="left" w:pos="2410"/>
        </w:tabs>
        <w:kinsoku/>
        <w:overflowPunct/>
        <w:topLinePunct w:val="0"/>
        <w:autoSpaceDE w:val="0"/>
        <w:autoSpaceDN w:val="0"/>
        <w:bidi w:val="0"/>
        <w:adjustRightInd w:val="0"/>
        <w:snapToGrid w:val="0"/>
        <w:spacing w:line="420" w:lineRule="exact"/>
        <w:ind w:firstLine="480" w:firstLineChars="200"/>
        <w:textAlignment w:val="auto"/>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项目名称：滁州技师学院新校区大礼堂大屏及电动窗帘建设项目</w:t>
      </w:r>
    </w:p>
    <w:p w14:paraId="381B7158">
      <w:pPr>
        <w:pageBreakBefore w:val="0"/>
        <w:widowControl w:val="0"/>
        <w:tabs>
          <w:tab w:val="left" w:pos="2410"/>
        </w:tabs>
        <w:kinsoku/>
        <w:overflowPunct/>
        <w:topLinePunct w:val="0"/>
        <w:autoSpaceDE w:val="0"/>
        <w:autoSpaceDN w:val="0"/>
        <w:bidi w:val="0"/>
        <w:adjustRightInd w:val="0"/>
        <w:snapToGrid w:val="0"/>
        <w:spacing w:line="420" w:lineRule="exact"/>
        <w:ind w:firstLine="480" w:firstLineChars="200"/>
        <w:textAlignment w:val="auto"/>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预算金额：1190000.00元</w:t>
      </w:r>
    </w:p>
    <w:p w14:paraId="36C1514E">
      <w:pPr>
        <w:pageBreakBefore w:val="0"/>
        <w:widowControl w:val="0"/>
        <w:tabs>
          <w:tab w:val="left" w:pos="2410"/>
        </w:tabs>
        <w:kinsoku/>
        <w:overflowPunct/>
        <w:topLinePunct w:val="0"/>
        <w:autoSpaceDE w:val="0"/>
        <w:autoSpaceDN w:val="0"/>
        <w:bidi w:val="0"/>
        <w:adjustRightInd w:val="0"/>
        <w:snapToGrid w:val="0"/>
        <w:spacing w:line="420" w:lineRule="exact"/>
        <w:ind w:firstLine="480" w:firstLineChars="200"/>
        <w:textAlignment w:val="auto"/>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最高限价：1146215.75元，投标报价不得高于最高限价，否则按无效投标处理。</w:t>
      </w:r>
    </w:p>
    <w:p w14:paraId="17BB8871">
      <w:pPr>
        <w:pageBreakBefore w:val="0"/>
        <w:widowControl w:val="0"/>
        <w:tabs>
          <w:tab w:val="left" w:pos="2410"/>
        </w:tabs>
        <w:kinsoku/>
        <w:overflowPunct/>
        <w:topLinePunct w:val="0"/>
        <w:autoSpaceDE w:val="0"/>
        <w:autoSpaceDN w:val="0"/>
        <w:bidi w:val="0"/>
        <w:adjustRightInd w:val="0"/>
        <w:snapToGrid w:val="0"/>
        <w:spacing w:line="420" w:lineRule="exact"/>
        <w:ind w:firstLine="480" w:firstLineChars="200"/>
        <w:textAlignment w:val="auto"/>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采购需求：滁州技师学院新校区大礼堂大屏及电动窗帘采购安装。</w:t>
      </w:r>
    </w:p>
    <w:p w14:paraId="38933E97">
      <w:pPr>
        <w:pageBreakBefore w:val="0"/>
        <w:widowControl w:val="0"/>
        <w:tabs>
          <w:tab w:val="left" w:pos="2410"/>
        </w:tabs>
        <w:kinsoku/>
        <w:overflowPunct/>
        <w:topLinePunct w:val="0"/>
        <w:autoSpaceDE w:val="0"/>
        <w:autoSpaceDN w:val="0"/>
        <w:bidi w:val="0"/>
        <w:adjustRightInd w:val="0"/>
        <w:snapToGrid w:val="0"/>
        <w:spacing w:line="420" w:lineRule="exact"/>
        <w:ind w:firstLine="480" w:firstLineChars="200"/>
        <w:textAlignment w:val="auto"/>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合同履行期限：自合同签订并接到采购人通知之日起30个日历天内完成全部货物的供货、安装、调试。</w:t>
      </w:r>
    </w:p>
    <w:p w14:paraId="6C305ED1">
      <w:pPr>
        <w:pageBreakBefore w:val="0"/>
        <w:widowControl w:val="0"/>
        <w:tabs>
          <w:tab w:val="left" w:pos="2410"/>
        </w:tabs>
        <w:kinsoku/>
        <w:overflowPunct/>
        <w:topLinePunct w:val="0"/>
        <w:autoSpaceDE w:val="0"/>
        <w:autoSpaceDN w:val="0"/>
        <w:bidi w:val="0"/>
        <w:adjustRightInd w:val="0"/>
        <w:snapToGrid w:val="0"/>
        <w:spacing w:line="420" w:lineRule="exact"/>
        <w:ind w:firstLine="480" w:firstLineChars="200"/>
        <w:textAlignment w:val="auto"/>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本项目不接受联合体投标。</w:t>
      </w:r>
    </w:p>
    <w:p w14:paraId="3112B8B6">
      <w:pPr>
        <w:pageBreakBefore w:val="0"/>
        <w:widowControl w:val="0"/>
        <w:kinsoku/>
        <w:overflowPunct/>
        <w:topLinePunct w:val="0"/>
        <w:bidi w:val="0"/>
        <w:spacing w:line="420" w:lineRule="exact"/>
        <w:ind w:firstLine="437"/>
        <w:textAlignment w:val="auto"/>
        <w:outlineLvl w:val="1"/>
        <w:rPr>
          <w:rFonts w:hint="eastAsia" w:ascii="宋体" w:hAnsi="宋体" w:eastAsia="宋体" w:cstheme="minorBidi"/>
          <w:b/>
          <w:color w:val="auto"/>
          <w:kern w:val="0"/>
          <w:sz w:val="24"/>
          <w:highlight w:val="none"/>
          <w:lang w:val="en-US" w:eastAsia="zh-CN"/>
        </w:rPr>
      </w:pPr>
      <w:bookmarkStart w:id="3" w:name="_Toc12108"/>
      <w:r>
        <w:rPr>
          <w:rFonts w:hint="eastAsia" w:ascii="宋体" w:hAnsi="宋体" w:eastAsia="宋体" w:cstheme="minorBidi"/>
          <w:b/>
          <w:color w:val="auto"/>
          <w:kern w:val="0"/>
          <w:sz w:val="24"/>
          <w:highlight w:val="none"/>
          <w:lang w:val="en-US" w:eastAsia="zh-CN"/>
        </w:rPr>
        <w:t>二、申请人的资格要求</w:t>
      </w:r>
      <w:bookmarkEnd w:id="3"/>
    </w:p>
    <w:p w14:paraId="75F862D2">
      <w:pPr>
        <w:keepNext w:val="0"/>
        <w:keepLines w:val="0"/>
        <w:pageBreakBefore w:val="0"/>
        <w:widowControl w:val="0"/>
        <w:suppressLineNumbers w:val="0"/>
        <w:kinsoku/>
        <w:overflowPunct/>
        <w:topLinePunct w:val="0"/>
        <w:bidi w:val="0"/>
        <w:spacing w:before="0" w:beforeAutospacing="0" w:after="0" w:afterAutospacing="0" w:line="420" w:lineRule="exact"/>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1.满足《中华人民共和国政府采购法》第二十二条规定；</w:t>
      </w:r>
    </w:p>
    <w:p w14:paraId="0C0F0F54">
      <w:pPr>
        <w:keepNext w:val="0"/>
        <w:keepLines w:val="0"/>
        <w:pageBreakBefore w:val="0"/>
        <w:widowControl w:val="0"/>
        <w:suppressLineNumbers w:val="0"/>
        <w:kinsoku/>
        <w:overflowPunct/>
        <w:topLinePunct w:val="0"/>
        <w:bidi w:val="0"/>
        <w:spacing w:before="0" w:beforeAutospacing="0" w:after="0" w:afterAutospacing="0" w:line="420" w:lineRule="exact"/>
        <w:ind w:left="0" w:right="0" w:firstLine="480" w:firstLineChars="200"/>
        <w:jc w:val="both"/>
        <w:textAlignment w:val="auto"/>
        <w:rPr>
          <w:rFonts w:hint="eastAsia" w:ascii="宋体" w:hAnsi="宋体" w:eastAsia="宋体" w:cs="宋体"/>
          <w:color w:val="auto"/>
          <w:kern w:val="2"/>
          <w:sz w:val="24"/>
          <w:szCs w:val="24"/>
          <w:highlight w:val="none"/>
          <w:u w:val="none"/>
        </w:rPr>
      </w:pPr>
      <w:r>
        <w:rPr>
          <w:rFonts w:hint="eastAsia" w:ascii="宋体" w:hAnsi="宋体" w:eastAsia="宋体" w:cs="宋体"/>
          <w:color w:val="auto"/>
          <w:kern w:val="2"/>
          <w:sz w:val="24"/>
          <w:szCs w:val="24"/>
          <w:highlight w:val="none"/>
          <w:lang w:val="en-US" w:eastAsia="zh-CN" w:bidi="ar"/>
        </w:rPr>
        <w:t>2.落实政府采购政策需满足的资格要求：</w:t>
      </w:r>
      <w:r>
        <w:rPr>
          <w:rFonts w:hint="eastAsia" w:ascii="宋体" w:hAnsi="宋体" w:eastAsia="宋体" w:cs="宋体"/>
          <w:color w:val="auto"/>
          <w:kern w:val="2"/>
          <w:sz w:val="24"/>
          <w:szCs w:val="24"/>
          <w:highlight w:val="none"/>
          <w:u w:val="none"/>
          <w:lang w:val="en-US" w:eastAsia="zh-CN" w:bidi="ar"/>
        </w:rPr>
        <w:t>本项目符合财政部、工业和信息化部制定的《政府采购促进中小企业发展管理办法》第六条第三款（按照本办法规定预留采购份额无法确保充分供应、充分竞争，或者存在可能影响政府采购目标实现的情形）之规定，为非专门面向中小企业采购项目。若中小企业对此有质疑，可按以下渠道递交质疑：①以书面材料递交至采购人或采购代理机构处；②在滁州市公共资源交易中心网电子交易系统中进行质疑，具体操作步骤和程序请参见服务指南&gt;交易须知&gt;在线异议、质疑和投诉操作手册。</w:t>
      </w:r>
    </w:p>
    <w:p w14:paraId="633301E9">
      <w:pPr>
        <w:keepNext w:val="0"/>
        <w:keepLines w:val="0"/>
        <w:pageBreakBefore w:val="0"/>
        <w:widowControl w:val="0"/>
        <w:suppressLineNumbers w:val="0"/>
        <w:kinsoku/>
        <w:overflowPunct/>
        <w:topLinePunct w:val="0"/>
        <w:bidi w:val="0"/>
        <w:spacing w:before="0" w:beforeAutospacing="0" w:after="0" w:afterAutospacing="0" w:line="420" w:lineRule="exact"/>
        <w:ind w:left="0" w:right="0" w:firstLine="480" w:firstLineChars="200"/>
        <w:jc w:val="both"/>
        <w:textAlignment w:val="auto"/>
        <w:rPr>
          <w:rFonts w:hint="default"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3.本项目的特定资格要求：无。</w:t>
      </w:r>
    </w:p>
    <w:p w14:paraId="126E767B">
      <w:pPr>
        <w:keepNext w:val="0"/>
        <w:keepLines w:val="0"/>
        <w:pageBreakBefore w:val="0"/>
        <w:widowControl w:val="0"/>
        <w:suppressLineNumbers w:val="0"/>
        <w:kinsoku/>
        <w:overflowPunct/>
        <w:topLinePunct w:val="0"/>
        <w:bidi w:val="0"/>
        <w:spacing w:before="0" w:beforeAutospacing="0" w:after="0" w:afterAutospacing="0" w:line="420" w:lineRule="exact"/>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4.信誉要求：投标人不得存在以下情形：</w:t>
      </w:r>
    </w:p>
    <w:p w14:paraId="2683DD5A">
      <w:pPr>
        <w:keepNext w:val="0"/>
        <w:keepLines w:val="0"/>
        <w:pageBreakBefore w:val="0"/>
        <w:widowControl w:val="0"/>
        <w:suppressLineNumbers w:val="0"/>
        <w:kinsoku/>
        <w:overflowPunct/>
        <w:topLinePunct w:val="0"/>
        <w:bidi w:val="0"/>
        <w:spacing w:before="0" w:beforeAutospacing="0" w:after="0" w:afterAutospacing="0" w:line="420" w:lineRule="exact"/>
        <w:ind w:left="0" w:right="0" w:firstLine="480" w:firstLineChars="200"/>
        <w:jc w:val="both"/>
        <w:textAlignment w:val="auto"/>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①被列入“信用中国”网站“失信被执行人”的；</w:t>
      </w:r>
    </w:p>
    <w:p w14:paraId="092C6E12">
      <w:pPr>
        <w:keepNext w:val="0"/>
        <w:keepLines w:val="0"/>
        <w:pageBreakBefore w:val="0"/>
        <w:widowControl w:val="0"/>
        <w:suppressLineNumbers w:val="0"/>
        <w:kinsoku/>
        <w:overflowPunct/>
        <w:topLinePunct w:val="0"/>
        <w:bidi w:val="0"/>
        <w:spacing w:before="0" w:beforeAutospacing="0" w:after="0" w:afterAutospacing="0" w:line="420" w:lineRule="exact"/>
        <w:ind w:left="0" w:right="0" w:firstLine="480" w:firstLineChars="200"/>
        <w:jc w:val="both"/>
        <w:textAlignment w:val="auto"/>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②被列入“信用中国”网站“重大税收违法失信主体”的；</w:t>
      </w:r>
    </w:p>
    <w:p w14:paraId="438763AC">
      <w:pPr>
        <w:keepNext w:val="0"/>
        <w:keepLines w:val="0"/>
        <w:pageBreakBefore w:val="0"/>
        <w:widowControl w:val="0"/>
        <w:suppressLineNumbers w:val="0"/>
        <w:kinsoku/>
        <w:overflowPunct/>
        <w:topLinePunct w:val="0"/>
        <w:bidi w:val="0"/>
        <w:spacing w:before="0" w:beforeAutospacing="0" w:after="0" w:afterAutospacing="0" w:line="420" w:lineRule="exact"/>
        <w:ind w:left="0" w:right="0" w:firstLine="480" w:firstLineChars="200"/>
        <w:jc w:val="both"/>
        <w:textAlignment w:val="auto"/>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③被列入“信用中国”网站 “严重失信主体名单”的；</w:t>
      </w:r>
    </w:p>
    <w:p w14:paraId="15D67545">
      <w:pPr>
        <w:keepNext w:val="0"/>
        <w:keepLines w:val="0"/>
        <w:pageBreakBefore w:val="0"/>
        <w:widowControl w:val="0"/>
        <w:suppressLineNumbers w:val="0"/>
        <w:kinsoku/>
        <w:overflowPunct/>
        <w:topLinePunct w:val="0"/>
        <w:bidi w:val="0"/>
        <w:spacing w:before="0" w:beforeAutospacing="0" w:after="0" w:afterAutospacing="0" w:line="420" w:lineRule="exact"/>
        <w:ind w:left="0" w:right="0" w:firstLine="480" w:firstLineChars="200"/>
        <w:jc w:val="both"/>
        <w:textAlignment w:val="auto"/>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④在“信用中国”网站上披露的仍在公示期的严重失信行为(具体行为类别及判定依据见“信用中国”查询的严重失信行为类别及判定依据)的。</w:t>
      </w:r>
    </w:p>
    <w:p w14:paraId="4A164205">
      <w:pPr>
        <w:keepNext w:val="0"/>
        <w:keepLines w:val="0"/>
        <w:pageBreakBefore w:val="0"/>
        <w:widowControl w:val="0"/>
        <w:suppressLineNumbers w:val="0"/>
        <w:kinsoku/>
        <w:overflowPunct/>
        <w:topLinePunct w:val="0"/>
        <w:bidi w:val="0"/>
        <w:spacing w:before="0" w:beforeAutospacing="0" w:after="0" w:afterAutospacing="0" w:line="420" w:lineRule="exact"/>
        <w:ind w:left="0" w:right="0" w:firstLine="480" w:firstLineChars="200"/>
        <w:jc w:val="both"/>
        <w:textAlignment w:val="auto"/>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⑤被列入国家企业信用信息公示系统网站“经营异常名录”或者“严重违法失信名单”的。</w:t>
      </w:r>
    </w:p>
    <w:p w14:paraId="4E258197">
      <w:pPr>
        <w:keepNext w:val="0"/>
        <w:keepLines w:val="0"/>
        <w:pageBreakBefore w:val="0"/>
        <w:widowControl w:val="0"/>
        <w:suppressLineNumbers w:val="0"/>
        <w:kinsoku/>
        <w:overflowPunct/>
        <w:topLinePunct w:val="0"/>
        <w:bidi w:val="0"/>
        <w:spacing w:before="0" w:beforeAutospacing="0" w:after="0" w:afterAutospacing="0" w:line="420" w:lineRule="exact"/>
        <w:ind w:left="0" w:right="0" w:firstLine="480" w:firstLineChars="200"/>
        <w:jc w:val="both"/>
        <w:textAlignment w:val="auto"/>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⑥被列入中国政府采购网站“政府采购严重违法失信行为信息记录”的。</w:t>
      </w:r>
    </w:p>
    <w:p w14:paraId="3C938177">
      <w:pPr>
        <w:keepNext w:val="0"/>
        <w:keepLines w:val="0"/>
        <w:pageBreakBefore w:val="0"/>
        <w:widowControl w:val="0"/>
        <w:suppressLineNumbers w:val="0"/>
        <w:kinsoku/>
        <w:overflowPunct/>
        <w:topLinePunct w:val="0"/>
        <w:bidi w:val="0"/>
        <w:spacing w:before="0" w:beforeAutospacing="0" w:after="0" w:afterAutospacing="0" w:line="420" w:lineRule="exact"/>
        <w:ind w:left="0" w:right="0" w:firstLine="480" w:firstLineChars="200"/>
        <w:jc w:val="both"/>
        <w:textAlignment w:val="auto"/>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⑦前三年有行贿犯罪行为的单位和个人。</w:t>
      </w:r>
    </w:p>
    <w:p w14:paraId="693FFFA1">
      <w:pPr>
        <w:keepNext w:val="0"/>
        <w:keepLines w:val="0"/>
        <w:pageBreakBefore w:val="0"/>
        <w:widowControl w:val="0"/>
        <w:suppressLineNumbers w:val="0"/>
        <w:kinsoku/>
        <w:overflowPunct/>
        <w:topLinePunct w:val="0"/>
        <w:bidi w:val="0"/>
        <w:spacing w:before="0" w:beforeAutospacing="0" w:after="0" w:afterAutospacing="0" w:line="420" w:lineRule="exact"/>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5.投标人所属分公司、办事处等分支机构存在第4款信誉要求①-⑦项情形之一的，接受其投标人参加本项目。</w:t>
      </w:r>
    </w:p>
    <w:p w14:paraId="2F092C8B">
      <w:pPr>
        <w:keepNext w:val="0"/>
        <w:keepLines w:val="0"/>
        <w:pageBreakBefore w:val="0"/>
        <w:widowControl w:val="0"/>
        <w:suppressLineNumbers w:val="0"/>
        <w:kinsoku/>
        <w:overflowPunct/>
        <w:topLinePunct w:val="0"/>
        <w:bidi w:val="0"/>
        <w:spacing w:before="0" w:beforeAutospacing="0" w:after="0" w:afterAutospacing="0" w:line="420" w:lineRule="exact"/>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备注：第4、5条按照“关于联合惩戒失信行为加强信用查询管理的通知”查询或承诺。</w:t>
      </w:r>
    </w:p>
    <w:p w14:paraId="5B864951">
      <w:pPr>
        <w:pageBreakBefore w:val="0"/>
        <w:widowControl w:val="0"/>
        <w:kinsoku/>
        <w:overflowPunct/>
        <w:topLinePunct w:val="0"/>
        <w:bidi w:val="0"/>
        <w:spacing w:line="420" w:lineRule="exact"/>
        <w:ind w:firstLine="437"/>
        <w:textAlignment w:val="auto"/>
        <w:outlineLvl w:val="1"/>
        <w:rPr>
          <w:rFonts w:hint="eastAsia" w:ascii="宋体" w:hAnsi="宋体" w:eastAsia="宋体" w:cstheme="minorBidi"/>
          <w:b/>
          <w:color w:val="auto"/>
          <w:kern w:val="0"/>
          <w:sz w:val="24"/>
          <w:highlight w:val="none"/>
          <w:lang w:val="en-US" w:eastAsia="zh-CN"/>
        </w:rPr>
      </w:pPr>
      <w:bookmarkStart w:id="4" w:name="_Toc15490"/>
      <w:r>
        <w:rPr>
          <w:rFonts w:hint="eastAsia" w:ascii="宋体" w:hAnsi="宋体" w:eastAsia="宋体" w:cstheme="minorBidi"/>
          <w:b/>
          <w:color w:val="auto"/>
          <w:kern w:val="0"/>
          <w:sz w:val="24"/>
          <w:highlight w:val="none"/>
          <w:lang w:val="en-US" w:eastAsia="zh-CN"/>
        </w:rPr>
        <w:t>三、获取招标文件</w:t>
      </w:r>
      <w:bookmarkEnd w:id="4"/>
    </w:p>
    <w:p w14:paraId="760BE99C">
      <w:pPr>
        <w:keepNext w:val="0"/>
        <w:keepLines w:val="0"/>
        <w:pageBreakBefore w:val="0"/>
        <w:widowControl w:val="0"/>
        <w:suppressLineNumbers w:val="0"/>
        <w:kinsoku/>
        <w:overflowPunct/>
        <w:topLinePunct w:val="0"/>
        <w:bidi w:val="0"/>
        <w:spacing w:before="0" w:beforeAutospacing="0" w:after="0" w:afterAutospacing="0" w:line="420" w:lineRule="exact"/>
        <w:ind w:left="0" w:right="0" w:firstLine="540"/>
        <w:jc w:val="both"/>
        <w:textAlignment w:val="auto"/>
        <w:rPr>
          <w:rFonts w:hint="eastAsia" w:ascii="宋体" w:hAnsi="宋体" w:eastAsia="宋体" w:cs="宋体"/>
          <w:color w:val="auto"/>
          <w:kern w:val="2"/>
          <w:sz w:val="24"/>
          <w:szCs w:val="24"/>
          <w:highlight w:val="none"/>
          <w:u w:val="single"/>
        </w:rPr>
      </w:pPr>
      <w:r>
        <w:rPr>
          <w:rFonts w:hint="eastAsia" w:ascii="宋体" w:hAnsi="宋体" w:eastAsia="宋体" w:cs="宋体"/>
          <w:color w:val="auto"/>
          <w:kern w:val="2"/>
          <w:sz w:val="24"/>
          <w:szCs w:val="24"/>
          <w:highlight w:val="none"/>
          <w:lang w:val="en-US" w:eastAsia="zh-CN" w:bidi="ar"/>
        </w:rPr>
        <w:t>时间：</w:t>
      </w:r>
      <w:r>
        <w:rPr>
          <w:rFonts w:hint="eastAsia" w:ascii="宋体" w:hAnsi="宋体" w:eastAsia="宋体" w:cs="宋体"/>
          <w:color w:val="auto"/>
          <w:kern w:val="2"/>
          <w:sz w:val="24"/>
          <w:szCs w:val="24"/>
          <w:highlight w:val="none"/>
          <w:u w:val="single"/>
          <w:lang w:val="en-US" w:eastAsia="zh-CN" w:bidi="ar"/>
        </w:rPr>
        <w:t>2026年7月13日</w:t>
      </w:r>
      <w:r>
        <w:rPr>
          <w:rFonts w:hint="eastAsia" w:ascii="宋体" w:hAnsi="宋体" w:eastAsia="宋体" w:cs="宋体"/>
          <w:color w:val="auto"/>
          <w:kern w:val="2"/>
          <w:sz w:val="24"/>
          <w:szCs w:val="24"/>
          <w:highlight w:val="none"/>
          <w:lang w:val="en-US" w:eastAsia="zh-CN" w:bidi="ar"/>
        </w:rPr>
        <w:t>至</w:t>
      </w:r>
      <w:r>
        <w:rPr>
          <w:rFonts w:hint="eastAsia" w:ascii="宋体" w:hAnsi="宋体" w:eastAsia="宋体" w:cs="宋体"/>
          <w:color w:val="auto"/>
          <w:kern w:val="2"/>
          <w:sz w:val="24"/>
          <w:szCs w:val="24"/>
          <w:highlight w:val="none"/>
          <w:u w:val="single"/>
          <w:lang w:val="en-US" w:eastAsia="zh-CN" w:bidi="ar"/>
        </w:rPr>
        <w:t>2026年8月3日（提供期限自本公告发布之日起不得少于5个工作日）</w:t>
      </w:r>
    </w:p>
    <w:p w14:paraId="01ED6B70">
      <w:pPr>
        <w:keepNext w:val="0"/>
        <w:keepLines w:val="0"/>
        <w:pageBreakBefore w:val="0"/>
        <w:widowControl w:val="0"/>
        <w:suppressLineNumbers w:val="0"/>
        <w:kinsoku/>
        <w:overflowPunct/>
        <w:topLinePunct w:val="0"/>
        <w:bidi w:val="0"/>
        <w:spacing w:before="0" w:beforeAutospacing="0" w:after="0" w:afterAutospacing="0" w:line="420" w:lineRule="exact"/>
        <w:ind w:left="0" w:right="0" w:firstLine="540"/>
        <w:jc w:val="both"/>
        <w:textAlignment w:val="auto"/>
        <w:rPr>
          <w:rFonts w:hint="eastAsia" w:ascii="宋体" w:hAnsi="宋体" w:eastAsia="宋体" w:cs="宋体"/>
          <w:color w:val="auto"/>
          <w:kern w:val="2"/>
          <w:sz w:val="24"/>
          <w:szCs w:val="24"/>
          <w:highlight w:val="none"/>
          <w:u w:val="single"/>
        </w:rPr>
      </w:pPr>
      <w:r>
        <w:rPr>
          <w:rFonts w:hint="eastAsia" w:ascii="宋体" w:hAnsi="宋体" w:eastAsia="宋体" w:cs="宋体"/>
          <w:color w:val="auto"/>
          <w:kern w:val="2"/>
          <w:sz w:val="24"/>
          <w:szCs w:val="24"/>
          <w:highlight w:val="none"/>
          <w:lang w:val="en-US" w:eastAsia="zh-CN" w:bidi="ar"/>
        </w:rPr>
        <w:t>地点：滁州市公共资源交易中心网</w:t>
      </w:r>
    </w:p>
    <w:p w14:paraId="0DE2B910">
      <w:pPr>
        <w:keepNext w:val="0"/>
        <w:keepLines w:val="0"/>
        <w:pageBreakBefore w:val="0"/>
        <w:widowControl w:val="0"/>
        <w:suppressLineNumbers w:val="0"/>
        <w:kinsoku/>
        <w:overflowPunct/>
        <w:topLinePunct w:val="0"/>
        <w:bidi w:val="0"/>
        <w:spacing w:before="0" w:beforeAutospacing="0" w:after="0" w:afterAutospacing="0" w:line="420" w:lineRule="exact"/>
        <w:ind w:left="0" w:right="0" w:firstLine="540"/>
        <w:jc w:val="both"/>
        <w:textAlignment w:val="auto"/>
        <w:rPr>
          <w:rFonts w:hint="eastAsia" w:ascii="宋体" w:hAnsi="宋体" w:eastAsia="宋体" w:cs="宋体"/>
          <w:color w:val="auto"/>
          <w:kern w:val="2"/>
          <w:sz w:val="24"/>
          <w:szCs w:val="24"/>
          <w:highlight w:val="none"/>
          <w:u w:val="single"/>
        </w:rPr>
      </w:pPr>
      <w:r>
        <w:rPr>
          <w:rFonts w:hint="eastAsia" w:ascii="宋体" w:hAnsi="宋体" w:eastAsia="宋体" w:cs="宋体"/>
          <w:color w:val="auto"/>
          <w:kern w:val="2"/>
          <w:sz w:val="24"/>
          <w:szCs w:val="24"/>
          <w:highlight w:val="none"/>
          <w:lang w:val="en-US" w:eastAsia="zh-CN" w:bidi="ar"/>
        </w:rPr>
        <w:t>方式：网上下载</w:t>
      </w:r>
    </w:p>
    <w:p w14:paraId="5D0E0C69">
      <w:pPr>
        <w:keepNext w:val="0"/>
        <w:keepLines w:val="0"/>
        <w:pageBreakBefore w:val="0"/>
        <w:widowControl w:val="0"/>
        <w:suppressLineNumbers w:val="0"/>
        <w:kinsoku/>
        <w:overflowPunct/>
        <w:topLinePunct w:val="0"/>
        <w:bidi w:val="0"/>
        <w:spacing w:before="0" w:beforeAutospacing="0" w:after="0" w:afterAutospacing="0" w:line="420" w:lineRule="exact"/>
        <w:ind w:left="0" w:right="0" w:firstLine="54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售价：0元</w:t>
      </w:r>
    </w:p>
    <w:p w14:paraId="41EE285C">
      <w:pPr>
        <w:pageBreakBefore w:val="0"/>
        <w:widowControl w:val="0"/>
        <w:kinsoku/>
        <w:overflowPunct/>
        <w:topLinePunct w:val="0"/>
        <w:bidi w:val="0"/>
        <w:spacing w:line="420" w:lineRule="exact"/>
        <w:ind w:firstLine="437"/>
        <w:textAlignment w:val="auto"/>
        <w:outlineLvl w:val="1"/>
        <w:rPr>
          <w:rFonts w:hint="eastAsia" w:ascii="宋体" w:hAnsi="宋体" w:eastAsia="宋体" w:cstheme="minorBidi"/>
          <w:b/>
          <w:color w:val="auto"/>
          <w:kern w:val="0"/>
          <w:sz w:val="24"/>
          <w:highlight w:val="none"/>
          <w:lang w:val="en-US" w:eastAsia="zh-CN"/>
        </w:rPr>
      </w:pPr>
      <w:bookmarkStart w:id="5" w:name="_Toc20061"/>
      <w:r>
        <w:rPr>
          <w:rFonts w:hint="eastAsia" w:ascii="宋体" w:hAnsi="宋体" w:eastAsia="宋体" w:cstheme="minorBidi"/>
          <w:b/>
          <w:color w:val="auto"/>
          <w:kern w:val="0"/>
          <w:sz w:val="24"/>
          <w:highlight w:val="none"/>
          <w:lang w:val="en-US" w:eastAsia="zh-CN"/>
        </w:rPr>
        <w:t>四、提交投标文件截止时间、开标时间和地点</w:t>
      </w:r>
      <w:bookmarkEnd w:id="5"/>
    </w:p>
    <w:p w14:paraId="5F75C457">
      <w:pPr>
        <w:keepNext w:val="0"/>
        <w:keepLines w:val="0"/>
        <w:pageBreakBefore w:val="0"/>
        <w:widowControl w:val="0"/>
        <w:suppressLineNumbers w:val="0"/>
        <w:kinsoku/>
        <w:overflowPunct/>
        <w:topLinePunct w:val="0"/>
        <w:bidi w:val="0"/>
        <w:spacing w:before="0" w:beforeAutospacing="0" w:after="0" w:afterAutospacing="0" w:line="420" w:lineRule="exact"/>
        <w:ind w:left="0" w:right="0" w:firstLine="480" w:firstLineChars="200"/>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2"/>
          <w:sz w:val="24"/>
          <w:szCs w:val="24"/>
          <w:highlight w:val="none"/>
          <w:u w:val="single"/>
          <w:lang w:val="en-US" w:eastAsia="zh-CN" w:bidi="ar"/>
        </w:rPr>
        <w:t>2026年8月3日</w:t>
      </w:r>
      <w:r>
        <w:rPr>
          <w:rFonts w:hint="eastAsia" w:ascii="宋体" w:hAnsi="宋体" w:eastAsia="宋体" w:cs="宋体"/>
          <w:color w:val="auto"/>
          <w:kern w:val="0"/>
          <w:sz w:val="24"/>
          <w:szCs w:val="24"/>
          <w:highlight w:val="none"/>
          <w:u w:val="single"/>
          <w:lang w:val="en-US" w:eastAsia="zh-CN" w:bidi="ar"/>
        </w:rPr>
        <w:t>8点30分</w:t>
      </w:r>
      <w:r>
        <w:rPr>
          <w:rFonts w:hint="eastAsia" w:ascii="宋体" w:hAnsi="宋体" w:eastAsia="宋体" w:cs="宋体"/>
          <w:color w:val="0000FF"/>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北京时间）（自招标文件开始发出之日起至投标人提交投标文件截止之日止，不得少于20日）</w:t>
      </w:r>
    </w:p>
    <w:p w14:paraId="048D39D1">
      <w:pPr>
        <w:keepNext w:val="0"/>
        <w:keepLines w:val="0"/>
        <w:pageBreakBefore w:val="0"/>
        <w:widowControl w:val="0"/>
        <w:suppressLineNumbers w:val="0"/>
        <w:kinsoku/>
        <w:overflowPunct/>
        <w:topLinePunct w:val="0"/>
        <w:bidi w:val="0"/>
        <w:spacing w:before="0" w:beforeAutospacing="0" w:after="0" w:afterAutospacing="0" w:line="420" w:lineRule="exact"/>
        <w:ind w:left="0" w:right="0" w:firstLine="480" w:firstLineChars="200"/>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地点：</w:t>
      </w:r>
      <w:r>
        <w:rPr>
          <w:rFonts w:hint="eastAsia" w:ascii="宋体" w:hAnsi="宋体" w:eastAsia="宋体" w:cs="宋体"/>
          <w:color w:val="auto"/>
          <w:kern w:val="2"/>
          <w:sz w:val="24"/>
          <w:szCs w:val="24"/>
          <w:highlight w:val="none"/>
          <w:lang w:val="en-US" w:eastAsia="zh-CN" w:bidi="ar"/>
        </w:rPr>
        <w:t>滁州市公共资源交易平台电子交易系统</w:t>
      </w:r>
    </w:p>
    <w:p w14:paraId="39B9809F">
      <w:pPr>
        <w:pageBreakBefore w:val="0"/>
        <w:widowControl w:val="0"/>
        <w:kinsoku/>
        <w:overflowPunct/>
        <w:topLinePunct w:val="0"/>
        <w:bidi w:val="0"/>
        <w:spacing w:line="420" w:lineRule="exact"/>
        <w:ind w:firstLine="437"/>
        <w:textAlignment w:val="auto"/>
        <w:outlineLvl w:val="1"/>
        <w:rPr>
          <w:rFonts w:hint="eastAsia" w:ascii="宋体" w:hAnsi="宋体" w:eastAsia="宋体" w:cstheme="minorBidi"/>
          <w:b/>
          <w:color w:val="auto"/>
          <w:kern w:val="0"/>
          <w:sz w:val="24"/>
          <w:highlight w:val="none"/>
          <w:lang w:val="en-US" w:eastAsia="zh-CN"/>
        </w:rPr>
      </w:pPr>
      <w:bookmarkStart w:id="6" w:name="_Toc1604"/>
      <w:r>
        <w:rPr>
          <w:rFonts w:hint="eastAsia" w:ascii="宋体" w:hAnsi="宋体" w:eastAsia="宋体" w:cstheme="minorBidi"/>
          <w:b/>
          <w:color w:val="auto"/>
          <w:kern w:val="0"/>
          <w:sz w:val="24"/>
          <w:highlight w:val="none"/>
          <w:lang w:val="en-US" w:eastAsia="zh-CN"/>
        </w:rPr>
        <w:t>五、公告期限</w:t>
      </w:r>
      <w:bookmarkEnd w:id="6"/>
    </w:p>
    <w:p w14:paraId="41C968D4">
      <w:pPr>
        <w:keepNext w:val="0"/>
        <w:keepLines w:val="0"/>
        <w:pageBreakBefore w:val="0"/>
        <w:widowControl w:val="0"/>
        <w:suppressLineNumbers w:val="0"/>
        <w:kinsoku/>
        <w:overflowPunct/>
        <w:topLinePunct w:val="0"/>
        <w:bidi w:val="0"/>
        <w:spacing w:before="0" w:beforeAutospacing="0" w:after="0" w:afterAutospacing="0" w:line="420" w:lineRule="exact"/>
        <w:ind w:left="0" w:right="0" w:firstLine="480" w:firstLineChars="200"/>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自本公告发布之日起5个工作日。</w:t>
      </w:r>
    </w:p>
    <w:p w14:paraId="09963F39">
      <w:pPr>
        <w:pageBreakBefore w:val="0"/>
        <w:widowControl w:val="0"/>
        <w:kinsoku/>
        <w:overflowPunct/>
        <w:topLinePunct w:val="0"/>
        <w:bidi w:val="0"/>
        <w:spacing w:line="420" w:lineRule="exact"/>
        <w:ind w:firstLine="437"/>
        <w:textAlignment w:val="auto"/>
        <w:outlineLvl w:val="1"/>
        <w:rPr>
          <w:rFonts w:hint="eastAsia" w:ascii="宋体" w:hAnsi="宋体" w:eastAsia="宋体" w:cstheme="minorBidi"/>
          <w:b/>
          <w:color w:val="auto"/>
          <w:kern w:val="0"/>
          <w:sz w:val="24"/>
          <w:highlight w:val="none"/>
          <w:lang w:val="en-US" w:eastAsia="zh-CN"/>
        </w:rPr>
      </w:pPr>
      <w:bookmarkStart w:id="7" w:name="_Toc2138"/>
      <w:r>
        <w:rPr>
          <w:rFonts w:hint="eastAsia" w:ascii="宋体" w:hAnsi="宋体" w:eastAsia="宋体" w:cstheme="minorBidi"/>
          <w:b/>
          <w:color w:val="auto"/>
          <w:kern w:val="0"/>
          <w:sz w:val="24"/>
          <w:highlight w:val="none"/>
          <w:lang w:val="en-US" w:eastAsia="zh-CN"/>
        </w:rPr>
        <w:t>六、其他补充事宜</w:t>
      </w:r>
      <w:bookmarkEnd w:id="7"/>
    </w:p>
    <w:p w14:paraId="4DF556DC">
      <w:pPr>
        <w:keepNext w:val="0"/>
        <w:keepLines w:val="0"/>
        <w:pageBreakBefore w:val="0"/>
        <w:widowControl w:val="0"/>
        <w:suppressLineNumbers w:val="0"/>
        <w:kinsoku/>
        <w:wordWrap w:val="0"/>
        <w:overflowPunct/>
        <w:topLinePunct w:val="0"/>
        <w:autoSpaceDE w:val="0"/>
        <w:autoSpaceDN/>
        <w:bidi w:val="0"/>
        <w:spacing w:before="0" w:beforeAutospacing="0" w:after="0" w:afterAutospacing="0" w:line="420" w:lineRule="exact"/>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本项目只接受在安徽省公共资源交易市场主体库（http://ggzy.ah.gov.cn/ahggfwpt-zhutiku/dengludenglu）登记并进行信息确认提交的投标人投标，未登记的投标人请及时办理CA数字证书并登录安徽省公共资源交易市场主体库进行信息填写及确认提交；已办理过CA数字证书视为已在省库登记，进行信息更新及确认提交即可。办理流程为登录滁州市公共资源交易中心网&gt;服务指南&gt;办事指南中的“CA数字证书和电子签章”及“市场主体登记”。</w:t>
      </w:r>
      <w:r>
        <w:rPr>
          <w:rFonts w:hint="eastAsia" w:ascii="宋体" w:hAnsi="宋体" w:eastAsia="宋体"/>
          <w:color w:val="auto"/>
          <w:sz w:val="24"/>
          <w:szCs w:val="24"/>
          <w:highlight w:val="none"/>
        </w:rPr>
        <w:t>相关服务电话：（1）安徽省公共资源交易市场主体库使用相关问题（系统登录、信息登记、录入及提交、数字证书关联等）：010-86483801转5-2；（2）CA数字证书有关问题：安徽CA客服400-615-8899、0550-3019013（工作日）,CFCA客服025-66085508、0550-3801669（工作日）；（3）市场主体招标环节和投标环节系统使用问题：0512-58188516（8:00-21:00）、0550-3801701（工作日）</w:t>
      </w:r>
      <w:r>
        <w:rPr>
          <w:rFonts w:hint="eastAsia" w:ascii="宋体" w:hAnsi="宋体" w:eastAsia="宋体" w:cs="宋体"/>
          <w:color w:val="auto"/>
          <w:kern w:val="2"/>
          <w:sz w:val="24"/>
          <w:szCs w:val="24"/>
          <w:highlight w:val="none"/>
          <w:lang w:val="en-US" w:eastAsia="zh-CN" w:bidi="ar"/>
        </w:rPr>
        <w:t>。因未及时通过CA数字证书登录省主体库对相关信息进行补充完善并确认提交，导致无法投标的，责任自负。为保证系统使用过程中产生的问题能够及时得到解决，请各主体在工作时间进行主体信息登记、更新、投标文件制作等相关操作。</w:t>
      </w:r>
    </w:p>
    <w:p w14:paraId="32530821">
      <w:pPr>
        <w:keepNext w:val="0"/>
        <w:keepLines w:val="0"/>
        <w:pageBreakBefore w:val="0"/>
        <w:widowControl w:val="0"/>
        <w:suppressLineNumbers w:val="0"/>
        <w:kinsoku/>
        <w:overflowPunct/>
        <w:topLinePunct w:val="0"/>
        <w:bidi w:val="0"/>
        <w:spacing w:before="0" w:beforeAutospacing="0" w:after="0" w:afterAutospacing="0" w:line="420" w:lineRule="exact"/>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2.请投标人登录滁州市公共资源交易中心网站查看参加本项目的程序。（具体操作步骤和程序请参见服务指南&gt;交易须知&gt;投标人填写投标信息、下载文件及网上提问操作手册）。</w:t>
      </w:r>
    </w:p>
    <w:p w14:paraId="069737AB">
      <w:pPr>
        <w:keepNext w:val="0"/>
        <w:keepLines w:val="0"/>
        <w:pageBreakBefore w:val="0"/>
        <w:widowControl w:val="0"/>
        <w:suppressLineNumbers w:val="0"/>
        <w:kinsoku/>
        <w:wordWrap w:val="0"/>
        <w:overflowPunct/>
        <w:topLinePunct w:val="0"/>
        <w:autoSpaceDE w:val="0"/>
        <w:autoSpaceDN/>
        <w:bidi w:val="0"/>
        <w:spacing w:before="0" w:beforeAutospacing="0" w:after="0" w:afterAutospacing="0" w:line="420" w:lineRule="exact"/>
        <w:ind w:left="0" w:leftChars="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3.本项目采用不见面开标（远程解密)方式，开标时投标人无须至开标现场进行解密，开标采取远程解密方式解密投标文件，投标人在开标时间前使用CA数字证书登录滁州市“不见面开标系统”，网址为https://ggzy.chuzhou.gov.cn/BidOpening,等待开标并按系统提示进行相应的投标人解密等事项，无需到开标现场。采用本方式可以观看开标现场音视频直播并进行互动交流。具体操作方法见中心网站&gt;服务指南&gt;交易须知中的《滁州市不见面开标系统操作手册》。</w:t>
      </w:r>
    </w:p>
    <w:p w14:paraId="2386895F">
      <w:pPr>
        <w:keepNext w:val="0"/>
        <w:keepLines w:val="0"/>
        <w:pageBreakBefore w:val="0"/>
        <w:widowControl w:val="0"/>
        <w:suppressLineNumbers w:val="0"/>
        <w:kinsoku/>
        <w:overflowPunct/>
        <w:topLinePunct w:val="0"/>
        <w:autoSpaceDE w:val="0"/>
        <w:autoSpaceDN/>
        <w:bidi w:val="0"/>
        <w:spacing w:before="0" w:beforeAutospacing="0" w:after="0" w:afterAutospacing="0" w:line="420" w:lineRule="exact"/>
        <w:ind w:left="0" w:leftChars="0" w:right="0" w:firstLine="480" w:firstLineChars="200"/>
        <w:jc w:val="both"/>
        <w:textAlignment w:val="auto"/>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4.投标人接到远程解密指令后，须在规定时间内解密。因投标人自身原因导致投标文件在规定时间内未能解密、解密失败或解密超时，投标文件无效；因采购代理机构原因或网上平台发生故障，导致无法按时完成投标文件解密的，经采购代理机构申请后可延迟解密时间。</w:t>
      </w:r>
    </w:p>
    <w:p w14:paraId="5B731D54">
      <w:pPr>
        <w:pageBreakBefore w:val="0"/>
        <w:widowControl w:val="0"/>
        <w:kinsoku/>
        <w:overflowPunct/>
        <w:topLinePunct w:val="0"/>
        <w:bidi w:val="0"/>
        <w:spacing w:line="420" w:lineRule="exact"/>
        <w:ind w:firstLine="437"/>
        <w:textAlignment w:val="auto"/>
        <w:outlineLvl w:val="1"/>
        <w:rPr>
          <w:rFonts w:hint="eastAsia" w:ascii="宋体" w:hAnsi="宋体" w:eastAsia="宋体" w:cstheme="minorBidi"/>
          <w:b/>
          <w:color w:val="auto"/>
          <w:kern w:val="0"/>
          <w:sz w:val="24"/>
          <w:highlight w:val="none"/>
          <w:lang w:val="en-US" w:eastAsia="zh-CN"/>
        </w:rPr>
      </w:pPr>
      <w:bookmarkStart w:id="8" w:name="_Toc28199"/>
      <w:r>
        <w:rPr>
          <w:rFonts w:hint="eastAsia" w:ascii="宋体" w:hAnsi="宋体" w:eastAsia="宋体" w:cstheme="minorBidi"/>
          <w:b/>
          <w:color w:val="auto"/>
          <w:kern w:val="0"/>
          <w:sz w:val="24"/>
          <w:highlight w:val="none"/>
          <w:lang w:val="en-US" w:eastAsia="zh-CN"/>
        </w:rPr>
        <w:t>七、对本次招标提出询问，请按以下方式联系</w:t>
      </w:r>
      <w:bookmarkEnd w:id="8"/>
    </w:p>
    <w:p w14:paraId="5699A973">
      <w:pPr>
        <w:keepNext w:val="0"/>
        <w:keepLines w:val="0"/>
        <w:pageBreakBefore w:val="0"/>
        <w:widowControl w:val="0"/>
        <w:suppressLineNumbers w:val="0"/>
        <w:kinsoku/>
        <w:overflowPunct/>
        <w:topLinePunct w:val="0"/>
        <w:autoSpaceDE w:val="0"/>
        <w:autoSpaceDN/>
        <w:bidi w:val="0"/>
        <w:spacing w:before="0" w:beforeAutospacing="0" w:after="0" w:afterAutospacing="0" w:line="420" w:lineRule="exact"/>
        <w:ind w:left="0" w:leftChars="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1.采购人信息</w:t>
      </w:r>
    </w:p>
    <w:p w14:paraId="721F60AA">
      <w:pPr>
        <w:keepNext w:val="0"/>
        <w:keepLines w:val="0"/>
        <w:pageBreakBefore w:val="0"/>
        <w:widowControl w:val="0"/>
        <w:suppressLineNumbers w:val="0"/>
        <w:kinsoku/>
        <w:wordWrap w:val="0"/>
        <w:overflowPunct/>
        <w:topLinePunct w:val="0"/>
        <w:autoSpaceDE w:val="0"/>
        <w:autoSpaceDN/>
        <w:bidi w:val="0"/>
        <w:spacing w:before="0" w:beforeAutospacing="0" w:after="0" w:afterAutospacing="0" w:line="420" w:lineRule="exact"/>
        <w:ind w:left="0" w:right="0" w:firstLine="480" w:firstLineChars="200"/>
        <w:jc w:val="both"/>
        <w:textAlignment w:val="auto"/>
        <w:rPr>
          <w:rFonts w:hint="eastAsia" w:ascii="宋体" w:hAnsi="宋体" w:eastAsia="宋体"/>
          <w:color w:val="auto"/>
          <w:sz w:val="24"/>
          <w:szCs w:val="18"/>
          <w:highlight w:val="none"/>
          <w:u w:val="none"/>
          <w:lang w:eastAsia="zh-CN"/>
        </w:rPr>
      </w:pPr>
      <w:r>
        <w:rPr>
          <w:rFonts w:hint="eastAsia" w:ascii="宋体" w:hAnsi="宋体" w:eastAsia="宋体"/>
          <w:color w:val="auto"/>
          <w:sz w:val="24"/>
          <w:szCs w:val="18"/>
          <w:highlight w:val="none"/>
          <w:u w:val="none"/>
          <w:lang w:val="en-US" w:eastAsia="zh-CN"/>
        </w:rPr>
        <w:t>名  称：</w:t>
      </w:r>
      <w:r>
        <w:rPr>
          <w:rFonts w:hint="eastAsia" w:ascii="宋体" w:hAnsi="宋体" w:eastAsia="宋体"/>
          <w:color w:val="auto"/>
          <w:sz w:val="24"/>
          <w:szCs w:val="18"/>
          <w:highlight w:val="none"/>
          <w:u w:val="none"/>
          <w:lang w:eastAsia="zh-CN"/>
        </w:rPr>
        <w:t>滁州市机电工程学校</w:t>
      </w:r>
    </w:p>
    <w:p w14:paraId="1DD1228F">
      <w:pPr>
        <w:keepNext w:val="0"/>
        <w:keepLines w:val="0"/>
        <w:pageBreakBefore w:val="0"/>
        <w:widowControl w:val="0"/>
        <w:suppressLineNumbers w:val="0"/>
        <w:kinsoku/>
        <w:wordWrap w:val="0"/>
        <w:overflowPunct/>
        <w:topLinePunct w:val="0"/>
        <w:autoSpaceDE w:val="0"/>
        <w:autoSpaceDN/>
        <w:bidi w:val="0"/>
        <w:spacing w:before="0" w:beforeAutospacing="0" w:after="0" w:afterAutospacing="0" w:line="420" w:lineRule="exact"/>
        <w:ind w:left="0" w:right="0" w:firstLine="480" w:firstLineChars="200"/>
        <w:jc w:val="both"/>
        <w:textAlignment w:val="auto"/>
        <w:rPr>
          <w:rFonts w:hint="eastAsia" w:ascii="宋体" w:hAnsi="宋体" w:eastAsia="宋体"/>
          <w:color w:val="auto"/>
          <w:sz w:val="24"/>
          <w:szCs w:val="18"/>
          <w:highlight w:val="none"/>
          <w:u w:val="none"/>
          <w:lang w:val="en-US" w:eastAsia="zh-CN"/>
        </w:rPr>
      </w:pPr>
      <w:r>
        <w:rPr>
          <w:rFonts w:hint="eastAsia" w:ascii="宋体" w:hAnsi="宋体" w:eastAsia="宋体"/>
          <w:color w:val="auto"/>
          <w:sz w:val="24"/>
          <w:szCs w:val="18"/>
          <w:highlight w:val="none"/>
          <w:u w:val="none"/>
          <w:lang w:val="en-US" w:eastAsia="zh-CN"/>
        </w:rPr>
        <w:t>地  址：</w:t>
      </w:r>
      <w:r>
        <w:rPr>
          <w:rFonts w:hint="eastAsia" w:ascii="宋体" w:hAnsi="宋体" w:eastAsia="宋体"/>
          <w:color w:val="auto"/>
          <w:sz w:val="24"/>
          <w:szCs w:val="18"/>
          <w:highlight w:val="none"/>
          <w:u w:val="none"/>
          <w:lang w:eastAsia="zh-CN"/>
        </w:rPr>
        <w:t>安徽省滁州市丰乐大道2238号</w:t>
      </w:r>
    </w:p>
    <w:p w14:paraId="500F00BD">
      <w:pPr>
        <w:keepNext w:val="0"/>
        <w:keepLines w:val="0"/>
        <w:pageBreakBefore w:val="0"/>
        <w:widowControl w:val="0"/>
        <w:suppressLineNumbers w:val="0"/>
        <w:kinsoku/>
        <w:wordWrap w:val="0"/>
        <w:overflowPunct/>
        <w:topLinePunct w:val="0"/>
        <w:autoSpaceDE w:val="0"/>
        <w:autoSpaceDN/>
        <w:bidi w:val="0"/>
        <w:spacing w:before="0" w:beforeAutospacing="0" w:after="0" w:afterAutospacing="0" w:line="420" w:lineRule="exact"/>
        <w:ind w:left="0" w:right="0" w:firstLine="480" w:firstLineChars="200"/>
        <w:jc w:val="both"/>
        <w:textAlignment w:val="auto"/>
        <w:rPr>
          <w:rFonts w:hint="eastAsia" w:ascii="宋体" w:hAnsi="宋体" w:eastAsia="宋体"/>
          <w:color w:val="auto"/>
          <w:sz w:val="24"/>
          <w:szCs w:val="18"/>
          <w:highlight w:val="none"/>
          <w:u w:val="none"/>
        </w:rPr>
      </w:pPr>
      <w:r>
        <w:rPr>
          <w:rFonts w:hint="eastAsia" w:ascii="宋体" w:hAnsi="宋体" w:eastAsia="宋体"/>
          <w:color w:val="auto"/>
          <w:sz w:val="24"/>
          <w:szCs w:val="18"/>
          <w:highlight w:val="none"/>
          <w:u w:val="none"/>
          <w:lang w:val="en-US" w:eastAsia="zh-CN"/>
        </w:rPr>
        <w:t>联系人：朱永信</w:t>
      </w:r>
    </w:p>
    <w:p w14:paraId="6FDFA6D0">
      <w:pPr>
        <w:keepNext w:val="0"/>
        <w:keepLines w:val="0"/>
        <w:pageBreakBefore w:val="0"/>
        <w:widowControl w:val="0"/>
        <w:suppressLineNumbers w:val="0"/>
        <w:kinsoku/>
        <w:wordWrap w:val="0"/>
        <w:overflowPunct/>
        <w:topLinePunct w:val="0"/>
        <w:autoSpaceDE w:val="0"/>
        <w:autoSpaceDN/>
        <w:bidi w:val="0"/>
        <w:spacing w:before="0" w:beforeAutospacing="0" w:after="0" w:afterAutospacing="0" w:line="420" w:lineRule="exact"/>
        <w:ind w:left="0" w:right="0" w:firstLine="480" w:firstLineChars="200"/>
        <w:jc w:val="both"/>
        <w:textAlignment w:val="auto"/>
        <w:rPr>
          <w:rFonts w:hint="eastAsia" w:ascii="宋体" w:hAnsi="宋体" w:eastAsia="宋体"/>
          <w:color w:val="auto"/>
          <w:sz w:val="24"/>
          <w:szCs w:val="18"/>
          <w:highlight w:val="none"/>
          <w:u w:val="none"/>
        </w:rPr>
      </w:pPr>
      <w:r>
        <w:rPr>
          <w:rFonts w:hint="eastAsia" w:ascii="宋体" w:hAnsi="宋体" w:eastAsia="宋体"/>
          <w:color w:val="auto"/>
          <w:sz w:val="24"/>
          <w:szCs w:val="18"/>
          <w:highlight w:val="none"/>
          <w:u w:val="none"/>
          <w:lang w:val="en-US" w:eastAsia="zh-CN"/>
        </w:rPr>
        <w:t>联系方式：</w:t>
      </w:r>
      <w:r>
        <w:rPr>
          <w:rFonts w:hint="eastAsia" w:ascii="宋体" w:hAnsi="宋体" w:eastAsia="宋体"/>
          <w:color w:val="auto"/>
          <w:sz w:val="24"/>
          <w:szCs w:val="18"/>
          <w:highlight w:val="none"/>
          <w:u w:val="none"/>
          <w:lang w:eastAsia="zh-CN"/>
        </w:rPr>
        <w:t>18900505600</w:t>
      </w:r>
    </w:p>
    <w:p w14:paraId="4E01D876">
      <w:pPr>
        <w:keepNext w:val="0"/>
        <w:keepLines w:val="0"/>
        <w:pageBreakBefore w:val="0"/>
        <w:widowControl w:val="0"/>
        <w:suppressLineNumbers w:val="0"/>
        <w:kinsoku/>
        <w:wordWrap w:val="0"/>
        <w:overflowPunct/>
        <w:topLinePunct w:val="0"/>
        <w:autoSpaceDE w:val="0"/>
        <w:autoSpaceDN/>
        <w:bidi w:val="0"/>
        <w:spacing w:before="0" w:beforeAutospacing="0" w:after="0" w:afterAutospacing="0" w:line="420" w:lineRule="exact"/>
        <w:ind w:left="0" w:right="0" w:firstLine="480" w:firstLineChars="200"/>
        <w:jc w:val="both"/>
        <w:textAlignment w:val="auto"/>
        <w:rPr>
          <w:rFonts w:hint="eastAsia" w:ascii="宋体" w:hAnsi="宋体" w:eastAsia="宋体"/>
          <w:color w:val="auto"/>
          <w:sz w:val="24"/>
          <w:szCs w:val="18"/>
          <w:highlight w:val="none"/>
          <w:u w:val="none"/>
        </w:rPr>
      </w:pPr>
      <w:r>
        <w:rPr>
          <w:rFonts w:hint="eastAsia" w:ascii="宋体" w:hAnsi="宋体" w:eastAsia="宋体"/>
          <w:color w:val="auto"/>
          <w:sz w:val="24"/>
          <w:szCs w:val="18"/>
          <w:highlight w:val="none"/>
          <w:u w:val="none"/>
          <w:lang w:val="en-US" w:eastAsia="zh-CN"/>
        </w:rPr>
        <w:t>2.采购代理机构信息</w:t>
      </w:r>
    </w:p>
    <w:p w14:paraId="13A135C8">
      <w:pPr>
        <w:keepNext w:val="0"/>
        <w:keepLines w:val="0"/>
        <w:pageBreakBefore w:val="0"/>
        <w:widowControl w:val="0"/>
        <w:suppressLineNumbers w:val="0"/>
        <w:kinsoku/>
        <w:wordWrap w:val="0"/>
        <w:overflowPunct/>
        <w:topLinePunct w:val="0"/>
        <w:autoSpaceDE w:val="0"/>
        <w:autoSpaceDN/>
        <w:bidi w:val="0"/>
        <w:spacing w:before="0" w:beforeAutospacing="0" w:after="0" w:afterAutospacing="0" w:line="420" w:lineRule="exact"/>
        <w:ind w:left="0" w:right="0" w:firstLine="480" w:firstLineChars="200"/>
        <w:jc w:val="both"/>
        <w:textAlignment w:val="auto"/>
        <w:rPr>
          <w:rFonts w:hint="eastAsia" w:ascii="宋体" w:hAnsi="宋体" w:eastAsia="宋体"/>
          <w:color w:val="auto"/>
          <w:sz w:val="24"/>
          <w:szCs w:val="18"/>
          <w:highlight w:val="none"/>
          <w:u w:val="none"/>
          <w:lang w:eastAsia="zh-CN"/>
        </w:rPr>
      </w:pPr>
      <w:r>
        <w:rPr>
          <w:rFonts w:hint="eastAsia" w:ascii="宋体" w:hAnsi="宋体" w:eastAsia="宋体"/>
          <w:color w:val="auto"/>
          <w:sz w:val="24"/>
          <w:szCs w:val="18"/>
          <w:highlight w:val="none"/>
          <w:u w:val="none"/>
          <w:lang w:val="en-US" w:eastAsia="zh-CN"/>
        </w:rPr>
        <w:t>名  称：</w:t>
      </w:r>
      <w:r>
        <w:rPr>
          <w:rFonts w:hint="eastAsia" w:ascii="宋体" w:hAnsi="宋体" w:eastAsia="宋体"/>
          <w:color w:val="auto"/>
          <w:sz w:val="24"/>
          <w:szCs w:val="18"/>
          <w:highlight w:val="none"/>
          <w:u w:val="none"/>
          <w:lang w:eastAsia="zh-CN"/>
        </w:rPr>
        <w:t>滁州市政府采购中心</w:t>
      </w:r>
    </w:p>
    <w:p w14:paraId="10298169">
      <w:pPr>
        <w:keepNext w:val="0"/>
        <w:keepLines w:val="0"/>
        <w:pageBreakBefore w:val="0"/>
        <w:widowControl w:val="0"/>
        <w:suppressLineNumbers w:val="0"/>
        <w:kinsoku/>
        <w:wordWrap w:val="0"/>
        <w:overflowPunct/>
        <w:topLinePunct w:val="0"/>
        <w:autoSpaceDE w:val="0"/>
        <w:autoSpaceDN/>
        <w:bidi w:val="0"/>
        <w:spacing w:before="0" w:beforeAutospacing="0" w:after="0" w:afterAutospacing="0" w:line="420" w:lineRule="exact"/>
        <w:ind w:left="0" w:right="0" w:firstLine="480" w:firstLineChars="200"/>
        <w:jc w:val="both"/>
        <w:textAlignment w:val="auto"/>
        <w:rPr>
          <w:rFonts w:hint="eastAsia" w:ascii="宋体" w:hAnsi="宋体" w:eastAsia="宋体"/>
          <w:color w:val="auto"/>
          <w:sz w:val="24"/>
          <w:szCs w:val="18"/>
          <w:highlight w:val="none"/>
          <w:u w:val="none"/>
        </w:rPr>
      </w:pPr>
      <w:r>
        <w:rPr>
          <w:rFonts w:hint="eastAsia" w:ascii="宋体" w:hAnsi="宋体" w:eastAsia="宋体"/>
          <w:color w:val="auto"/>
          <w:sz w:val="24"/>
          <w:szCs w:val="18"/>
          <w:highlight w:val="none"/>
          <w:u w:val="none"/>
          <w:lang w:val="en-US" w:eastAsia="zh-CN"/>
        </w:rPr>
        <w:t>地  址：</w:t>
      </w:r>
      <w:r>
        <w:rPr>
          <w:rFonts w:hint="eastAsia" w:ascii="宋体" w:hAnsi="宋体" w:eastAsia="宋体"/>
          <w:color w:val="auto"/>
          <w:sz w:val="24"/>
          <w:szCs w:val="18"/>
          <w:highlight w:val="none"/>
          <w:u w:val="none"/>
          <w:lang w:eastAsia="zh-CN"/>
        </w:rPr>
        <w:t>滁州市龙蟠大道109号房产商务大厦2楼</w:t>
      </w:r>
    </w:p>
    <w:p w14:paraId="03BF7531">
      <w:pPr>
        <w:keepNext w:val="0"/>
        <w:keepLines w:val="0"/>
        <w:pageBreakBefore w:val="0"/>
        <w:widowControl w:val="0"/>
        <w:suppressLineNumbers w:val="0"/>
        <w:kinsoku/>
        <w:wordWrap w:val="0"/>
        <w:overflowPunct/>
        <w:topLinePunct w:val="0"/>
        <w:autoSpaceDE w:val="0"/>
        <w:autoSpaceDN/>
        <w:bidi w:val="0"/>
        <w:spacing w:before="0" w:beforeAutospacing="0" w:after="0" w:afterAutospacing="0" w:line="420" w:lineRule="exact"/>
        <w:ind w:left="0" w:right="0" w:firstLine="480" w:firstLineChars="200"/>
        <w:jc w:val="both"/>
        <w:textAlignment w:val="auto"/>
        <w:rPr>
          <w:rFonts w:hint="eastAsia" w:ascii="宋体" w:hAnsi="宋体" w:eastAsia="宋体"/>
          <w:color w:val="auto"/>
          <w:sz w:val="24"/>
          <w:szCs w:val="18"/>
          <w:highlight w:val="none"/>
          <w:u w:val="none"/>
        </w:rPr>
      </w:pPr>
      <w:r>
        <w:rPr>
          <w:rFonts w:hint="eastAsia" w:ascii="宋体" w:hAnsi="宋体" w:eastAsia="宋体"/>
          <w:color w:val="auto"/>
          <w:sz w:val="24"/>
          <w:szCs w:val="18"/>
          <w:highlight w:val="none"/>
          <w:u w:val="none"/>
          <w:lang w:val="en-US" w:eastAsia="zh-CN"/>
        </w:rPr>
        <w:t>联系人：张夏骄</w:t>
      </w:r>
    </w:p>
    <w:p w14:paraId="6CCCEBA7">
      <w:pPr>
        <w:keepNext w:val="0"/>
        <w:keepLines w:val="0"/>
        <w:pageBreakBefore w:val="0"/>
        <w:widowControl w:val="0"/>
        <w:suppressLineNumbers w:val="0"/>
        <w:kinsoku/>
        <w:wordWrap w:val="0"/>
        <w:overflowPunct/>
        <w:topLinePunct w:val="0"/>
        <w:autoSpaceDE w:val="0"/>
        <w:autoSpaceDN/>
        <w:bidi w:val="0"/>
        <w:spacing w:before="0" w:beforeAutospacing="0" w:after="0" w:afterAutospacing="0" w:line="420" w:lineRule="exact"/>
        <w:ind w:left="0" w:right="0" w:firstLine="480" w:firstLineChars="200"/>
        <w:jc w:val="both"/>
        <w:textAlignment w:val="auto"/>
        <w:rPr>
          <w:rFonts w:hint="eastAsia" w:ascii="宋体" w:hAnsi="宋体" w:eastAsia="宋体"/>
          <w:color w:val="auto"/>
          <w:sz w:val="24"/>
          <w:szCs w:val="18"/>
          <w:highlight w:val="none"/>
          <w:u w:val="none"/>
        </w:rPr>
      </w:pPr>
      <w:r>
        <w:rPr>
          <w:rFonts w:hint="eastAsia" w:ascii="宋体" w:hAnsi="宋体" w:eastAsia="宋体"/>
          <w:color w:val="auto"/>
          <w:sz w:val="24"/>
          <w:szCs w:val="18"/>
          <w:highlight w:val="none"/>
          <w:u w:val="none"/>
          <w:lang w:val="en-US" w:eastAsia="zh-CN"/>
        </w:rPr>
        <w:t>联系方式：0550-3519512、19955012432</w:t>
      </w:r>
    </w:p>
    <w:p w14:paraId="3F5067AF">
      <w:pPr>
        <w:keepNext w:val="0"/>
        <w:keepLines w:val="0"/>
        <w:pageBreakBefore w:val="0"/>
        <w:widowControl w:val="0"/>
        <w:suppressLineNumbers w:val="0"/>
        <w:kinsoku/>
        <w:overflowPunct/>
        <w:topLinePunct w:val="0"/>
        <w:autoSpaceDE w:val="0"/>
        <w:autoSpaceDN/>
        <w:bidi w:val="0"/>
        <w:spacing w:before="0" w:beforeAutospacing="0" w:after="0" w:afterAutospacing="0" w:line="420" w:lineRule="exact"/>
        <w:ind w:left="0" w:leftChars="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3.政府采购监督管理部门信息</w:t>
      </w:r>
    </w:p>
    <w:p w14:paraId="55112F6C">
      <w:pPr>
        <w:keepNext w:val="0"/>
        <w:keepLines w:val="0"/>
        <w:pageBreakBefore w:val="0"/>
        <w:widowControl w:val="0"/>
        <w:suppressLineNumbers w:val="0"/>
        <w:kinsoku/>
        <w:wordWrap w:val="0"/>
        <w:overflowPunct/>
        <w:topLinePunct w:val="0"/>
        <w:autoSpaceDE w:val="0"/>
        <w:autoSpaceDN/>
        <w:bidi w:val="0"/>
        <w:spacing w:before="0" w:beforeAutospacing="0" w:after="0" w:afterAutospacing="0" w:line="420" w:lineRule="exact"/>
        <w:ind w:left="0" w:right="0" w:firstLine="480" w:firstLineChars="200"/>
        <w:jc w:val="both"/>
        <w:textAlignment w:val="auto"/>
        <w:rPr>
          <w:rFonts w:hint="eastAsia" w:ascii="宋体" w:hAnsi="宋体" w:eastAsia="宋体"/>
          <w:color w:val="auto"/>
          <w:sz w:val="24"/>
          <w:szCs w:val="18"/>
          <w:highlight w:val="none"/>
          <w:u w:val="none"/>
          <w:lang w:eastAsia="zh-CN"/>
        </w:rPr>
      </w:pPr>
      <w:r>
        <w:rPr>
          <w:rFonts w:hint="eastAsia" w:ascii="宋体" w:hAnsi="宋体" w:eastAsia="宋体"/>
          <w:color w:val="auto"/>
          <w:sz w:val="24"/>
          <w:szCs w:val="18"/>
          <w:highlight w:val="none"/>
          <w:u w:val="none"/>
          <w:lang w:val="en-US" w:eastAsia="zh-CN"/>
        </w:rPr>
        <w:t>名  称：滁州市公共资源交易监督管理局</w:t>
      </w:r>
    </w:p>
    <w:p w14:paraId="747D44FC">
      <w:pPr>
        <w:keepNext w:val="0"/>
        <w:keepLines w:val="0"/>
        <w:pageBreakBefore w:val="0"/>
        <w:widowControl w:val="0"/>
        <w:suppressLineNumbers w:val="0"/>
        <w:kinsoku/>
        <w:wordWrap w:val="0"/>
        <w:overflowPunct/>
        <w:topLinePunct w:val="0"/>
        <w:autoSpaceDE w:val="0"/>
        <w:autoSpaceDN/>
        <w:bidi w:val="0"/>
        <w:spacing w:before="0" w:beforeAutospacing="0" w:after="0" w:afterAutospacing="0" w:line="420" w:lineRule="exact"/>
        <w:ind w:left="0" w:right="0" w:firstLine="480" w:firstLineChars="200"/>
        <w:jc w:val="both"/>
        <w:textAlignment w:val="auto"/>
        <w:rPr>
          <w:rFonts w:hint="eastAsia" w:ascii="宋体" w:hAnsi="宋体" w:eastAsia="宋体"/>
          <w:color w:val="auto"/>
          <w:sz w:val="24"/>
          <w:szCs w:val="18"/>
          <w:highlight w:val="none"/>
          <w:u w:val="none"/>
          <w:lang w:eastAsia="zh-CN"/>
        </w:rPr>
      </w:pPr>
      <w:r>
        <w:rPr>
          <w:rFonts w:hint="eastAsia" w:ascii="宋体" w:hAnsi="宋体" w:eastAsia="宋体"/>
          <w:color w:val="auto"/>
          <w:sz w:val="24"/>
          <w:szCs w:val="18"/>
          <w:highlight w:val="none"/>
          <w:u w:val="none"/>
          <w:lang w:val="en-US" w:eastAsia="zh-CN"/>
        </w:rPr>
        <w:t>地  址：滁州市龙蟠大道109号房产大厦三楼</w:t>
      </w:r>
    </w:p>
    <w:p w14:paraId="4CD6998D">
      <w:pPr>
        <w:keepNext w:val="0"/>
        <w:keepLines w:val="0"/>
        <w:pageBreakBefore w:val="0"/>
        <w:widowControl w:val="0"/>
        <w:suppressLineNumbers w:val="0"/>
        <w:kinsoku/>
        <w:wordWrap w:val="0"/>
        <w:overflowPunct/>
        <w:topLinePunct w:val="0"/>
        <w:autoSpaceDE w:val="0"/>
        <w:autoSpaceDN/>
        <w:bidi w:val="0"/>
        <w:spacing w:before="0" w:beforeAutospacing="0" w:after="0" w:afterAutospacing="0" w:line="420" w:lineRule="exact"/>
        <w:ind w:left="0" w:right="0" w:firstLine="480" w:firstLineChars="200"/>
        <w:jc w:val="both"/>
        <w:textAlignment w:val="auto"/>
        <w:rPr>
          <w:rFonts w:hint="eastAsia" w:ascii="宋体" w:hAnsi="宋体" w:eastAsia="宋体"/>
          <w:color w:val="auto"/>
          <w:sz w:val="24"/>
          <w:szCs w:val="18"/>
          <w:highlight w:val="none"/>
          <w:u w:val="none"/>
          <w:lang w:val="en-US" w:eastAsia="zh-CN"/>
        </w:rPr>
      </w:pPr>
      <w:r>
        <w:rPr>
          <w:rFonts w:hint="eastAsia" w:ascii="宋体" w:hAnsi="宋体" w:eastAsia="宋体"/>
          <w:color w:val="auto"/>
          <w:sz w:val="24"/>
          <w:szCs w:val="18"/>
          <w:highlight w:val="none"/>
          <w:u w:val="none"/>
          <w:lang w:val="en-US" w:eastAsia="zh-CN"/>
        </w:rPr>
        <w:t>联系方式：0550-3801631</w:t>
      </w:r>
    </w:p>
    <w:p w14:paraId="6E44BB6D">
      <w:pPr>
        <w:widowControl/>
        <w:jc w:val="left"/>
        <w:rPr>
          <w:rFonts w:ascii="宋体" w:hAnsi="宋体" w:eastAsia="宋体"/>
          <w:color w:val="auto"/>
          <w:sz w:val="24"/>
          <w:szCs w:val="18"/>
          <w:highlight w:val="none"/>
        </w:rPr>
      </w:pPr>
      <w:r>
        <w:rPr>
          <w:rFonts w:ascii="宋体" w:hAnsi="宋体" w:eastAsia="宋体"/>
          <w:color w:val="auto"/>
          <w:sz w:val="24"/>
          <w:szCs w:val="18"/>
          <w:highlight w:val="none"/>
        </w:rPr>
        <w:br w:type="page"/>
      </w:r>
    </w:p>
    <w:p w14:paraId="17281442">
      <w:pPr>
        <w:spacing w:line="360" w:lineRule="auto"/>
        <w:jc w:val="center"/>
        <w:outlineLvl w:val="0"/>
        <w:rPr>
          <w:rFonts w:asciiTheme="minorEastAsia" w:hAnsiTheme="minorEastAsia" w:eastAsiaTheme="minorEastAsia"/>
          <w:b/>
          <w:color w:val="auto"/>
          <w:sz w:val="28"/>
          <w:highlight w:val="none"/>
        </w:rPr>
      </w:pPr>
      <w:bookmarkStart w:id="9" w:name="_Toc31816"/>
      <w:r>
        <w:rPr>
          <w:rFonts w:hint="eastAsia" w:asciiTheme="minorEastAsia" w:hAnsiTheme="minorEastAsia" w:eastAsiaTheme="minorEastAsia"/>
          <w:b/>
          <w:color w:val="auto"/>
          <w:sz w:val="28"/>
          <w:highlight w:val="none"/>
        </w:rPr>
        <w:t>第二章</w:t>
      </w:r>
      <w:r>
        <w:rPr>
          <w:rFonts w:asciiTheme="minorEastAsia" w:hAnsiTheme="minorEastAsia" w:eastAsiaTheme="minorEastAsia"/>
          <w:b/>
          <w:color w:val="auto"/>
          <w:sz w:val="28"/>
          <w:highlight w:val="none"/>
        </w:rPr>
        <w:t xml:space="preserve"> </w:t>
      </w:r>
      <w:r>
        <w:rPr>
          <w:rFonts w:hint="eastAsia" w:asciiTheme="minorEastAsia" w:hAnsiTheme="minorEastAsia" w:eastAsiaTheme="minorEastAsia"/>
          <w:b/>
          <w:color w:val="auto"/>
          <w:sz w:val="28"/>
          <w:highlight w:val="none"/>
        </w:rPr>
        <w:t xml:space="preserve"> </w:t>
      </w:r>
      <w:r>
        <w:rPr>
          <w:rFonts w:asciiTheme="minorEastAsia" w:hAnsiTheme="minorEastAsia" w:eastAsiaTheme="minorEastAsia"/>
          <w:b/>
          <w:color w:val="auto"/>
          <w:sz w:val="28"/>
          <w:highlight w:val="none"/>
        </w:rPr>
        <w:t>投标人须知</w:t>
      </w:r>
      <w:bookmarkEnd w:id="9"/>
    </w:p>
    <w:p w14:paraId="1C2B44DB">
      <w:pPr>
        <w:spacing w:line="360" w:lineRule="auto"/>
        <w:jc w:val="center"/>
        <w:outlineLvl w:val="1"/>
        <w:rPr>
          <w:rFonts w:asciiTheme="minorEastAsia" w:hAnsiTheme="minorEastAsia" w:eastAsiaTheme="minorEastAsia"/>
          <w:b/>
          <w:color w:val="auto"/>
          <w:sz w:val="24"/>
          <w:highlight w:val="none"/>
        </w:rPr>
      </w:pPr>
      <w:bookmarkStart w:id="10" w:name="_Toc7178"/>
      <w:bookmarkStart w:id="11" w:name="_Toc18490"/>
      <w:bookmarkStart w:id="12" w:name="_Toc3114"/>
      <w:r>
        <w:rPr>
          <w:rFonts w:hint="eastAsia" w:asciiTheme="minorEastAsia" w:hAnsiTheme="minorEastAsia" w:eastAsiaTheme="minorEastAsia"/>
          <w:b/>
          <w:color w:val="auto"/>
          <w:sz w:val="24"/>
          <w:highlight w:val="none"/>
        </w:rPr>
        <w:t>一、</w:t>
      </w:r>
      <w:r>
        <w:rPr>
          <w:rFonts w:asciiTheme="minorEastAsia" w:hAnsiTheme="minorEastAsia" w:eastAsiaTheme="minorEastAsia"/>
          <w:b/>
          <w:color w:val="auto"/>
          <w:sz w:val="24"/>
          <w:highlight w:val="none"/>
        </w:rPr>
        <w:t>投标人须知前附表</w:t>
      </w:r>
      <w:bookmarkEnd w:id="10"/>
      <w:bookmarkEnd w:id="11"/>
      <w:bookmarkEnd w:id="12"/>
    </w:p>
    <w:p w14:paraId="13C5CDE9">
      <w:pPr>
        <w:spacing w:line="360" w:lineRule="auto"/>
        <w:ind w:firstLine="435"/>
        <w:rPr>
          <w:rFonts w:ascii="宋体" w:hAnsi="宋体" w:eastAsia="宋体"/>
          <w:color w:val="auto"/>
          <w:sz w:val="24"/>
          <w:szCs w:val="18"/>
          <w:highlight w:val="none"/>
        </w:rPr>
      </w:pPr>
      <w:r>
        <w:rPr>
          <w:rFonts w:hint="eastAsia" w:ascii="宋体" w:hAnsi="宋体" w:eastAsia="宋体"/>
          <w:b/>
          <w:bCs/>
          <w:color w:val="auto"/>
          <w:sz w:val="24"/>
          <w:szCs w:val="18"/>
          <w:highlight w:val="none"/>
        </w:rPr>
        <w:t>注：</w:t>
      </w:r>
      <w:r>
        <w:rPr>
          <w:rFonts w:hint="eastAsia" w:ascii="宋体" w:hAnsi="宋体" w:eastAsia="宋体"/>
          <w:color w:val="auto"/>
          <w:sz w:val="24"/>
          <w:szCs w:val="18"/>
          <w:highlight w:val="none"/>
        </w:rPr>
        <w:t>本表是本项目的具体要求，是对投标人须知的具体补充和修改，如有不一致，以本表为准。</w:t>
      </w:r>
    </w:p>
    <w:tbl>
      <w:tblPr>
        <w:tblStyle w:val="25"/>
        <w:tblW w:w="550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6"/>
        <w:gridCol w:w="1683"/>
        <w:gridCol w:w="7440"/>
      </w:tblGrid>
      <w:tr w14:paraId="37E4D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6" w:type="pct"/>
            <w:vAlign w:val="center"/>
          </w:tcPr>
          <w:p w14:paraId="216F6B5C">
            <w:pPr>
              <w:pStyle w:val="43"/>
              <w:widowControl w:val="0"/>
              <w:spacing w:before="0" w:beforeAutospacing="0" w:after="0" w:afterAutospacing="0"/>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条款号</w:t>
            </w:r>
          </w:p>
        </w:tc>
        <w:tc>
          <w:tcPr>
            <w:tcW w:w="823" w:type="pct"/>
            <w:vAlign w:val="center"/>
          </w:tcPr>
          <w:p w14:paraId="6B4D4B7D">
            <w:pPr>
              <w:pStyle w:val="43"/>
              <w:widowControl w:val="0"/>
              <w:spacing w:before="0" w:beforeAutospacing="0" w:after="0" w:afterAutospacing="0"/>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条款名称</w:t>
            </w:r>
          </w:p>
        </w:tc>
        <w:tc>
          <w:tcPr>
            <w:tcW w:w="3639" w:type="pct"/>
            <w:vAlign w:val="center"/>
          </w:tcPr>
          <w:p w14:paraId="467D9BEB">
            <w:pPr>
              <w:pStyle w:val="43"/>
              <w:widowControl w:val="0"/>
              <w:spacing w:before="0" w:beforeAutospacing="0" w:after="0" w:afterAutospacing="0"/>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内容、说明与要求</w:t>
            </w:r>
          </w:p>
        </w:tc>
      </w:tr>
      <w:tr w14:paraId="22481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6" w:type="pct"/>
            <w:vAlign w:val="center"/>
          </w:tcPr>
          <w:p w14:paraId="3EB3A31A">
            <w:pPr>
              <w:pStyle w:val="44"/>
              <w:pBdr>
                <w:bottom w:val="none" w:color="auto" w:sz="0" w:space="0"/>
              </w:pBdr>
              <w:tabs>
                <w:tab w:val="clear" w:pos="4153"/>
                <w:tab w:val="clear" w:pos="8306"/>
              </w:tabs>
              <w:adjustRightInd/>
              <w:spacing w:line="240" w:lineRule="auto"/>
              <w:textAlignment w:val="auto"/>
              <w:rPr>
                <w:rFonts w:hint="eastAsia"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5</w:t>
            </w:r>
            <w:r>
              <w:rPr>
                <w:rFonts w:ascii="宋体" w:hAnsi="宋体" w:eastAsia="宋体"/>
                <w:bCs/>
                <w:color w:val="auto"/>
                <w:kern w:val="2"/>
                <w:highlight w:val="none"/>
              </w:rPr>
              <w:t>.</w:t>
            </w:r>
            <w:r>
              <w:rPr>
                <w:rFonts w:hint="eastAsia" w:ascii="宋体" w:hAnsi="宋体" w:eastAsia="宋体"/>
                <w:bCs/>
                <w:color w:val="auto"/>
                <w:kern w:val="2"/>
                <w:highlight w:val="none"/>
                <w:lang w:val="en-US" w:eastAsia="zh-CN"/>
              </w:rPr>
              <w:t>2</w:t>
            </w:r>
          </w:p>
        </w:tc>
        <w:tc>
          <w:tcPr>
            <w:tcW w:w="823" w:type="pct"/>
            <w:vAlign w:val="center"/>
          </w:tcPr>
          <w:p w14:paraId="2B65B3B9">
            <w:pPr>
              <w:pStyle w:val="4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宋体" w:hAnsi="宋体" w:eastAsia="宋体"/>
                <w:b w:val="0"/>
                <w:color w:val="auto"/>
                <w:sz w:val="24"/>
                <w:highlight w:val="none"/>
                <w:lang w:eastAsia="zh-CN"/>
              </w:rPr>
            </w:pPr>
            <w:r>
              <w:rPr>
                <w:rFonts w:hint="eastAsia" w:ascii="宋体" w:hAnsi="宋体" w:eastAsia="宋体"/>
                <w:b w:val="0"/>
                <w:color w:val="auto"/>
                <w:sz w:val="24"/>
                <w:highlight w:val="none"/>
              </w:rPr>
              <w:t>现场考察</w:t>
            </w:r>
            <w:r>
              <w:rPr>
                <w:rFonts w:hint="eastAsia" w:ascii="宋体" w:hAnsi="宋体" w:eastAsia="宋体"/>
                <w:b w:val="0"/>
                <w:color w:val="auto"/>
                <w:sz w:val="24"/>
                <w:highlight w:val="none"/>
                <w:lang w:val="en-US" w:eastAsia="zh-CN"/>
              </w:rPr>
              <w:t>或标前答疑会</w:t>
            </w:r>
          </w:p>
        </w:tc>
        <w:tc>
          <w:tcPr>
            <w:tcW w:w="3639" w:type="pct"/>
            <w:vAlign w:val="center"/>
          </w:tcPr>
          <w:p w14:paraId="3BA8AFBF">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bCs/>
                <w:color w:val="auto"/>
                <w:sz w:val="24"/>
                <w:highlight w:val="none"/>
              </w:rPr>
            </w:pPr>
            <w:r>
              <w:rPr>
                <w:rFonts w:hint="eastAsia" w:ascii="宋体" w:hAnsi="宋体" w:eastAsia="宋体"/>
                <w:bCs/>
                <w:color w:val="auto"/>
                <w:sz w:val="24"/>
                <w:szCs w:val="24"/>
                <w:highlight w:val="none"/>
                <w:lang w:eastAsia="zh-CN"/>
              </w:rPr>
              <w:t>☑</w:t>
            </w:r>
            <w:r>
              <w:rPr>
                <w:rFonts w:hint="eastAsia" w:ascii="宋体" w:hAnsi="宋体" w:eastAsia="宋体"/>
                <w:color w:val="auto"/>
                <w:sz w:val="24"/>
                <w:highlight w:val="none"/>
              </w:rPr>
              <w:t>不组织</w:t>
            </w:r>
            <w:r>
              <w:rPr>
                <w:rFonts w:hint="eastAsia" w:ascii="宋体" w:hAnsi="宋体" w:eastAsia="宋体"/>
                <w:color w:val="auto"/>
                <w:sz w:val="24"/>
                <w:highlight w:val="none"/>
                <w:lang w:val="en-US" w:eastAsia="zh-CN"/>
              </w:rPr>
              <w:t>或不召开</w:t>
            </w:r>
          </w:p>
          <w:p w14:paraId="3C0A8BF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bCs/>
                <w:color w:val="auto"/>
                <w:sz w:val="24"/>
                <w:highlight w:val="none"/>
                <w:lang w:eastAsia="zh-CN"/>
              </w:rPr>
            </w:pPr>
            <w:r>
              <w:rPr>
                <w:rFonts w:hint="eastAsia" w:ascii="宋体" w:hAnsi="宋体" w:eastAsia="宋体"/>
                <w:color w:val="auto"/>
                <w:sz w:val="24"/>
                <w:highlight w:val="none"/>
              </w:rPr>
              <w:t>□</w:t>
            </w:r>
            <w:r>
              <w:rPr>
                <w:rFonts w:hint="eastAsia" w:ascii="宋体" w:hAnsi="宋体" w:eastAsia="宋体"/>
                <w:bCs/>
                <w:color w:val="auto"/>
                <w:sz w:val="24"/>
                <w:highlight w:val="none"/>
              </w:rPr>
              <w:t>统一组织</w:t>
            </w:r>
            <w:r>
              <w:rPr>
                <w:rFonts w:hint="eastAsia" w:ascii="宋体" w:hAnsi="宋体" w:eastAsia="宋体"/>
                <w:bCs/>
                <w:color w:val="auto"/>
                <w:sz w:val="24"/>
                <w:highlight w:val="none"/>
                <w:lang w:val="en-US" w:eastAsia="zh-CN"/>
              </w:rPr>
              <w:t>或统一召开</w:t>
            </w:r>
          </w:p>
          <w:p w14:paraId="43E4B47F">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bCs/>
                <w:color w:val="auto"/>
                <w:sz w:val="24"/>
                <w:highlight w:val="none"/>
                <w:u w:val="single"/>
              </w:rPr>
            </w:pPr>
            <w:r>
              <w:rPr>
                <w:rFonts w:hint="eastAsia" w:ascii="宋体" w:hAnsi="宋体" w:eastAsia="宋体"/>
                <w:bCs/>
                <w:color w:val="auto"/>
                <w:sz w:val="24"/>
                <w:highlight w:val="none"/>
              </w:rPr>
              <w:t>时间：</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u w:val="single"/>
                <w:lang w:val="en-US" w:eastAsia="zh-CN"/>
              </w:rPr>
              <w:t>/</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年</w:t>
            </w:r>
            <w:r>
              <w:rPr>
                <w:rFonts w:hint="eastAsia" w:ascii="宋体" w:hAnsi="宋体" w:eastAsia="宋体"/>
                <w:bCs/>
                <w:color w:val="auto"/>
                <w:sz w:val="24"/>
                <w:highlight w:val="none"/>
                <w:u w:val="single"/>
              </w:rPr>
              <w:t xml:space="preserve"> </w:t>
            </w:r>
            <w:r>
              <w:rPr>
                <w:rFonts w:hint="eastAsia" w:ascii="宋体" w:hAnsi="宋体" w:eastAsia="宋体"/>
                <w:bCs/>
                <w:color w:val="auto"/>
                <w:sz w:val="24"/>
                <w:highlight w:val="none"/>
                <w:u w:val="single"/>
                <w:lang w:val="en-US" w:eastAsia="zh-CN"/>
              </w:rPr>
              <w:t>/</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月</w:t>
            </w:r>
            <w:r>
              <w:rPr>
                <w:rFonts w:hint="eastAsia" w:ascii="宋体" w:hAnsi="宋体" w:eastAsia="宋体"/>
                <w:bCs/>
                <w:color w:val="auto"/>
                <w:sz w:val="24"/>
                <w:highlight w:val="none"/>
                <w:u w:val="single"/>
              </w:rPr>
              <w:t xml:space="preserve"> </w:t>
            </w:r>
            <w:r>
              <w:rPr>
                <w:rFonts w:hint="eastAsia" w:ascii="宋体" w:hAnsi="宋体" w:eastAsia="宋体"/>
                <w:bCs/>
                <w:color w:val="auto"/>
                <w:sz w:val="24"/>
                <w:highlight w:val="none"/>
                <w:u w:val="single"/>
                <w:lang w:val="en-US" w:eastAsia="zh-CN"/>
              </w:rPr>
              <w:t>/</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日</w:t>
            </w:r>
            <w:r>
              <w:rPr>
                <w:rFonts w:hint="eastAsia" w:ascii="宋体" w:hAnsi="宋体" w:eastAsia="宋体"/>
                <w:bCs/>
                <w:color w:val="auto"/>
                <w:sz w:val="24"/>
                <w:highlight w:val="none"/>
                <w:u w:val="single"/>
              </w:rPr>
              <w:t xml:space="preserve"> </w:t>
            </w:r>
            <w:r>
              <w:rPr>
                <w:rFonts w:hint="eastAsia" w:ascii="宋体" w:hAnsi="宋体" w:eastAsia="宋体"/>
                <w:bCs/>
                <w:color w:val="auto"/>
                <w:sz w:val="24"/>
                <w:highlight w:val="none"/>
                <w:u w:val="single"/>
                <w:lang w:val="en-US" w:eastAsia="zh-CN"/>
              </w:rPr>
              <w:t>/</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时</w:t>
            </w:r>
            <w:r>
              <w:rPr>
                <w:rFonts w:hint="eastAsia" w:ascii="宋体" w:hAnsi="宋体" w:eastAsia="宋体"/>
                <w:bCs/>
                <w:color w:val="auto"/>
                <w:sz w:val="24"/>
                <w:highlight w:val="none"/>
                <w:u w:val="single"/>
              </w:rPr>
              <w:t xml:space="preserve"> </w:t>
            </w:r>
            <w:r>
              <w:rPr>
                <w:rFonts w:hint="eastAsia" w:ascii="宋体" w:hAnsi="宋体" w:eastAsia="宋体"/>
                <w:bCs/>
                <w:color w:val="auto"/>
                <w:sz w:val="24"/>
                <w:highlight w:val="none"/>
                <w:u w:val="single"/>
                <w:lang w:val="en-US" w:eastAsia="zh-CN"/>
              </w:rPr>
              <w:t>/</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分</w:t>
            </w:r>
          </w:p>
          <w:p w14:paraId="6398A99C">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bCs/>
                <w:color w:val="auto"/>
                <w:sz w:val="24"/>
                <w:highlight w:val="none"/>
                <w:u w:val="single"/>
              </w:rPr>
            </w:pPr>
            <w:r>
              <w:rPr>
                <w:rFonts w:hint="eastAsia" w:ascii="宋体" w:hAnsi="宋体" w:eastAsia="宋体"/>
                <w:bCs/>
                <w:color w:val="auto"/>
                <w:sz w:val="24"/>
                <w:highlight w:val="none"/>
              </w:rPr>
              <w:t>地点：</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u w:val="single"/>
                <w:lang w:val="en-US" w:eastAsia="zh-CN"/>
              </w:rPr>
              <w:t>/</w:t>
            </w:r>
            <w:r>
              <w:rPr>
                <w:rFonts w:ascii="宋体" w:hAnsi="宋体" w:eastAsia="宋体"/>
                <w:bCs/>
                <w:color w:val="auto"/>
                <w:sz w:val="24"/>
                <w:highlight w:val="none"/>
                <w:u w:val="single"/>
              </w:rPr>
              <w:t xml:space="preserve">            </w:t>
            </w:r>
          </w:p>
          <w:p w14:paraId="66C26085">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bCs/>
                <w:color w:val="auto"/>
                <w:sz w:val="24"/>
                <w:highlight w:val="none"/>
                <w:u w:val="single"/>
              </w:rPr>
            </w:pPr>
            <w:r>
              <w:rPr>
                <w:rFonts w:hint="eastAsia" w:ascii="宋体" w:hAnsi="宋体" w:eastAsia="宋体"/>
                <w:bCs/>
                <w:color w:val="auto"/>
                <w:sz w:val="24"/>
                <w:highlight w:val="none"/>
              </w:rPr>
              <w:t>联系人及联系电话：</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u w:val="single"/>
                <w:lang w:val="en-US" w:eastAsia="zh-CN"/>
              </w:rPr>
              <w:t>/</w:t>
            </w:r>
            <w:r>
              <w:rPr>
                <w:rFonts w:ascii="宋体" w:hAnsi="宋体" w:eastAsia="宋体"/>
                <w:bCs/>
                <w:color w:val="auto"/>
                <w:sz w:val="24"/>
                <w:highlight w:val="none"/>
                <w:u w:val="single"/>
              </w:rPr>
              <w:t xml:space="preserve">     </w:t>
            </w:r>
          </w:p>
          <w:p w14:paraId="1B94A396">
            <w:pPr>
              <w:pStyle w:val="4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ascii="宋体" w:hAnsi="宋体" w:eastAsia="宋体"/>
                <w:b w:val="0"/>
                <w:color w:val="auto"/>
                <w:sz w:val="24"/>
                <w:highlight w:val="none"/>
              </w:rPr>
            </w:pPr>
            <w:r>
              <w:rPr>
                <w:rFonts w:hint="eastAsia" w:ascii="宋体" w:hAnsi="宋体" w:eastAsia="宋体"/>
                <w:bCs w:val="0"/>
                <w:color w:val="auto"/>
                <w:sz w:val="24"/>
                <w:highlight w:val="none"/>
                <w:lang w:eastAsia="zh-CN"/>
              </w:rPr>
              <w:t>注：</w:t>
            </w:r>
            <w:r>
              <w:rPr>
                <w:rFonts w:hint="eastAsia" w:ascii="宋体" w:hAnsi="宋体" w:eastAsia="宋体"/>
                <w:bCs w:val="0"/>
                <w:color w:val="auto"/>
                <w:sz w:val="24"/>
                <w:highlight w:val="none"/>
              </w:rPr>
              <w:t>如投标人未参加采购人统一组织的现场考察</w:t>
            </w:r>
            <w:r>
              <w:rPr>
                <w:rFonts w:hint="eastAsia" w:ascii="宋体" w:hAnsi="宋体" w:eastAsia="宋体"/>
                <w:bCs w:val="0"/>
                <w:color w:val="auto"/>
                <w:sz w:val="24"/>
                <w:highlight w:val="none"/>
                <w:lang w:val="en-US" w:eastAsia="zh-CN"/>
              </w:rPr>
              <w:t>或采购人统一召开的标前答疑会</w:t>
            </w:r>
            <w:r>
              <w:rPr>
                <w:rFonts w:hint="eastAsia" w:ascii="宋体" w:hAnsi="宋体" w:eastAsia="宋体"/>
                <w:bCs w:val="0"/>
                <w:color w:val="auto"/>
                <w:sz w:val="24"/>
                <w:highlight w:val="none"/>
              </w:rPr>
              <w:t>，视同放弃现场考察</w:t>
            </w:r>
            <w:r>
              <w:rPr>
                <w:rFonts w:hint="eastAsia" w:ascii="宋体" w:hAnsi="宋体" w:eastAsia="宋体"/>
                <w:bCs w:val="0"/>
                <w:color w:val="auto"/>
                <w:sz w:val="24"/>
                <w:highlight w:val="none"/>
                <w:lang w:val="en-US" w:eastAsia="zh-CN"/>
              </w:rPr>
              <w:t>或标前答疑会</w:t>
            </w:r>
            <w:r>
              <w:rPr>
                <w:rFonts w:hint="eastAsia" w:ascii="宋体" w:hAnsi="宋体" w:eastAsia="宋体"/>
                <w:bCs w:val="0"/>
                <w:color w:val="auto"/>
                <w:sz w:val="24"/>
                <w:highlight w:val="none"/>
              </w:rPr>
              <w:t>，由此引起的一切责任由投标人自行承担。</w:t>
            </w:r>
          </w:p>
        </w:tc>
      </w:tr>
      <w:tr w14:paraId="42299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6" w:type="pct"/>
            <w:vAlign w:val="center"/>
          </w:tcPr>
          <w:p w14:paraId="0020AE6E">
            <w:pPr>
              <w:pStyle w:val="44"/>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6</w:t>
            </w:r>
            <w:r>
              <w:rPr>
                <w:rFonts w:ascii="宋体" w:hAnsi="宋体" w:eastAsia="宋体"/>
                <w:bCs/>
                <w:color w:val="auto"/>
                <w:kern w:val="2"/>
                <w:highlight w:val="none"/>
              </w:rPr>
              <w:t>.1</w:t>
            </w:r>
          </w:p>
        </w:tc>
        <w:tc>
          <w:tcPr>
            <w:tcW w:w="823" w:type="pct"/>
            <w:vAlign w:val="center"/>
          </w:tcPr>
          <w:p w14:paraId="6A4467E4">
            <w:pPr>
              <w:pStyle w:val="43"/>
              <w:widowControl w:val="0"/>
              <w:spacing w:before="0" w:beforeAutospacing="0" w:after="0" w:afterAutospacing="0"/>
              <w:jc w:val="left"/>
              <w:rPr>
                <w:rFonts w:ascii="宋体" w:hAnsi="宋体" w:eastAsia="宋体"/>
                <w:b w:val="0"/>
                <w:color w:val="auto"/>
                <w:sz w:val="24"/>
                <w:highlight w:val="none"/>
              </w:rPr>
            </w:pPr>
            <w:r>
              <w:rPr>
                <w:rFonts w:hint="eastAsia" w:ascii="宋体" w:hAnsi="宋体" w:eastAsia="宋体"/>
                <w:b w:val="0"/>
                <w:color w:val="auto"/>
                <w:sz w:val="24"/>
                <w:highlight w:val="none"/>
              </w:rPr>
              <w:t>网上询问截止时间</w:t>
            </w:r>
          </w:p>
        </w:tc>
        <w:tc>
          <w:tcPr>
            <w:tcW w:w="3639" w:type="pct"/>
            <w:vAlign w:val="center"/>
          </w:tcPr>
          <w:p w14:paraId="06B28AA9">
            <w:pPr>
              <w:pStyle w:val="43"/>
              <w:widowControl w:val="0"/>
              <w:spacing w:before="0" w:beforeAutospacing="0" w:after="0" w:afterAutospacing="0"/>
              <w:jc w:val="both"/>
              <w:rPr>
                <w:rFonts w:ascii="宋体" w:hAnsi="宋体" w:eastAsia="宋体"/>
                <w:b w:val="0"/>
                <w:color w:val="auto"/>
                <w:sz w:val="24"/>
                <w:highlight w:val="none"/>
              </w:rPr>
            </w:pPr>
            <w:r>
              <w:rPr>
                <w:rFonts w:hint="eastAsia" w:ascii="宋体" w:hAnsi="宋体" w:eastAsia="宋体"/>
                <w:b w:val="0"/>
                <w:color w:val="auto"/>
                <w:sz w:val="24"/>
                <w:highlight w:val="none"/>
                <w:u w:val="single"/>
                <w:lang w:val="en-US" w:eastAsia="zh-CN"/>
              </w:rPr>
              <w:t>2026</w:t>
            </w:r>
            <w:r>
              <w:rPr>
                <w:rFonts w:ascii="宋体" w:hAnsi="宋体" w:eastAsia="宋体"/>
                <w:b w:val="0"/>
                <w:color w:val="auto"/>
                <w:sz w:val="24"/>
                <w:highlight w:val="none"/>
              </w:rPr>
              <w:t>年</w:t>
            </w:r>
            <w:r>
              <w:rPr>
                <w:rFonts w:hint="eastAsia" w:ascii="宋体" w:hAnsi="宋体" w:eastAsia="宋体"/>
                <w:b w:val="0"/>
                <w:color w:val="auto"/>
                <w:sz w:val="24"/>
                <w:highlight w:val="none"/>
                <w:u w:val="single"/>
                <w:lang w:val="en-US" w:eastAsia="zh-CN"/>
              </w:rPr>
              <w:t>7</w:t>
            </w:r>
            <w:r>
              <w:rPr>
                <w:rFonts w:ascii="宋体" w:hAnsi="宋体" w:eastAsia="宋体"/>
                <w:b w:val="0"/>
                <w:color w:val="auto"/>
                <w:sz w:val="24"/>
                <w:highlight w:val="none"/>
              </w:rPr>
              <w:t>月</w:t>
            </w:r>
            <w:r>
              <w:rPr>
                <w:rFonts w:hint="eastAsia" w:ascii="宋体" w:hAnsi="宋体" w:eastAsia="宋体"/>
                <w:b w:val="0"/>
                <w:color w:val="auto"/>
                <w:sz w:val="24"/>
                <w:highlight w:val="none"/>
                <w:u w:val="single"/>
                <w:lang w:val="en-US" w:eastAsia="zh-CN"/>
              </w:rPr>
              <w:t>20</w:t>
            </w:r>
            <w:r>
              <w:rPr>
                <w:rFonts w:ascii="宋体" w:hAnsi="宋体" w:eastAsia="宋体"/>
                <w:b w:val="0"/>
                <w:color w:val="auto"/>
                <w:sz w:val="24"/>
                <w:highlight w:val="none"/>
              </w:rPr>
              <w:t>日</w:t>
            </w:r>
            <w:r>
              <w:rPr>
                <w:rFonts w:ascii="宋体" w:hAnsi="宋体" w:eastAsia="宋体"/>
                <w:b w:val="0"/>
                <w:color w:val="auto"/>
                <w:sz w:val="24"/>
                <w:highlight w:val="none"/>
                <w:u w:val="single"/>
              </w:rPr>
              <w:t xml:space="preserve"> </w:t>
            </w:r>
            <w:r>
              <w:rPr>
                <w:rFonts w:hint="eastAsia" w:ascii="宋体" w:hAnsi="宋体" w:eastAsia="宋体"/>
                <w:b w:val="0"/>
                <w:color w:val="auto"/>
                <w:sz w:val="24"/>
                <w:highlight w:val="none"/>
                <w:u w:val="single"/>
                <w:lang w:val="en-US" w:eastAsia="zh-CN"/>
              </w:rPr>
              <w:t>17</w:t>
            </w:r>
            <w:r>
              <w:rPr>
                <w:rFonts w:ascii="宋体" w:hAnsi="宋体" w:eastAsia="宋体"/>
                <w:b w:val="0"/>
                <w:color w:val="auto"/>
                <w:sz w:val="24"/>
                <w:highlight w:val="none"/>
                <w:u w:val="single"/>
              </w:rPr>
              <w:t xml:space="preserve"> </w:t>
            </w:r>
            <w:r>
              <w:rPr>
                <w:rFonts w:ascii="宋体" w:hAnsi="宋体" w:eastAsia="宋体"/>
                <w:b w:val="0"/>
                <w:color w:val="auto"/>
                <w:sz w:val="24"/>
                <w:highlight w:val="none"/>
              </w:rPr>
              <w:t>时</w:t>
            </w:r>
            <w:r>
              <w:rPr>
                <w:rFonts w:ascii="宋体" w:hAnsi="宋体" w:eastAsia="宋体"/>
                <w:b w:val="0"/>
                <w:color w:val="auto"/>
                <w:sz w:val="24"/>
                <w:highlight w:val="none"/>
                <w:u w:val="single"/>
              </w:rPr>
              <w:t xml:space="preserve"> </w:t>
            </w:r>
            <w:r>
              <w:rPr>
                <w:rFonts w:hint="eastAsia" w:ascii="宋体" w:hAnsi="宋体" w:eastAsia="宋体"/>
                <w:b w:val="0"/>
                <w:color w:val="auto"/>
                <w:sz w:val="24"/>
                <w:highlight w:val="none"/>
                <w:u w:val="single"/>
                <w:lang w:val="en-US" w:eastAsia="zh-CN"/>
              </w:rPr>
              <w:t>30</w:t>
            </w:r>
            <w:r>
              <w:rPr>
                <w:rFonts w:ascii="宋体" w:hAnsi="宋体" w:eastAsia="宋体"/>
                <w:b w:val="0"/>
                <w:color w:val="auto"/>
                <w:sz w:val="24"/>
                <w:highlight w:val="none"/>
                <w:u w:val="single"/>
              </w:rPr>
              <w:t xml:space="preserve"> </w:t>
            </w:r>
            <w:r>
              <w:rPr>
                <w:rFonts w:hint="eastAsia" w:ascii="宋体" w:hAnsi="宋体" w:eastAsia="宋体"/>
                <w:b w:val="0"/>
                <w:color w:val="auto"/>
                <w:sz w:val="24"/>
                <w:highlight w:val="none"/>
              </w:rPr>
              <w:t>分</w:t>
            </w:r>
          </w:p>
        </w:tc>
      </w:tr>
      <w:tr w14:paraId="3599D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6" w:type="pct"/>
            <w:vAlign w:val="center"/>
          </w:tcPr>
          <w:p w14:paraId="37231623">
            <w:pPr>
              <w:pStyle w:val="44"/>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7</w:t>
            </w:r>
            <w:r>
              <w:rPr>
                <w:rFonts w:ascii="宋体" w:hAnsi="宋体" w:eastAsia="宋体"/>
                <w:bCs/>
                <w:color w:val="auto"/>
                <w:kern w:val="2"/>
                <w:highlight w:val="none"/>
              </w:rPr>
              <w:t>.1</w:t>
            </w:r>
          </w:p>
        </w:tc>
        <w:tc>
          <w:tcPr>
            <w:tcW w:w="823" w:type="pct"/>
            <w:vAlign w:val="center"/>
          </w:tcPr>
          <w:p w14:paraId="7D418D49">
            <w:pPr>
              <w:pStyle w:val="43"/>
              <w:widowControl w:val="0"/>
              <w:spacing w:before="0" w:beforeAutospacing="0" w:after="0" w:afterAutospacing="0"/>
              <w:jc w:val="left"/>
              <w:rPr>
                <w:rFonts w:ascii="宋体" w:hAnsi="宋体" w:eastAsia="宋体"/>
                <w:b w:val="0"/>
                <w:color w:val="auto"/>
                <w:sz w:val="24"/>
                <w:highlight w:val="none"/>
              </w:rPr>
            </w:pPr>
            <w:r>
              <w:rPr>
                <w:rFonts w:hint="eastAsia" w:ascii="宋体" w:hAnsi="宋体" w:eastAsia="宋体"/>
                <w:b w:val="0"/>
                <w:color w:val="auto"/>
                <w:sz w:val="24"/>
                <w:highlight w:val="none"/>
              </w:rPr>
              <w:t>包别划分</w:t>
            </w:r>
          </w:p>
        </w:tc>
        <w:tc>
          <w:tcPr>
            <w:tcW w:w="3639" w:type="pct"/>
            <w:vAlign w:val="center"/>
          </w:tcPr>
          <w:p w14:paraId="7D8B005F">
            <w:pPr>
              <w:pStyle w:val="43"/>
              <w:widowControl w:val="0"/>
              <w:spacing w:before="0" w:beforeAutospacing="0" w:after="0" w:afterAutospacing="0" w:line="360" w:lineRule="auto"/>
              <w:jc w:val="both"/>
              <w:rPr>
                <w:rFonts w:ascii="宋体" w:hAnsi="宋体" w:eastAsia="宋体"/>
                <w:b w:val="0"/>
                <w:color w:val="auto"/>
                <w:sz w:val="24"/>
                <w:highlight w:val="none"/>
                <w:u w:val="single"/>
              </w:rPr>
            </w:pPr>
            <w:r>
              <w:rPr>
                <w:rFonts w:hint="eastAsia" w:ascii="宋体" w:hAnsi="宋体" w:eastAsia="宋体"/>
                <w:b w:val="0"/>
                <w:bCs w:val="0"/>
                <w:color w:val="auto"/>
                <w:sz w:val="24"/>
                <w:szCs w:val="24"/>
                <w:highlight w:val="none"/>
                <w:lang w:eastAsia="zh-CN"/>
              </w:rPr>
              <w:t>☑</w:t>
            </w:r>
            <w:r>
              <w:rPr>
                <w:rFonts w:ascii="宋体" w:hAnsi="宋体" w:eastAsia="宋体"/>
                <w:b w:val="0"/>
                <w:color w:val="auto"/>
                <w:sz w:val="24"/>
                <w:highlight w:val="none"/>
              </w:rPr>
              <w:t>不分包     □分为</w:t>
            </w:r>
            <w:r>
              <w:rPr>
                <w:rFonts w:hint="eastAsia" w:ascii="宋体" w:hAnsi="宋体" w:eastAsia="宋体"/>
                <w:b w:val="0"/>
                <w:color w:val="auto"/>
                <w:sz w:val="24"/>
                <w:highlight w:val="none"/>
                <w:lang w:val="en-US" w:eastAsia="zh-CN"/>
              </w:rPr>
              <w:t>/</w:t>
            </w:r>
            <w:r>
              <w:rPr>
                <w:rFonts w:ascii="宋体" w:hAnsi="宋体" w:eastAsia="宋体"/>
                <w:b w:val="0"/>
                <w:color w:val="auto"/>
                <w:sz w:val="24"/>
                <w:highlight w:val="none"/>
              </w:rPr>
              <w:t>个包</w:t>
            </w:r>
          </w:p>
        </w:tc>
      </w:tr>
      <w:tr w14:paraId="579B0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536" w:type="pct"/>
            <w:vAlign w:val="center"/>
          </w:tcPr>
          <w:p w14:paraId="01E07874">
            <w:pPr>
              <w:pStyle w:val="44"/>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w:t>
            </w:r>
            <w:r>
              <w:rPr>
                <w:rFonts w:hint="eastAsia" w:ascii="宋体" w:hAnsi="宋体" w:eastAsia="宋体"/>
                <w:bCs/>
                <w:color w:val="auto"/>
                <w:kern w:val="2"/>
                <w:highlight w:val="none"/>
                <w:lang w:val="en-US" w:eastAsia="zh-CN"/>
              </w:rPr>
              <w:t>0</w:t>
            </w:r>
            <w:r>
              <w:rPr>
                <w:rFonts w:ascii="宋体" w:hAnsi="宋体" w:eastAsia="宋体"/>
                <w:bCs/>
                <w:color w:val="auto"/>
                <w:kern w:val="2"/>
                <w:highlight w:val="none"/>
              </w:rPr>
              <w:t>.1</w:t>
            </w:r>
          </w:p>
        </w:tc>
        <w:tc>
          <w:tcPr>
            <w:tcW w:w="823" w:type="pct"/>
            <w:vAlign w:val="center"/>
          </w:tcPr>
          <w:p w14:paraId="65E9DB8A">
            <w:pPr>
              <w:pStyle w:val="43"/>
              <w:widowControl w:val="0"/>
              <w:spacing w:before="0" w:beforeAutospacing="0" w:after="0" w:afterAutospacing="0" w:line="360" w:lineRule="auto"/>
              <w:jc w:val="left"/>
              <w:rPr>
                <w:rFonts w:ascii="宋体" w:hAnsi="宋体" w:eastAsia="宋体"/>
                <w:b w:val="0"/>
                <w:color w:val="auto"/>
                <w:sz w:val="24"/>
                <w:highlight w:val="none"/>
              </w:rPr>
            </w:pPr>
            <w:r>
              <w:rPr>
                <w:rFonts w:hint="eastAsia" w:ascii="宋体" w:hAnsi="宋体" w:eastAsia="宋体"/>
                <w:b w:val="0"/>
                <w:color w:val="auto"/>
                <w:sz w:val="24"/>
                <w:highlight w:val="none"/>
              </w:rPr>
              <w:t>投标保证金</w:t>
            </w:r>
          </w:p>
        </w:tc>
        <w:tc>
          <w:tcPr>
            <w:tcW w:w="3639" w:type="pct"/>
            <w:vAlign w:val="center"/>
          </w:tcPr>
          <w:p w14:paraId="722B02DC">
            <w:pPr>
              <w:spacing w:line="360" w:lineRule="auto"/>
              <w:rPr>
                <w:color w:val="auto"/>
                <w:highlight w:val="none"/>
              </w:rPr>
            </w:pPr>
            <w:r>
              <w:rPr>
                <w:rFonts w:hint="eastAsia" w:ascii="宋体" w:hAnsi="宋体" w:eastAsia="宋体"/>
                <w:bCs/>
                <w:color w:val="auto"/>
                <w:kern w:val="0"/>
                <w:sz w:val="24"/>
                <w:szCs w:val="28"/>
                <w:highlight w:val="none"/>
              </w:rPr>
              <w:t>不收取</w:t>
            </w:r>
          </w:p>
        </w:tc>
      </w:tr>
      <w:tr w14:paraId="2C4B5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6" w:type="pct"/>
            <w:vAlign w:val="center"/>
          </w:tcPr>
          <w:p w14:paraId="06278B6A">
            <w:pPr>
              <w:pStyle w:val="44"/>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w:t>
            </w:r>
            <w:r>
              <w:rPr>
                <w:rFonts w:hint="eastAsia" w:ascii="宋体" w:hAnsi="宋体" w:eastAsia="宋体"/>
                <w:bCs/>
                <w:color w:val="auto"/>
                <w:kern w:val="2"/>
                <w:highlight w:val="none"/>
                <w:lang w:val="en-US" w:eastAsia="zh-CN"/>
              </w:rPr>
              <w:t>1</w:t>
            </w:r>
            <w:r>
              <w:rPr>
                <w:rFonts w:ascii="宋体" w:hAnsi="宋体" w:eastAsia="宋体"/>
                <w:bCs/>
                <w:color w:val="auto"/>
                <w:kern w:val="2"/>
                <w:highlight w:val="none"/>
              </w:rPr>
              <w:t>.1</w:t>
            </w:r>
          </w:p>
        </w:tc>
        <w:tc>
          <w:tcPr>
            <w:tcW w:w="823" w:type="pct"/>
            <w:vAlign w:val="center"/>
          </w:tcPr>
          <w:p w14:paraId="49DD7E96">
            <w:pPr>
              <w:pStyle w:val="43"/>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投标有效期</w:t>
            </w:r>
          </w:p>
        </w:tc>
        <w:tc>
          <w:tcPr>
            <w:tcW w:w="3639" w:type="pct"/>
            <w:vAlign w:val="center"/>
          </w:tcPr>
          <w:p w14:paraId="4DC007A3">
            <w:pPr>
              <w:pStyle w:val="43"/>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u w:val="single"/>
                <w:lang w:val="en-US" w:eastAsia="zh-CN"/>
              </w:rPr>
              <w:t>90</w:t>
            </w:r>
            <w:r>
              <w:rPr>
                <w:rFonts w:hint="eastAsia" w:ascii="宋体" w:hAnsi="宋体" w:eastAsia="宋体"/>
                <w:b w:val="0"/>
                <w:color w:val="auto"/>
                <w:sz w:val="24"/>
                <w:highlight w:val="none"/>
              </w:rPr>
              <w:t>日历日</w:t>
            </w:r>
          </w:p>
        </w:tc>
      </w:tr>
      <w:tr w14:paraId="6337E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6" w:type="pct"/>
            <w:vAlign w:val="center"/>
          </w:tcPr>
          <w:p w14:paraId="05EE5787">
            <w:pPr>
              <w:pStyle w:val="44"/>
              <w:pBdr>
                <w:bottom w:val="none" w:color="auto" w:sz="0" w:space="0"/>
              </w:pBdr>
              <w:tabs>
                <w:tab w:val="clear" w:pos="4153"/>
                <w:tab w:val="clear" w:pos="8306"/>
              </w:tabs>
              <w:adjustRightInd/>
              <w:spacing w:line="240" w:lineRule="auto"/>
              <w:textAlignment w:val="auto"/>
              <w:rPr>
                <w:rFonts w:hint="eastAsia" w:ascii="宋体" w:hAnsi="宋体" w:eastAsia="宋体"/>
                <w:bCs/>
                <w:color w:val="auto"/>
                <w:kern w:val="2"/>
                <w:highlight w:val="none"/>
                <w:lang w:eastAsia="zh-CN"/>
              </w:rPr>
            </w:pPr>
            <w:r>
              <w:rPr>
                <w:rFonts w:hint="eastAsia" w:ascii="宋体" w:hAnsi="宋体" w:eastAsia="宋体"/>
                <w:bCs/>
                <w:color w:val="auto"/>
                <w:kern w:val="2"/>
                <w:highlight w:val="none"/>
              </w:rPr>
              <w:t>1</w:t>
            </w:r>
            <w:r>
              <w:rPr>
                <w:rFonts w:hint="eastAsia" w:ascii="宋体" w:hAnsi="宋体" w:eastAsia="宋体"/>
                <w:bCs/>
                <w:color w:val="auto"/>
                <w:kern w:val="2"/>
                <w:highlight w:val="none"/>
                <w:lang w:val="en-US" w:eastAsia="zh-CN"/>
              </w:rPr>
              <w:t>3</w:t>
            </w:r>
            <w:r>
              <w:rPr>
                <w:rFonts w:ascii="宋体" w:hAnsi="宋体" w:eastAsia="宋体"/>
                <w:bCs/>
                <w:color w:val="auto"/>
                <w:kern w:val="2"/>
                <w:highlight w:val="none"/>
              </w:rPr>
              <w:t>.</w:t>
            </w:r>
            <w:r>
              <w:rPr>
                <w:rFonts w:hint="eastAsia" w:ascii="宋体" w:hAnsi="宋体" w:eastAsia="宋体"/>
                <w:bCs/>
                <w:color w:val="auto"/>
                <w:kern w:val="2"/>
                <w:highlight w:val="none"/>
                <w:lang w:val="en-US" w:eastAsia="zh-CN"/>
              </w:rPr>
              <w:t>1</w:t>
            </w:r>
          </w:p>
        </w:tc>
        <w:tc>
          <w:tcPr>
            <w:tcW w:w="823" w:type="pct"/>
            <w:vAlign w:val="center"/>
          </w:tcPr>
          <w:p w14:paraId="65AB8947">
            <w:pPr>
              <w:pStyle w:val="43"/>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投标文件解密时间</w:t>
            </w:r>
          </w:p>
        </w:tc>
        <w:tc>
          <w:tcPr>
            <w:tcW w:w="3639" w:type="pct"/>
            <w:vAlign w:val="center"/>
          </w:tcPr>
          <w:p w14:paraId="6280D24C">
            <w:pPr>
              <w:pStyle w:val="43"/>
              <w:widowControl w:val="0"/>
              <w:spacing w:before="0" w:beforeAutospacing="0" w:after="0" w:afterAutospacing="0" w:line="360" w:lineRule="auto"/>
              <w:jc w:val="both"/>
              <w:rPr>
                <w:rFonts w:hint="default" w:ascii="宋体" w:hAnsi="宋体" w:eastAsia="宋体"/>
                <w:b w:val="0"/>
                <w:color w:val="auto"/>
                <w:sz w:val="24"/>
                <w:highlight w:val="none"/>
                <w:u w:val="single"/>
                <w:lang w:val="en-US" w:eastAsia="zh-CN"/>
              </w:rPr>
            </w:pPr>
            <w:r>
              <w:rPr>
                <w:rFonts w:hint="eastAsia" w:ascii="宋体" w:hAnsi="宋体" w:eastAsia="宋体"/>
                <w:b w:val="0"/>
                <w:color w:val="auto"/>
                <w:sz w:val="24"/>
                <w:highlight w:val="none"/>
                <w:u w:val="none"/>
              </w:rPr>
              <w:t>投标截止时间后</w:t>
            </w:r>
            <w:r>
              <w:rPr>
                <w:rFonts w:hint="eastAsia" w:ascii="宋体" w:hAnsi="宋体" w:eastAsia="宋体"/>
                <w:b w:val="0"/>
                <w:color w:val="auto"/>
                <w:sz w:val="24"/>
                <w:highlight w:val="none"/>
                <w:u w:val="single"/>
                <w:lang w:val="en-US" w:eastAsia="zh-CN"/>
              </w:rPr>
              <w:t xml:space="preserve"> 60 </w:t>
            </w:r>
            <w:r>
              <w:rPr>
                <w:rFonts w:hint="eastAsia" w:ascii="宋体" w:hAnsi="宋体" w:eastAsia="宋体"/>
                <w:b w:val="0"/>
                <w:color w:val="auto"/>
                <w:sz w:val="24"/>
                <w:highlight w:val="none"/>
                <w:u w:val="none"/>
              </w:rPr>
              <w:t>分钟内</w:t>
            </w:r>
            <w:r>
              <w:rPr>
                <w:rFonts w:hint="eastAsia" w:ascii="宋体" w:hAnsi="宋体" w:eastAsia="宋体" w:cs="宋体"/>
                <w:b w:val="0"/>
                <w:color w:val="auto"/>
                <w:sz w:val="24"/>
                <w:highlight w:val="none"/>
                <w:u w:val="none"/>
              </w:rPr>
              <w:t>（以本项目网上招投标系统解密倒计时为准）</w:t>
            </w:r>
          </w:p>
        </w:tc>
      </w:tr>
      <w:tr w14:paraId="65C2A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6" w:type="pct"/>
            <w:vAlign w:val="center"/>
          </w:tcPr>
          <w:p w14:paraId="1C5005F3">
            <w:pPr>
              <w:pStyle w:val="44"/>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w:t>
            </w:r>
            <w:r>
              <w:rPr>
                <w:rFonts w:hint="eastAsia" w:ascii="宋体" w:hAnsi="宋体" w:eastAsia="宋体"/>
                <w:bCs/>
                <w:color w:val="auto"/>
                <w:kern w:val="2"/>
                <w:highlight w:val="none"/>
                <w:lang w:val="en-US" w:eastAsia="zh-CN"/>
              </w:rPr>
              <w:t>4</w:t>
            </w:r>
            <w:r>
              <w:rPr>
                <w:rFonts w:hint="eastAsia" w:ascii="宋体" w:hAnsi="宋体" w:eastAsia="宋体"/>
                <w:bCs/>
                <w:color w:val="auto"/>
                <w:kern w:val="2"/>
                <w:highlight w:val="none"/>
              </w:rPr>
              <w:t>.1</w:t>
            </w:r>
          </w:p>
        </w:tc>
        <w:tc>
          <w:tcPr>
            <w:tcW w:w="823" w:type="pct"/>
            <w:vAlign w:val="center"/>
          </w:tcPr>
          <w:p w14:paraId="096C4419">
            <w:pPr>
              <w:pStyle w:val="43"/>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资格审查</w:t>
            </w:r>
          </w:p>
        </w:tc>
        <w:tc>
          <w:tcPr>
            <w:tcW w:w="3639" w:type="pct"/>
            <w:vAlign w:val="center"/>
          </w:tcPr>
          <w:p w14:paraId="7B7A520C">
            <w:pPr>
              <w:pStyle w:val="43"/>
              <w:widowControl w:val="0"/>
              <w:spacing w:before="0" w:beforeAutospacing="0" w:after="0" w:afterAutospacing="0" w:line="360" w:lineRule="auto"/>
              <w:jc w:val="both"/>
              <w:rPr>
                <w:rFonts w:hint="eastAsia" w:ascii="宋体" w:hAnsi="宋体" w:eastAsia="宋体"/>
                <w:b w:val="0"/>
                <w:bCs w:val="0"/>
                <w:color w:val="auto"/>
                <w:sz w:val="24"/>
                <w:highlight w:val="none"/>
              </w:rPr>
            </w:pPr>
            <w:r>
              <w:rPr>
                <w:rFonts w:hint="eastAsia" w:ascii="宋体" w:hAnsi="宋体" w:eastAsia="宋体"/>
                <w:b w:val="0"/>
                <w:bCs w:val="0"/>
                <w:color w:val="auto"/>
                <w:sz w:val="24"/>
                <w:szCs w:val="24"/>
                <w:highlight w:val="none"/>
                <w:lang w:eastAsia="zh-CN"/>
              </w:rPr>
              <w:t>☑</w:t>
            </w:r>
            <w:r>
              <w:rPr>
                <w:rFonts w:hint="eastAsia" w:ascii="宋体" w:hAnsi="宋体" w:eastAsia="宋体"/>
                <w:b w:val="0"/>
                <w:bCs w:val="0"/>
                <w:color w:val="auto"/>
                <w:sz w:val="24"/>
                <w:highlight w:val="none"/>
              </w:rPr>
              <w:t>采购人审查</w:t>
            </w:r>
          </w:p>
          <w:p w14:paraId="0769FA36">
            <w:pPr>
              <w:pStyle w:val="43"/>
              <w:widowControl w:val="0"/>
              <w:spacing w:before="0" w:beforeAutospacing="0" w:after="0" w:afterAutospacing="0" w:line="360" w:lineRule="auto"/>
              <w:jc w:val="both"/>
              <w:rPr>
                <w:rFonts w:ascii="宋体" w:hAnsi="宋体" w:eastAsia="宋体"/>
                <w:b w:val="0"/>
                <w:color w:val="auto"/>
                <w:sz w:val="24"/>
                <w:highlight w:val="none"/>
                <w:u w:val="single"/>
              </w:rPr>
            </w:pPr>
            <w:r>
              <w:rPr>
                <w:rFonts w:ascii="宋体" w:hAnsi="宋体" w:eastAsia="宋体"/>
                <w:b w:val="0"/>
                <w:bCs w:val="0"/>
                <w:color w:val="auto"/>
                <w:sz w:val="24"/>
                <w:szCs w:val="24"/>
                <w:highlight w:val="none"/>
              </w:rPr>
              <w:t>□</w:t>
            </w:r>
            <w:r>
              <w:rPr>
                <w:rFonts w:hint="eastAsia" w:ascii="宋体" w:hAnsi="宋体" w:eastAsia="宋体"/>
                <w:b w:val="0"/>
                <w:bCs w:val="0"/>
                <w:color w:val="auto"/>
                <w:sz w:val="24"/>
                <w:highlight w:val="none"/>
              </w:rPr>
              <w:t>采购人出具委托函委托采购代理机构进行审查</w:t>
            </w:r>
          </w:p>
        </w:tc>
      </w:tr>
      <w:tr w14:paraId="342BD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6" w:type="pct"/>
            <w:vAlign w:val="center"/>
          </w:tcPr>
          <w:p w14:paraId="07544248">
            <w:pPr>
              <w:pStyle w:val="44"/>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17</w:t>
            </w:r>
            <w:r>
              <w:rPr>
                <w:rFonts w:ascii="宋体" w:hAnsi="宋体" w:eastAsia="宋体"/>
                <w:bCs/>
                <w:color w:val="auto"/>
                <w:kern w:val="2"/>
                <w:highlight w:val="none"/>
              </w:rPr>
              <w:t>.2</w:t>
            </w:r>
          </w:p>
        </w:tc>
        <w:tc>
          <w:tcPr>
            <w:tcW w:w="823" w:type="pct"/>
            <w:vAlign w:val="center"/>
          </w:tcPr>
          <w:p w14:paraId="14361BC6">
            <w:pPr>
              <w:pStyle w:val="43"/>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评标方法</w:t>
            </w:r>
          </w:p>
        </w:tc>
        <w:tc>
          <w:tcPr>
            <w:tcW w:w="3639" w:type="pct"/>
            <w:vAlign w:val="center"/>
          </w:tcPr>
          <w:p w14:paraId="3DCDCAA6">
            <w:pPr>
              <w:pStyle w:val="43"/>
              <w:widowControl w:val="0"/>
              <w:spacing w:before="0" w:beforeAutospacing="0" w:after="0" w:afterAutospacing="0" w:line="360" w:lineRule="auto"/>
              <w:jc w:val="both"/>
              <w:rPr>
                <w:rFonts w:ascii="宋体" w:hAnsi="宋体" w:eastAsia="宋体"/>
                <w:b w:val="0"/>
                <w:color w:val="auto"/>
                <w:sz w:val="24"/>
                <w:highlight w:val="none"/>
                <w:u w:val="none"/>
              </w:rPr>
            </w:pPr>
            <w:r>
              <w:rPr>
                <w:rFonts w:ascii="宋体" w:hAnsi="宋体" w:eastAsia="宋体"/>
                <w:b w:val="0"/>
                <w:bCs w:val="0"/>
                <w:color w:val="auto"/>
                <w:sz w:val="24"/>
                <w:szCs w:val="24"/>
                <w:highlight w:val="none"/>
                <w:u w:val="none"/>
              </w:rPr>
              <w:t>□</w:t>
            </w:r>
            <w:r>
              <w:rPr>
                <w:rFonts w:hint="eastAsia" w:ascii="宋体" w:hAnsi="宋体" w:eastAsia="宋体"/>
                <w:b w:val="0"/>
                <w:color w:val="auto"/>
                <w:sz w:val="24"/>
                <w:highlight w:val="none"/>
                <w:u w:val="none"/>
              </w:rPr>
              <w:t>最低评标价法</w:t>
            </w:r>
          </w:p>
          <w:p w14:paraId="30D5F750">
            <w:pPr>
              <w:pStyle w:val="43"/>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bCs w:val="0"/>
                <w:color w:val="auto"/>
                <w:sz w:val="24"/>
                <w:szCs w:val="24"/>
                <w:highlight w:val="none"/>
                <w:u w:val="none"/>
                <w:lang w:eastAsia="zh-CN"/>
              </w:rPr>
              <w:t>☑</w:t>
            </w:r>
            <w:r>
              <w:rPr>
                <w:rFonts w:hint="eastAsia" w:ascii="宋体" w:hAnsi="宋体" w:eastAsia="宋体"/>
                <w:b w:val="0"/>
                <w:color w:val="auto"/>
                <w:sz w:val="24"/>
                <w:highlight w:val="none"/>
                <w:u w:val="none"/>
              </w:rPr>
              <w:t>综合评分法</w:t>
            </w:r>
          </w:p>
        </w:tc>
      </w:tr>
      <w:tr w14:paraId="6085C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6" w:type="pct"/>
            <w:vAlign w:val="center"/>
          </w:tcPr>
          <w:p w14:paraId="265042D2">
            <w:pPr>
              <w:pStyle w:val="44"/>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17</w:t>
            </w:r>
            <w:r>
              <w:rPr>
                <w:rFonts w:ascii="宋体" w:hAnsi="宋体" w:eastAsia="宋体"/>
                <w:bCs/>
                <w:color w:val="auto"/>
                <w:kern w:val="2"/>
                <w:highlight w:val="none"/>
              </w:rPr>
              <w:t>.3</w:t>
            </w:r>
          </w:p>
        </w:tc>
        <w:tc>
          <w:tcPr>
            <w:tcW w:w="823" w:type="pct"/>
            <w:vAlign w:val="center"/>
          </w:tcPr>
          <w:p w14:paraId="7A48F42F">
            <w:pPr>
              <w:pStyle w:val="43"/>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报价扣除</w:t>
            </w:r>
          </w:p>
          <w:p w14:paraId="24282B9F">
            <w:pPr>
              <w:pStyle w:val="43"/>
              <w:widowControl w:val="0"/>
              <w:spacing w:before="0" w:beforeAutospacing="0" w:after="0" w:afterAutospacing="0" w:line="360" w:lineRule="auto"/>
              <w:jc w:val="both"/>
              <w:rPr>
                <w:rFonts w:ascii="宋体" w:hAnsi="宋体" w:eastAsia="宋体"/>
                <w:b w:val="0"/>
                <w:i/>
                <w:color w:val="auto"/>
                <w:sz w:val="24"/>
                <w:highlight w:val="none"/>
              </w:rPr>
            </w:pPr>
            <w:r>
              <w:rPr>
                <w:rFonts w:hint="eastAsia" w:ascii="宋体" w:hAnsi="宋体" w:eastAsia="宋体"/>
                <w:b w:val="0"/>
                <w:i/>
                <w:color w:val="auto"/>
                <w:sz w:val="24"/>
                <w:highlight w:val="none"/>
              </w:rPr>
              <w:t>（非专门面向中小企业采购项目适用）</w:t>
            </w:r>
          </w:p>
        </w:tc>
        <w:tc>
          <w:tcPr>
            <w:tcW w:w="3639" w:type="pct"/>
            <w:vAlign w:val="center"/>
          </w:tcPr>
          <w:p w14:paraId="0B988EFD">
            <w:pPr>
              <w:pStyle w:val="43"/>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（1）</w:t>
            </w:r>
            <w:r>
              <w:rPr>
                <w:rFonts w:ascii="宋体" w:hAnsi="宋体" w:eastAsia="宋体"/>
                <w:b w:val="0"/>
                <w:color w:val="auto"/>
                <w:sz w:val="24"/>
                <w:highlight w:val="none"/>
              </w:rPr>
              <w:t>小型和微型</w:t>
            </w:r>
            <w:r>
              <w:rPr>
                <w:rFonts w:hint="eastAsia" w:ascii="宋体" w:hAnsi="宋体" w:eastAsia="宋体"/>
                <w:b w:val="0"/>
                <w:color w:val="auto"/>
                <w:sz w:val="24"/>
                <w:highlight w:val="none"/>
              </w:rPr>
              <w:t>企业价格扣除：</w:t>
            </w:r>
            <w:r>
              <w:rPr>
                <w:rFonts w:hint="eastAsia" w:ascii="宋体" w:hAnsi="宋体" w:eastAsia="宋体"/>
                <w:b w:val="0"/>
                <w:color w:val="auto"/>
                <w:sz w:val="24"/>
                <w:highlight w:val="none"/>
                <w:u w:val="single"/>
              </w:rPr>
              <w:t>对小型和微型企业产品的价格给予</w:t>
            </w:r>
            <w:r>
              <w:rPr>
                <w:rFonts w:hint="eastAsia" w:ascii="宋体" w:hAnsi="宋体" w:eastAsia="宋体"/>
                <w:b w:val="0"/>
                <w:color w:val="auto"/>
                <w:sz w:val="24"/>
                <w:highlight w:val="none"/>
                <w:u w:val="single"/>
                <w:lang w:val="en-US" w:eastAsia="zh-CN"/>
              </w:rPr>
              <w:t>10</w:t>
            </w:r>
            <w:r>
              <w:rPr>
                <w:rFonts w:hint="eastAsia" w:ascii="宋体" w:hAnsi="宋体" w:eastAsia="宋体"/>
                <w:b w:val="0"/>
                <w:color w:val="auto"/>
                <w:sz w:val="24"/>
                <w:highlight w:val="none"/>
                <w:u w:val="single"/>
              </w:rPr>
              <w:t>%的扣除后参与评审</w:t>
            </w:r>
            <w:r>
              <w:rPr>
                <w:rFonts w:hint="eastAsia" w:ascii="宋体" w:hAnsi="宋体" w:eastAsia="宋体"/>
                <w:b w:val="0"/>
                <w:color w:val="auto"/>
                <w:sz w:val="24"/>
                <w:highlight w:val="none"/>
                <w:u w:val="single"/>
                <w:lang w:eastAsia="zh-CN"/>
              </w:rPr>
              <w:t>；其评审价=最终响应报价*（90%）</w:t>
            </w:r>
            <w:r>
              <w:rPr>
                <w:rFonts w:hint="eastAsia" w:ascii="宋体" w:hAnsi="宋体" w:eastAsia="宋体"/>
                <w:b w:val="0"/>
                <w:color w:val="auto"/>
                <w:sz w:val="24"/>
                <w:highlight w:val="none"/>
                <w:u w:val="single"/>
              </w:rPr>
              <w:t>。</w:t>
            </w:r>
          </w:p>
          <w:p w14:paraId="77AE2312">
            <w:pPr>
              <w:pStyle w:val="43"/>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（2）监狱企业价格扣除：</w:t>
            </w:r>
            <w:r>
              <w:rPr>
                <w:rFonts w:hint="eastAsia" w:ascii="宋体" w:hAnsi="宋体" w:eastAsia="宋体"/>
                <w:b w:val="0"/>
                <w:color w:val="auto"/>
                <w:sz w:val="24"/>
                <w:highlight w:val="none"/>
                <w:u w:val="none"/>
              </w:rPr>
              <w:t>同</w:t>
            </w:r>
            <w:r>
              <w:rPr>
                <w:rFonts w:ascii="宋体" w:hAnsi="宋体" w:eastAsia="宋体"/>
                <w:b w:val="0"/>
                <w:color w:val="auto"/>
                <w:sz w:val="24"/>
                <w:highlight w:val="none"/>
                <w:u w:val="none"/>
              </w:rPr>
              <w:t>小型和微型企业</w:t>
            </w:r>
            <w:r>
              <w:rPr>
                <w:rFonts w:hint="eastAsia" w:ascii="宋体" w:hAnsi="宋体" w:eastAsia="宋体"/>
                <w:b w:val="0"/>
                <w:color w:val="auto"/>
                <w:sz w:val="24"/>
                <w:highlight w:val="none"/>
              </w:rPr>
              <w:t>。</w:t>
            </w:r>
          </w:p>
          <w:p w14:paraId="36159E14">
            <w:pPr>
              <w:pStyle w:val="43"/>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（3）残疾人福利性单位价格扣除：</w:t>
            </w:r>
            <w:r>
              <w:rPr>
                <w:rFonts w:hint="eastAsia" w:ascii="宋体" w:hAnsi="宋体" w:eastAsia="宋体"/>
                <w:b w:val="0"/>
                <w:color w:val="auto"/>
                <w:sz w:val="24"/>
                <w:highlight w:val="none"/>
                <w:u w:val="none"/>
              </w:rPr>
              <w:t>同</w:t>
            </w:r>
            <w:r>
              <w:rPr>
                <w:rFonts w:ascii="宋体" w:hAnsi="宋体" w:eastAsia="宋体"/>
                <w:b w:val="0"/>
                <w:color w:val="auto"/>
                <w:sz w:val="24"/>
                <w:highlight w:val="none"/>
                <w:u w:val="none"/>
              </w:rPr>
              <w:t>小型和微型企业</w:t>
            </w:r>
            <w:r>
              <w:rPr>
                <w:rFonts w:hint="eastAsia" w:ascii="宋体" w:hAnsi="宋体" w:eastAsia="宋体"/>
                <w:b w:val="0"/>
                <w:color w:val="auto"/>
                <w:sz w:val="24"/>
                <w:highlight w:val="none"/>
              </w:rPr>
              <w:t>。</w:t>
            </w:r>
          </w:p>
          <w:p w14:paraId="7DE8FA87">
            <w:pPr>
              <w:pStyle w:val="43"/>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（4）符合条件的联合体价格扣除：</w:t>
            </w:r>
            <w:r>
              <w:rPr>
                <w:rFonts w:hint="eastAsia" w:ascii="宋体" w:hAnsi="宋体" w:eastAsia="宋体"/>
                <w:b w:val="0"/>
                <w:sz w:val="24"/>
                <w:highlight w:val="none"/>
                <w:u w:val="single"/>
              </w:rPr>
              <w:t>联合体投标的，小型、微型企业的协议合同金额占联合体协议合同总金额30%以上的，价格给予联合体4%的扣除后参与评审；其评审价=投标报价*96%；联合体各方均为小型、微型企业的，联合体视同为小型、微型企业，其评审价按（1）款执行</w:t>
            </w:r>
            <w:r>
              <w:rPr>
                <w:rFonts w:hint="eastAsia" w:ascii="宋体" w:hAnsi="宋体" w:eastAsia="宋体"/>
                <w:b w:val="0"/>
                <w:color w:val="auto"/>
                <w:sz w:val="24"/>
                <w:highlight w:val="none"/>
              </w:rPr>
              <w:t>。</w:t>
            </w:r>
          </w:p>
          <w:p w14:paraId="549883A7">
            <w:pPr>
              <w:pStyle w:val="43"/>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（5）符合条件的向小微企业分包的大中型企业价格扣除：</w:t>
            </w:r>
            <w:r>
              <w:rPr>
                <w:rFonts w:hint="eastAsia" w:ascii="宋体" w:hAnsi="宋体" w:eastAsia="宋体"/>
                <w:b w:val="0"/>
                <w:color w:val="auto"/>
                <w:sz w:val="24"/>
                <w:highlight w:val="none"/>
                <w:u w:val="single"/>
                <w:lang w:val="en-US" w:eastAsia="zh-CN"/>
              </w:rPr>
              <w:t xml:space="preserve"> </w:t>
            </w:r>
            <w:r>
              <w:rPr>
                <w:rFonts w:hint="eastAsia"/>
                <w:b w:val="0"/>
                <w:color w:val="auto"/>
                <w:sz w:val="24"/>
                <w:highlight w:val="none"/>
                <w:u w:val="single"/>
                <w:lang w:val="en-US" w:eastAsia="zh-CN"/>
              </w:rPr>
              <w:t>/</w:t>
            </w:r>
            <w:r>
              <w:rPr>
                <w:rFonts w:hint="eastAsia" w:ascii="宋体" w:hAnsi="宋体" w:eastAsia="宋体"/>
                <w:b w:val="0"/>
                <w:color w:val="auto"/>
                <w:sz w:val="24"/>
                <w:highlight w:val="none"/>
                <w:u w:val="single"/>
                <w:lang w:val="en-US" w:eastAsia="zh-CN"/>
              </w:rPr>
              <w:t xml:space="preserve"> </w:t>
            </w:r>
            <w:r>
              <w:rPr>
                <w:rFonts w:hint="eastAsia" w:ascii="宋体" w:hAnsi="宋体" w:eastAsia="宋体"/>
                <w:b w:val="0"/>
                <w:color w:val="auto"/>
                <w:sz w:val="24"/>
                <w:highlight w:val="none"/>
              </w:rPr>
              <w:t>。</w:t>
            </w:r>
            <w:r>
              <w:rPr>
                <w:rFonts w:hint="eastAsia" w:ascii="宋体" w:hAnsi="宋体" w:eastAsia="宋体"/>
                <w:b w:val="0"/>
                <w:i/>
                <w:color w:val="auto"/>
                <w:sz w:val="24"/>
                <w:highlight w:val="none"/>
              </w:rPr>
              <w:t>（允许大中型企业向小微企业分包的项目适用）</w:t>
            </w:r>
          </w:p>
        </w:tc>
      </w:tr>
      <w:tr w14:paraId="62FA5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6" w:type="pct"/>
            <w:vAlign w:val="center"/>
          </w:tcPr>
          <w:p w14:paraId="62B97303">
            <w:pPr>
              <w:pStyle w:val="44"/>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360" w:lineRule="auto"/>
              <w:textAlignment w:val="auto"/>
              <w:rPr>
                <w:rFonts w:hint="eastAsia" w:ascii="宋体" w:hAnsi="宋体" w:eastAsia="宋体"/>
                <w:bCs/>
                <w:color w:val="auto"/>
                <w:kern w:val="2"/>
                <w:highlight w:val="none"/>
                <w:lang w:val="en-US" w:eastAsia="zh-CN"/>
              </w:rPr>
            </w:pPr>
            <w:r>
              <w:rPr>
                <w:rFonts w:hint="eastAsia" w:ascii="宋体" w:hAnsi="宋体" w:eastAsia="宋体"/>
                <w:bCs/>
                <w:kern w:val="2"/>
                <w:highlight w:val="none"/>
                <w:lang w:val="en-US" w:eastAsia="zh-CN"/>
              </w:rPr>
              <w:t>17.4</w:t>
            </w:r>
          </w:p>
        </w:tc>
        <w:tc>
          <w:tcPr>
            <w:tcW w:w="823" w:type="pct"/>
            <w:vAlign w:val="center"/>
          </w:tcPr>
          <w:p w14:paraId="0526B8E0">
            <w:pPr>
              <w:spacing w:line="360" w:lineRule="auto"/>
              <w:rPr>
                <w:rFonts w:hint="eastAsia" w:ascii="宋体" w:hAnsi="宋体" w:eastAsia="宋体"/>
                <w:b w:val="0"/>
                <w:i/>
                <w:color w:val="auto"/>
                <w:sz w:val="24"/>
                <w:highlight w:val="none"/>
              </w:rPr>
            </w:pPr>
            <w:r>
              <w:rPr>
                <w:rFonts w:hint="eastAsia" w:ascii="宋体" w:hAnsi="宋体" w:eastAsia="宋体"/>
                <w:b w:val="0"/>
                <w:i w:val="0"/>
                <w:iCs w:val="0"/>
                <w:sz w:val="24"/>
                <w:highlight w:val="none"/>
                <w:lang w:val="en-US" w:eastAsia="zh-CN"/>
              </w:rPr>
              <w:t>本国产品价格扣除</w:t>
            </w:r>
            <w:r>
              <w:rPr>
                <w:rFonts w:hint="eastAsia" w:ascii="宋体" w:hAnsi="宋体" w:eastAsia="宋体" w:cs="Times New Roman"/>
                <w:i/>
                <w:iCs/>
                <w:color w:val="auto"/>
                <w:sz w:val="24"/>
                <w:highlight w:val="none"/>
                <w:lang w:val="en-US" w:eastAsia="zh-CN"/>
              </w:rPr>
              <w:t>（适用于</w:t>
            </w:r>
            <w:r>
              <w:rPr>
                <w:rFonts w:hint="eastAsia" w:ascii="宋体" w:hAnsi="宋体" w:eastAsia="宋体" w:cs="宋体"/>
                <w:b w:val="0"/>
                <w:bCs w:val="0"/>
                <w:i/>
                <w:iCs/>
                <w:caps w:val="0"/>
                <w:color w:val="auto"/>
                <w:spacing w:val="0"/>
                <w:sz w:val="24"/>
                <w:szCs w:val="24"/>
                <w:highlight w:val="none"/>
                <w:u w:val="none"/>
                <w:shd w:val="clear" w:color="auto" w:fill="FFFFFF"/>
                <w:vertAlign w:val="baseline"/>
              </w:rPr>
              <w:t>既有本国产品又有非本国产品参与竞争的</w:t>
            </w:r>
            <w:r>
              <w:rPr>
                <w:rFonts w:hint="eastAsia" w:ascii="宋体" w:hAnsi="宋体" w:eastAsia="宋体" w:cs="宋体"/>
                <w:b w:val="0"/>
                <w:bCs w:val="0"/>
                <w:i/>
                <w:iCs/>
                <w:caps w:val="0"/>
                <w:color w:val="auto"/>
                <w:spacing w:val="0"/>
                <w:sz w:val="24"/>
                <w:szCs w:val="24"/>
                <w:highlight w:val="none"/>
                <w:u w:val="none"/>
                <w:shd w:val="clear" w:color="auto" w:fill="FFFFFF"/>
                <w:vertAlign w:val="baseline"/>
                <w:lang w:val="en-US" w:eastAsia="zh-CN"/>
              </w:rPr>
              <w:t>货物项目</w:t>
            </w:r>
            <w:r>
              <w:rPr>
                <w:rFonts w:hint="eastAsia" w:ascii="宋体" w:hAnsi="宋体" w:eastAsia="宋体" w:cs="Times New Roman"/>
                <w:i/>
                <w:iCs/>
                <w:color w:val="auto"/>
                <w:sz w:val="24"/>
                <w:highlight w:val="none"/>
                <w:lang w:val="en-US" w:eastAsia="zh-CN"/>
              </w:rPr>
              <w:t>）</w:t>
            </w:r>
          </w:p>
        </w:tc>
        <w:tc>
          <w:tcPr>
            <w:tcW w:w="3639" w:type="pct"/>
            <w:vAlign w:val="center"/>
          </w:tcPr>
          <w:p w14:paraId="08D09935">
            <w:pPr>
              <w:pStyle w:val="4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b w:val="0"/>
                <w:i w:val="0"/>
                <w:iCs w:val="0"/>
                <w:sz w:val="24"/>
                <w:highlight w:val="none"/>
                <w:lang w:val="en-US" w:eastAsia="zh-CN"/>
              </w:rPr>
            </w:pPr>
            <w:r>
              <w:rPr>
                <w:rFonts w:hint="eastAsia" w:ascii="宋体" w:hAnsi="宋体" w:eastAsia="宋体"/>
                <w:b w:val="0"/>
                <w:i w:val="0"/>
                <w:iCs w:val="0"/>
                <w:sz w:val="24"/>
                <w:highlight w:val="none"/>
                <w:lang w:val="en-US" w:eastAsia="zh-CN"/>
              </w:rPr>
              <w:t>（1）项目或者采购包中采购内容为单一产品的，既有本国产品又有非本国产品参与竞争的，对本国产品给予价格扣除</w:t>
            </w:r>
            <w:r>
              <w:rPr>
                <w:rFonts w:hint="eastAsia" w:ascii="宋体" w:hAnsi="宋体" w:eastAsia="宋体"/>
                <w:b w:val="0"/>
                <w:i w:val="0"/>
                <w:iCs w:val="0"/>
                <w:sz w:val="24"/>
                <w:highlight w:val="none"/>
                <w:u w:val="single"/>
                <w:lang w:val="en-US" w:eastAsia="zh-CN"/>
              </w:rPr>
              <w:t>20%</w:t>
            </w:r>
            <w:r>
              <w:rPr>
                <w:rFonts w:hint="eastAsia" w:ascii="宋体" w:hAnsi="宋体" w:eastAsia="宋体"/>
                <w:b w:val="0"/>
                <w:i w:val="0"/>
                <w:iCs w:val="0"/>
                <w:sz w:val="24"/>
                <w:highlight w:val="none"/>
                <w:lang w:val="en-US" w:eastAsia="zh-CN"/>
              </w:rPr>
              <w:t>。</w:t>
            </w:r>
          </w:p>
          <w:p w14:paraId="4C6E1350">
            <w:pPr>
              <w:pStyle w:val="4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b w:val="0"/>
                <w:color w:val="auto"/>
                <w:sz w:val="24"/>
                <w:highlight w:val="none"/>
              </w:rPr>
            </w:pPr>
            <w:r>
              <w:rPr>
                <w:rFonts w:hint="eastAsia" w:ascii="宋体" w:hAnsi="宋体" w:eastAsia="宋体"/>
                <w:b w:val="0"/>
                <w:i w:val="0"/>
                <w:iCs w:val="0"/>
                <w:sz w:val="24"/>
                <w:highlight w:val="none"/>
                <w:lang w:val="en-US" w:eastAsia="zh-CN"/>
              </w:rPr>
              <w:t>（2）项目或者采购包中含有多种产品的，符合本国产品标准的产品成本之和占该投标人提供的全部产品成本之和的比例≥80%，所有产品价格扣除</w:t>
            </w:r>
            <w:r>
              <w:rPr>
                <w:rFonts w:hint="eastAsia" w:ascii="宋体" w:hAnsi="宋体" w:eastAsia="宋体"/>
                <w:b w:val="0"/>
                <w:i w:val="0"/>
                <w:iCs w:val="0"/>
                <w:sz w:val="24"/>
                <w:highlight w:val="none"/>
                <w:u w:val="single"/>
                <w:lang w:val="en-US" w:eastAsia="zh-CN"/>
              </w:rPr>
              <w:t>20%</w:t>
            </w:r>
            <w:r>
              <w:rPr>
                <w:rFonts w:hint="eastAsia" w:ascii="宋体" w:hAnsi="宋体" w:eastAsia="宋体"/>
                <w:b w:val="0"/>
                <w:i w:val="0"/>
                <w:iCs w:val="0"/>
                <w:sz w:val="24"/>
                <w:highlight w:val="none"/>
                <w:u w:val="none"/>
                <w:lang w:val="en-US" w:eastAsia="zh-CN"/>
              </w:rPr>
              <w:t>。</w:t>
            </w:r>
          </w:p>
        </w:tc>
      </w:tr>
      <w:tr w14:paraId="456E4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6" w:type="pct"/>
            <w:vAlign w:val="center"/>
          </w:tcPr>
          <w:p w14:paraId="5F863C61">
            <w:pPr>
              <w:pStyle w:val="44"/>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w:t>
            </w:r>
            <w:r>
              <w:rPr>
                <w:rFonts w:hint="eastAsia" w:ascii="宋体" w:hAnsi="宋体" w:eastAsia="宋体"/>
                <w:bCs/>
                <w:color w:val="auto"/>
                <w:kern w:val="2"/>
                <w:highlight w:val="none"/>
                <w:lang w:val="en-US" w:eastAsia="zh-CN"/>
              </w:rPr>
              <w:t>1</w:t>
            </w:r>
            <w:r>
              <w:rPr>
                <w:rFonts w:ascii="宋体" w:hAnsi="宋体" w:eastAsia="宋体"/>
                <w:bCs/>
                <w:color w:val="auto"/>
                <w:kern w:val="2"/>
                <w:highlight w:val="none"/>
              </w:rPr>
              <w:t>.</w:t>
            </w:r>
            <w:r>
              <w:rPr>
                <w:rFonts w:hint="eastAsia" w:ascii="宋体" w:hAnsi="宋体" w:eastAsia="宋体"/>
                <w:bCs/>
                <w:color w:val="auto"/>
                <w:kern w:val="2"/>
                <w:highlight w:val="none"/>
              </w:rPr>
              <w:t>1</w:t>
            </w:r>
          </w:p>
        </w:tc>
        <w:tc>
          <w:tcPr>
            <w:tcW w:w="823" w:type="pct"/>
            <w:vAlign w:val="center"/>
          </w:tcPr>
          <w:p w14:paraId="6422F33F">
            <w:pPr>
              <w:pStyle w:val="43"/>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评标委员会推荐</w:t>
            </w:r>
            <w:r>
              <w:rPr>
                <w:rFonts w:ascii="宋体" w:hAnsi="宋体" w:eastAsia="宋体"/>
                <w:b w:val="0"/>
                <w:color w:val="auto"/>
                <w:sz w:val="24"/>
                <w:highlight w:val="none"/>
              </w:rPr>
              <w:t>中标候选</w:t>
            </w:r>
            <w:r>
              <w:rPr>
                <w:rFonts w:hint="eastAsia" w:ascii="宋体" w:hAnsi="宋体" w:eastAsia="宋体"/>
                <w:b w:val="0"/>
                <w:color w:val="auto"/>
                <w:sz w:val="24"/>
                <w:highlight w:val="none"/>
              </w:rPr>
              <w:t>人的</w:t>
            </w:r>
            <w:r>
              <w:rPr>
                <w:rFonts w:ascii="宋体" w:hAnsi="宋体" w:eastAsia="宋体"/>
                <w:b w:val="0"/>
                <w:color w:val="auto"/>
                <w:sz w:val="24"/>
                <w:highlight w:val="none"/>
              </w:rPr>
              <w:t>数量</w:t>
            </w:r>
          </w:p>
        </w:tc>
        <w:tc>
          <w:tcPr>
            <w:tcW w:w="3639" w:type="pct"/>
            <w:vAlign w:val="center"/>
          </w:tcPr>
          <w:p w14:paraId="5289A58C">
            <w:pPr>
              <w:pStyle w:val="43"/>
              <w:widowControl w:val="0"/>
              <w:spacing w:before="0" w:beforeAutospacing="0" w:after="0" w:afterAutospacing="0" w:line="360" w:lineRule="auto"/>
              <w:jc w:val="both"/>
              <w:rPr>
                <w:rFonts w:ascii="宋体" w:hAnsi="宋体" w:eastAsia="宋体"/>
                <w:b w:val="0"/>
                <w:color w:val="auto"/>
                <w:sz w:val="24"/>
                <w:highlight w:val="none"/>
                <w:u w:val="single"/>
              </w:rPr>
            </w:pPr>
            <w:r>
              <w:rPr>
                <w:rFonts w:hint="eastAsia" w:ascii="宋体" w:hAnsi="宋体" w:eastAsia="宋体" w:cs="宋体"/>
                <w:b w:val="0"/>
                <w:color w:val="auto"/>
                <w:sz w:val="24"/>
                <w:highlight w:val="none"/>
                <w:u w:val="single"/>
                <w:lang w:val="en-US" w:eastAsia="zh-CN"/>
              </w:rPr>
              <w:t>推荐3名中标候选人</w:t>
            </w:r>
          </w:p>
        </w:tc>
      </w:tr>
      <w:tr w14:paraId="2B5E4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6" w:type="pct"/>
            <w:vAlign w:val="center"/>
          </w:tcPr>
          <w:p w14:paraId="7857674C">
            <w:pPr>
              <w:pStyle w:val="44"/>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w:t>
            </w:r>
            <w:r>
              <w:rPr>
                <w:rFonts w:hint="eastAsia" w:ascii="宋体" w:hAnsi="宋体" w:eastAsia="宋体"/>
                <w:bCs/>
                <w:color w:val="auto"/>
                <w:kern w:val="2"/>
                <w:highlight w:val="none"/>
                <w:lang w:val="en-US" w:eastAsia="zh-CN"/>
              </w:rPr>
              <w:t>1</w:t>
            </w:r>
            <w:r>
              <w:rPr>
                <w:rFonts w:ascii="宋体" w:hAnsi="宋体" w:eastAsia="宋体"/>
                <w:bCs/>
                <w:color w:val="auto"/>
                <w:kern w:val="2"/>
                <w:highlight w:val="none"/>
              </w:rPr>
              <w:t>.</w:t>
            </w:r>
            <w:r>
              <w:rPr>
                <w:rFonts w:hint="eastAsia" w:ascii="宋体" w:hAnsi="宋体" w:eastAsia="宋体"/>
                <w:bCs/>
                <w:color w:val="auto"/>
                <w:kern w:val="2"/>
                <w:highlight w:val="none"/>
              </w:rPr>
              <w:t>2</w:t>
            </w:r>
          </w:p>
        </w:tc>
        <w:tc>
          <w:tcPr>
            <w:tcW w:w="823" w:type="pct"/>
            <w:vAlign w:val="center"/>
          </w:tcPr>
          <w:p w14:paraId="4140DBC8">
            <w:pPr>
              <w:pStyle w:val="43"/>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确定中标人</w:t>
            </w:r>
          </w:p>
        </w:tc>
        <w:tc>
          <w:tcPr>
            <w:tcW w:w="3639" w:type="pct"/>
            <w:vAlign w:val="center"/>
          </w:tcPr>
          <w:p w14:paraId="755F9CDB">
            <w:pPr>
              <w:spacing w:line="360" w:lineRule="auto"/>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color w:val="auto"/>
                <w:kern w:val="0"/>
                <w:sz w:val="24"/>
                <w:szCs w:val="24"/>
                <w:highlight w:val="none"/>
              </w:rPr>
              <w:sym w:font="Wingdings" w:char="00A8"/>
            </w:r>
            <w:r>
              <w:rPr>
                <w:rFonts w:hint="eastAsia" w:asciiTheme="minorEastAsia" w:hAnsiTheme="minorEastAsia" w:eastAsiaTheme="minorEastAsia"/>
                <w:color w:val="auto"/>
                <w:kern w:val="0"/>
                <w:sz w:val="24"/>
                <w:szCs w:val="24"/>
                <w:highlight w:val="none"/>
              </w:rPr>
              <w:t>采购人委托评标委员会确定</w:t>
            </w:r>
          </w:p>
          <w:p w14:paraId="2F273207">
            <w:pPr>
              <w:pStyle w:val="43"/>
              <w:widowControl w:val="0"/>
              <w:spacing w:before="0" w:beforeAutospacing="0" w:after="0" w:afterAutospacing="0" w:line="360" w:lineRule="auto"/>
              <w:jc w:val="both"/>
              <w:rPr>
                <w:rFonts w:ascii="宋体" w:hAnsi="宋体" w:eastAsia="宋体"/>
                <w:b w:val="0"/>
                <w:color w:val="auto"/>
                <w:sz w:val="24"/>
                <w:highlight w:val="none"/>
              </w:rPr>
            </w:pPr>
            <w:r>
              <w:rPr>
                <w:rFonts w:hint="eastAsia" w:asciiTheme="minorEastAsia" w:hAnsiTheme="minorEastAsia" w:eastAsiaTheme="minorEastAsia"/>
                <w:b w:val="0"/>
                <w:bCs w:val="0"/>
                <w:color w:val="auto"/>
                <w:kern w:val="2"/>
                <w:sz w:val="24"/>
                <w:szCs w:val="24"/>
                <w:highlight w:val="none"/>
                <w:lang w:eastAsia="zh-CN"/>
              </w:rPr>
              <w:t>☑</w:t>
            </w:r>
            <w:r>
              <w:rPr>
                <w:rFonts w:hint="eastAsia" w:asciiTheme="minorEastAsia" w:hAnsiTheme="minorEastAsia" w:eastAsiaTheme="minorEastAsia"/>
                <w:b w:val="0"/>
                <w:bCs w:val="0"/>
                <w:color w:val="auto"/>
                <w:kern w:val="2"/>
                <w:sz w:val="24"/>
                <w:szCs w:val="24"/>
                <w:highlight w:val="none"/>
              </w:rPr>
              <w:t>采购人确定</w:t>
            </w:r>
          </w:p>
        </w:tc>
      </w:tr>
      <w:tr w14:paraId="5B4F9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6" w:type="pct"/>
            <w:vAlign w:val="center"/>
          </w:tcPr>
          <w:p w14:paraId="16926625">
            <w:pPr>
              <w:pStyle w:val="44"/>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ascii="宋体" w:hAnsi="宋体" w:eastAsia="宋体"/>
                <w:bCs/>
                <w:color w:val="auto"/>
                <w:kern w:val="2"/>
                <w:highlight w:val="none"/>
              </w:rPr>
              <w:t>2</w:t>
            </w:r>
            <w:r>
              <w:rPr>
                <w:rFonts w:hint="eastAsia" w:ascii="宋体" w:hAnsi="宋体" w:eastAsia="宋体"/>
                <w:bCs/>
                <w:color w:val="auto"/>
                <w:kern w:val="2"/>
                <w:highlight w:val="none"/>
                <w:lang w:val="en-US" w:eastAsia="zh-CN"/>
              </w:rPr>
              <w:t>3</w:t>
            </w:r>
            <w:r>
              <w:rPr>
                <w:rFonts w:ascii="宋体" w:hAnsi="宋体" w:eastAsia="宋体"/>
                <w:bCs/>
                <w:color w:val="auto"/>
                <w:kern w:val="2"/>
                <w:highlight w:val="none"/>
              </w:rPr>
              <w:t>.3</w:t>
            </w:r>
          </w:p>
        </w:tc>
        <w:tc>
          <w:tcPr>
            <w:tcW w:w="823" w:type="pct"/>
            <w:vAlign w:val="center"/>
          </w:tcPr>
          <w:p w14:paraId="4F1035C0">
            <w:pPr>
              <w:pStyle w:val="43"/>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随中标结果公告同时</w:t>
            </w:r>
            <w:r>
              <w:rPr>
                <w:rFonts w:hint="eastAsia" w:ascii="宋体" w:hAnsi="宋体" w:eastAsia="宋体"/>
                <w:b w:val="0"/>
                <w:color w:val="auto"/>
                <w:sz w:val="24"/>
                <w:highlight w:val="none"/>
                <w:lang w:val="en-US" w:eastAsia="zh-CN"/>
              </w:rPr>
              <w:t>公告</w:t>
            </w:r>
            <w:r>
              <w:rPr>
                <w:rFonts w:hint="eastAsia" w:ascii="宋体" w:hAnsi="宋体" w:eastAsia="宋体"/>
                <w:b w:val="0"/>
                <w:color w:val="auto"/>
                <w:sz w:val="24"/>
                <w:highlight w:val="none"/>
              </w:rPr>
              <w:t>的内容</w:t>
            </w:r>
          </w:p>
        </w:tc>
        <w:tc>
          <w:tcPr>
            <w:tcW w:w="3639" w:type="pct"/>
            <w:vAlign w:val="center"/>
          </w:tcPr>
          <w:p w14:paraId="3BF38972">
            <w:pPr>
              <w:pStyle w:val="43"/>
              <w:widowControl w:val="0"/>
              <w:spacing w:before="0" w:beforeAutospacing="0" w:after="0" w:afterAutospacing="0" w:line="360" w:lineRule="auto"/>
              <w:jc w:val="both"/>
              <w:rPr>
                <w:rFonts w:ascii="宋体" w:hAnsi="宋体" w:eastAsia="宋体"/>
                <w:b w:val="0"/>
                <w:color w:val="auto"/>
                <w:sz w:val="24"/>
                <w:highlight w:val="none"/>
                <w:u w:val="none"/>
              </w:rPr>
            </w:pPr>
            <w:r>
              <w:rPr>
                <w:rFonts w:hint="eastAsia" w:ascii="宋体" w:hAnsi="宋体" w:eastAsia="宋体"/>
                <w:b w:val="0"/>
                <w:color w:val="auto"/>
                <w:sz w:val="24"/>
                <w:highlight w:val="none"/>
                <w:u w:val="none"/>
              </w:rPr>
              <w:t>（</w:t>
            </w:r>
            <w:r>
              <w:rPr>
                <w:rFonts w:hint="eastAsia" w:ascii="宋体" w:hAnsi="宋体" w:eastAsia="宋体"/>
                <w:b w:val="0"/>
                <w:color w:val="auto"/>
                <w:sz w:val="24"/>
                <w:highlight w:val="none"/>
                <w:u w:val="none"/>
                <w:lang w:val="en-US" w:eastAsia="zh-CN"/>
              </w:rPr>
              <w:t>1</w:t>
            </w:r>
            <w:r>
              <w:rPr>
                <w:rFonts w:hint="eastAsia" w:ascii="宋体" w:hAnsi="宋体" w:eastAsia="宋体"/>
                <w:b w:val="0"/>
                <w:color w:val="auto"/>
                <w:sz w:val="24"/>
                <w:highlight w:val="none"/>
                <w:u w:val="none"/>
              </w:rPr>
              <w:t>）中小企业声明函；</w:t>
            </w:r>
            <w:r>
              <w:rPr>
                <w:rFonts w:hint="eastAsia" w:ascii="宋体" w:hAnsi="宋体" w:eastAsia="宋体"/>
                <w:b w:val="0"/>
                <w:i/>
                <w:iCs/>
                <w:color w:val="auto"/>
                <w:sz w:val="24"/>
                <w:highlight w:val="none"/>
                <w:u w:val="none"/>
              </w:rPr>
              <w:t>（如有）</w:t>
            </w:r>
          </w:p>
          <w:p w14:paraId="5F190F5E">
            <w:pPr>
              <w:pStyle w:val="43"/>
              <w:widowControl w:val="0"/>
              <w:spacing w:before="0" w:beforeAutospacing="0" w:after="0" w:afterAutospacing="0" w:line="360" w:lineRule="auto"/>
              <w:jc w:val="both"/>
              <w:rPr>
                <w:rFonts w:ascii="宋体" w:hAnsi="宋体" w:eastAsia="宋体"/>
                <w:b w:val="0"/>
                <w:i/>
                <w:color w:val="auto"/>
                <w:sz w:val="24"/>
                <w:highlight w:val="none"/>
                <w:u w:val="none"/>
              </w:rPr>
            </w:pPr>
            <w:r>
              <w:rPr>
                <w:rFonts w:hint="eastAsia" w:ascii="宋体" w:hAnsi="宋体" w:eastAsia="宋体"/>
                <w:b w:val="0"/>
                <w:color w:val="auto"/>
                <w:sz w:val="24"/>
                <w:highlight w:val="none"/>
                <w:u w:val="none"/>
              </w:rPr>
              <w:t>（</w:t>
            </w:r>
            <w:r>
              <w:rPr>
                <w:rFonts w:hint="eastAsia" w:ascii="宋体" w:hAnsi="宋体" w:eastAsia="宋体"/>
                <w:b w:val="0"/>
                <w:color w:val="auto"/>
                <w:sz w:val="24"/>
                <w:highlight w:val="none"/>
                <w:u w:val="none"/>
                <w:lang w:val="en-US" w:eastAsia="zh-CN"/>
              </w:rPr>
              <w:t>2）</w:t>
            </w:r>
            <w:r>
              <w:rPr>
                <w:rFonts w:hint="eastAsia" w:ascii="宋体" w:hAnsi="宋体" w:eastAsia="宋体"/>
                <w:b w:val="0"/>
                <w:color w:val="auto"/>
                <w:sz w:val="24"/>
                <w:highlight w:val="none"/>
                <w:u w:val="none"/>
              </w:rPr>
              <w:t>残疾人福利性单位声明函；</w:t>
            </w:r>
            <w:r>
              <w:rPr>
                <w:rFonts w:hint="eastAsia" w:ascii="宋体" w:hAnsi="宋体" w:eastAsia="宋体"/>
                <w:b w:val="0"/>
                <w:i/>
                <w:iCs/>
                <w:color w:val="auto"/>
                <w:sz w:val="24"/>
                <w:highlight w:val="none"/>
                <w:u w:val="none"/>
              </w:rPr>
              <w:t>（如有）</w:t>
            </w:r>
          </w:p>
          <w:p w14:paraId="755D280A">
            <w:pPr>
              <w:pStyle w:val="43"/>
              <w:widowControl w:val="0"/>
              <w:spacing w:before="0" w:beforeAutospacing="0" w:after="0" w:afterAutospacing="0" w:line="360" w:lineRule="auto"/>
              <w:jc w:val="both"/>
              <w:rPr>
                <w:rFonts w:hint="eastAsia" w:ascii="宋体" w:hAnsi="宋体" w:eastAsia="宋体"/>
                <w:b w:val="0"/>
                <w:color w:val="auto"/>
                <w:sz w:val="24"/>
                <w:highlight w:val="none"/>
                <w:u w:val="none"/>
                <w:lang w:eastAsia="zh-CN"/>
              </w:rPr>
            </w:pPr>
            <w:r>
              <w:rPr>
                <w:rFonts w:hint="eastAsia" w:ascii="宋体" w:hAnsi="宋体" w:eastAsia="宋体"/>
                <w:b w:val="0"/>
                <w:color w:val="auto"/>
                <w:sz w:val="24"/>
                <w:highlight w:val="none"/>
                <w:u w:val="none"/>
              </w:rPr>
              <w:t>（</w:t>
            </w:r>
            <w:r>
              <w:rPr>
                <w:rFonts w:hint="eastAsia" w:ascii="宋体" w:hAnsi="宋体" w:eastAsia="宋体"/>
                <w:b w:val="0"/>
                <w:color w:val="auto"/>
                <w:sz w:val="24"/>
                <w:highlight w:val="none"/>
                <w:u w:val="none"/>
                <w:lang w:val="en-US" w:eastAsia="zh-CN"/>
              </w:rPr>
              <w:t>3</w:t>
            </w:r>
            <w:r>
              <w:rPr>
                <w:rFonts w:hint="eastAsia" w:ascii="宋体" w:hAnsi="宋体" w:eastAsia="宋体"/>
                <w:b w:val="0"/>
                <w:color w:val="auto"/>
                <w:sz w:val="24"/>
                <w:highlight w:val="none"/>
                <w:u w:val="none"/>
              </w:rPr>
              <w:t>）中标</w:t>
            </w: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none"/>
              </w:rPr>
              <w:t>成交</w:t>
            </w: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none"/>
              </w:rPr>
              <w:t>供应商的评审总得分</w:t>
            </w:r>
            <w:r>
              <w:rPr>
                <w:rFonts w:hint="eastAsia" w:ascii="宋体" w:hAnsi="宋体" w:eastAsia="宋体"/>
                <w:b w:val="0"/>
                <w:color w:val="auto"/>
                <w:sz w:val="24"/>
                <w:highlight w:val="none"/>
                <w:u w:val="none"/>
                <w:lang w:eastAsia="zh-CN"/>
              </w:rPr>
              <w:t>；</w:t>
            </w:r>
          </w:p>
          <w:p w14:paraId="3D09C5C1">
            <w:pPr>
              <w:pStyle w:val="43"/>
              <w:widowControl w:val="0"/>
              <w:spacing w:before="0" w:beforeAutospacing="0" w:after="0" w:afterAutospacing="0" w:line="360" w:lineRule="auto"/>
              <w:jc w:val="both"/>
              <w:rPr>
                <w:rFonts w:hint="eastAsia" w:ascii="宋体" w:hAnsi="宋体" w:eastAsia="宋体"/>
                <w:b w:val="0"/>
                <w:i/>
                <w:iCs/>
                <w:color w:val="auto"/>
                <w:sz w:val="24"/>
                <w:highlight w:val="none"/>
                <w:u w:val="none"/>
                <w:lang w:eastAsia="zh-CN"/>
              </w:rPr>
            </w:pP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none"/>
                <w:lang w:val="en-US" w:eastAsia="zh-CN"/>
              </w:rPr>
              <w:t>4</w:t>
            </w: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none"/>
                <w:lang w:val="en-US" w:eastAsia="zh-CN"/>
              </w:rPr>
              <w:t>中标（成交）供应商的分项报价清单；</w:t>
            </w:r>
          </w:p>
          <w:p w14:paraId="1C2A357E">
            <w:pPr>
              <w:pStyle w:val="43"/>
              <w:widowControl w:val="0"/>
              <w:spacing w:before="0" w:beforeAutospacing="0" w:after="0" w:afterAutospacing="0" w:line="360" w:lineRule="auto"/>
              <w:jc w:val="both"/>
              <w:rPr>
                <w:rFonts w:ascii="宋体" w:hAnsi="宋体" w:eastAsia="宋体"/>
                <w:b w:val="0"/>
                <w:bCs w:val="0"/>
                <w:color w:val="auto"/>
                <w:sz w:val="24"/>
                <w:szCs w:val="24"/>
                <w:highlight w:val="none"/>
              </w:rPr>
            </w:pP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none"/>
                <w:lang w:val="en-US" w:eastAsia="zh-CN"/>
              </w:rPr>
              <w:t>5</w:t>
            </w:r>
            <w:r>
              <w:rPr>
                <w:rFonts w:hint="eastAsia" w:ascii="宋体" w:hAnsi="宋体" w:eastAsia="宋体"/>
                <w:b w:val="0"/>
                <w:color w:val="auto"/>
                <w:sz w:val="24"/>
                <w:highlight w:val="none"/>
                <w:u w:val="none"/>
                <w:lang w:eastAsia="zh-CN"/>
              </w:rPr>
              <w:t>）</w:t>
            </w:r>
            <w:r>
              <w:rPr>
                <w:rFonts w:hint="eastAsia" w:ascii="宋体" w:hAnsi="宋体" w:eastAsia="宋体" w:cs="@仿宋_GB2312"/>
                <w:b w:val="0"/>
                <w:bCs w:val="0"/>
                <w:sz w:val="24"/>
                <w:szCs w:val="20"/>
                <w:highlight w:val="none"/>
                <w:u w:val="none"/>
              </w:rPr>
              <w:t>符合本国产品标准的声明函</w:t>
            </w:r>
            <w:r>
              <w:rPr>
                <w:rFonts w:hint="eastAsia" w:ascii="宋体" w:hAnsi="宋体" w:eastAsia="宋体" w:cs="@仿宋_GB2312"/>
                <w:b w:val="0"/>
                <w:bCs w:val="0"/>
                <w:sz w:val="24"/>
                <w:szCs w:val="20"/>
                <w:highlight w:val="none"/>
                <w:u w:val="none"/>
                <w:lang w:eastAsia="zh-CN"/>
              </w:rPr>
              <w:t>。</w:t>
            </w:r>
            <w:r>
              <w:rPr>
                <w:rFonts w:hint="eastAsia" w:ascii="宋体" w:hAnsi="宋体" w:eastAsia="宋体" w:cs="@仿宋_GB2312"/>
                <w:b w:val="0"/>
                <w:bCs w:val="0"/>
                <w:i/>
                <w:iCs/>
                <w:color w:val="auto"/>
                <w:sz w:val="24"/>
                <w:szCs w:val="20"/>
                <w:highlight w:val="none"/>
                <w:u w:val="none"/>
                <w:lang w:eastAsia="zh-CN"/>
              </w:rPr>
              <w:t>（</w:t>
            </w:r>
            <w:r>
              <w:rPr>
                <w:rFonts w:hint="eastAsia" w:ascii="宋体" w:hAnsi="宋体" w:eastAsia="宋体" w:cs="@仿宋_GB2312"/>
                <w:b w:val="0"/>
                <w:bCs w:val="0"/>
                <w:i/>
                <w:iCs/>
                <w:color w:val="auto"/>
                <w:sz w:val="24"/>
                <w:szCs w:val="20"/>
                <w:highlight w:val="none"/>
                <w:u w:val="none"/>
                <w:lang w:val="en-US" w:eastAsia="zh-CN"/>
              </w:rPr>
              <w:t>如有</w:t>
            </w:r>
            <w:r>
              <w:rPr>
                <w:rFonts w:hint="eastAsia" w:ascii="宋体" w:hAnsi="宋体" w:eastAsia="宋体" w:cs="@仿宋_GB2312"/>
                <w:b w:val="0"/>
                <w:bCs w:val="0"/>
                <w:i/>
                <w:iCs/>
                <w:color w:val="auto"/>
                <w:sz w:val="24"/>
                <w:szCs w:val="20"/>
                <w:highlight w:val="none"/>
                <w:u w:val="none"/>
                <w:lang w:eastAsia="zh-CN"/>
              </w:rPr>
              <w:t>）</w:t>
            </w:r>
          </w:p>
        </w:tc>
      </w:tr>
      <w:tr w14:paraId="1A713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6" w:type="pct"/>
            <w:vAlign w:val="center"/>
          </w:tcPr>
          <w:p w14:paraId="575B88ED">
            <w:pPr>
              <w:pStyle w:val="44"/>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w:t>
            </w:r>
            <w:r>
              <w:rPr>
                <w:rFonts w:hint="eastAsia" w:ascii="宋体" w:hAnsi="宋体" w:eastAsia="宋体"/>
                <w:bCs/>
                <w:color w:val="auto"/>
                <w:kern w:val="2"/>
                <w:highlight w:val="none"/>
                <w:lang w:val="en-US" w:eastAsia="zh-CN"/>
              </w:rPr>
              <w:t>4</w:t>
            </w:r>
            <w:r>
              <w:rPr>
                <w:rFonts w:ascii="宋体" w:hAnsi="宋体" w:eastAsia="宋体"/>
                <w:bCs/>
                <w:color w:val="auto"/>
                <w:kern w:val="2"/>
                <w:highlight w:val="none"/>
              </w:rPr>
              <w:t>.1</w:t>
            </w:r>
          </w:p>
        </w:tc>
        <w:tc>
          <w:tcPr>
            <w:tcW w:w="823" w:type="pct"/>
            <w:vAlign w:val="center"/>
          </w:tcPr>
          <w:p w14:paraId="2999B215">
            <w:pPr>
              <w:pStyle w:val="43"/>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中标通知书发出的形式</w:t>
            </w:r>
          </w:p>
        </w:tc>
        <w:tc>
          <w:tcPr>
            <w:tcW w:w="3639" w:type="pct"/>
            <w:vAlign w:val="center"/>
          </w:tcPr>
          <w:p w14:paraId="331BFCC4">
            <w:pPr>
              <w:pStyle w:val="43"/>
              <w:widowControl w:val="0"/>
              <w:spacing w:before="0" w:beforeAutospacing="0" w:after="0" w:afterAutospacing="0" w:line="360" w:lineRule="auto"/>
              <w:jc w:val="both"/>
              <w:rPr>
                <w:rFonts w:ascii="宋体" w:hAnsi="宋体" w:eastAsia="宋体"/>
                <w:b w:val="0"/>
                <w:bCs w:val="0"/>
                <w:color w:val="auto"/>
                <w:sz w:val="24"/>
                <w:szCs w:val="24"/>
                <w:highlight w:val="none"/>
              </w:rPr>
            </w:pPr>
            <w:r>
              <w:rPr>
                <w:rFonts w:hint="eastAsia" w:ascii="宋体" w:hAnsi="宋体" w:eastAsia="宋体"/>
                <w:b w:val="0"/>
                <w:bCs w:val="0"/>
                <w:color w:val="auto"/>
                <w:sz w:val="24"/>
                <w:szCs w:val="24"/>
                <w:highlight w:val="none"/>
              </w:rPr>
              <w:t xml:space="preserve">□书面 </w:t>
            </w:r>
            <w:r>
              <w:rPr>
                <w:rFonts w:ascii="宋体" w:hAnsi="宋体" w:eastAsia="宋体"/>
                <w:b w:val="0"/>
                <w:bCs w:val="0"/>
                <w:color w:val="auto"/>
                <w:sz w:val="24"/>
                <w:szCs w:val="24"/>
                <w:highlight w:val="none"/>
              </w:rPr>
              <w:t xml:space="preserve">    </w:t>
            </w:r>
            <w:r>
              <w:rPr>
                <w:rFonts w:hint="eastAsia" w:ascii="宋体" w:hAnsi="宋体" w:eastAsia="宋体"/>
                <w:b w:val="0"/>
                <w:bCs w:val="0"/>
                <w:color w:val="auto"/>
                <w:sz w:val="24"/>
                <w:szCs w:val="24"/>
                <w:highlight w:val="none"/>
              </w:rPr>
              <w:sym w:font="Wingdings" w:char="00FE"/>
            </w:r>
            <w:r>
              <w:rPr>
                <w:rFonts w:hint="eastAsia" w:ascii="宋体" w:hAnsi="宋体" w:eastAsia="宋体"/>
                <w:b w:val="0"/>
                <w:bCs w:val="0"/>
                <w:color w:val="auto"/>
                <w:sz w:val="24"/>
                <w:szCs w:val="24"/>
                <w:highlight w:val="none"/>
              </w:rPr>
              <w:t>数据电文</w:t>
            </w:r>
          </w:p>
        </w:tc>
      </w:tr>
      <w:tr w14:paraId="67938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6" w:type="pct"/>
            <w:vAlign w:val="center"/>
          </w:tcPr>
          <w:p w14:paraId="55D0FDD1">
            <w:pPr>
              <w:pStyle w:val="44"/>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25</w:t>
            </w:r>
            <w:r>
              <w:rPr>
                <w:rFonts w:ascii="宋体" w:hAnsi="宋体" w:eastAsia="宋体"/>
                <w:bCs/>
                <w:color w:val="auto"/>
                <w:kern w:val="2"/>
                <w:highlight w:val="none"/>
              </w:rPr>
              <w:t>.1</w:t>
            </w:r>
          </w:p>
        </w:tc>
        <w:tc>
          <w:tcPr>
            <w:tcW w:w="823" w:type="pct"/>
            <w:vAlign w:val="center"/>
          </w:tcPr>
          <w:p w14:paraId="66EEB43F">
            <w:pPr>
              <w:pStyle w:val="43"/>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告知招标结果的形式</w:t>
            </w:r>
          </w:p>
        </w:tc>
        <w:tc>
          <w:tcPr>
            <w:tcW w:w="3639" w:type="pct"/>
            <w:vAlign w:val="center"/>
          </w:tcPr>
          <w:p w14:paraId="5D19F76D">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b w:val="0"/>
                <w:bCs w:val="0"/>
                <w:color w:val="auto"/>
                <w:kern w:val="0"/>
                <w:sz w:val="24"/>
                <w:szCs w:val="24"/>
                <w:highlight w:val="none"/>
              </w:rPr>
              <w:sym w:font="Wingdings" w:char="00FE"/>
            </w:r>
            <w:r>
              <w:rPr>
                <w:rFonts w:hint="eastAsia" w:asciiTheme="minorEastAsia" w:hAnsiTheme="minorEastAsia" w:eastAsiaTheme="minorEastAsia"/>
                <w:color w:val="auto"/>
                <w:kern w:val="0"/>
                <w:sz w:val="24"/>
                <w:szCs w:val="24"/>
                <w:highlight w:val="none"/>
              </w:rPr>
              <w:t>投标人自行登录电子</w:t>
            </w:r>
            <w:r>
              <w:rPr>
                <w:rFonts w:hint="eastAsia" w:ascii="宋体" w:hAnsi="宋体" w:eastAsia="宋体" w:cs="宋体"/>
                <w:b w:val="0"/>
                <w:bCs w:val="0"/>
                <w:color w:val="auto"/>
                <w:sz w:val="24"/>
                <w:szCs w:val="24"/>
                <w:highlight w:val="none"/>
                <w:lang w:val="en-US" w:eastAsia="zh-CN"/>
              </w:rPr>
              <w:t>交易</w:t>
            </w:r>
            <w:r>
              <w:rPr>
                <w:rFonts w:hint="eastAsia" w:asciiTheme="minorEastAsia" w:hAnsiTheme="minorEastAsia" w:eastAsiaTheme="minorEastAsia"/>
                <w:color w:val="auto"/>
                <w:kern w:val="0"/>
                <w:sz w:val="24"/>
                <w:szCs w:val="24"/>
                <w:highlight w:val="none"/>
              </w:rPr>
              <w:t>系统查看</w:t>
            </w:r>
          </w:p>
          <w:p w14:paraId="661F44BA">
            <w:pPr>
              <w:pStyle w:val="4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default" w:asciiTheme="minorEastAsia" w:hAnsiTheme="minorEastAsia" w:eastAsiaTheme="minorEastAsia"/>
                <w:b w:val="0"/>
                <w:bCs w:val="0"/>
                <w:color w:val="auto"/>
                <w:kern w:val="2"/>
                <w:sz w:val="24"/>
                <w:szCs w:val="24"/>
                <w:highlight w:val="none"/>
                <w:lang w:val="en-US" w:eastAsia="zh-CN"/>
              </w:rPr>
            </w:pPr>
            <w:r>
              <w:rPr>
                <w:rFonts w:hint="eastAsia" w:asciiTheme="minorEastAsia" w:hAnsiTheme="minorEastAsia" w:eastAsiaTheme="minorEastAsia"/>
                <w:b w:val="0"/>
                <w:bCs w:val="0"/>
                <w:color w:val="auto"/>
                <w:kern w:val="2"/>
                <w:sz w:val="24"/>
                <w:szCs w:val="24"/>
                <w:highlight w:val="none"/>
              </w:rPr>
              <w:t>□评标现场告知</w:t>
            </w:r>
          </w:p>
        </w:tc>
      </w:tr>
      <w:tr w14:paraId="66236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536" w:type="pct"/>
            <w:vAlign w:val="center"/>
          </w:tcPr>
          <w:p w14:paraId="71FB9405">
            <w:pPr>
              <w:pStyle w:val="44"/>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26</w:t>
            </w:r>
            <w:r>
              <w:rPr>
                <w:rFonts w:ascii="宋体" w:hAnsi="宋体" w:eastAsia="宋体"/>
                <w:bCs/>
                <w:color w:val="auto"/>
                <w:kern w:val="2"/>
                <w:highlight w:val="none"/>
              </w:rPr>
              <w:t>.1</w:t>
            </w:r>
          </w:p>
        </w:tc>
        <w:tc>
          <w:tcPr>
            <w:tcW w:w="823" w:type="pct"/>
            <w:vAlign w:val="center"/>
          </w:tcPr>
          <w:p w14:paraId="0EDB3267">
            <w:pPr>
              <w:pStyle w:val="43"/>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履约保证金</w:t>
            </w:r>
          </w:p>
        </w:tc>
        <w:tc>
          <w:tcPr>
            <w:tcW w:w="3639" w:type="pct"/>
          </w:tcPr>
          <w:p w14:paraId="1FEF7071">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（1）金额：</w:t>
            </w:r>
          </w:p>
          <w:p w14:paraId="169F9B66">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rPr>
              <w:t>免收</w:t>
            </w:r>
          </w:p>
          <w:p w14:paraId="4146FF9E">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rPr>
              <w:t>合同价的</w:t>
            </w:r>
            <w:r>
              <w:rPr>
                <w:rFonts w:hint="eastAsia" w:ascii="宋体" w:hAnsi="宋体" w:eastAsia="宋体"/>
                <w:bCs/>
                <w:color w:val="auto"/>
                <w:kern w:val="0"/>
                <w:sz w:val="24"/>
                <w:szCs w:val="28"/>
                <w:highlight w:val="none"/>
                <w:u w:val="single"/>
                <w:lang w:val="en-US" w:eastAsia="zh-CN"/>
              </w:rPr>
              <w:t>2.5</w:t>
            </w:r>
            <w:r>
              <w:rPr>
                <w:rFonts w:ascii="宋体" w:hAnsi="宋体" w:eastAsia="宋体"/>
                <w:bCs/>
                <w:color w:val="auto"/>
                <w:kern w:val="0"/>
                <w:sz w:val="24"/>
                <w:szCs w:val="28"/>
                <w:highlight w:val="none"/>
                <w:u w:val="single"/>
              </w:rPr>
              <w:t xml:space="preserve"> </w:t>
            </w:r>
            <w:r>
              <w:rPr>
                <w:rFonts w:ascii="宋体" w:hAnsi="宋体" w:eastAsia="宋体"/>
                <w:bCs/>
                <w:color w:val="auto"/>
                <w:kern w:val="0"/>
                <w:sz w:val="24"/>
                <w:szCs w:val="28"/>
                <w:highlight w:val="none"/>
              </w:rPr>
              <w:t>%</w:t>
            </w:r>
          </w:p>
          <w:p w14:paraId="00595823">
            <w:pPr>
              <w:spacing w:line="360" w:lineRule="auto"/>
              <w:rPr>
                <w:rFonts w:ascii="宋体" w:hAnsi="宋体" w:eastAsia="宋体"/>
                <w:bCs/>
                <w:color w:val="auto"/>
                <w:kern w:val="0"/>
                <w:sz w:val="24"/>
                <w:szCs w:val="28"/>
                <w:highlight w:val="none"/>
              </w:rPr>
            </w:pPr>
            <w:r>
              <w:rPr>
                <w:rFonts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rPr>
              <w:t>定额收取：人民币</w:t>
            </w:r>
            <w:r>
              <w:rPr>
                <w:rFonts w:hint="eastAsia"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rPr>
              <w:t>元</w:t>
            </w:r>
          </w:p>
          <w:p w14:paraId="4927A143">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（2）支付方式：</w:t>
            </w:r>
          </w:p>
          <w:p w14:paraId="4C085E0F">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sym w:font="Wingdings" w:char="00FE"/>
            </w:r>
            <w:r>
              <w:rPr>
                <w:rFonts w:ascii="宋体" w:hAnsi="宋体" w:eastAsia="宋体"/>
                <w:bCs/>
                <w:color w:val="auto"/>
                <w:kern w:val="0"/>
                <w:sz w:val="24"/>
                <w:szCs w:val="28"/>
                <w:highlight w:val="none"/>
              </w:rPr>
              <w:t>转账/电汇</w:t>
            </w:r>
            <w:r>
              <w:rPr>
                <w:rFonts w:hint="eastAsia" w:ascii="宋体" w:hAnsi="宋体" w:eastAsia="宋体"/>
                <w:bCs/>
                <w:color w:val="auto"/>
                <w:kern w:val="0"/>
                <w:sz w:val="24"/>
                <w:szCs w:val="28"/>
                <w:highlight w:val="none"/>
              </w:rPr>
              <w:t xml:space="preserve"> </w:t>
            </w:r>
            <w:r>
              <w:rPr>
                <w:rFonts w:hint="eastAsia" w:ascii="宋体" w:hAnsi="宋体" w:eastAsia="宋体"/>
                <w:bCs/>
                <w:color w:val="auto"/>
                <w:kern w:val="0"/>
                <w:sz w:val="24"/>
                <w:szCs w:val="28"/>
                <w:highlight w:val="none"/>
              </w:rPr>
              <w:sym w:font="Wingdings" w:char="00FE"/>
            </w:r>
            <w:r>
              <w:rPr>
                <w:rFonts w:ascii="宋体" w:hAnsi="宋体" w:eastAsia="宋体"/>
                <w:bCs/>
                <w:color w:val="auto"/>
                <w:kern w:val="0"/>
                <w:sz w:val="24"/>
                <w:szCs w:val="28"/>
                <w:highlight w:val="none"/>
              </w:rPr>
              <w:t xml:space="preserve">支票 </w:t>
            </w:r>
            <w:r>
              <w:rPr>
                <w:rFonts w:hint="eastAsia" w:ascii="宋体" w:hAnsi="宋体" w:eastAsia="宋体"/>
                <w:bCs/>
                <w:color w:val="auto"/>
                <w:kern w:val="0"/>
                <w:sz w:val="24"/>
                <w:szCs w:val="28"/>
                <w:highlight w:val="none"/>
              </w:rPr>
              <w:sym w:font="Wingdings" w:char="00FE"/>
            </w:r>
            <w:r>
              <w:rPr>
                <w:rFonts w:ascii="宋体" w:hAnsi="宋体" w:eastAsia="宋体"/>
                <w:bCs/>
                <w:color w:val="auto"/>
                <w:kern w:val="0"/>
                <w:sz w:val="24"/>
                <w:szCs w:val="28"/>
                <w:highlight w:val="none"/>
              </w:rPr>
              <w:t>汇票</w:t>
            </w:r>
            <w:r>
              <w:rPr>
                <w:rFonts w:hint="eastAsia" w:ascii="宋体" w:hAnsi="宋体" w:eastAsia="宋体"/>
                <w:bCs/>
                <w:color w:val="auto"/>
                <w:kern w:val="0"/>
                <w:sz w:val="24"/>
                <w:szCs w:val="28"/>
                <w:highlight w:val="none"/>
              </w:rPr>
              <w:t xml:space="preserve"> </w:t>
            </w:r>
            <w:r>
              <w:rPr>
                <w:rFonts w:hint="eastAsia" w:ascii="宋体" w:hAnsi="宋体" w:eastAsia="宋体"/>
                <w:bCs/>
                <w:color w:val="auto"/>
                <w:kern w:val="0"/>
                <w:sz w:val="24"/>
                <w:szCs w:val="28"/>
                <w:highlight w:val="none"/>
              </w:rPr>
              <w:sym w:font="Wingdings" w:char="00FE"/>
            </w:r>
            <w:r>
              <w:rPr>
                <w:rFonts w:hint="eastAsia" w:ascii="宋体" w:hAnsi="宋体" w:eastAsia="宋体"/>
                <w:bCs/>
                <w:color w:val="auto"/>
                <w:kern w:val="0"/>
                <w:sz w:val="24"/>
                <w:szCs w:val="28"/>
                <w:highlight w:val="none"/>
              </w:rPr>
              <w:t xml:space="preserve">本票 </w:t>
            </w:r>
            <w:r>
              <w:rPr>
                <w:rFonts w:hint="eastAsia" w:ascii="宋体" w:hAnsi="宋体" w:eastAsia="宋体"/>
                <w:bCs/>
                <w:color w:val="auto"/>
                <w:kern w:val="0"/>
                <w:sz w:val="24"/>
                <w:szCs w:val="28"/>
                <w:highlight w:val="none"/>
              </w:rPr>
              <w:sym w:font="Wingdings" w:char="00FE"/>
            </w:r>
            <w:r>
              <w:rPr>
                <w:rFonts w:ascii="宋体" w:hAnsi="宋体" w:eastAsia="宋体"/>
                <w:bCs/>
                <w:color w:val="auto"/>
                <w:kern w:val="0"/>
                <w:sz w:val="24"/>
                <w:szCs w:val="28"/>
                <w:highlight w:val="none"/>
              </w:rPr>
              <w:t>保</w:t>
            </w:r>
            <w:r>
              <w:rPr>
                <w:rFonts w:hint="eastAsia" w:ascii="宋体" w:hAnsi="宋体" w:eastAsia="宋体"/>
                <w:bCs/>
                <w:color w:val="auto"/>
                <w:kern w:val="0"/>
                <w:sz w:val="24"/>
                <w:szCs w:val="28"/>
                <w:highlight w:val="none"/>
              </w:rPr>
              <w:t xml:space="preserve">险 </w:t>
            </w:r>
            <w:r>
              <w:rPr>
                <w:rFonts w:hint="eastAsia" w:ascii="宋体" w:hAnsi="宋体" w:eastAsia="宋体"/>
                <w:bCs/>
                <w:color w:val="auto"/>
                <w:kern w:val="0"/>
                <w:sz w:val="24"/>
                <w:szCs w:val="28"/>
                <w:highlight w:val="none"/>
              </w:rPr>
              <w:sym w:font="Wingdings" w:char="00FE"/>
            </w:r>
            <w:r>
              <w:rPr>
                <w:rFonts w:hint="eastAsia" w:ascii="宋体" w:hAnsi="宋体" w:eastAsia="宋体"/>
                <w:bCs/>
                <w:color w:val="auto"/>
                <w:kern w:val="0"/>
                <w:sz w:val="24"/>
                <w:szCs w:val="28"/>
                <w:highlight w:val="none"/>
              </w:rPr>
              <w:t>保</w:t>
            </w:r>
            <w:r>
              <w:rPr>
                <w:rFonts w:ascii="宋体" w:hAnsi="宋体" w:eastAsia="宋体"/>
                <w:bCs/>
                <w:color w:val="auto"/>
                <w:kern w:val="0"/>
                <w:sz w:val="24"/>
                <w:szCs w:val="28"/>
                <w:highlight w:val="none"/>
              </w:rPr>
              <w:t>函</w:t>
            </w:r>
          </w:p>
          <w:p w14:paraId="1EF6E8F6">
            <w:pPr>
              <w:numPr>
                <w:ilvl w:val="0"/>
                <w:numId w:val="0"/>
              </w:numPr>
              <w:spacing w:line="360" w:lineRule="auto"/>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lang w:val="en-US" w:eastAsia="zh-CN"/>
              </w:rPr>
              <w:t>3</w:t>
            </w: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rPr>
              <w:t>收取单位：</w:t>
            </w:r>
            <w:r>
              <w:rPr>
                <w:rFonts w:hint="eastAsia" w:ascii="宋体" w:hAnsi="宋体" w:eastAsia="宋体"/>
                <w:bCs/>
                <w:color w:val="auto"/>
                <w:kern w:val="0"/>
                <w:sz w:val="24"/>
                <w:szCs w:val="28"/>
                <w:highlight w:val="none"/>
                <w:u w:val="single"/>
                <w:lang w:val="en-US" w:eastAsia="zh-CN"/>
              </w:rPr>
              <w:t>另行通知</w:t>
            </w:r>
            <w:r>
              <w:rPr>
                <w:rFonts w:hint="eastAsia" w:ascii="宋体" w:hAnsi="宋体" w:eastAsia="宋体"/>
                <w:bCs/>
                <w:color w:val="auto"/>
                <w:kern w:val="0"/>
                <w:sz w:val="24"/>
                <w:szCs w:val="28"/>
                <w:highlight w:val="none"/>
              </w:rPr>
              <w:t xml:space="preserve">              </w:t>
            </w:r>
          </w:p>
          <w:p w14:paraId="44A14F0B">
            <w:pPr>
              <w:spacing w:line="360" w:lineRule="auto"/>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lang w:val="en-US" w:eastAsia="zh-CN"/>
              </w:rPr>
              <w:t>（4）收取账号：</w:t>
            </w:r>
            <w:r>
              <w:rPr>
                <w:rFonts w:hint="eastAsia" w:ascii="宋体" w:hAnsi="宋体" w:eastAsia="宋体"/>
                <w:bCs/>
                <w:color w:val="auto"/>
                <w:kern w:val="0"/>
                <w:sz w:val="24"/>
                <w:szCs w:val="28"/>
                <w:highlight w:val="none"/>
                <w:u w:val="single"/>
                <w:lang w:val="en-US" w:eastAsia="zh-CN"/>
              </w:rPr>
              <w:t>另行通知</w:t>
            </w:r>
          </w:p>
          <w:p w14:paraId="4F43E426">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0"/>
                <w:highlight w:val="none"/>
              </w:rPr>
            </w:pPr>
            <w:r>
              <w:rPr>
                <w:rFonts w:hint="eastAsia"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lang w:val="en-US" w:eastAsia="zh-CN"/>
              </w:rPr>
              <w:t>5</w:t>
            </w:r>
            <w:r>
              <w:rPr>
                <w:rFonts w:hint="eastAsia" w:ascii="宋体" w:hAnsi="宋体" w:eastAsia="宋体"/>
                <w:bCs/>
                <w:color w:val="auto"/>
                <w:kern w:val="0"/>
                <w:sz w:val="24"/>
                <w:szCs w:val="28"/>
                <w:highlight w:val="none"/>
              </w:rPr>
              <w:t>）</w:t>
            </w:r>
            <w:r>
              <w:rPr>
                <w:rFonts w:hint="eastAsia" w:ascii="宋体" w:hAnsi="宋体" w:eastAsia="宋体"/>
                <w:color w:val="auto"/>
                <w:sz w:val="24"/>
                <w:highlight w:val="none"/>
              </w:rPr>
              <w:t>退还时间：</w:t>
            </w:r>
            <w:r>
              <w:rPr>
                <w:rFonts w:hint="eastAsia" w:ascii="宋体" w:hAnsi="宋体" w:eastAsia="宋体" w:cs="宋体"/>
                <w:bCs/>
                <w:color w:val="auto"/>
                <w:kern w:val="0"/>
                <w:sz w:val="24"/>
                <w:szCs w:val="28"/>
                <w:highlight w:val="none"/>
                <w:u w:val="single"/>
              </w:rPr>
              <w:t>①采用银行转账方式：政府采购验收合格后，一次性退还；②采用支票、汇票、本票、保函等方式：有效期为自合同签订之日起至供货期满后止</w:t>
            </w:r>
            <w:r>
              <w:rPr>
                <w:rFonts w:hint="eastAsia" w:ascii="宋体" w:hAnsi="宋体" w:eastAsia="宋体" w:cs="宋体"/>
                <w:bCs/>
                <w:color w:val="auto"/>
                <w:kern w:val="0"/>
                <w:sz w:val="24"/>
                <w:szCs w:val="28"/>
                <w:highlight w:val="none"/>
                <w:u w:val="single"/>
                <w:lang w:eastAsia="zh-CN"/>
              </w:rPr>
              <w:t>。</w:t>
            </w:r>
          </w:p>
          <w:p w14:paraId="56DFA4AA">
            <w:pPr>
              <w:spacing w:line="360" w:lineRule="auto"/>
              <w:rPr>
                <w:rFonts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注意事项：</w:t>
            </w:r>
          </w:p>
          <w:p w14:paraId="5B830159">
            <w:pPr>
              <w:spacing w:line="360" w:lineRule="auto"/>
              <w:rPr>
                <w:rFonts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（1）以上各类机构出具的以担保函、保证保险承担责任的方式均须满足无条件见索即付条件。</w:t>
            </w:r>
          </w:p>
          <w:p w14:paraId="0DF45511">
            <w:pPr>
              <w:spacing w:line="360" w:lineRule="auto"/>
              <w:rPr>
                <w:rFonts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（2）以担保函、保证保险形式缴纳履约保证金的，受益人和收取单位须为采购人。</w:t>
            </w:r>
          </w:p>
        </w:tc>
      </w:tr>
      <w:tr w14:paraId="05050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jc w:val="center"/>
        </w:trPr>
        <w:tc>
          <w:tcPr>
            <w:tcW w:w="536" w:type="pct"/>
            <w:vAlign w:val="center"/>
          </w:tcPr>
          <w:p w14:paraId="691C91A2">
            <w:pPr>
              <w:pStyle w:val="44"/>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27</w:t>
            </w:r>
            <w:r>
              <w:rPr>
                <w:rFonts w:ascii="宋体" w:hAnsi="宋体" w:eastAsia="宋体"/>
                <w:bCs/>
                <w:color w:val="auto"/>
                <w:kern w:val="2"/>
                <w:highlight w:val="none"/>
              </w:rPr>
              <w:t>.1</w:t>
            </w:r>
          </w:p>
        </w:tc>
        <w:tc>
          <w:tcPr>
            <w:tcW w:w="823" w:type="pct"/>
            <w:vAlign w:val="center"/>
          </w:tcPr>
          <w:p w14:paraId="1919AE48">
            <w:pPr>
              <w:pStyle w:val="43"/>
              <w:widowControl w:val="0"/>
              <w:spacing w:before="0" w:beforeAutospacing="0" w:after="0" w:afterAutospacing="0" w:line="360" w:lineRule="auto"/>
              <w:jc w:val="both"/>
              <w:rPr>
                <w:rFonts w:hint="eastAsia" w:ascii="宋体" w:hAnsi="宋体" w:eastAsia="宋体"/>
                <w:b w:val="0"/>
                <w:color w:val="auto"/>
                <w:sz w:val="24"/>
                <w:highlight w:val="none"/>
              </w:rPr>
            </w:pPr>
            <w:r>
              <w:rPr>
                <w:rFonts w:hint="eastAsia" w:ascii="宋体" w:hAnsi="宋体" w:eastAsia="宋体"/>
                <w:b w:val="0"/>
                <w:color w:val="auto"/>
                <w:sz w:val="24"/>
                <w:highlight w:val="none"/>
                <w:lang w:val="en-US" w:eastAsia="zh-CN"/>
              </w:rPr>
              <w:t>签订合同和合同公告时间</w:t>
            </w:r>
          </w:p>
        </w:tc>
        <w:tc>
          <w:tcPr>
            <w:tcW w:w="3639" w:type="pct"/>
          </w:tcPr>
          <w:p w14:paraId="75CA5ABA">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（1）采购人与中标人应当自发出中标通知书之日起7个工作日内签订合同，采购合同签订之日起2个工作日内完成政府采购合同公开。</w:t>
            </w:r>
          </w:p>
          <w:p w14:paraId="3398A2F7">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b/>
                <w:bCs/>
                <w:color w:val="auto"/>
                <w:kern w:val="0"/>
                <w:sz w:val="24"/>
                <w:szCs w:val="24"/>
                <w:highlight w:val="none"/>
              </w:rPr>
            </w:pPr>
            <w:r>
              <w:rPr>
                <w:rFonts w:hint="eastAsia" w:ascii="宋体" w:hAnsi="宋体" w:eastAsia="宋体" w:cs="宋体"/>
                <w:b w:val="0"/>
                <w:bCs w:val="0"/>
                <w:color w:val="auto"/>
                <w:sz w:val="24"/>
                <w:szCs w:val="24"/>
                <w:highlight w:val="none"/>
                <w:lang w:val="en-US" w:eastAsia="zh-CN"/>
              </w:rPr>
              <w:t>（2）采购人与中标人</w:t>
            </w:r>
            <w:r>
              <w:rPr>
                <w:rFonts w:hint="default" w:ascii="宋体" w:hAnsi="宋体" w:eastAsia="宋体" w:cs="宋体"/>
                <w:b w:val="0"/>
                <w:bCs w:val="0"/>
                <w:color w:val="auto"/>
                <w:sz w:val="24"/>
                <w:szCs w:val="24"/>
                <w:highlight w:val="none"/>
                <w:lang w:val="en-US" w:eastAsia="zh-CN"/>
              </w:rPr>
              <w:t>不得擅自变更合同，依照政府采购法确需变更政府采购合同内容的，采购人应当自合同变更之日起2个工作日内</w:t>
            </w:r>
            <w:r>
              <w:rPr>
                <w:rFonts w:hint="eastAsia" w:ascii="宋体" w:hAnsi="宋体" w:eastAsia="宋体" w:cs="宋体"/>
                <w:b w:val="0"/>
                <w:bCs w:val="0"/>
                <w:color w:val="auto"/>
                <w:sz w:val="24"/>
                <w:szCs w:val="24"/>
                <w:highlight w:val="none"/>
                <w:lang w:val="en-US" w:eastAsia="zh-CN"/>
              </w:rPr>
              <w:t>在安徽省政府采购网</w:t>
            </w:r>
            <w:r>
              <w:rPr>
                <w:rFonts w:hint="default" w:ascii="宋体" w:hAnsi="宋体" w:eastAsia="宋体" w:cs="宋体"/>
                <w:b w:val="0"/>
                <w:bCs w:val="0"/>
                <w:color w:val="auto"/>
                <w:sz w:val="24"/>
                <w:szCs w:val="24"/>
                <w:highlight w:val="none"/>
                <w:lang w:val="en-US" w:eastAsia="zh-CN"/>
              </w:rPr>
              <w:t>发布政府采购合同变更公告</w:t>
            </w:r>
            <w:r>
              <w:rPr>
                <w:rFonts w:hint="eastAsia" w:ascii="宋体" w:hAnsi="宋体" w:eastAsia="宋体" w:cs="宋体"/>
                <w:b w:val="0"/>
                <w:bCs w:val="0"/>
                <w:color w:val="auto"/>
                <w:sz w:val="24"/>
                <w:szCs w:val="24"/>
                <w:highlight w:val="none"/>
                <w:lang w:val="en-US" w:eastAsia="zh-CN"/>
              </w:rPr>
              <w:t>，</w:t>
            </w:r>
            <w:r>
              <w:rPr>
                <w:rFonts w:hint="default" w:ascii="宋体" w:hAnsi="宋体" w:eastAsia="宋体" w:cs="宋体"/>
                <w:b w:val="0"/>
                <w:bCs w:val="0"/>
                <w:color w:val="auto"/>
                <w:sz w:val="24"/>
                <w:szCs w:val="24"/>
                <w:highlight w:val="none"/>
                <w:lang w:val="en-US" w:eastAsia="zh-CN"/>
              </w:rPr>
              <w:t>但涉及国家秘密、商业秘密的信息和其他依法不得公开的信息除外。</w:t>
            </w:r>
          </w:p>
        </w:tc>
      </w:tr>
      <w:tr w14:paraId="4F437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6" w:type="pct"/>
            <w:vAlign w:val="center"/>
          </w:tcPr>
          <w:p w14:paraId="59C4D0DD">
            <w:pPr>
              <w:pStyle w:val="44"/>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28</w:t>
            </w:r>
            <w:r>
              <w:rPr>
                <w:rFonts w:ascii="宋体" w:hAnsi="宋体" w:eastAsia="宋体"/>
                <w:bCs/>
                <w:color w:val="auto"/>
                <w:kern w:val="2"/>
                <w:highlight w:val="none"/>
              </w:rPr>
              <w:t>.1</w:t>
            </w:r>
          </w:p>
        </w:tc>
        <w:tc>
          <w:tcPr>
            <w:tcW w:w="823" w:type="pct"/>
            <w:vAlign w:val="center"/>
          </w:tcPr>
          <w:p w14:paraId="1A987307">
            <w:pPr>
              <w:pStyle w:val="43"/>
              <w:widowControl w:val="0"/>
              <w:spacing w:before="0" w:beforeAutospacing="0" w:after="0" w:afterAutospacing="0" w:line="360" w:lineRule="auto"/>
              <w:jc w:val="both"/>
              <w:rPr>
                <w:rFonts w:hint="eastAsia" w:ascii="宋体" w:hAnsi="宋体" w:eastAsia="宋体"/>
                <w:b w:val="0"/>
                <w:color w:val="auto"/>
                <w:sz w:val="24"/>
                <w:highlight w:val="none"/>
                <w:lang w:eastAsia="zh-CN"/>
              </w:rPr>
            </w:pPr>
            <w:r>
              <w:rPr>
                <w:rFonts w:hint="eastAsia" w:ascii="宋体" w:hAnsi="宋体" w:eastAsia="宋体"/>
                <w:b w:val="0"/>
                <w:color w:val="auto"/>
                <w:sz w:val="24"/>
                <w:highlight w:val="none"/>
                <w:lang w:val="en-US" w:eastAsia="zh-CN"/>
              </w:rPr>
              <w:t>代理费用</w:t>
            </w:r>
          </w:p>
        </w:tc>
        <w:tc>
          <w:tcPr>
            <w:tcW w:w="3639" w:type="pct"/>
            <w:vAlign w:val="center"/>
          </w:tcPr>
          <w:p w14:paraId="6A116EFE">
            <w:pPr>
              <w:keepNext w:val="0"/>
              <w:keepLines w:val="0"/>
              <w:pageBreakBefore w:val="0"/>
              <w:widowControl w:val="0"/>
              <w:kinsoku/>
              <w:wordWrap/>
              <w:overflowPunct/>
              <w:topLinePunct w:val="0"/>
              <w:autoSpaceDE/>
              <w:autoSpaceDN/>
              <w:bidi w:val="0"/>
              <w:adjustRightInd/>
              <w:snapToGrid/>
              <w:spacing w:before="39" w:line="360" w:lineRule="auto"/>
              <w:textAlignment w:val="auto"/>
              <w:rPr>
                <w:rFonts w:ascii="宋体" w:hAnsi="宋体" w:eastAsia="宋体" w:cs="宋体"/>
                <w:sz w:val="24"/>
                <w:szCs w:val="24"/>
                <w:highlight w:val="none"/>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lang w:val="en-US" w:eastAsia="zh-CN"/>
              </w:rPr>
              <w:t>1</w:t>
            </w:r>
            <w:r>
              <w:rPr>
                <w:rFonts w:hint="eastAsia" w:ascii="宋体" w:hAnsi="宋体" w:eastAsia="宋体"/>
                <w:bCs/>
                <w:color w:val="auto"/>
                <w:kern w:val="0"/>
                <w:sz w:val="24"/>
                <w:szCs w:val="28"/>
                <w:highlight w:val="none"/>
                <w:lang w:eastAsia="zh-CN"/>
              </w:rPr>
              <w:t>）</w:t>
            </w:r>
            <w:r>
              <w:rPr>
                <w:rFonts w:hint="default" w:ascii="宋体" w:hAnsi="宋体" w:eastAsia="宋体"/>
                <w:bCs/>
                <w:color w:val="auto"/>
                <w:kern w:val="0"/>
                <w:sz w:val="24"/>
                <w:szCs w:val="28"/>
                <w:highlight w:val="none"/>
              </w:rPr>
              <w:t>收费对象</w:t>
            </w:r>
            <w:r>
              <w:rPr>
                <w:rFonts w:ascii="宋体" w:hAnsi="宋体" w:eastAsia="宋体" w:cs="宋体"/>
                <w:spacing w:val="-12"/>
                <w:sz w:val="24"/>
                <w:szCs w:val="24"/>
                <w:highlight w:val="none"/>
              </w:rPr>
              <w:t>：</w:t>
            </w:r>
            <w:r>
              <w:rPr>
                <w:rFonts w:hint="eastAsia" w:ascii="宋体" w:hAnsi="宋体" w:eastAsia="宋体"/>
                <w:bCs/>
                <w:color w:val="auto"/>
                <w:kern w:val="0"/>
                <w:sz w:val="24"/>
                <w:szCs w:val="28"/>
                <w:highlight w:val="none"/>
              </w:rPr>
              <w:sym w:font="Wingdings" w:char="00A8"/>
            </w:r>
            <w:r>
              <w:rPr>
                <w:rFonts w:ascii="宋体" w:hAnsi="宋体" w:eastAsia="宋体" w:cs="宋体"/>
                <w:spacing w:val="14"/>
                <w:sz w:val="24"/>
                <w:szCs w:val="24"/>
                <w:highlight w:val="none"/>
              </w:rPr>
              <w:t>采购人</w:t>
            </w:r>
            <w:r>
              <w:rPr>
                <w:rFonts w:hint="eastAsia" w:ascii="宋体" w:hAnsi="宋体" w:eastAsia="宋体" w:cs="宋体"/>
                <w:spacing w:val="14"/>
                <w:sz w:val="24"/>
                <w:szCs w:val="24"/>
                <w:highlight w:val="none"/>
                <w:lang w:val="en-US" w:eastAsia="zh-CN"/>
              </w:rPr>
              <w:t xml:space="preserve">   </w:t>
            </w:r>
            <w:r>
              <w:rPr>
                <w:rFonts w:hint="eastAsia" w:ascii="宋体" w:hAnsi="宋体" w:eastAsia="宋体"/>
                <w:bCs/>
                <w:color w:val="auto"/>
                <w:kern w:val="0"/>
                <w:sz w:val="24"/>
                <w:szCs w:val="28"/>
                <w:highlight w:val="none"/>
              </w:rPr>
              <w:sym w:font="Wingdings" w:char="00A8"/>
            </w:r>
            <w:r>
              <w:rPr>
                <w:rFonts w:ascii="宋体" w:hAnsi="宋体" w:eastAsia="宋体" w:cs="宋体"/>
                <w:spacing w:val="14"/>
                <w:sz w:val="24"/>
                <w:szCs w:val="24"/>
                <w:highlight w:val="none"/>
              </w:rPr>
              <w:t>中标人</w:t>
            </w:r>
          </w:p>
          <w:p w14:paraId="0DE6A3B7">
            <w:pPr>
              <w:keepNext w:val="0"/>
              <w:keepLines w:val="0"/>
              <w:pageBreakBefore w:val="0"/>
              <w:widowControl w:val="0"/>
              <w:kinsoku/>
              <w:wordWrap/>
              <w:overflowPunct/>
              <w:topLinePunct w:val="0"/>
              <w:autoSpaceDE/>
              <w:autoSpaceDN/>
              <w:bidi w:val="0"/>
              <w:adjustRightInd/>
              <w:snapToGrid/>
              <w:spacing w:before="24" w:line="360" w:lineRule="auto"/>
              <w:textAlignment w:val="auto"/>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（2）</w:t>
            </w:r>
            <w:r>
              <w:rPr>
                <w:rFonts w:hint="default" w:ascii="宋体" w:hAnsi="宋体" w:eastAsia="宋体"/>
                <w:bCs/>
                <w:color w:val="auto"/>
                <w:kern w:val="0"/>
                <w:sz w:val="24"/>
                <w:szCs w:val="28"/>
                <w:highlight w:val="none"/>
              </w:rPr>
              <w:t>收取方式：</w:t>
            </w:r>
            <w:r>
              <w:rPr>
                <w:rFonts w:hint="eastAsia" w:ascii="宋体" w:hAnsi="宋体" w:eastAsia="宋体"/>
                <w:bCs/>
                <w:color w:val="auto"/>
                <w:kern w:val="0"/>
                <w:sz w:val="24"/>
                <w:szCs w:val="28"/>
                <w:highlight w:val="none"/>
              </w:rPr>
              <w:t>/</w:t>
            </w:r>
          </w:p>
          <w:p w14:paraId="50CEC323">
            <w:pPr>
              <w:keepNext w:val="0"/>
              <w:keepLines w:val="0"/>
              <w:pageBreakBefore w:val="0"/>
              <w:widowControl w:val="0"/>
              <w:kinsoku/>
              <w:wordWrap/>
              <w:overflowPunct/>
              <w:topLinePunct w:val="0"/>
              <w:autoSpaceDE/>
              <w:autoSpaceDN/>
              <w:bidi w:val="0"/>
              <w:adjustRightInd/>
              <w:snapToGrid/>
              <w:spacing w:before="24" w:line="360" w:lineRule="auto"/>
              <w:textAlignment w:val="auto"/>
              <w:rPr>
                <w:rFonts w:ascii="宋体" w:hAnsi="宋体" w:eastAsia="宋体"/>
                <w:b w:val="0"/>
                <w:color w:val="auto"/>
                <w:sz w:val="24"/>
                <w:highlight w:val="none"/>
              </w:rPr>
            </w:pPr>
            <w:r>
              <w:rPr>
                <w:rFonts w:hint="eastAsia" w:ascii="宋体" w:hAnsi="宋体" w:eastAsia="宋体"/>
                <w:bCs/>
                <w:color w:val="auto"/>
                <w:kern w:val="0"/>
                <w:sz w:val="24"/>
                <w:szCs w:val="28"/>
                <w:highlight w:val="none"/>
              </w:rPr>
              <w:t>（3）</w:t>
            </w:r>
            <w:r>
              <w:rPr>
                <w:rFonts w:hint="default" w:ascii="宋体" w:hAnsi="宋体" w:eastAsia="宋体"/>
                <w:bCs/>
                <w:color w:val="auto"/>
                <w:kern w:val="0"/>
                <w:sz w:val="24"/>
                <w:szCs w:val="28"/>
                <w:highlight w:val="none"/>
                <w:lang w:val="en-US" w:eastAsia="zh-CN"/>
              </w:rPr>
              <w:t>收费标准：</w:t>
            </w:r>
            <w:r>
              <w:rPr>
                <w:rFonts w:hint="eastAsia" w:ascii="宋体" w:hAnsi="宋体" w:eastAsia="宋体"/>
                <w:bCs/>
                <w:color w:val="auto"/>
                <w:kern w:val="0"/>
                <w:sz w:val="24"/>
                <w:szCs w:val="28"/>
                <w:highlight w:val="none"/>
                <w:u w:val="single"/>
                <w:lang w:val="en-US" w:eastAsia="zh-CN"/>
              </w:rPr>
              <w:t>代理费8545元，参考《滁州市公共资源交易代理机构及从业人员管理暂行办法》滁公管〔2022〕5号标准及</w:t>
            </w:r>
            <w:r>
              <w:rPr>
                <w:rFonts w:hint="eastAsia" w:ascii="宋体" w:hAnsi="宋体" w:eastAsia="宋体"/>
                <w:bCs/>
                <w:color w:val="auto"/>
                <w:kern w:val="0"/>
                <w:sz w:val="24"/>
                <w:szCs w:val="28"/>
                <w:highlight w:val="none"/>
                <w:u w:val="single"/>
              </w:rPr>
              <w:t>《关于进一步明确代理费计取标准的通知》（滁公管综〔2023〕19号）文件</w:t>
            </w:r>
            <w:r>
              <w:rPr>
                <w:rFonts w:hint="eastAsia" w:ascii="宋体" w:hAnsi="宋体" w:eastAsia="宋体"/>
                <w:bCs/>
                <w:color w:val="auto"/>
                <w:kern w:val="0"/>
                <w:sz w:val="24"/>
                <w:szCs w:val="28"/>
                <w:highlight w:val="none"/>
                <w:lang w:val="en-US" w:eastAsia="zh-CN"/>
              </w:rPr>
              <w:t>。</w:t>
            </w:r>
          </w:p>
        </w:tc>
      </w:tr>
      <w:tr w14:paraId="07A8E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6" w:type="pct"/>
            <w:vAlign w:val="center"/>
          </w:tcPr>
          <w:p w14:paraId="306EC6AE">
            <w:pPr>
              <w:pStyle w:val="44"/>
              <w:pBdr>
                <w:bottom w:val="none" w:color="auto" w:sz="0" w:space="0"/>
              </w:pBdr>
              <w:tabs>
                <w:tab w:val="clear" w:pos="4153"/>
                <w:tab w:val="clear" w:pos="8306"/>
              </w:tabs>
              <w:adjustRightInd/>
              <w:spacing w:line="240" w:lineRule="auto"/>
              <w:textAlignment w:val="auto"/>
              <w:rPr>
                <w:rFonts w:hint="eastAsia" w:ascii="宋体" w:hAnsi="宋体" w:eastAsia="宋体"/>
                <w:bCs/>
                <w:color w:val="auto"/>
                <w:kern w:val="2"/>
                <w:highlight w:val="none"/>
                <w:lang w:eastAsia="zh-CN"/>
              </w:rPr>
            </w:pPr>
            <w:r>
              <w:rPr>
                <w:rFonts w:hint="eastAsia" w:ascii="宋体" w:hAnsi="宋体" w:eastAsia="宋体"/>
                <w:bCs/>
                <w:color w:val="auto"/>
                <w:kern w:val="2"/>
                <w:highlight w:val="none"/>
              </w:rPr>
              <w:t>3</w:t>
            </w:r>
            <w:r>
              <w:rPr>
                <w:rFonts w:hint="eastAsia" w:ascii="宋体" w:hAnsi="宋体" w:eastAsia="宋体"/>
                <w:bCs/>
                <w:color w:val="auto"/>
                <w:kern w:val="2"/>
                <w:highlight w:val="none"/>
                <w:lang w:val="en-US" w:eastAsia="zh-CN"/>
              </w:rPr>
              <w:t>1</w:t>
            </w:r>
            <w:r>
              <w:rPr>
                <w:rFonts w:ascii="宋体" w:hAnsi="宋体" w:eastAsia="宋体"/>
                <w:bCs/>
                <w:color w:val="auto"/>
                <w:kern w:val="2"/>
                <w:highlight w:val="none"/>
              </w:rPr>
              <w:t>.</w:t>
            </w:r>
            <w:r>
              <w:rPr>
                <w:rFonts w:hint="eastAsia" w:ascii="宋体" w:hAnsi="宋体" w:eastAsia="宋体"/>
                <w:bCs/>
                <w:color w:val="auto"/>
                <w:kern w:val="2"/>
                <w:highlight w:val="none"/>
                <w:lang w:val="en-US" w:eastAsia="zh-CN"/>
              </w:rPr>
              <w:t>3</w:t>
            </w:r>
          </w:p>
        </w:tc>
        <w:tc>
          <w:tcPr>
            <w:tcW w:w="823" w:type="pct"/>
            <w:vAlign w:val="center"/>
          </w:tcPr>
          <w:p w14:paraId="56604392">
            <w:pPr>
              <w:pStyle w:val="43"/>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质疑函递交方式、接收部门、联系电话和通讯地址</w:t>
            </w:r>
          </w:p>
        </w:tc>
        <w:tc>
          <w:tcPr>
            <w:tcW w:w="3639" w:type="pct"/>
            <w:vAlign w:val="center"/>
          </w:tcPr>
          <w:p w14:paraId="7BD76FE2">
            <w:pPr>
              <w:pStyle w:val="43"/>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b/>
                <w:bCs w:val="0"/>
                <w:color w:val="auto"/>
                <w:sz w:val="24"/>
                <w:highlight w:val="none"/>
                <w:u w:val="single"/>
                <w:lang w:val="en-US" w:eastAsia="zh-CN"/>
              </w:rPr>
            </w:pPr>
            <w:r>
              <w:rPr>
                <w:rFonts w:hint="eastAsia" w:ascii="宋体" w:hAnsi="宋体" w:eastAsia="宋体"/>
                <w:b w:val="0"/>
                <w:color w:val="auto"/>
                <w:sz w:val="24"/>
                <w:highlight w:val="none"/>
              </w:rPr>
              <w:t>递交方式：</w:t>
            </w:r>
            <w:r>
              <w:rPr>
                <w:rFonts w:hint="eastAsia" w:ascii="宋体" w:hAnsi="宋体" w:eastAsia="宋体"/>
                <w:b/>
                <w:bCs w:val="0"/>
                <w:color w:val="auto"/>
                <w:sz w:val="24"/>
                <w:highlight w:val="none"/>
                <w:u w:val="single"/>
              </w:rPr>
              <w:t>如投标人对招标文件有质疑，</w:t>
            </w:r>
            <w:r>
              <w:rPr>
                <w:rFonts w:hint="eastAsia" w:ascii="宋体" w:hAnsi="宋体" w:eastAsia="宋体"/>
                <w:b/>
                <w:bCs w:val="0"/>
                <w:color w:val="auto"/>
                <w:sz w:val="24"/>
                <w:highlight w:val="none"/>
                <w:u w:val="single"/>
                <w:lang w:val="en-US" w:eastAsia="zh-CN"/>
              </w:rPr>
              <w:t>依据中华人民共和国财政部令第94号《政府采购质疑和投诉办法》规定提出质疑；</w:t>
            </w:r>
          </w:p>
          <w:p w14:paraId="0815A1F6">
            <w:pPr>
              <w:pStyle w:val="43"/>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b w:val="0"/>
                <w:color w:val="auto"/>
                <w:sz w:val="24"/>
                <w:highlight w:val="none"/>
              </w:rPr>
            </w:pPr>
            <w:r>
              <w:rPr>
                <w:rFonts w:hint="eastAsia" w:ascii="宋体" w:hAnsi="宋体" w:eastAsia="宋体"/>
                <w:b/>
                <w:bCs w:val="0"/>
                <w:color w:val="auto"/>
                <w:sz w:val="24"/>
                <w:highlight w:val="none"/>
                <w:u w:val="single"/>
                <w:lang w:val="en-US" w:eastAsia="zh-CN"/>
              </w:rPr>
              <w:t>投标人</w:t>
            </w:r>
            <w:r>
              <w:rPr>
                <w:rFonts w:hint="eastAsia" w:ascii="宋体" w:hAnsi="宋体" w:eastAsia="宋体"/>
                <w:b/>
                <w:bCs w:val="0"/>
                <w:color w:val="auto"/>
                <w:sz w:val="24"/>
                <w:highlight w:val="none"/>
                <w:u w:val="single"/>
              </w:rPr>
              <w:t>可以通过书面形式提出，也可以通过线上提出质疑</w:t>
            </w:r>
            <w:r>
              <w:rPr>
                <w:rFonts w:hint="eastAsia" w:ascii="宋体" w:hAnsi="宋体" w:eastAsia="宋体"/>
                <w:b/>
                <w:bCs w:val="0"/>
                <w:color w:val="auto"/>
                <w:sz w:val="24"/>
                <w:highlight w:val="none"/>
                <w:u w:val="single"/>
                <w:lang w:eastAsia="zh-CN"/>
              </w:rPr>
              <w:t>【</w:t>
            </w:r>
            <w:r>
              <w:rPr>
                <w:rFonts w:hint="eastAsia" w:ascii="宋体" w:hAnsi="宋体" w:eastAsia="宋体"/>
                <w:b/>
                <w:bCs w:val="0"/>
                <w:color w:val="auto"/>
                <w:sz w:val="24"/>
                <w:highlight w:val="none"/>
                <w:u w:val="single"/>
              </w:rPr>
              <w:t>通过线上向滁州市公共资源交易中心网电子交易系统提出质疑(具体操作步骤和程序请参见服务指南&gt;交易须知&gt;在线异议、质疑和投诉操作手册)</w:t>
            </w:r>
            <w:r>
              <w:rPr>
                <w:rFonts w:hint="eastAsia" w:ascii="宋体" w:hAnsi="宋体" w:eastAsia="宋体"/>
                <w:b/>
                <w:bCs w:val="0"/>
                <w:color w:val="auto"/>
                <w:sz w:val="24"/>
                <w:highlight w:val="none"/>
                <w:u w:val="single"/>
                <w:lang w:eastAsia="zh-CN"/>
              </w:rPr>
              <w:t>】</w:t>
            </w:r>
            <w:r>
              <w:rPr>
                <w:rFonts w:hint="eastAsia" w:ascii="宋体" w:hAnsi="宋体" w:eastAsia="宋体"/>
                <w:b/>
                <w:bCs w:val="0"/>
                <w:color w:val="auto"/>
                <w:sz w:val="24"/>
                <w:highlight w:val="none"/>
                <w:u w:val="single"/>
              </w:rPr>
              <w:t>。一份质疑函只能针对一个项目提出质疑，且针对同一采购程序环节的质疑应当</w:t>
            </w:r>
            <w:r>
              <w:rPr>
                <w:rFonts w:hint="eastAsia" w:ascii="宋体" w:hAnsi="宋体" w:eastAsia="宋体"/>
                <w:b/>
                <w:bCs w:val="0"/>
                <w:color w:val="auto"/>
                <w:sz w:val="24"/>
                <w:highlight w:val="none"/>
                <w:u w:val="single"/>
                <w:lang w:val="en-US" w:eastAsia="zh-CN"/>
              </w:rPr>
              <w:t>一</w:t>
            </w:r>
            <w:r>
              <w:rPr>
                <w:rFonts w:hint="eastAsia" w:ascii="宋体" w:hAnsi="宋体" w:eastAsia="宋体"/>
                <w:b/>
                <w:bCs w:val="0"/>
                <w:color w:val="auto"/>
                <w:sz w:val="24"/>
                <w:highlight w:val="none"/>
                <w:u w:val="single"/>
              </w:rPr>
              <w:t>次性提出</w:t>
            </w:r>
            <w:r>
              <w:rPr>
                <w:rFonts w:hint="eastAsia"/>
                <w:b/>
                <w:bCs w:val="0"/>
                <w:color w:val="auto"/>
                <w:sz w:val="24"/>
                <w:highlight w:val="none"/>
                <w:u w:val="single"/>
                <w:lang w:eastAsia="zh-CN"/>
              </w:rPr>
              <w:t>。</w:t>
            </w:r>
          </w:p>
          <w:p w14:paraId="1445BDB6">
            <w:pPr>
              <w:pStyle w:val="43"/>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b w:val="0"/>
                <w:color w:val="auto"/>
                <w:sz w:val="24"/>
                <w:highlight w:val="none"/>
              </w:rPr>
            </w:pPr>
            <w:r>
              <w:rPr>
                <w:rFonts w:hint="eastAsia" w:ascii="宋体" w:hAnsi="宋体" w:eastAsia="宋体"/>
                <w:b w:val="0"/>
                <w:color w:val="auto"/>
                <w:sz w:val="24"/>
                <w:highlight w:val="none"/>
              </w:rPr>
              <w:t>接收部门：</w:t>
            </w:r>
            <w:r>
              <w:rPr>
                <w:rFonts w:hint="eastAsia" w:ascii="宋体" w:hAnsi="宋体" w:eastAsia="宋体"/>
                <w:b/>
                <w:bCs w:val="0"/>
                <w:color w:val="auto"/>
                <w:sz w:val="24"/>
                <w:highlight w:val="none"/>
                <w:u w:val="single"/>
                <w:lang w:eastAsia="zh-CN"/>
              </w:rPr>
              <w:t>滁州市机电工程学校</w:t>
            </w:r>
            <w:r>
              <w:rPr>
                <w:rFonts w:hint="eastAsia" w:ascii="宋体" w:hAnsi="宋体" w:eastAsia="宋体"/>
                <w:b/>
                <w:bCs w:val="0"/>
                <w:color w:val="auto"/>
                <w:sz w:val="24"/>
                <w:highlight w:val="none"/>
                <w:u w:val="single"/>
                <w:lang w:val="en-US" w:eastAsia="zh-CN"/>
              </w:rPr>
              <w:t>或滁州市政府采购中心</w:t>
            </w:r>
          </w:p>
          <w:p w14:paraId="5CC439EB">
            <w:pPr>
              <w:pStyle w:val="43"/>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b/>
                <w:bCs w:val="0"/>
                <w:color w:val="auto"/>
                <w:sz w:val="24"/>
                <w:highlight w:val="none"/>
                <w:u w:val="single"/>
              </w:rPr>
            </w:pPr>
            <w:r>
              <w:rPr>
                <w:rFonts w:hint="eastAsia" w:ascii="宋体" w:hAnsi="宋体" w:eastAsia="宋体"/>
                <w:b w:val="0"/>
                <w:color w:val="auto"/>
                <w:sz w:val="24"/>
                <w:highlight w:val="none"/>
              </w:rPr>
              <w:t>联系电话：</w:t>
            </w:r>
            <w:r>
              <w:rPr>
                <w:rFonts w:hint="eastAsia" w:ascii="宋体" w:hAnsi="宋体" w:eastAsia="宋体"/>
                <w:b/>
                <w:bCs w:val="0"/>
                <w:color w:val="auto"/>
                <w:sz w:val="24"/>
                <w:highlight w:val="none"/>
                <w:u w:val="single"/>
                <w:lang w:eastAsia="zh-CN"/>
              </w:rPr>
              <w:t>18900505600、0550-3519512、19955012432</w:t>
            </w:r>
          </w:p>
          <w:p w14:paraId="454D68B2">
            <w:pPr>
              <w:pStyle w:val="43"/>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jc w:val="both"/>
              <w:textAlignment w:val="auto"/>
              <w:rPr>
                <w:rFonts w:ascii="宋体" w:hAnsi="宋体" w:eastAsia="宋体"/>
                <w:b w:val="0"/>
                <w:color w:val="auto"/>
                <w:sz w:val="24"/>
                <w:highlight w:val="none"/>
              </w:rPr>
            </w:pPr>
            <w:r>
              <w:rPr>
                <w:rFonts w:hint="eastAsia" w:ascii="宋体" w:hAnsi="宋体" w:eastAsia="宋体"/>
                <w:b w:val="0"/>
                <w:color w:val="auto"/>
                <w:sz w:val="24"/>
                <w:highlight w:val="none"/>
              </w:rPr>
              <w:t>通讯地址：</w:t>
            </w:r>
            <w:r>
              <w:rPr>
                <w:rFonts w:hint="eastAsia" w:ascii="宋体" w:hAnsi="宋体" w:eastAsia="宋体"/>
                <w:b/>
                <w:bCs w:val="0"/>
                <w:color w:val="auto"/>
                <w:sz w:val="24"/>
                <w:highlight w:val="none"/>
                <w:u w:val="single"/>
                <w:lang w:eastAsia="zh-CN"/>
              </w:rPr>
              <w:t>安徽省滁州市丰乐大道2238号</w:t>
            </w:r>
            <w:r>
              <w:rPr>
                <w:rFonts w:hint="eastAsia" w:ascii="宋体" w:hAnsi="宋体" w:eastAsia="宋体"/>
                <w:b/>
                <w:bCs w:val="0"/>
                <w:color w:val="auto"/>
                <w:sz w:val="24"/>
                <w:highlight w:val="none"/>
                <w:u w:val="single"/>
                <w:lang w:val="en-US" w:eastAsia="zh-CN"/>
              </w:rPr>
              <w:t>、</w:t>
            </w:r>
            <w:r>
              <w:rPr>
                <w:rFonts w:hint="eastAsia" w:ascii="宋体" w:hAnsi="宋体" w:eastAsia="宋体"/>
                <w:b/>
                <w:bCs w:val="0"/>
                <w:color w:val="auto"/>
                <w:sz w:val="24"/>
                <w:highlight w:val="none"/>
                <w:u w:val="single"/>
                <w:lang w:eastAsia="zh-CN"/>
              </w:rPr>
              <w:t>滁州市龙蟠大道109号房产商务大厦2楼</w:t>
            </w:r>
          </w:p>
        </w:tc>
      </w:tr>
      <w:tr w14:paraId="65AF8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6" w:type="pct"/>
            <w:vAlign w:val="center"/>
          </w:tcPr>
          <w:p w14:paraId="7D80F19C">
            <w:pPr>
              <w:pStyle w:val="44"/>
              <w:pBdr>
                <w:bottom w:val="none" w:color="auto" w:sz="0" w:space="0"/>
              </w:pBdr>
              <w:tabs>
                <w:tab w:val="clear" w:pos="4153"/>
                <w:tab w:val="clear" w:pos="8306"/>
              </w:tabs>
              <w:adjustRightInd/>
              <w:spacing w:line="240" w:lineRule="auto"/>
              <w:textAlignment w:val="auto"/>
              <w:rPr>
                <w:rFonts w:hint="default"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32</w:t>
            </w:r>
          </w:p>
        </w:tc>
        <w:tc>
          <w:tcPr>
            <w:tcW w:w="823" w:type="pct"/>
            <w:vAlign w:val="center"/>
          </w:tcPr>
          <w:p w14:paraId="746E8AD2">
            <w:pPr>
              <w:pStyle w:val="43"/>
              <w:widowControl w:val="0"/>
              <w:spacing w:before="0" w:beforeAutospacing="0" w:after="0" w:afterAutospacing="0" w:line="360" w:lineRule="auto"/>
              <w:jc w:val="both"/>
              <w:rPr>
                <w:rFonts w:hint="default" w:ascii="宋体" w:hAnsi="宋体" w:eastAsia="宋体"/>
                <w:b w:val="0"/>
                <w:color w:val="auto"/>
                <w:sz w:val="24"/>
                <w:highlight w:val="none"/>
                <w:lang w:val="en-US" w:eastAsia="zh-CN"/>
              </w:rPr>
            </w:pPr>
            <w:r>
              <w:rPr>
                <w:rFonts w:hint="eastAsia" w:ascii="宋体" w:hAnsi="宋体" w:eastAsia="宋体"/>
                <w:b w:val="0"/>
                <w:color w:val="auto"/>
                <w:sz w:val="24"/>
                <w:highlight w:val="none"/>
                <w:lang w:val="en-US" w:eastAsia="zh-CN"/>
              </w:rPr>
              <w:t>其他内容</w:t>
            </w:r>
          </w:p>
        </w:tc>
        <w:tc>
          <w:tcPr>
            <w:tcW w:w="3639" w:type="pct"/>
            <w:vAlign w:val="center"/>
          </w:tcPr>
          <w:p w14:paraId="23ADAA09">
            <w:pPr>
              <w:pStyle w:val="43"/>
              <w:widowControl w:val="0"/>
              <w:numPr>
                <w:ilvl w:val="0"/>
                <w:numId w:val="0"/>
              </w:numPr>
              <w:spacing w:before="0" w:beforeAutospacing="0" w:after="0" w:afterAutospacing="0" w:line="360" w:lineRule="auto"/>
              <w:jc w:val="both"/>
              <w:rPr>
                <w:rFonts w:hint="eastAsia" w:ascii="宋体" w:hAnsi="宋体" w:eastAsia="宋体"/>
                <w:b w:val="0"/>
                <w:color w:val="auto"/>
                <w:sz w:val="24"/>
                <w:highlight w:val="none"/>
                <w:lang w:val="en-US" w:eastAsia="zh-CN"/>
              </w:rPr>
            </w:pPr>
            <w:r>
              <w:rPr>
                <w:rFonts w:hint="eastAsia" w:ascii="宋体" w:hAnsi="宋体" w:eastAsia="宋体"/>
                <w:b w:val="0"/>
                <w:color w:val="auto"/>
                <w:sz w:val="24"/>
                <w:highlight w:val="none"/>
                <w:lang w:val="en-US" w:eastAsia="zh-CN"/>
              </w:rPr>
              <w:t>1、解释权：</w:t>
            </w:r>
          </w:p>
          <w:p w14:paraId="4EFA7751">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（1）</w:t>
            </w:r>
            <w:r>
              <w:rPr>
                <w:rFonts w:asciiTheme="minorEastAsia" w:hAnsiTheme="minorEastAsia" w:eastAsiaTheme="minorEastAsia"/>
                <w:bCs/>
                <w:color w:val="auto"/>
                <w:sz w:val="24"/>
                <w:szCs w:val="24"/>
                <w:highlight w:val="none"/>
              </w:rPr>
              <w:t>构成本招标文件的各个组成文件应互为解释，互为说明；</w:t>
            </w:r>
          </w:p>
          <w:p w14:paraId="6B2FF781">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（2）</w:t>
            </w:r>
            <w:r>
              <w:rPr>
                <w:rFonts w:asciiTheme="minorEastAsia" w:hAnsiTheme="minorEastAsia" w:eastAsiaTheme="minorEastAsia"/>
                <w:bCs/>
                <w:color w:val="auto"/>
                <w:sz w:val="24"/>
                <w:szCs w:val="24"/>
                <w:highlight w:val="none"/>
              </w:rPr>
              <w:t>同一组成文件中就同一事项的规定或约定不一致的，以编排顺序在后者为准；</w:t>
            </w:r>
          </w:p>
          <w:p w14:paraId="07D71DD1">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（3）</w:t>
            </w:r>
            <w:r>
              <w:rPr>
                <w:rFonts w:asciiTheme="minorEastAsia" w:hAnsiTheme="minorEastAsia" w:eastAsiaTheme="minorEastAsia"/>
                <w:bCs/>
                <w:color w:val="auto"/>
                <w:sz w:val="24"/>
                <w:szCs w:val="24"/>
                <w:highlight w:val="none"/>
              </w:rPr>
              <w:t>如有不明确或不一致，构成合同文件组成内容的，以合同文件约定内容为准，且以专用合同条款约定的合同文件优先顺序解释；</w:t>
            </w:r>
          </w:p>
          <w:p w14:paraId="6DD43B1B">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（4）</w:t>
            </w:r>
            <w:r>
              <w:rPr>
                <w:rFonts w:asciiTheme="minorEastAsia" w:hAnsiTheme="minorEastAsia" w:eastAsiaTheme="minorEastAsia"/>
                <w:bCs/>
                <w:color w:val="auto"/>
                <w:sz w:val="24"/>
                <w:szCs w:val="24"/>
                <w:highlight w:val="none"/>
              </w:rPr>
              <w:t>除招标文件中有特别规定外，仅适用于招标投标阶段的规定，按招标公告、</w:t>
            </w:r>
            <w:r>
              <w:rPr>
                <w:rFonts w:hint="eastAsia" w:asciiTheme="minorEastAsia" w:hAnsiTheme="minorEastAsia" w:eastAsiaTheme="minorEastAsia"/>
                <w:bCs/>
                <w:color w:val="auto"/>
                <w:sz w:val="24"/>
                <w:szCs w:val="24"/>
                <w:highlight w:val="none"/>
              </w:rPr>
              <w:t>投标邀请、</w:t>
            </w:r>
            <w:r>
              <w:rPr>
                <w:rFonts w:asciiTheme="minorEastAsia" w:hAnsiTheme="minorEastAsia" w:eastAsiaTheme="minorEastAsia"/>
                <w:bCs/>
                <w:color w:val="auto"/>
                <w:sz w:val="24"/>
                <w:szCs w:val="24"/>
                <w:highlight w:val="none"/>
              </w:rPr>
              <w:t>投标人须知、评标</w:t>
            </w:r>
            <w:r>
              <w:rPr>
                <w:rFonts w:hint="eastAsia" w:asciiTheme="minorEastAsia" w:hAnsiTheme="minorEastAsia" w:eastAsiaTheme="minorEastAsia"/>
                <w:bCs/>
                <w:color w:val="auto"/>
                <w:sz w:val="24"/>
                <w:szCs w:val="24"/>
                <w:highlight w:val="none"/>
              </w:rPr>
              <w:t>方</w:t>
            </w:r>
            <w:r>
              <w:rPr>
                <w:rFonts w:asciiTheme="minorEastAsia" w:hAnsiTheme="minorEastAsia" w:eastAsiaTheme="minorEastAsia"/>
                <w:bCs/>
                <w:color w:val="auto"/>
                <w:sz w:val="24"/>
                <w:szCs w:val="24"/>
                <w:highlight w:val="none"/>
              </w:rPr>
              <w:t>法</w:t>
            </w:r>
            <w:r>
              <w:rPr>
                <w:rFonts w:hint="eastAsia" w:asciiTheme="minorEastAsia" w:hAnsiTheme="minorEastAsia" w:eastAsiaTheme="minorEastAsia"/>
                <w:bCs/>
                <w:color w:val="auto"/>
                <w:sz w:val="24"/>
                <w:szCs w:val="24"/>
                <w:highlight w:val="none"/>
              </w:rPr>
              <w:t>和标准</w:t>
            </w:r>
            <w:r>
              <w:rPr>
                <w:rFonts w:asciiTheme="minorEastAsia" w:hAnsiTheme="minorEastAsia" w:eastAsiaTheme="minorEastAsia"/>
                <w:bCs/>
                <w:color w:val="auto"/>
                <w:sz w:val="24"/>
                <w:szCs w:val="24"/>
                <w:highlight w:val="none"/>
              </w:rPr>
              <w:t>、投标文件格式的先后顺序解释；</w:t>
            </w:r>
          </w:p>
          <w:p w14:paraId="6FE872C5">
            <w:pPr>
              <w:pStyle w:val="43"/>
              <w:widowControl w:val="0"/>
              <w:numPr>
                <w:ilvl w:val="0"/>
                <w:numId w:val="0"/>
              </w:numPr>
              <w:spacing w:before="0" w:beforeAutospacing="0" w:after="0" w:afterAutospacing="0" w:line="360" w:lineRule="auto"/>
              <w:jc w:val="both"/>
              <w:rPr>
                <w:rFonts w:cs="@仿宋_GB2312" w:asciiTheme="minorEastAsia" w:hAnsiTheme="minorEastAsia" w:eastAsiaTheme="minorEastAsia"/>
                <w:b w:val="0"/>
                <w:bCs/>
                <w:color w:val="auto"/>
                <w:kern w:val="2"/>
                <w:sz w:val="24"/>
                <w:szCs w:val="24"/>
                <w:highlight w:val="none"/>
                <w:lang w:val="en-US" w:eastAsia="zh-CN" w:bidi="ar-SA"/>
              </w:rPr>
            </w:pPr>
            <w:r>
              <w:rPr>
                <w:rFonts w:hint="eastAsia" w:cs="@仿宋_GB2312" w:asciiTheme="minorEastAsia" w:hAnsiTheme="minorEastAsia" w:eastAsiaTheme="minorEastAsia"/>
                <w:b w:val="0"/>
                <w:bCs/>
                <w:color w:val="auto"/>
                <w:kern w:val="2"/>
                <w:sz w:val="24"/>
                <w:szCs w:val="24"/>
                <w:highlight w:val="none"/>
                <w:lang w:val="en-US" w:eastAsia="zh-CN" w:bidi="ar-SA"/>
              </w:rPr>
              <w:t>（5）</w:t>
            </w:r>
            <w:r>
              <w:rPr>
                <w:rFonts w:cs="@仿宋_GB2312" w:asciiTheme="minorEastAsia" w:hAnsiTheme="minorEastAsia" w:eastAsiaTheme="minorEastAsia"/>
                <w:b w:val="0"/>
                <w:bCs/>
                <w:color w:val="auto"/>
                <w:kern w:val="2"/>
                <w:sz w:val="24"/>
                <w:szCs w:val="24"/>
                <w:highlight w:val="none"/>
                <w:lang w:val="en-US" w:eastAsia="zh-CN" w:bidi="ar-SA"/>
              </w:rPr>
              <w:t>按本款前述规定仍不能形成结论的，由</w:t>
            </w:r>
            <w:r>
              <w:rPr>
                <w:rFonts w:hint="eastAsia" w:cs="@仿宋_GB2312" w:asciiTheme="minorEastAsia" w:hAnsiTheme="minorEastAsia" w:eastAsiaTheme="minorEastAsia"/>
                <w:b w:val="0"/>
                <w:bCs/>
                <w:color w:val="auto"/>
                <w:kern w:val="2"/>
                <w:sz w:val="24"/>
                <w:szCs w:val="24"/>
                <w:highlight w:val="none"/>
                <w:lang w:val="en-US" w:eastAsia="zh-CN" w:bidi="ar-SA"/>
              </w:rPr>
              <w:t>采购</w:t>
            </w:r>
            <w:r>
              <w:rPr>
                <w:rFonts w:cs="@仿宋_GB2312" w:asciiTheme="minorEastAsia" w:hAnsiTheme="minorEastAsia" w:eastAsiaTheme="minorEastAsia"/>
                <w:b w:val="0"/>
                <w:bCs/>
                <w:color w:val="auto"/>
                <w:kern w:val="2"/>
                <w:sz w:val="24"/>
                <w:szCs w:val="24"/>
                <w:highlight w:val="none"/>
                <w:lang w:val="en-US" w:eastAsia="zh-CN" w:bidi="ar-SA"/>
              </w:rPr>
              <w:t>人负责解释。</w:t>
            </w:r>
          </w:p>
          <w:p w14:paraId="2BEEF0F0">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lang w:val="en-US" w:eastAsia="zh-CN"/>
              </w:rPr>
              <w:t>2、</w:t>
            </w:r>
            <w:r>
              <w:rPr>
                <w:rFonts w:hint="eastAsia" w:asciiTheme="minorEastAsia" w:hAnsiTheme="minorEastAsia" w:eastAsiaTheme="minorEastAsia"/>
                <w:bCs/>
                <w:color w:val="auto"/>
                <w:sz w:val="24"/>
                <w:szCs w:val="24"/>
                <w:highlight w:val="none"/>
              </w:rPr>
              <w:t>“政采贷”融资指引：有融资需求的</w:t>
            </w:r>
            <w:r>
              <w:rPr>
                <w:rFonts w:hint="eastAsia" w:ascii="宋体" w:hAnsi="宋体" w:eastAsia="宋体" w:cs="宋体"/>
                <w:color w:val="auto"/>
                <w:sz w:val="24"/>
                <w:szCs w:val="24"/>
                <w:highlight w:val="none"/>
              </w:rPr>
              <w:t>中</w:t>
            </w:r>
            <w:r>
              <w:rPr>
                <w:rFonts w:ascii="宋体" w:hAnsi="宋体" w:eastAsia="宋体" w:cs="宋体"/>
                <w:color w:val="auto"/>
                <w:sz w:val="24"/>
                <w:szCs w:val="24"/>
                <w:highlight w:val="none"/>
              </w:rPr>
              <w:t>标人</w:t>
            </w:r>
            <w:r>
              <w:rPr>
                <w:rFonts w:hint="eastAsia" w:asciiTheme="minorEastAsia" w:hAnsiTheme="minorEastAsia" w:eastAsiaTheme="minorEastAsia"/>
                <w:bCs/>
                <w:color w:val="auto"/>
                <w:sz w:val="24"/>
                <w:szCs w:val="24"/>
                <w:highlight w:val="none"/>
              </w:rPr>
              <w:t>在取得政府采购中标或成交通知书后，可访问安徽省政府采购网“政采贷”栏目，查看和联系第三方平台或者金融机构，商洽融资事项，确定融资意向。</w:t>
            </w:r>
            <w:r>
              <w:rPr>
                <w:rFonts w:hint="eastAsia" w:ascii="宋体" w:hAnsi="宋体" w:eastAsia="宋体" w:cs="宋体"/>
                <w:color w:val="auto"/>
                <w:sz w:val="24"/>
                <w:szCs w:val="24"/>
                <w:highlight w:val="none"/>
              </w:rPr>
              <w:t>中</w:t>
            </w:r>
            <w:r>
              <w:rPr>
                <w:rFonts w:ascii="宋体" w:hAnsi="宋体" w:eastAsia="宋体" w:cs="宋体"/>
                <w:color w:val="auto"/>
                <w:sz w:val="24"/>
                <w:szCs w:val="24"/>
                <w:highlight w:val="none"/>
              </w:rPr>
              <w:t>标人</w:t>
            </w:r>
            <w:r>
              <w:rPr>
                <w:rFonts w:hint="eastAsia" w:asciiTheme="minorEastAsia" w:hAnsiTheme="minorEastAsia" w:eastAsiaTheme="minorEastAsia"/>
                <w:bCs/>
                <w:color w:val="auto"/>
                <w:sz w:val="24"/>
                <w:szCs w:val="24"/>
                <w:highlight w:val="none"/>
              </w:rPr>
              <w:t>签署政府采购中标（成交）合同后，登录“徽采云”金融服务模块，选择意向产品进行申请，并填写相关信息，“徽采云”金融服务模块将</w:t>
            </w:r>
            <w:r>
              <w:rPr>
                <w:rFonts w:hint="eastAsia" w:ascii="宋体" w:hAnsi="宋体" w:eastAsia="宋体" w:cs="宋体"/>
                <w:color w:val="auto"/>
                <w:sz w:val="24"/>
                <w:szCs w:val="24"/>
                <w:highlight w:val="none"/>
              </w:rPr>
              <w:t>中</w:t>
            </w:r>
            <w:r>
              <w:rPr>
                <w:rFonts w:ascii="宋体" w:hAnsi="宋体" w:eastAsia="宋体" w:cs="宋体"/>
                <w:color w:val="auto"/>
                <w:sz w:val="24"/>
                <w:szCs w:val="24"/>
                <w:highlight w:val="none"/>
              </w:rPr>
              <w:t>标人</w:t>
            </w:r>
            <w:r>
              <w:rPr>
                <w:rFonts w:hint="eastAsia" w:asciiTheme="minorEastAsia" w:hAnsiTheme="minorEastAsia" w:eastAsiaTheme="minorEastAsia"/>
                <w:bCs/>
                <w:color w:val="auto"/>
                <w:sz w:val="24"/>
                <w:szCs w:val="24"/>
                <w:highlight w:val="none"/>
              </w:rPr>
              <w:t>融资申请信息推送第三方平台、意向金融机构。</w:t>
            </w:r>
          </w:p>
          <w:p w14:paraId="56E101F0">
            <w:pPr>
              <w:pStyle w:val="43"/>
              <w:widowControl w:val="0"/>
              <w:numPr>
                <w:ilvl w:val="0"/>
                <w:numId w:val="0"/>
              </w:numPr>
              <w:spacing w:before="0" w:beforeAutospacing="0" w:after="0" w:afterAutospacing="0" w:line="360" w:lineRule="auto"/>
              <w:jc w:val="both"/>
              <w:rPr>
                <w:rFonts w:hint="eastAsia" w:cs="@仿宋_GB2312" w:asciiTheme="minorEastAsia" w:hAnsiTheme="minorEastAsia" w:eastAsiaTheme="minorEastAsia"/>
                <w:b w:val="0"/>
                <w:bCs/>
                <w:color w:val="auto"/>
                <w:kern w:val="2"/>
                <w:sz w:val="24"/>
                <w:szCs w:val="24"/>
                <w:highlight w:val="none"/>
                <w:lang w:val="en-US" w:eastAsia="zh-CN" w:bidi="ar-SA"/>
              </w:rPr>
            </w:pPr>
            <w:r>
              <w:rPr>
                <w:rFonts w:hint="eastAsia" w:cs="@仿宋_GB2312" w:asciiTheme="minorEastAsia" w:hAnsiTheme="minorEastAsia" w:eastAsiaTheme="minorEastAsia"/>
                <w:b w:val="0"/>
                <w:bCs/>
                <w:color w:val="auto"/>
                <w:kern w:val="2"/>
                <w:sz w:val="24"/>
                <w:szCs w:val="24"/>
                <w:highlight w:val="none"/>
                <w:lang w:val="en-US" w:eastAsia="zh-CN" w:bidi="ar-SA"/>
              </w:rPr>
              <w:t>3、电子保函指引：中标人可访问安徽省政府采购网“融资/保函”栏目，申请办理电子保函（包括：履约保函、预付款保函）。</w:t>
            </w:r>
          </w:p>
          <w:p w14:paraId="75FB31B5">
            <w:pPr>
              <w:pStyle w:val="43"/>
              <w:widowControl w:val="0"/>
              <w:spacing w:before="0" w:beforeAutospacing="0" w:after="0" w:afterAutospacing="0" w:line="360" w:lineRule="auto"/>
              <w:jc w:val="both"/>
              <w:rPr>
                <w:rFonts w:hint="eastAsia" w:asciiTheme="minorEastAsia" w:hAnsiTheme="minorEastAsia" w:eastAsiaTheme="minorEastAsia" w:cstheme="minorBidi"/>
                <w:b w:val="0"/>
                <w:bCs/>
                <w:color w:val="auto"/>
                <w:sz w:val="24"/>
                <w:szCs w:val="24"/>
                <w:highlight w:val="none"/>
                <w:lang w:val="en-US" w:eastAsia="zh-CN" w:bidi="ar-SA"/>
              </w:rPr>
            </w:pPr>
            <w:r>
              <w:rPr>
                <w:rFonts w:hint="eastAsia" w:asciiTheme="minorEastAsia" w:hAnsiTheme="minorEastAsia" w:eastAsiaTheme="minorEastAsia" w:cstheme="minorBidi"/>
                <w:b w:val="0"/>
                <w:bCs/>
                <w:color w:val="auto"/>
                <w:sz w:val="24"/>
                <w:szCs w:val="24"/>
                <w:highlight w:val="none"/>
                <w:lang w:val="en-US" w:eastAsia="zh-CN" w:bidi="ar-SA"/>
              </w:rPr>
              <w:t>4、部分可提供线下政采贷的金融机构</w:t>
            </w:r>
          </w:p>
          <w:p w14:paraId="248EB71E">
            <w:pPr>
              <w:pStyle w:val="43"/>
              <w:widowControl w:val="0"/>
              <w:spacing w:before="0" w:beforeAutospacing="0" w:after="0" w:afterAutospacing="0" w:line="360" w:lineRule="auto"/>
              <w:jc w:val="both"/>
              <w:rPr>
                <w:rFonts w:hint="eastAsia" w:asciiTheme="minorEastAsia" w:hAnsiTheme="minorEastAsia" w:eastAsiaTheme="minorEastAsia" w:cstheme="minorBidi"/>
                <w:b w:val="0"/>
                <w:bCs/>
                <w:color w:val="auto"/>
                <w:sz w:val="24"/>
                <w:szCs w:val="24"/>
                <w:highlight w:val="none"/>
                <w:lang w:val="en-US" w:eastAsia="zh-CN" w:bidi="ar-SA"/>
              </w:rPr>
            </w:pPr>
            <w:r>
              <w:rPr>
                <w:rFonts w:hint="eastAsia" w:asciiTheme="minorEastAsia" w:hAnsiTheme="minorEastAsia" w:eastAsiaTheme="minorEastAsia" w:cstheme="minorBidi"/>
                <w:b w:val="0"/>
                <w:bCs/>
                <w:color w:val="auto"/>
                <w:sz w:val="24"/>
                <w:szCs w:val="24"/>
                <w:highlight w:val="none"/>
                <w:lang w:val="en-US" w:eastAsia="zh-CN" w:bidi="ar-SA"/>
              </w:rPr>
              <w:t>市本级</w:t>
            </w:r>
          </w:p>
          <w:p w14:paraId="77D1E7C2">
            <w:pPr>
              <w:pStyle w:val="43"/>
              <w:widowControl w:val="0"/>
              <w:spacing w:before="0" w:beforeAutospacing="0" w:after="0" w:afterAutospacing="0" w:line="360" w:lineRule="auto"/>
              <w:jc w:val="both"/>
              <w:rPr>
                <w:rFonts w:hint="eastAsia" w:asciiTheme="minorEastAsia" w:hAnsiTheme="minorEastAsia" w:eastAsiaTheme="minorEastAsia" w:cstheme="minorBidi"/>
                <w:b w:val="0"/>
                <w:bCs/>
                <w:color w:val="auto"/>
                <w:sz w:val="24"/>
                <w:szCs w:val="24"/>
                <w:highlight w:val="none"/>
                <w:lang w:val="en-US" w:eastAsia="zh-CN" w:bidi="ar-SA"/>
              </w:rPr>
            </w:pPr>
            <w:r>
              <w:rPr>
                <w:rFonts w:hint="eastAsia" w:asciiTheme="minorEastAsia" w:hAnsiTheme="minorEastAsia" w:eastAsiaTheme="minorEastAsia" w:cstheme="minorBidi"/>
                <w:b w:val="0"/>
                <w:bCs/>
                <w:color w:val="auto"/>
                <w:sz w:val="24"/>
                <w:szCs w:val="24"/>
                <w:highlight w:val="none"/>
                <w:lang w:val="en-US" w:eastAsia="zh-CN" w:bidi="ar-SA"/>
              </w:rPr>
              <w:t>金融机构名称：兴业银行滁州分行</w:t>
            </w:r>
          </w:p>
          <w:p w14:paraId="702F0636">
            <w:pPr>
              <w:pStyle w:val="43"/>
              <w:widowControl w:val="0"/>
              <w:spacing w:before="0" w:beforeAutospacing="0" w:after="0" w:afterAutospacing="0" w:line="360" w:lineRule="auto"/>
              <w:jc w:val="both"/>
              <w:rPr>
                <w:rFonts w:hint="eastAsia" w:asciiTheme="minorEastAsia" w:hAnsiTheme="minorEastAsia" w:eastAsiaTheme="minorEastAsia" w:cstheme="minorBidi"/>
                <w:b w:val="0"/>
                <w:bCs/>
                <w:color w:val="auto"/>
                <w:sz w:val="24"/>
                <w:szCs w:val="24"/>
                <w:highlight w:val="none"/>
                <w:lang w:val="en-US" w:eastAsia="zh-CN" w:bidi="ar-SA"/>
              </w:rPr>
            </w:pPr>
            <w:r>
              <w:rPr>
                <w:rFonts w:hint="eastAsia" w:asciiTheme="minorEastAsia" w:hAnsiTheme="minorEastAsia" w:eastAsiaTheme="minorEastAsia" w:cstheme="minorBidi"/>
                <w:b w:val="0"/>
                <w:bCs/>
                <w:color w:val="auto"/>
                <w:sz w:val="24"/>
                <w:szCs w:val="24"/>
                <w:highlight w:val="none"/>
                <w:lang w:val="en-US" w:eastAsia="zh-CN" w:bidi="ar-SA"/>
              </w:rPr>
              <w:t>安徽省滁州市琅琊区丰乐大道1090号</w:t>
            </w:r>
          </w:p>
          <w:p w14:paraId="7B2BCBAD">
            <w:pPr>
              <w:pStyle w:val="43"/>
              <w:widowControl w:val="0"/>
              <w:numPr>
                <w:ilvl w:val="0"/>
                <w:numId w:val="0"/>
              </w:numPr>
              <w:spacing w:before="0" w:beforeAutospacing="0" w:after="0" w:afterAutospacing="0" w:line="360" w:lineRule="auto"/>
              <w:jc w:val="both"/>
              <w:rPr>
                <w:rFonts w:hint="eastAsia" w:asciiTheme="minorEastAsia" w:hAnsiTheme="minorEastAsia" w:eastAsiaTheme="minorEastAsia" w:cstheme="minorBidi"/>
                <w:b w:val="0"/>
                <w:bCs/>
                <w:color w:val="auto"/>
                <w:sz w:val="24"/>
                <w:szCs w:val="24"/>
                <w:highlight w:val="none"/>
                <w:lang w:val="en-US" w:eastAsia="zh-CN" w:bidi="ar-SA"/>
              </w:rPr>
            </w:pPr>
            <w:r>
              <w:rPr>
                <w:rFonts w:hint="eastAsia" w:asciiTheme="minorEastAsia" w:hAnsiTheme="minorEastAsia" w:eastAsiaTheme="minorEastAsia" w:cstheme="minorBidi"/>
                <w:b w:val="0"/>
                <w:bCs/>
                <w:color w:val="auto"/>
                <w:sz w:val="24"/>
                <w:szCs w:val="24"/>
                <w:highlight w:val="none"/>
                <w:lang w:val="en-US" w:eastAsia="zh-CN" w:bidi="ar-SA"/>
              </w:rPr>
              <w:t>伏庚：17755080811</w:t>
            </w:r>
          </w:p>
          <w:p w14:paraId="4BB0A59A">
            <w:pPr>
              <w:pStyle w:val="43"/>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48" w:lineRule="auto"/>
              <w:ind w:left="0" w:right="0"/>
              <w:jc w:val="both"/>
              <w:textAlignment w:val="auto"/>
              <w:rPr>
                <w:rFonts w:hint="eastAsia" w:ascii="宋体" w:hAnsi="宋体" w:eastAsia="宋体" w:cs="宋体"/>
                <w:b w:val="0"/>
                <w:bCs/>
                <w:color w:val="auto"/>
                <w:kern w:val="2"/>
                <w:sz w:val="24"/>
                <w:szCs w:val="24"/>
                <w:highlight w:val="none"/>
                <w:u w:val="none"/>
                <w:lang w:val="en-US" w:eastAsia="zh-CN" w:bidi="ar-SA"/>
              </w:rPr>
            </w:pPr>
            <w:r>
              <w:rPr>
                <w:rFonts w:hint="eastAsia" w:ascii="宋体" w:hAnsi="宋体" w:eastAsia="宋体" w:cs="宋体"/>
                <w:b w:val="0"/>
                <w:bCs/>
                <w:color w:val="auto"/>
                <w:kern w:val="2"/>
                <w:sz w:val="24"/>
                <w:szCs w:val="24"/>
                <w:highlight w:val="none"/>
                <w:u w:val="none"/>
                <w:lang w:val="en-US" w:eastAsia="zh-CN" w:bidi="ar-SA"/>
              </w:rPr>
              <w:t>5、特别提示：</w:t>
            </w:r>
          </w:p>
          <w:p w14:paraId="1AE99496">
            <w:pPr>
              <w:pStyle w:val="43"/>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48" w:lineRule="auto"/>
              <w:ind w:left="0" w:right="0"/>
              <w:jc w:val="both"/>
              <w:textAlignment w:val="auto"/>
              <w:rPr>
                <w:rFonts w:hint="eastAsia" w:ascii="宋体" w:hAnsi="宋体" w:eastAsia="宋体" w:cs="宋体"/>
                <w:b w:val="0"/>
                <w:bCs/>
                <w:color w:val="auto"/>
                <w:kern w:val="2"/>
                <w:sz w:val="24"/>
                <w:szCs w:val="24"/>
                <w:highlight w:val="none"/>
                <w:u w:val="none"/>
                <w:lang w:val="en-US" w:eastAsia="zh-CN" w:bidi="ar-SA"/>
              </w:rPr>
            </w:pPr>
            <w:r>
              <w:rPr>
                <w:rFonts w:hint="eastAsia" w:ascii="宋体" w:hAnsi="宋体" w:eastAsia="宋体" w:cs="宋体"/>
                <w:b w:val="0"/>
                <w:bCs/>
                <w:color w:val="auto"/>
                <w:kern w:val="2"/>
                <w:sz w:val="24"/>
                <w:szCs w:val="24"/>
                <w:highlight w:val="none"/>
                <w:u w:val="none"/>
                <w:lang w:val="en-US" w:eastAsia="zh-CN" w:bidi="ar-SA"/>
              </w:rPr>
              <w:t>（1）投标人应填写投标信息并下载招标文件，否则无法上传投标文件。</w:t>
            </w:r>
          </w:p>
          <w:p w14:paraId="382B0747">
            <w:pPr>
              <w:pStyle w:val="43"/>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48" w:lineRule="auto"/>
              <w:ind w:left="0" w:right="0"/>
              <w:jc w:val="both"/>
              <w:textAlignment w:val="auto"/>
              <w:rPr>
                <w:rFonts w:hint="eastAsia" w:ascii="宋体" w:hAnsi="宋体" w:eastAsia="宋体" w:cs="宋体"/>
                <w:b w:val="0"/>
                <w:bCs/>
                <w:color w:val="auto"/>
                <w:kern w:val="2"/>
                <w:sz w:val="24"/>
                <w:szCs w:val="24"/>
                <w:highlight w:val="none"/>
                <w:u w:val="none"/>
                <w:lang w:val="en-US" w:eastAsia="zh-CN" w:bidi="ar-SA"/>
              </w:rPr>
            </w:pPr>
            <w:r>
              <w:rPr>
                <w:rFonts w:hint="eastAsia" w:ascii="宋体" w:hAnsi="宋体" w:eastAsia="宋体" w:cs="宋体"/>
                <w:b w:val="0"/>
                <w:bCs/>
                <w:color w:val="auto"/>
                <w:kern w:val="2"/>
                <w:sz w:val="24"/>
                <w:szCs w:val="24"/>
                <w:highlight w:val="none"/>
                <w:u w:val="none"/>
                <w:lang w:val="en-US" w:eastAsia="zh-CN" w:bidi="ar-SA"/>
              </w:rPr>
              <w:t>注：投标人如为联合体的，牵头人必须完善投标人信息，并在上传投标文件环节添加联合体投标信息。</w:t>
            </w:r>
          </w:p>
          <w:p w14:paraId="3EF4776F">
            <w:pPr>
              <w:pStyle w:val="43"/>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48" w:lineRule="auto"/>
              <w:ind w:left="0" w:right="0"/>
              <w:jc w:val="both"/>
              <w:textAlignment w:val="auto"/>
              <w:rPr>
                <w:rFonts w:hint="eastAsia" w:ascii="宋体" w:hAnsi="宋体" w:eastAsia="宋体" w:cs="宋体"/>
                <w:b w:val="0"/>
                <w:bCs/>
                <w:color w:val="auto"/>
                <w:kern w:val="2"/>
                <w:sz w:val="24"/>
                <w:szCs w:val="24"/>
                <w:highlight w:val="none"/>
                <w:u w:val="none"/>
                <w:lang w:val="en-US" w:eastAsia="zh-CN" w:bidi="ar-SA"/>
              </w:rPr>
            </w:pPr>
            <w:r>
              <w:rPr>
                <w:rFonts w:hint="eastAsia" w:ascii="宋体" w:hAnsi="宋体" w:eastAsia="宋体" w:cs="宋体"/>
                <w:b w:val="0"/>
                <w:bCs/>
                <w:color w:val="auto"/>
                <w:kern w:val="2"/>
                <w:sz w:val="24"/>
                <w:szCs w:val="24"/>
                <w:highlight w:val="none"/>
                <w:u w:val="none"/>
                <w:lang w:val="en-US" w:eastAsia="zh-CN" w:bidi="ar-SA"/>
              </w:rPr>
              <w:t>（2）本项目采用电子招标投标，请投标人在滁州市公共资源交易中心网&gt;服务指南&gt;软件下载栏目点击下载投标文件制作工具。投标人需采用最新版投标文件制作工具。软件运行需在国际互联网络通畅状态，投标人需注意更新，以免造成投标文件制作错误，如因此导致评标委员会否决其投标，责任自负。如有技术问题请联系0550-3801701，0512-58188516。</w:t>
            </w:r>
          </w:p>
          <w:p w14:paraId="4012FE13">
            <w:pPr>
              <w:pStyle w:val="43"/>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48" w:lineRule="auto"/>
              <w:ind w:left="0" w:right="0"/>
              <w:jc w:val="both"/>
              <w:textAlignment w:val="auto"/>
              <w:rPr>
                <w:rFonts w:hint="eastAsia" w:ascii="宋体" w:hAnsi="宋体" w:eastAsia="宋体" w:cs="宋体"/>
                <w:b w:val="0"/>
                <w:bCs/>
                <w:color w:val="auto"/>
                <w:kern w:val="2"/>
                <w:sz w:val="24"/>
                <w:szCs w:val="24"/>
                <w:highlight w:val="none"/>
                <w:u w:val="none"/>
                <w:lang w:val="en-US" w:eastAsia="zh-CN" w:bidi="ar-SA"/>
              </w:rPr>
            </w:pPr>
            <w:r>
              <w:rPr>
                <w:rFonts w:hint="eastAsia" w:ascii="宋体" w:hAnsi="宋体" w:eastAsia="宋体" w:cs="宋体"/>
                <w:b w:val="0"/>
                <w:bCs/>
                <w:color w:val="auto"/>
                <w:kern w:val="2"/>
                <w:sz w:val="24"/>
                <w:szCs w:val="24"/>
                <w:highlight w:val="none"/>
                <w:u w:val="none"/>
                <w:lang w:val="en-US" w:eastAsia="zh-CN" w:bidi="ar-SA"/>
              </w:rPr>
              <w:t>（3）如果过程中出现招标文件更改，应以最后发布的招标答疑澄清文件中的模板制作本项目最新投标文件。</w:t>
            </w:r>
          </w:p>
          <w:p w14:paraId="1B51D9DA">
            <w:pPr>
              <w:pStyle w:val="43"/>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48" w:lineRule="auto"/>
              <w:ind w:left="0" w:right="0"/>
              <w:jc w:val="both"/>
              <w:textAlignment w:val="auto"/>
              <w:rPr>
                <w:rFonts w:hint="eastAsia" w:ascii="宋体" w:hAnsi="宋体" w:eastAsia="宋体" w:cs="宋体"/>
                <w:b w:val="0"/>
                <w:bCs/>
                <w:color w:val="auto"/>
                <w:kern w:val="2"/>
                <w:sz w:val="24"/>
                <w:szCs w:val="24"/>
                <w:highlight w:val="none"/>
                <w:u w:val="none"/>
                <w:lang w:val="en-US" w:eastAsia="zh-CN" w:bidi="ar-SA"/>
              </w:rPr>
            </w:pPr>
            <w:r>
              <w:rPr>
                <w:rFonts w:hint="eastAsia" w:ascii="宋体" w:hAnsi="宋体" w:eastAsia="宋体" w:cs="宋体"/>
                <w:b w:val="0"/>
                <w:bCs/>
                <w:color w:val="auto"/>
                <w:kern w:val="2"/>
                <w:sz w:val="24"/>
                <w:szCs w:val="24"/>
                <w:highlight w:val="none"/>
                <w:u w:val="none"/>
                <w:lang w:val="en-US" w:eastAsia="zh-CN" w:bidi="ar-SA"/>
              </w:rPr>
              <w:t xml:space="preserve">（4）投标人应当用本单位CA数字证书制作投标文件，制作成功后进行投标文件上传。 </w:t>
            </w:r>
          </w:p>
          <w:p w14:paraId="39CB0B23">
            <w:pPr>
              <w:pStyle w:val="43"/>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48" w:lineRule="auto"/>
              <w:ind w:left="0" w:right="0"/>
              <w:jc w:val="both"/>
              <w:textAlignment w:val="auto"/>
              <w:rPr>
                <w:rFonts w:hint="eastAsia" w:ascii="宋体" w:hAnsi="宋体" w:eastAsia="宋体" w:cs="宋体"/>
                <w:b w:val="0"/>
                <w:bCs/>
                <w:color w:val="auto"/>
                <w:kern w:val="2"/>
                <w:sz w:val="24"/>
                <w:szCs w:val="24"/>
                <w:highlight w:val="none"/>
                <w:u w:val="none"/>
                <w:lang w:val="en-US" w:eastAsia="zh-CN" w:bidi="ar-SA"/>
              </w:rPr>
            </w:pPr>
            <w:r>
              <w:rPr>
                <w:rFonts w:hint="eastAsia" w:ascii="宋体" w:hAnsi="宋体" w:eastAsia="宋体" w:cs="宋体"/>
                <w:b w:val="0"/>
                <w:bCs/>
                <w:color w:val="auto"/>
                <w:kern w:val="2"/>
                <w:sz w:val="24"/>
                <w:szCs w:val="24"/>
                <w:highlight w:val="none"/>
                <w:u w:val="none"/>
                <w:lang w:val="en-US" w:eastAsia="zh-CN" w:bidi="ar-SA"/>
              </w:rPr>
              <w:t>（5）投标人须用CA数字证书盖章和加密投标文件，建议使用主锁。（如未办理CA数字证书请及时办理，网上办理和窗口办理均可。查看办理所需资料请登录滁州市公共资源交易中心网&gt;服务指南&gt;办事指南&gt;CA数字证书和电子签章。因未及时办理CA数字证书手续导致无法投标的，责任自负。</w:t>
            </w:r>
          </w:p>
          <w:p w14:paraId="5A2F5650">
            <w:pPr>
              <w:pStyle w:val="43"/>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48" w:lineRule="auto"/>
              <w:ind w:left="0" w:right="0"/>
              <w:jc w:val="both"/>
              <w:textAlignment w:val="auto"/>
              <w:rPr>
                <w:rFonts w:hint="eastAsia" w:ascii="宋体" w:hAnsi="宋体" w:eastAsia="宋体" w:cs="宋体"/>
                <w:b w:val="0"/>
                <w:bCs/>
                <w:color w:val="auto"/>
                <w:kern w:val="2"/>
                <w:sz w:val="24"/>
                <w:szCs w:val="24"/>
                <w:highlight w:val="none"/>
                <w:u w:val="none"/>
                <w:lang w:val="en-US" w:eastAsia="zh-CN" w:bidi="ar-SA"/>
              </w:rPr>
            </w:pPr>
            <w:r>
              <w:rPr>
                <w:rFonts w:hint="eastAsia" w:ascii="宋体" w:hAnsi="宋体" w:eastAsia="宋体" w:cs="宋体"/>
                <w:b w:val="0"/>
                <w:bCs/>
                <w:color w:val="auto"/>
                <w:kern w:val="2"/>
                <w:sz w:val="24"/>
                <w:szCs w:val="24"/>
                <w:highlight w:val="none"/>
                <w:u w:val="none"/>
                <w:lang w:val="en-US" w:eastAsia="zh-CN" w:bidi="ar-SA"/>
              </w:rPr>
              <w:t>（6）请投标人注意加密投标文件CA数字证书的有效期，不在有效期的CA数字证书无法解密投标文件。</w:t>
            </w:r>
          </w:p>
          <w:p w14:paraId="0562AF6F">
            <w:pPr>
              <w:pStyle w:val="43"/>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48" w:lineRule="auto"/>
              <w:ind w:left="0" w:right="0"/>
              <w:jc w:val="both"/>
              <w:textAlignment w:val="auto"/>
              <w:rPr>
                <w:rFonts w:hint="eastAsia" w:ascii="宋体" w:hAnsi="宋体" w:eastAsia="宋体" w:cs="宋体"/>
                <w:b w:val="0"/>
                <w:bCs/>
                <w:color w:val="auto"/>
                <w:kern w:val="2"/>
                <w:sz w:val="24"/>
                <w:szCs w:val="24"/>
                <w:highlight w:val="none"/>
                <w:u w:val="none"/>
                <w:lang w:val="en-US" w:eastAsia="zh-CN" w:bidi="ar-SA"/>
              </w:rPr>
            </w:pPr>
            <w:r>
              <w:rPr>
                <w:rFonts w:hint="eastAsia" w:ascii="宋体" w:hAnsi="宋体" w:eastAsia="宋体" w:cs="宋体"/>
                <w:b w:val="0"/>
                <w:bCs/>
                <w:color w:val="auto"/>
                <w:kern w:val="2"/>
                <w:sz w:val="24"/>
                <w:szCs w:val="24"/>
                <w:highlight w:val="none"/>
                <w:u w:val="none"/>
                <w:lang w:val="en-US" w:eastAsia="zh-CN" w:bidi="ar-SA"/>
              </w:rPr>
              <w:t>（7）投标人投标MAC地址一致，由评标委员会否决其投标。</w:t>
            </w:r>
          </w:p>
          <w:p w14:paraId="338F30F0">
            <w:pPr>
              <w:pStyle w:val="43"/>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48" w:lineRule="auto"/>
              <w:ind w:left="0" w:right="0"/>
              <w:jc w:val="both"/>
              <w:textAlignment w:val="auto"/>
              <w:rPr>
                <w:rFonts w:hint="eastAsia" w:ascii="宋体" w:hAnsi="宋体" w:eastAsia="宋体" w:cs="宋体"/>
                <w:b w:val="0"/>
                <w:bCs/>
                <w:color w:val="auto"/>
                <w:kern w:val="2"/>
                <w:sz w:val="24"/>
                <w:szCs w:val="24"/>
                <w:highlight w:val="none"/>
                <w:u w:val="none"/>
                <w:lang w:val="en-US" w:eastAsia="zh-CN" w:bidi="ar-SA"/>
              </w:rPr>
            </w:pPr>
            <w:r>
              <w:rPr>
                <w:rFonts w:hint="eastAsia" w:ascii="宋体" w:hAnsi="宋体" w:eastAsia="宋体" w:cs="宋体"/>
                <w:b w:val="0"/>
                <w:bCs/>
                <w:color w:val="auto"/>
                <w:kern w:val="2"/>
                <w:sz w:val="24"/>
                <w:szCs w:val="24"/>
                <w:highlight w:val="none"/>
                <w:u w:val="none"/>
                <w:lang w:val="en-US" w:eastAsia="zh-CN" w:bidi="ar-SA"/>
              </w:rPr>
              <w:t>（8）投标人单方面出现其他投标人材料的，由评标委员会否决其投标。</w:t>
            </w:r>
          </w:p>
          <w:p w14:paraId="0DE7D47A">
            <w:pPr>
              <w:pStyle w:val="43"/>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48" w:lineRule="auto"/>
              <w:ind w:left="0" w:right="0"/>
              <w:jc w:val="both"/>
              <w:textAlignment w:val="auto"/>
              <w:rPr>
                <w:rFonts w:hint="eastAsia" w:ascii="宋体" w:hAnsi="宋体" w:eastAsia="宋体" w:cs="宋体"/>
                <w:b w:val="0"/>
                <w:bCs/>
                <w:color w:val="auto"/>
                <w:kern w:val="2"/>
                <w:sz w:val="24"/>
                <w:szCs w:val="24"/>
                <w:highlight w:val="none"/>
                <w:u w:val="none"/>
                <w:lang w:val="en-US" w:eastAsia="zh-CN" w:bidi="ar-SA"/>
              </w:rPr>
            </w:pPr>
            <w:r>
              <w:rPr>
                <w:rFonts w:hint="eastAsia" w:ascii="宋体" w:hAnsi="宋体" w:eastAsia="宋体" w:cs="宋体"/>
                <w:b w:val="0"/>
                <w:bCs/>
                <w:color w:val="auto"/>
                <w:kern w:val="2"/>
                <w:sz w:val="24"/>
                <w:szCs w:val="24"/>
                <w:highlight w:val="none"/>
                <w:u w:val="none"/>
                <w:lang w:val="en-US" w:eastAsia="zh-CN" w:bidi="ar-SA"/>
              </w:rPr>
              <w:t>（9）评标时查询投标文件制作机器码、文件创建标识码及造价软件加密锁号。若存在投标文件制作机器码或创建标识码或造价软件加密锁号信息与其他投标人雷同的，由评标委员会否决其投标，依法依规予以处理。</w:t>
            </w:r>
          </w:p>
          <w:p w14:paraId="2A9C3A38">
            <w:pPr>
              <w:pStyle w:val="43"/>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48" w:lineRule="auto"/>
              <w:ind w:left="0" w:right="0"/>
              <w:jc w:val="both"/>
              <w:textAlignment w:val="auto"/>
              <w:rPr>
                <w:rFonts w:hint="eastAsia" w:ascii="宋体" w:hAnsi="宋体" w:eastAsia="宋体" w:cs="宋体"/>
                <w:b w:val="0"/>
                <w:bCs/>
                <w:color w:val="auto"/>
                <w:kern w:val="2"/>
                <w:sz w:val="24"/>
                <w:szCs w:val="24"/>
                <w:highlight w:val="none"/>
                <w:u w:val="none"/>
                <w:lang w:val="en-US" w:eastAsia="zh-CN" w:bidi="ar-SA"/>
              </w:rPr>
            </w:pPr>
            <w:r>
              <w:rPr>
                <w:rFonts w:hint="eastAsia" w:ascii="宋体" w:hAnsi="宋体" w:eastAsia="宋体" w:cs="宋体"/>
                <w:b w:val="0"/>
                <w:bCs/>
                <w:color w:val="auto"/>
                <w:kern w:val="2"/>
                <w:sz w:val="24"/>
                <w:szCs w:val="24"/>
                <w:highlight w:val="none"/>
                <w:u w:val="none"/>
                <w:lang w:val="en-US" w:eastAsia="zh-CN" w:bidi="ar-SA"/>
              </w:rPr>
              <w:t>（10）投标人联系人或联系电话相同的，由评标委员会否决其响应资格，并报告监管部门作不良行为处理和进一步调查。</w:t>
            </w:r>
          </w:p>
          <w:p w14:paraId="145E713C">
            <w:pPr>
              <w:pStyle w:val="43"/>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48" w:lineRule="auto"/>
              <w:ind w:left="0" w:right="0"/>
              <w:jc w:val="both"/>
              <w:textAlignment w:val="auto"/>
              <w:rPr>
                <w:rFonts w:hint="eastAsia" w:ascii="宋体" w:hAnsi="宋体" w:eastAsia="宋体" w:cs="宋体"/>
                <w:b w:val="0"/>
                <w:bCs/>
                <w:color w:val="auto"/>
                <w:kern w:val="2"/>
                <w:sz w:val="24"/>
                <w:szCs w:val="24"/>
                <w:highlight w:val="none"/>
                <w:u w:val="none"/>
                <w:lang w:val="en-US" w:eastAsia="zh-CN" w:bidi="ar-SA"/>
              </w:rPr>
            </w:pPr>
            <w:r>
              <w:rPr>
                <w:rFonts w:hint="eastAsia" w:ascii="宋体" w:hAnsi="宋体" w:eastAsia="宋体" w:cs="宋体"/>
                <w:b w:val="0"/>
                <w:bCs/>
                <w:color w:val="auto"/>
                <w:kern w:val="2"/>
                <w:sz w:val="24"/>
                <w:szCs w:val="24"/>
                <w:highlight w:val="none"/>
                <w:u w:val="none"/>
                <w:lang w:val="en-US" w:eastAsia="zh-CN" w:bidi="ar-SA"/>
              </w:rPr>
              <w:t>（11）投标人以联合体名义参与投标的，其质疑投诉应当由联合体全体成员共同提出。联合体成员单独进行质疑投诉的，应当书面征得联合体其他成员同意，联合体成员之间投诉的除外。</w:t>
            </w:r>
          </w:p>
          <w:p w14:paraId="0124F256">
            <w:pPr>
              <w:pStyle w:val="43"/>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48" w:lineRule="auto"/>
              <w:ind w:left="0" w:right="0"/>
              <w:jc w:val="both"/>
              <w:textAlignment w:val="auto"/>
              <w:rPr>
                <w:rFonts w:hint="eastAsia" w:ascii="宋体" w:hAnsi="宋体" w:eastAsia="宋体" w:cs="宋体"/>
                <w:b w:val="0"/>
                <w:bCs/>
                <w:color w:val="auto"/>
                <w:kern w:val="2"/>
                <w:sz w:val="24"/>
                <w:szCs w:val="24"/>
                <w:highlight w:val="none"/>
                <w:u w:val="none"/>
                <w:lang w:val="en-US" w:eastAsia="zh-CN" w:bidi="ar-SA"/>
              </w:rPr>
            </w:pPr>
            <w:r>
              <w:rPr>
                <w:rFonts w:hint="eastAsia" w:ascii="宋体" w:hAnsi="宋体" w:eastAsia="宋体" w:cs="宋体"/>
                <w:b w:val="0"/>
                <w:bCs/>
                <w:color w:val="auto"/>
                <w:kern w:val="2"/>
                <w:sz w:val="24"/>
                <w:szCs w:val="24"/>
                <w:highlight w:val="none"/>
                <w:u w:val="none"/>
                <w:lang w:val="en-US" w:eastAsia="zh-CN" w:bidi="ar-SA"/>
              </w:rPr>
              <w:t>（12）电子加密响应文件上传到系统后，需要投标人和采购代理公司到截止时间后共同解锁，不存在商务报价等投标信息通过系统泄密的风险；截止时间前，已上传的投标文件也可以撤回修改。集中到开标截止时间前上传电子加密投标文件，可能出现由于投标企业制作电子投标文件不熟练、网络拥堵等不可预知的情况而且无法及时解决，丧失投标机会，请各投标企业提前制作、上传电子加密投标文件，否则由于无法及时上传电子加密投标文件而无效标的情况，责任自负！</w:t>
            </w:r>
          </w:p>
          <w:p w14:paraId="2BE7EC4C">
            <w:pPr>
              <w:pStyle w:val="43"/>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48" w:lineRule="auto"/>
              <w:ind w:left="0" w:right="0"/>
              <w:jc w:val="both"/>
              <w:textAlignment w:val="auto"/>
              <w:rPr>
                <w:rFonts w:hint="eastAsia" w:ascii="宋体" w:hAnsi="宋体" w:eastAsia="宋体" w:cs="宋体"/>
                <w:b w:val="0"/>
                <w:bCs/>
                <w:color w:val="auto"/>
                <w:kern w:val="2"/>
                <w:sz w:val="24"/>
                <w:szCs w:val="24"/>
                <w:highlight w:val="none"/>
                <w:u w:val="none"/>
                <w:lang w:val="en-US" w:eastAsia="zh-CN" w:bidi="ar-SA"/>
              </w:rPr>
            </w:pPr>
            <w:r>
              <w:rPr>
                <w:rFonts w:hint="eastAsia" w:ascii="宋体" w:hAnsi="宋体" w:eastAsia="宋体" w:cs="宋体"/>
                <w:b w:val="0"/>
                <w:bCs/>
                <w:color w:val="auto"/>
                <w:kern w:val="2"/>
                <w:sz w:val="24"/>
                <w:szCs w:val="24"/>
                <w:highlight w:val="none"/>
                <w:u w:val="none"/>
                <w:lang w:val="en-US" w:eastAsia="zh-CN" w:bidi="ar-SA"/>
              </w:rPr>
              <w:t>6.评标过程中的澄清、说明或补正：</w:t>
            </w:r>
          </w:p>
          <w:p w14:paraId="4EFA00AA">
            <w:pPr>
              <w:pStyle w:val="43"/>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48" w:lineRule="auto"/>
              <w:ind w:left="0" w:right="0"/>
              <w:jc w:val="both"/>
              <w:textAlignment w:val="auto"/>
              <w:rPr>
                <w:rFonts w:hint="eastAsia" w:ascii="宋体" w:hAnsi="宋体" w:eastAsia="宋体" w:cs="宋体"/>
                <w:b w:val="0"/>
                <w:bCs/>
                <w:color w:val="auto"/>
                <w:kern w:val="2"/>
                <w:sz w:val="24"/>
                <w:szCs w:val="24"/>
                <w:highlight w:val="none"/>
                <w:u w:val="none"/>
                <w:lang w:val="en-US" w:eastAsia="zh-CN" w:bidi="ar-SA"/>
              </w:rPr>
            </w:pPr>
            <w:r>
              <w:rPr>
                <w:rFonts w:hint="eastAsia" w:ascii="宋体" w:hAnsi="宋体" w:eastAsia="宋体" w:cs="宋体"/>
                <w:b w:val="0"/>
                <w:bCs/>
                <w:color w:val="auto"/>
                <w:kern w:val="2"/>
                <w:sz w:val="24"/>
                <w:szCs w:val="24"/>
                <w:highlight w:val="none"/>
                <w:u w:val="none"/>
                <w:lang w:val="en-US" w:eastAsia="zh-CN" w:bidi="ar-SA"/>
              </w:rPr>
              <w:t>（1）评标委员会通过网上招投标系统将需要澄清、说明或补正的内容以询标函的形式发送给投标人，投标人应安排专人登录网上招投标系统并保持在线状态，以便及时接收评标委员会可能发出的询标函。</w:t>
            </w:r>
          </w:p>
          <w:p w14:paraId="2EB024F7">
            <w:pPr>
              <w:pStyle w:val="43"/>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48" w:lineRule="auto"/>
              <w:ind w:left="0" w:right="0"/>
              <w:jc w:val="both"/>
              <w:textAlignment w:val="auto"/>
              <w:rPr>
                <w:rFonts w:hint="eastAsia" w:ascii="宋体" w:hAnsi="宋体" w:eastAsia="宋体" w:cs="宋体"/>
                <w:b w:val="0"/>
                <w:bCs/>
                <w:color w:val="auto"/>
                <w:kern w:val="2"/>
                <w:sz w:val="24"/>
                <w:szCs w:val="24"/>
                <w:highlight w:val="none"/>
                <w:u w:val="none"/>
                <w:lang w:val="en-US" w:eastAsia="zh-CN" w:bidi="ar-SA"/>
              </w:rPr>
            </w:pPr>
            <w:r>
              <w:rPr>
                <w:rFonts w:hint="eastAsia" w:ascii="宋体" w:hAnsi="宋体" w:eastAsia="宋体" w:cs="宋体"/>
                <w:b w:val="0"/>
                <w:bCs/>
                <w:color w:val="auto"/>
                <w:kern w:val="2"/>
                <w:sz w:val="24"/>
                <w:szCs w:val="24"/>
                <w:highlight w:val="none"/>
                <w:u w:val="none"/>
                <w:lang w:val="en-US" w:eastAsia="zh-CN" w:bidi="ar-SA"/>
              </w:rPr>
              <w:t>（2）因投标人未登录网上招投标系统导致无法及时接收询标函（远程网上询标）或未在规定时间内按评标委员会要求进行澄清、说明或补正内容的视同投标人放弃澄清、说明或补正内容的权利，评标委员会可按对投标人不利的解释进行判定。</w:t>
            </w:r>
          </w:p>
          <w:p w14:paraId="177D7E95">
            <w:pPr>
              <w:pStyle w:val="43"/>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48" w:lineRule="auto"/>
              <w:ind w:left="0" w:right="0"/>
              <w:jc w:val="both"/>
              <w:textAlignment w:val="auto"/>
              <w:rPr>
                <w:rFonts w:hint="eastAsia" w:ascii="宋体" w:hAnsi="宋体" w:eastAsia="宋体" w:cs="宋体"/>
                <w:b w:val="0"/>
                <w:bCs/>
                <w:color w:val="auto"/>
                <w:kern w:val="2"/>
                <w:sz w:val="24"/>
                <w:szCs w:val="24"/>
                <w:highlight w:val="none"/>
                <w:u w:val="none"/>
                <w:lang w:val="en-US" w:eastAsia="zh-CN" w:bidi="ar-SA"/>
              </w:rPr>
            </w:pPr>
            <w:r>
              <w:rPr>
                <w:rFonts w:hint="eastAsia" w:ascii="宋体" w:hAnsi="宋体" w:eastAsia="宋体" w:cs="宋体"/>
                <w:b w:val="0"/>
                <w:bCs/>
                <w:color w:val="auto"/>
                <w:kern w:val="2"/>
                <w:sz w:val="24"/>
                <w:szCs w:val="24"/>
                <w:highlight w:val="none"/>
                <w:u w:val="none"/>
                <w:lang w:val="en-US" w:eastAsia="zh-CN" w:bidi="ar-SA"/>
              </w:rPr>
              <w:t>7.同义词语：</w:t>
            </w:r>
          </w:p>
          <w:p w14:paraId="1B646503">
            <w:pPr>
              <w:pStyle w:val="43"/>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48" w:lineRule="auto"/>
              <w:ind w:left="0" w:right="0"/>
              <w:jc w:val="both"/>
              <w:textAlignment w:val="auto"/>
              <w:rPr>
                <w:rFonts w:hint="eastAsia" w:ascii="宋体" w:hAnsi="宋体" w:eastAsia="宋体" w:cs="宋体"/>
                <w:b w:val="0"/>
                <w:bCs/>
                <w:color w:val="auto"/>
                <w:kern w:val="2"/>
                <w:sz w:val="24"/>
                <w:szCs w:val="24"/>
                <w:highlight w:val="none"/>
                <w:u w:val="none"/>
                <w:lang w:val="en-US" w:eastAsia="zh-CN" w:bidi="ar-SA"/>
              </w:rPr>
            </w:pPr>
            <w:r>
              <w:rPr>
                <w:rFonts w:hint="eastAsia" w:ascii="宋体" w:hAnsi="宋体" w:eastAsia="宋体" w:cs="宋体"/>
                <w:b w:val="0"/>
                <w:bCs/>
                <w:color w:val="auto"/>
                <w:kern w:val="2"/>
                <w:sz w:val="24"/>
                <w:szCs w:val="24"/>
                <w:highlight w:val="none"/>
                <w:u w:val="none"/>
                <w:lang w:val="en-US" w:eastAsia="zh-CN" w:bidi="ar-SA"/>
              </w:rPr>
              <w:t>招标文件第六章  投标文件格式、附件1“关于联合惩戒失信行为 加强信用查询管理的通知”等章节中 “招标人”、“供应商”，等同于“采购人”、“投标人”。</w:t>
            </w:r>
          </w:p>
          <w:p w14:paraId="3FE8405F">
            <w:pPr>
              <w:pStyle w:val="43"/>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48" w:lineRule="auto"/>
              <w:ind w:left="0" w:right="0"/>
              <w:jc w:val="both"/>
              <w:textAlignment w:val="auto"/>
              <w:rPr>
                <w:rFonts w:hint="eastAsia" w:ascii="宋体" w:hAnsi="宋体" w:eastAsia="宋体" w:cs="宋体"/>
                <w:b w:val="0"/>
                <w:bCs/>
                <w:color w:val="auto"/>
                <w:kern w:val="2"/>
                <w:sz w:val="24"/>
                <w:szCs w:val="24"/>
                <w:highlight w:val="none"/>
                <w:u w:val="none"/>
                <w:lang w:val="en-US" w:eastAsia="zh-CN" w:bidi="ar-SA"/>
              </w:rPr>
            </w:pPr>
            <w:r>
              <w:rPr>
                <w:rFonts w:hint="eastAsia" w:ascii="宋体" w:hAnsi="宋体" w:eastAsia="宋体" w:cs="宋体"/>
                <w:b w:val="0"/>
                <w:bCs/>
                <w:color w:val="auto"/>
                <w:kern w:val="2"/>
                <w:sz w:val="24"/>
                <w:szCs w:val="24"/>
                <w:highlight w:val="none"/>
                <w:u w:val="none"/>
                <w:lang w:val="en-US" w:eastAsia="zh-CN" w:bidi="ar-SA"/>
              </w:rPr>
              <w:t>8.落实政府采购支持节能产品、环境标志产品政策。</w:t>
            </w:r>
          </w:p>
          <w:p w14:paraId="2B7C2000">
            <w:pPr>
              <w:pStyle w:val="43"/>
              <w:widowControl w:val="0"/>
              <w:numPr>
                <w:ilvl w:val="0"/>
                <w:numId w:val="0"/>
              </w:numPr>
              <w:spacing w:before="0" w:beforeAutospacing="0" w:after="0" w:afterAutospacing="0" w:line="360" w:lineRule="auto"/>
              <w:jc w:val="both"/>
              <w:rPr>
                <w:rFonts w:hint="default" w:asciiTheme="minorEastAsia" w:hAnsiTheme="minorEastAsia" w:eastAsiaTheme="minorEastAsia" w:cstheme="minorBidi"/>
                <w:b w:val="0"/>
                <w:bCs/>
                <w:color w:val="auto"/>
                <w:sz w:val="24"/>
                <w:szCs w:val="24"/>
                <w:highlight w:val="none"/>
                <w:lang w:val="en-US" w:eastAsia="zh-CN" w:bidi="ar-SA"/>
              </w:rPr>
            </w:pPr>
            <w:r>
              <w:rPr>
                <w:rFonts w:hint="eastAsia" w:ascii="宋体" w:hAnsi="宋体" w:eastAsia="宋体" w:cs="宋体"/>
                <w:b w:val="0"/>
                <w:bCs/>
                <w:color w:val="auto"/>
                <w:kern w:val="2"/>
                <w:sz w:val="24"/>
                <w:szCs w:val="24"/>
                <w:highlight w:val="none"/>
                <w:u w:val="none"/>
                <w:lang w:val="en-US" w:eastAsia="zh-CN" w:bidi="ar-SA"/>
              </w:rPr>
              <w:t>9.系统中提供的表格与采购文件中不一致时，以采购文件中提供的表格格式为准。</w:t>
            </w:r>
          </w:p>
        </w:tc>
      </w:tr>
    </w:tbl>
    <w:p w14:paraId="5DC4CF9D">
      <w:pPr>
        <w:spacing w:line="360" w:lineRule="auto"/>
        <w:jc w:val="center"/>
        <w:outlineLvl w:val="1"/>
        <w:rPr>
          <w:rFonts w:asciiTheme="minorEastAsia" w:hAnsiTheme="minorEastAsia" w:eastAsiaTheme="minorEastAsia"/>
          <w:b/>
          <w:color w:val="auto"/>
          <w:sz w:val="24"/>
          <w:highlight w:val="none"/>
        </w:rPr>
      </w:pPr>
      <w:r>
        <w:rPr>
          <w:rFonts w:asciiTheme="minorEastAsia" w:hAnsiTheme="minorEastAsia" w:eastAsiaTheme="minorEastAsia"/>
          <w:b/>
          <w:color w:val="auto"/>
          <w:sz w:val="28"/>
          <w:highlight w:val="none"/>
        </w:rPr>
        <w:br w:type="page"/>
      </w:r>
      <w:bookmarkStart w:id="13" w:name="_Toc24882"/>
      <w:bookmarkStart w:id="14" w:name="_Toc14880"/>
      <w:bookmarkStart w:id="15" w:name="_Toc8850"/>
      <w:r>
        <w:rPr>
          <w:rFonts w:hint="eastAsia" w:asciiTheme="minorEastAsia" w:hAnsiTheme="minorEastAsia" w:eastAsiaTheme="minorEastAsia"/>
          <w:b/>
          <w:color w:val="auto"/>
          <w:sz w:val="24"/>
          <w:szCs w:val="24"/>
          <w:highlight w:val="none"/>
        </w:rPr>
        <w:t>二、</w:t>
      </w:r>
      <w:r>
        <w:rPr>
          <w:rFonts w:asciiTheme="minorEastAsia" w:hAnsiTheme="minorEastAsia" w:eastAsiaTheme="minorEastAsia"/>
          <w:b/>
          <w:color w:val="auto"/>
          <w:sz w:val="24"/>
          <w:szCs w:val="24"/>
          <w:highlight w:val="none"/>
        </w:rPr>
        <w:t>投标人须知</w:t>
      </w:r>
      <w:r>
        <w:rPr>
          <w:rFonts w:hint="eastAsia" w:asciiTheme="minorEastAsia" w:hAnsiTheme="minorEastAsia" w:eastAsiaTheme="minorEastAsia"/>
          <w:b/>
          <w:color w:val="auto"/>
          <w:sz w:val="24"/>
          <w:szCs w:val="24"/>
          <w:highlight w:val="none"/>
        </w:rPr>
        <w:t>正文</w:t>
      </w:r>
      <w:bookmarkEnd w:id="13"/>
      <w:bookmarkEnd w:id="14"/>
      <w:bookmarkEnd w:id="15"/>
    </w:p>
    <w:p w14:paraId="1BF44B3B">
      <w:pPr>
        <w:spacing w:line="360" w:lineRule="auto"/>
        <w:ind w:firstLine="437"/>
        <w:outlineLvl w:val="2"/>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1.采购人、采购代理机构及投标人</w:t>
      </w:r>
    </w:p>
    <w:p w14:paraId="6447FD2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.1采购人：是指依法开展政府采购活动的国家机关、事业单位、团体组织。</w:t>
      </w:r>
    </w:p>
    <w:p w14:paraId="45B9DC9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.2采购代理机构：是指集中采购机构或从事采购代理业务的社会中介机构。</w:t>
      </w:r>
    </w:p>
    <w:p w14:paraId="5422A99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.3政府采购监督管理部门：</w:t>
      </w:r>
      <w:r>
        <w:rPr>
          <w:rFonts w:hint="eastAsia" w:ascii="宋体" w:hAnsi="宋体" w:eastAsia="宋体"/>
          <w:color w:val="auto"/>
          <w:sz w:val="24"/>
          <w:highlight w:val="none"/>
        </w:rPr>
        <w:t>各级人民政府指定的有关部门依法履行与政府采购活动有关的监督管理职责。</w:t>
      </w:r>
    </w:p>
    <w:p w14:paraId="174AD00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.4投标人：是指向采购人提供货物、工程或者服务的法人、</w:t>
      </w:r>
      <w:r>
        <w:rPr>
          <w:rFonts w:hint="eastAsia" w:ascii="宋体" w:hAnsi="宋体" w:eastAsia="宋体"/>
          <w:color w:val="auto"/>
          <w:sz w:val="24"/>
          <w:highlight w:val="none"/>
          <w:lang w:val="en-US" w:eastAsia="zh-CN"/>
        </w:rPr>
        <w:t>其他</w:t>
      </w:r>
      <w:r>
        <w:rPr>
          <w:rFonts w:ascii="宋体" w:hAnsi="宋体" w:eastAsia="宋体"/>
          <w:color w:val="auto"/>
          <w:sz w:val="24"/>
          <w:highlight w:val="none"/>
        </w:rPr>
        <w:t>组织或者自然人。</w:t>
      </w:r>
      <w:r>
        <w:rPr>
          <w:rFonts w:hint="eastAsia" w:ascii="宋体" w:hAnsi="宋体" w:eastAsia="宋体"/>
          <w:color w:val="auto"/>
          <w:sz w:val="24"/>
          <w:highlight w:val="none"/>
        </w:rPr>
        <w:t>分支机构不得参加政府采购活动，但银行、保险、石油石化、电力、电信等特殊行业除外。</w:t>
      </w:r>
      <w:r>
        <w:rPr>
          <w:rFonts w:ascii="宋体" w:hAnsi="宋体" w:eastAsia="宋体"/>
          <w:color w:val="auto"/>
          <w:sz w:val="24"/>
          <w:highlight w:val="none"/>
        </w:rPr>
        <w:t>本项目的投标人须满足以下条件：</w:t>
      </w:r>
    </w:p>
    <w:p w14:paraId="7EB5FA6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4.</w:t>
      </w:r>
      <w:r>
        <w:rPr>
          <w:rFonts w:hint="eastAsia" w:ascii="宋体" w:hAnsi="宋体" w:eastAsia="宋体"/>
          <w:color w:val="auto"/>
          <w:sz w:val="24"/>
          <w:highlight w:val="none"/>
          <w:lang w:val="en-US" w:eastAsia="zh-CN"/>
        </w:rPr>
        <w:t>1</w:t>
      </w:r>
      <w:r>
        <w:rPr>
          <w:rFonts w:ascii="宋体" w:hAnsi="宋体" w:eastAsia="宋体"/>
          <w:color w:val="auto"/>
          <w:sz w:val="24"/>
          <w:highlight w:val="none"/>
        </w:rPr>
        <w:t>具备《中华人民共和国政府采购法》第二十二条关于供应商条件的规定，遵守本项目采购人本级和上级财政部门政府采购的有关规定。</w:t>
      </w:r>
    </w:p>
    <w:p w14:paraId="2D5D32B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4.</w:t>
      </w:r>
      <w:r>
        <w:rPr>
          <w:rFonts w:hint="eastAsia" w:ascii="宋体" w:hAnsi="宋体" w:eastAsia="宋体"/>
          <w:color w:val="auto"/>
          <w:sz w:val="24"/>
          <w:highlight w:val="none"/>
          <w:lang w:val="en-US" w:eastAsia="zh-CN"/>
        </w:rPr>
        <w:t>2</w:t>
      </w:r>
      <w:r>
        <w:rPr>
          <w:rFonts w:ascii="宋体" w:hAnsi="宋体" w:eastAsia="宋体"/>
          <w:color w:val="auto"/>
          <w:sz w:val="24"/>
          <w:highlight w:val="none"/>
        </w:rPr>
        <w:t>以采购代理机构认可的方式获得了本项目的招标文件。</w:t>
      </w:r>
    </w:p>
    <w:p w14:paraId="348DA65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4.</w:t>
      </w:r>
      <w:r>
        <w:rPr>
          <w:rFonts w:hint="eastAsia" w:ascii="宋体" w:hAnsi="宋体" w:eastAsia="宋体"/>
          <w:color w:val="auto"/>
          <w:sz w:val="24"/>
          <w:highlight w:val="none"/>
          <w:lang w:val="en-US" w:eastAsia="zh-CN"/>
        </w:rPr>
        <w:t>3</w:t>
      </w:r>
      <w:r>
        <w:rPr>
          <w:rFonts w:ascii="宋体" w:hAnsi="宋体" w:eastAsia="宋体"/>
          <w:color w:val="auto"/>
          <w:sz w:val="24"/>
          <w:highlight w:val="none"/>
        </w:rPr>
        <w:t>若</w:t>
      </w:r>
      <w:r>
        <w:rPr>
          <w:rFonts w:hint="eastAsia" w:ascii="宋体" w:hAnsi="宋体" w:eastAsia="宋体"/>
          <w:color w:val="auto"/>
          <w:sz w:val="24"/>
          <w:highlight w:val="none"/>
          <w:lang w:eastAsia="zh-CN"/>
        </w:rPr>
        <w:t>采购需求</w:t>
      </w:r>
      <w:r>
        <w:rPr>
          <w:rFonts w:ascii="宋体" w:hAnsi="宋体" w:eastAsia="宋体"/>
          <w:color w:val="auto"/>
          <w:sz w:val="24"/>
          <w:highlight w:val="none"/>
        </w:rPr>
        <w:t>中写明允许采购进口产品，投标人应保证所投产品可履行合法报通关手续进入中国关境内。</w:t>
      </w:r>
    </w:p>
    <w:p w14:paraId="59D57FE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若</w:t>
      </w:r>
      <w:r>
        <w:rPr>
          <w:rFonts w:hint="eastAsia" w:ascii="宋体" w:hAnsi="宋体" w:eastAsia="宋体"/>
          <w:color w:val="auto"/>
          <w:sz w:val="24"/>
          <w:highlight w:val="none"/>
          <w:lang w:eastAsia="zh-CN"/>
        </w:rPr>
        <w:t>采购需求</w:t>
      </w:r>
      <w:r>
        <w:rPr>
          <w:rFonts w:hint="eastAsia" w:ascii="宋体" w:hAnsi="宋体" w:eastAsia="宋体"/>
          <w:color w:val="auto"/>
          <w:sz w:val="24"/>
          <w:highlight w:val="none"/>
        </w:rPr>
        <w:t>中未写明允许采购进口产品，如投标人所投产品为进口产品，其投标将被认定为</w:t>
      </w:r>
      <w:r>
        <w:rPr>
          <w:rFonts w:hint="eastAsia" w:ascii="宋体" w:hAnsi="宋体" w:eastAsia="宋体"/>
          <w:b/>
          <w:color w:val="auto"/>
          <w:sz w:val="24"/>
          <w:highlight w:val="none"/>
        </w:rPr>
        <w:t>投标无效</w:t>
      </w:r>
      <w:r>
        <w:rPr>
          <w:rFonts w:hint="eastAsia" w:ascii="宋体" w:hAnsi="宋体" w:eastAsia="宋体"/>
          <w:color w:val="auto"/>
          <w:sz w:val="24"/>
          <w:highlight w:val="none"/>
        </w:rPr>
        <w:t>。</w:t>
      </w:r>
    </w:p>
    <w:p w14:paraId="7543ADC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w:t>
      </w:r>
      <w:r>
        <w:rPr>
          <w:rFonts w:hint="eastAsia" w:ascii="宋体" w:hAnsi="宋体" w:eastAsia="宋体"/>
          <w:color w:val="auto"/>
          <w:sz w:val="24"/>
          <w:highlight w:val="none"/>
        </w:rPr>
        <w:t>若招标公告</w:t>
      </w:r>
      <w:r>
        <w:rPr>
          <w:rFonts w:ascii="宋体" w:hAnsi="宋体" w:eastAsia="宋体"/>
          <w:color w:val="auto"/>
          <w:sz w:val="24"/>
          <w:highlight w:val="none"/>
        </w:rPr>
        <w:t>中允许联合体投标，对联合体规定如下：</w:t>
      </w:r>
    </w:p>
    <w:p w14:paraId="48AB86BF">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5.1两个以上供应商可以组成一个投标联合体，以一个投标人的身份投标。</w:t>
      </w:r>
      <w:r>
        <w:rPr>
          <w:rFonts w:ascii="宋体" w:hAnsi="宋体" w:eastAsia="宋体"/>
          <w:b w:val="0"/>
          <w:color w:val="auto"/>
          <w:sz w:val="24"/>
          <w:highlight w:val="none"/>
        </w:rPr>
        <w:t>联合体投标的，</w:t>
      </w:r>
      <w:r>
        <w:rPr>
          <w:rFonts w:hint="eastAsia" w:ascii="宋体" w:hAnsi="宋体" w:eastAsia="宋体"/>
          <w:b w:val="0"/>
          <w:color w:val="auto"/>
          <w:sz w:val="24"/>
          <w:highlight w:val="none"/>
        </w:rPr>
        <w:t>招标文件获取</w:t>
      </w:r>
      <w:r>
        <w:rPr>
          <w:rFonts w:ascii="宋体" w:hAnsi="宋体" w:eastAsia="宋体"/>
          <w:b w:val="0"/>
          <w:color w:val="auto"/>
          <w:sz w:val="24"/>
          <w:highlight w:val="none"/>
        </w:rPr>
        <w:t>手续由联合体</w:t>
      </w:r>
      <w:r>
        <w:rPr>
          <w:rFonts w:hint="eastAsia" w:ascii="宋体" w:hAnsi="宋体" w:eastAsia="宋体"/>
          <w:b w:val="0"/>
          <w:color w:val="auto"/>
          <w:sz w:val="24"/>
          <w:highlight w:val="none"/>
        </w:rPr>
        <w:t>中</w:t>
      </w:r>
      <w:r>
        <w:rPr>
          <w:rFonts w:ascii="宋体" w:hAnsi="宋体" w:eastAsia="宋体"/>
          <w:b w:val="0"/>
          <w:color w:val="auto"/>
          <w:sz w:val="24"/>
          <w:highlight w:val="none"/>
        </w:rPr>
        <w:t>任</w:t>
      </w:r>
      <w:r>
        <w:rPr>
          <w:rFonts w:hint="eastAsia" w:ascii="宋体" w:hAnsi="宋体" w:eastAsia="宋体"/>
          <w:b w:val="0"/>
          <w:color w:val="auto"/>
          <w:sz w:val="24"/>
          <w:highlight w:val="none"/>
        </w:rPr>
        <w:t>一成员单位</w:t>
      </w:r>
      <w:r>
        <w:rPr>
          <w:rFonts w:ascii="宋体" w:hAnsi="宋体" w:eastAsia="宋体"/>
          <w:b w:val="0"/>
          <w:color w:val="auto"/>
          <w:sz w:val="24"/>
          <w:highlight w:val="none"/>
        </w:rPr>
        <w:t>办理均可。</w:t>
      </w:r>
    </w:p>
    <w:p w14:paraId="0D5552E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5.2联合体各方均应符合《中华人民共和国政府采购法》第二十二条规定的条件。</w:t>
      </w:r>
    </w:p>
    <w:p w14:paraId="3AC83EF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5.3采购人根据采购项目对投标人的特殊要求，联合体中至少应当有一方符合相关规定。</w:t>
      </w:r>
    </w:p>
    <w:p w14:paraId="6CBBC58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5.4联合体各方应签订</w:t>
      </w:r>
      <w:r>
        <w:rPr>
          <w:rFonts w:hint="eastAsia" w:ascii="宋体" w:hAnsi="宋体" w:eastAsia="宋体"/>
          <w:color w:val="auto"/>
          <w:sz w:val="24"/>
          <w:highlight w:val="none"/>
        </w:rPr>
        <w:t>联合协议</w:t>
      </w:r>
      <w:r>
        <w:rPr>
          <w:rFonts w:ascii="宋体" w:hAnsi="宋体" w:eastAsia="宋体"/>
          <w:color w:val="auto"/>
          <w:sz w:val="24"/>
          <w:highlight w:val="none"/>
        </w:rPr>
        <w:t>，明确约定联合体各方承担的工作和相应的责任，并将</w:t>
      </w:r>
      <w:r>
        <w:rPr>
          <w:rFonts w:hint="eastAsia" w:ascii="宋体" w:hAnsi="宋体" w:eastAsia="宋体"/>
          <w:color w:val="auto"/>
          <w:sz w:val="24"/>
          <w:highlight w:val="none"/>
        </w:rPr>
        <w:t>联合协议</w:t>
      </w:r>
      <w:r>
        <w:rPr>
          <w:rFonts w:ascii="宋体" w:hAnsi="宋体" w:eastAsia="宋体"/>
          <w:color w:val="auto"/>
          <w:sz w:val="24"/>
          <w:highlight w:val="none"/>
        </w:rPr>
        <w:t>作为投标文件</w:t>
      </w:r>
      <w:r>
        <w:rPr>
          <w:rFonts w:hint="eastAsia" w:ascii="宋体" w:hAnsi="宋体" w:eastAsia="宋体"/>
          <w:color w:val="auto"/>
          <w:sz w:val="24"/>
          <w:highlight w:val="none"/>
        </w:rPr>
        <w:t>的</w:t>
      </w:r>
      <w:r>
        <w:rPr>
          <w:rFonts w:ascii="宋体" w:hAnsi="宋体" w:eastAsia="宋体"/>
          <w:color w:val="auto"/>
          <w:sz w:val="24"/>
          <w:highlight w:val="none"/>
        </w:rPr>
        <w:t>一部分提交。</w:t>
      </w:r>
    </w:p>
    <w:p w14:paraId="44326D0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5.5大中型企业、其他自然人、法人或者非法人组织与小型、微型企业组成联合体共同参加投标，</w:t>
      </w:r>
      <w:r>
        <w:rPr>
          <w:rFonts w:hint="eastAsia" w:ascii="宋体" w:hAnsi="宋体" w:eastAsia="宋体"/>
          <w:color w:val="auto"/>
          <w:sz w:val="24"/>
          <w:highlight w:val="none"/>
        </w:rPr>
        <w:t>联合协议中</w:t>
      </w:r>
      <w:r>
        <w:rPr>
          <w:rFonts w:ascii="宋体" w:hAnsi="宋体" w:eastAsia="宋体"/>
          <w:color w:val="auto"/>
          <w:sz w:val="24"/>
          <w:highlight w:val="none"/>
        </w:rPr>
        <w:t>应写明小型、微型企业的协议合同金额占到</w:t>
      </w:r>
      <w:r>
        <w:rPr>
          <w:rFonts w:hint="eastAsia" w:ascii="宋体" w:hAnsi="宋体" w:eastAsia="宋体"/>
          <w:color w:val="auto"/>
          <w:sz w:val="24"/>
          <w:highlight w:val="none"/>
        </w:rPr>
        <w:t>联合协议</w:t>
      </w:r>
      <w:r>
        <w:rPr>
          <w:rFonts w:ascii="宋体" w:hAnsi="宋体" w:eastAsia="宋体"/>
          <w:color w:val="auto"/>
          <w:sz w:val="24"/>
          <w:highlight w:val="none"/>
        </w:rPr>
        <w:t>投标总金额的比例。</w:t>
      </w:r>
    </w:p>
    <w:p w14:paraId="65024E8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5.6</w:t>
      </w:r>
      <w:r>
        <w:rPr>
          <w:rFonts w:hint="eastAsia" w:ascii="宋体" w:hAnsi="宋体" w:eastAsia="宋体"/>
          <w:color w:val="auto"/>
          <w:sz w:val="24"/>
          <w:highlight w:val="none"/>
        </w:rPr>
        <w:t>联合体中有同类资质的供应商按照联合体分工承担相同工作的，</w:t>
      </w:r>
      <w:r>
        <w:rPr>
          <w:rFonts w:ascii="宋体" w:hAnsi="宋体" w:eastAsia="宋体"/>
          <w:color w:val="auto"/>
          <w:sz w:val="24"/>
          <w:highlight w:val="none"/>
        </w:rPr>
        <w:t>应当按照</w:t>
      </w:r>
      <w:r>
        <w:rPr>
          <w:rFonts w:hint="eastAsia" w:ascii="宋体" w:hAnsi="宋体" w:eastAsia="宋体"/>
          <w:color w:val="auto"/>
          <w:sz w:val="24"/>
          <w:highlight w:val="none"/>
        </w:rPr>
        <w:t>资质等级较低的供应商确定资质等级。</w:t>
      </w:r>
    </w:p>
    <w:p w14:paraId="3F3C491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5.7以联合体形式参加政府采购活动的，联合体各方不得再单独参加或者与其他供应商另外组成联合体参加本项目投标，否则相关投标将被认定为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66A5B6E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5.8对联合体投标的其他资格要求见</w:t>
      </w:r>
      <w:r>
        <w:rPr>
          <w:rFonts w:hint="eastAsia" w:ascii="宋体" w:hAnsi="宋体" w:eastAsia="宋体"/>
          <w:color w:val="auto"/>
          <w:sz w:val="24"/>
          <w:highlight w:val="none"/>
          <w:lang w:val="en-US" w:eastAsia="zh-CN"/>
        </w:rPr>
        <w:t>申请人的</w:t>
      </w:r>
      <w:r>
        <w:rPr>
          <w:rFonts w:hint="eastAsia" w:ascii="宋体" w:hAnsi="宋体" w:eastAsia="宋体"/>
          <w:color w:val="auto"/>
          <w:sz w:val="24"/>
          <w:highlight w:val="none"/>
        </w:rPr>
        <w:t>资格</w:t>
      </w:r>
      <w:r>
        <w:rPr>
          <w:rFonts w:hint="eastAsia" w:ascii="宋体" w:hAnsi="宋体" w:eastAsia="宋体"/>
          <w:color w:val="auto"/>
          <w:sz w:val="24"/>
          <w:highlight w:val="none"/>
          <w:lang w:val="en-US" w:eastAsia="zh-CN"/>
        </w:rPr>
        <w:t>要求</w:t>
      </w:r>
      <w:r>
        <w:rPr>
          <w:rFonts w:ascii="宋体" w:hAnsi="宋体" w:eastAsia="宋体"/>
          <w:color w:val="auto"/>
          <w:sz w:val="24"/>
          <w:highlight w:val="none"/>
        </w:rPr>
        <w:t>。</w:t>
      </w:r>
    </w:p>
    <w:p w14:paraId="3AF83CAD">
      <w:pPr>
        <w:spacing w:line="360" w:lineRule="auto"/>
        <w:ind w:firstLine="437"/>
        <w:outlineLvl w:val="2"/>
        <w:rPr>
          <w:rFonts w:hint="default"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2.资金落实情况</w:t>
      </w:r>
    </w:p>
    <w:p w14:paraId="21683B0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本</w:t>
      </w:r>
      <w:r>
        <w:rPr>
          <w:rFonts w:hint="eastAsia" w:ascii="宋体" w:hAnsi="宋体" w:eastAsia="宋体"/>
          <w:color w:val="auto"/>
          <w:sz w:val="24"/>
          <w:highlight w:val="none"/>
        </w:rPr>
        <w:t>项目</w:t>
      </w:r>
      <w:r>
        <w:rPr>
          <w:rFonts w:hint="eastAsia" w:asciiTheme="minorEastAsia" w:hAnsiTheme="minorEastAsia" w:eastAsiaTheme="minorEastAsia"/>
          <w:color w:val="auto"/>
          <w:sz w:val="24"/>
          <w:highlight w:val="none"/>
        </w:rPr>
        <w:t>的采购人已获得足以支付本次招标后所签订的合同项下的资金。</w:t>
      </w:r>
    </w:p>
    <w:p w14:paraId="5ABFDD1D">
      <w:pPr>
        <w:spacing w:line="360" w:lineRule="auto"/>
        <w:ind w:firstLine="437"/>
        <w:outlineLvl w:val="2"/>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3.投标费用</w:t>
      </w:r>
    </w:p>
    <w:p w14:paraId="70F1B947">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不论投标的结果如何，投标人应承担所有与准备和参加投标有关的费用。</w:t>
      </w:r>
    </w:p>
    <w:p w14:paraId="1833B6B2">
      <w:pPr>
        <w:spacing w:line="360" w:lineRule="auto"/>
        <w:ind w:firstLine="437"/>
        <w:outlineLvl w:val="2"/>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4.适用法律</w:t>
      </w:r>
    </w:p>
    <w:p w14:paraId="3CBE5DC4">
      <w:pPr>
        <w:spacing w:line="360" w:lineRule="auto"/>
        <w:ind w:firstLine="435"/>
        <w:rPr>
          <w:rFonts w:hint="eastAsia" w:asciiTheme="minorEastAsia" w:hAnsiTheme="minorEastAsia" w:eastAsiaTheme="minorEastAsia"/>
          <w:b/>
          <w:color w:val="auto"/>
          <w:sz w:val="24"/>
          <w:highlight w:val="none"/>
          <w:lang w:val="en-US" w:eastAsia="zh-CN"/>
        </w:rPr>
      </w:pPr>
      <w:r>
        <w:rPr>
          <w:rFonts w:hint="eastAsia" w:ascii="宋体" w:hAnsi="宋体" w:eastAsia="宋体"/>
          <w:color w:val="auto"/>
          <w:sz w:val="24"/>
          <w:highlight w:val="none"/>
        </w:rPr>
        <w:t>本项目采购人、采购代理机构、投标人、评标委员会的相关行为均受《中华人民共和国政府采购法》、《中华人民共和国政府采购法实施条例》</w:t>
      </w:r>
      <w:r>
        <w:rPr>
          <w:rFonts w:hint="eastAsia" w:ascii="宋体" w:hAnsi="宋体" w:eastAsia="宋体"/>
          <w:color w:val="auto"/>
          <w:sz w:val="24"/>
          <w:highlight w:val="none"/>
          <w:lang w:val="en-US" w:eastAsia="zh-CN"/>
        </w:rPr>
        <w:t>及</w:t>
      </w:r>
      <w:r>
        <w:rPr>
          <w:rFonts w:hint="eastAsia" w:ascii="宋体" w:hAnsi="宋体" w:eastAsia="宋体"/>
          <w:color w:val="auto"/>
          <w:sz w:val="24"/>
          <w:highlight w:val="none"/>
        </w:rPr>
        <w:t>本项目本级和上级财政部门、政府采购监督管理部门的政府采购有关规定的约束，其权利受到上述法律法规的保护。</w:t>
      </w:r>
    </w:p>
    <w:p w14:paraId="6751937E">
      <w:pPr>
        <w:spacing w:line="360" w:lineRule="auto"/>
        <w:ind w:firstLine="437"/>
        <w:outlineLvl w:val="2"/>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5.招标文件构成</w:t>
      </w:r>
    </w:p>
    <w:p w14:paraId="0778BD5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5</w:t>
      </w:r>
      <w:r>
        <w:rPr>
          <w:rFonts w:hint="eastAsia" w:ascii="宋体" w:hAnsi="宋体" w:eastAsia="宋体"/>
          <w:color w:val="auto"/>
          <w:sz w:val="24"/>
          <w:highlight w:val="none"/>
        </w:rPr>
        <w:t>.1招标文件包括下列内容：</w:t>
      </w:r>
    </w:p>
    <w:p w14:paraId="4BA1FAD3">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第一章</w:t>
      </w:r>
      <w:r>
        <w:rPr>
          <w:rFonts w:asciiTheme="minorEastAsia" w:hAnsiTheme="minorEastAsia" w:eastAsiaTheme="minorEastAsia"/>
          <w:color w:val="auto"/>
          <w:sz w:val="24"/>
          <w:highlight w:val="none"/>
        </w:rPr>
        <w:t xml:space="preserve">  投标邀请</w:t>
      </w:r>
    </w:p>
    <w:p w14:paraId="5DE63B80">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第二章</w:t>
      </w:r>
      <w:r>
        <w:rPr>
          <w:rFonts w:asciiTheme="minorEastAsia" w:hAnsiTheme="minorEastAsia" w:eastAsiaTheme="minorEastAsia"/>
          <w:color w:val="auto"/>
          <w:sz w:val="24"/>
          <w:highlight w:val="none"/>
        </w:rPr>
        <w:t xml:space="preserve">  投标人须知</w:t>
      </w:r>
    </w:p>
    <w:p w14:paraId="6F799221">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第三章</w:t>
      </w:r>
      <w:r>
        <w:rPr>
          <w:rFonts w:asciiTheme="minorEastAsia" w:hAnsiTheme="minorEastAsia" w:eastAsiaTheme="minorEastAsia"/>
          <w:color w:val="auto"/>
          <w:sz w:val="24"/>
          <w:highlight w:val="none"/>
        </w:rPr>
        <w:t xml:space="preserve">  采购需求</w:t>
      </w:r>
    </w:p>
    <w:p w14:paraId="1038F698">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第四章</w:t>
      </w:r>
      <w:r>
        <w:rPr>
          <w:rFonts w:asciiTheme="minorEastAsia" w:hAnsiTheme="minorEastAsia" w:eastAsiaTheme="minorEastAsia"/>
          <w:color w:val="auto"/>
          <w:sz w:val="24"/>
          <w:highlight w:val="none"/>
        </w:rPr>
        <w:t xml:space="preserve">  评标</w:t>
      </w:r>
      <w:r>
        <w:rPr>
          <w:rFonts w:hint="eastAsia" w:asciiTheme="minorEastAsia" w:hAnsiTheme="minorEastAsia" w:eastAsiaTheme="minorEastAsia"/>
          <w:color w:val="auto"/>
          <w:sz w:val="24"/>
          <w:highlight w:val="none"/>
        </w:rPr>
        <w:t>方法</w:t>
      </w:r>
      <w:r>
        <w:rPr>
          <w:rFonts w:asciiTheme="minorEastAsia" w:hAnsiTheme="minorEastAsia" w:eastAsiaTheme="minorEastAsia"/>
          <w:color w:val="auto"/>
          <w:sz w:val="24"/>
          <w:highlight w:val="none"/>
        </w:rPr>
        <w:t>和标准</w:t>
      </w:r>
    </w:p>
    <w:p w14:paraId="01F50D0F">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第五章</w:t>
      </w:r>
      <w:r>
        <w:rPr>
          <w:rFonts w:asciiTheme="minorEastAsia" w:hAnsiTheme="minorEastAsia" w:eastAsiaTheme="minorEastAsia"/>
          <w:color w:val="auto"/>
          <w:sz w:val="24"/>
          <w:highlight w:val="none"/>
        </w:rPr>
        <w:t xml:space="preserve">  政府采购合同</w:t>
      </w:r>
    </w:p>
    <w:p w14:paraId="0AE12362">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第六章</w:t>
      </w:r>
      <w:r>
        <w:rPr>
          <w:rFonts w:asciiTheme="minorEastAsia" w:hAnsiTheme="minorEastAsia" w:eastAsiaTheme="minorEastAsia"/>
          <w:color w:val="auto"/>
          <w:sz w:val="24"/>
          <w:highlight w:val="none"/>
        </w:rPr>
        <w:t xml:space="preserve">  投标文件格式</w:t>
      </w:r>
    </w:p>
    <w:p w14:paraId="626B4731">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w:t>
      </w:r>
      <w:r>
        <w:rPr>
          <w:rFonts w:hint="eastAsia" w:asciiTheme="minorEastAsia" w:hAnsiTheme="minorEastAsia" w:eastAsiaTheme="minorEastAsia"/>
          <w:color w:val="auto"/>
          <w:sz w:val="24"/>
          <w:highlight w:val="none"/>
          <w:lang w:val="en-US" w:eastAsia="zh-CN"/>
        </w:rPr>
        <w:t>七</w:t>
      </w:r>
      <w:r>
        <w:rPr>
          <w:rFonts w:hint="eastAsia" w:asciiTheme="minorEastAsia" w:hAnsiTheme="minorEastAsia" w:eastAsiaTheme="minorEastAsia"/>
          <w:color w:val="auto"/>
          <w:sz w:val="24"/>
          <w:highlight w:val="none"/>
        </w:rPr>
        <w:t>章</w:t>
      </w:r>
      <w:r>
        <w:rPr>
          <w:rFonts w:asciiTheme="minorEastAsia" w:hAnsiTheme="minorEastAsia" w:eastAsiaTheme="minorEastAsia"/>
          <w:color w:val="auto"/>
          <w:sz w:val="24"/>
          <w:highlight w:val="none"/>
        </w:rPr>
        <w:t xml:space="preserve">  政府采购</w:t>
      </w:r>
      <w:r>
        <w:rPr>
          <w:rFonts w:hint="eastAsia" w:asciiTheme="minorEastAsia" w:hAnsiTheme="minorEastAsia" w:eastAsiaTheme="minorEastAsia"/>
          <w:color w:val="auto"/>
          <w:sz w:val="24"/>
          <w:highlight w:val="none"/>
        </w:rPr>
        <w:t>询问函和</w:t>
      </w:r>
      <w:r>
        <w:rPr>
          <w:rFonts w:asciiTheme="minorEastAsia" w:hAnsiTheme="minorEastAsia" w:eastAsiaTheme="minorEastAsia"/>
          <w:color w:val="auto"/>
          <w:sz w:val="24"/>
          <w:highlight w:val="none"/>
        </w:rPr>
        <w:t>质疑函范本</w:t>
      </w:r>
    </w:p>
    <w:p w14:paraId="6F1B6A6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现场</w:t>
      </w:r>
      <w:r>
        <w:rPr>
          <w:rFonts w:hint="eastAsia" w:asciiTheme="minorEastAsia" w:hAnsiTheme="minorEastAsia" w:eastAsiaTheme="minorEastAsia"/>
          <w:color w:val="auto"/>
          <w:sz w:val="24"/>
          <w:highlight w:val="none"/>
        </w:rPr>
        <w:t>考察</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标前答疑会</w:t>
      </w:r>
      <w:r>
        <w:rPr>
          <w:rFonts w:hint="eastAsia" w:asciiTheme="minorEastAsia" w:hAnsiTheme="minorEastAsia" w:eastAsiaTheme="minorEastAsia"/>
          <w:color w:val="auto"/>
          <w:sz w:val="24"/>
          <w:highlight w:val="none"/>
          <w:lang w:eastAsia="zh-CN"/>
        </w:rPr>
        <w:t>）</w:t>
      </w:r>
      <w:r>
        <w:rPr>
          <w:rFonts w:asciiTheme="minorEastAsia" w:hAnsiTheme="minorEastAsia" w:eastAsiaTheme="minorEastAsia"/>
          <w:color w:val="auto"/>
          <w:sz w:val="24"/>
          <w:highlight w:val="none"/>
        </w:rPr>
        <w:t>及相关事项见</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w:t>
      </w:r>
    </w:p>
    <w:p w14:paraId="22F13DC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原则上采购人、采购代理机构不要求投标人提供样品。仅凭书面方式不能准确描述采购需求，或者需要对样品进行主观判断以确认是否满足采购需求等特殊情况除外。</w:t>
      </w:r>
    </w:p>
    <w:p w14:paraId="4A616D0A">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如需提供样品，对样品相关要求见</w:t>
      </w:r>
      <w:r>
        <w:rPr>
          <w:rFonts w:hint="eastAsia" w:asciiTheme="minorEastAsia" w:hAnsiTheme="minorEastAsia" w:eastAsiaTheme="minorEastAsia"/>
          <w:color w:val="auto"/>
          <w:sz w:val="24"/>
          <w:highlight w:val="none"/>
        </w:rPr>
        <w:t>采购需求</w:t>
      </w:r>
      <w:r>
        <w:rPr>
          <w:rFonts w:asciiTheme="minorEastAsia" w:hAnsiTheme="minorEastAsia" w:eastAsiaTheme="minorEastAsia"/>
          <w:color w:val="auto"/>
          <w:sz w:val="24"/>
          <w:highlight w:val="none"/>
        </w:rPr>
        <w:t>，对样品的评审方法及评审标准见招标文件第</w:t>
      </w:r>
      <w:r>
        <w:rPr>
          <w:rFonts w:hint="eastAsia" w:asciiTheme="minorEastAsia" w:hAnsiTheme="minorEastAsia" w:eastAsiaTheme="minorEastAsia"/>
          <w:color w:val="auto"/>
          <w:sz w:val="24"/>
          <w:highlight w:val="none"/>
        </w:rPr>
        <w:t>四</w:t>
      </w:r>
      <w:r>
        <w:rPr>
          <w:rFonts w:asciiTheme="minorEastAsia" w:hAnsiTheme="minorEastAsia" w:eastAsiaTheme="minorEastAsia"/>
          <w:color w:val="auto"/>
          <w:sz w:val="24"/>
          <w:highlight w:val="none"/>
        </w:rPr>
        <w:t>章。</w:t>
      </w:r>
    </w:p>
    <w:p w14:paraId="0E44888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投标人应认真阅读招标文件所有的事项、格式、条款和技术规范等。</w:t>
      </w:r>
    </w:p>
    <w:p w14:paraId="22E01125">
      <w:pPr>
        <w:spacing w:line="360" w:lineRule="auto"/>
        <w:ind w:firstLine="437"/>
        <w:outlineLvl w:val="2"/>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6.招标文件的澄清与修改</w:t>
      </w:r>
    </w:p>
    <w:p w14:paraId="6466F50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投标人如对招标文件内容有疑问，必须在</w:t>
      </w:r>
      <w:r>
        <w:rPr>
          <w:rFonts w:ascii="宋体" w:hAnsi="宋体" w:eastAsia="宋体"/>
          <w:color w:val="auto"/>
          <w:sz w:val="24"/>
          <w:highlight w:val="none"/>
          <w:u w:val="single"/>
        </w:rPr>
        <w:t>投标人须知前附表</w:t>
      </w:r>
      <w:r>
        <w:rPr>
          <w:rFonts w:asciiTheme="minorEastAsia" w:hAnsiTheme="minorEastAsia" w:eastAsiaTheme="minorEastAsia"/>
          <w:color w:val="auto"/>
          <w:sz w:val="24"/>
          <w:highlight w:val="none"/>
        </w:rPr>
        <w:t>规定的</w:t>
      </w:r>
      <w:r>
        <w:rPr>
          <w:rFonts w:hint="eastAsia" w:asciiTheme="minorEastAsia" w:hAnsiTheme="minorEastAsia" w:eastAsiaTheme="minorEastAsia"/>
          <w:color w:val="auto"/>
          <w:sz w:val="24"/>
          <w:highlight w:val="none"/>
        </w:rPr>
        <w:t>网上询问</w:t>
      </w:r>
      <w:r>
        <w:rPr>
          <w:rFonts w:asciiTheme="minorEastAsia" w:hAnsiTheme="minorEastAsia" w:eastAsiaTheme="minorEastAsia"/>
          <w:color w:val="auto"/>
          <w:sz w:val="24"/>
          <w:highlight w:val="none"/>
        </w:rPr>
        <w:t>截止时间前以网上提问形式</w:t>
      </w:r>
      <w:r>
        <w:rPr>
          <w:rFonts w:hint="eastAsia" w:asciiTheme="minorEastAsia" w:hAnsiTheme="minorEastAsia" w:eastAsiaTheme="minorEastAsia"/>
          <w:color w:val="auto"/>
          <w:sz w:val="24"/>
          <w:highlight w:val="none"/>
        </w:rPr>
        <w:t>（电子交易系统）</w:t>
      </w:r>
      <w:r>
        <w:rPr>
          <w:rFonts w:asciiTheme="minorEastAsia" w:hAnsiTheme="minorEastAsia" w:eastAsiaTheme="minorEastAsia"/>
          <w:color w:val="auto"/>
          <w:sz w:val="24"/>
          <w:highlight w:val="none"/>
        </w:rPr>
        <w:t>提交给采购代理机构。</w:t>
      </w:r>
    </w:p>
    <w:p w14:paraId="593F48F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2采购人可主动地或在</w:t>
      </w:r>
      <w:r>
        <w:rPr>
          <w:rFonts w:hint="eastAsia" w:asciiTheme="minorEastAsia" w:hAnsiTheme="minorEastAsia" w:eastAsiaTheme="minorEastAsia"/>
          <w:color w:val="auto"/>
          <w:sz w:val="24"/>
          <w:highlight w:val="none"/>
          <w:lang w:val="en-US" w:eastAsia="zh-CN"/>
        </w:rPr>
        <w:t>答复</w:t>
      </w:r>
      <w:r>
        <w:rPr>
          <w:rFonts w:hint="eastAsia" w:asciiTheme="minorEastAsia" w:hAnsiTheme="minorEastAsia" w:eastAsiaTheme="minorEastAsia"/>
          <w:color w:val="auto"/>
          <w:sz w:val="24"/>
          <w:highlight w:val="none"/>
        </w:rPr>
        <w:t>投标人提出的</w:t>
      </w:r>
      <w:r>
        <w:rPr>
          <w:rFonts w:hint="eastAsia" w:asciiTheme="minorEastAsia" w:hAnsiTheme="minorEastAsia" w:eastAsiaTheme="minorEastAsia"/>
          <w:color w:val="auto"/>
          <w:sz w:val="24"/>
          <w:highlight w:val="none"/>
          <w:lang w:val="en-US" w:eastAsia="zh-CN"/>
        </w:rPr>
        <w:t>询问</w:t>
      </w:r>
      <w:r>
        <w:rPr>
          <w:rFonts w:hint="eastAsia" w:asciiTheme="minorEastAsia" w:hAnsiTheme="minorEastAsia" w:eastAsiaTheme="minorEastAsia"/>
          <w:color w:val="auto"/>
          <w:sz w:val="24"/>
          <w:highlight w:val="none"/>
        </w:rPr>
        <w:t>时对招标文件进行澄清与修改。</w:t>
      </w:r>
      <w:r>
        <w:rPr>
          <w:rFonts w:asciiTheme="minorEastAsia" w:hAnsiTheme="minorEastAsia" w:eastAsiaTheme="minorEastAsia"/>
          <w:color w:val="auto"/>
          <w:sz w:val="24"/>
          <w:highlight w:val="none"/>
        </w:rPr>
        <w:t>采购代理机构将</w:t>
      </w:r>
      <w:r>
        <w:rPr>
          <w:rFonts w:hint="eastAsia" w:asciiTheme="minorEastAsia" w:hAnsiTheme="minorEastAsia" w:eastAsiaTheme="minorEastAsia"/>
          <w:color w:val="auto"/>
          <w:sz w:val="24"/>
          <w:highlight w:val="none"/>
        </w:rPr>
        <w:t>在安徽省政府采购网以发布更正公告的方式</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澄清或修改招标文件，更正公告的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color w:val="auto"/>
          <w:sz w:val="24"/>
          <w:highlight w:val="none"/>
        </w:rPr>
        <w:t>作</w:t>
      </w:r>
      <w:r>
        <w:rPr>
          <w:rFonts w:asciiTheme="minorEastAsia" w:hAnsiTheme="minorEastAsia" w:eastAsiaTheme="minorEastAsia"/>
          <w:color w:val="auto"/>
          <w:sz w:val="24"/>
          <w:highlight w:val="none"/>
        </w:rPr>
        <w:t>为招标文件</w:t>
      </w:r>
      <w:r>
        <w:rPr>
          <w:rFonts w:hint="eastAsia" w:asciiTheme="minorEastAsia" w:hAnsiTheme="minorEastAsia" w:eastAsiaTheme="minorEastAsia"/>
          <w:color w:val="auto"/>
          <w:sz w:val="24"/>
          <w:highlight w:val="none"/>
        </w:rPr>
        <w:t>的</w:t>
      </w:r>
      <w:r>
        <w:rPr>
          <w:rFonts w:asciiTheme="minorEastAsia" w:hAnsiTheme="minorEastAsia" w:eastAsiaTheme="minorEastAsia"/>
          <w:color w:val="auto"/>
          <w:sz w:val="24"/>
          <w:highlight w:val="none"/>
        </w:rPr>
        <w:t>组成部分，对投标人起约束作用</w:t>
      </w:r>
      <w:r>
        <w:rPr>
          <w:rFonts w:hint="eastAsia" w:asciiTheme="minorEastAsia" w:hAnsiTheme="minorEastAsia" w:eastAsiaTheme="minorEastAsia"/>
          <w:color w:val="auto"/>
          <w:sz w:val="24"/>
          <w:highlight w:val="none"/>
        </w:rPr>
        <w:t>。投标人应主动上网查询。采购代理机构不承担投标人未及时关注相关信息引发的相关责任。</w:t>
      </w:r>
    </w:p>
    <w:p w14:paraId="2064E36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6</w:t>
      </w:r>
      <w:r>
        <w:rPr>
          <w:rFonts w:hint="eastAsia" w:ascii="宋体" w:hAnsi="宋体" w:eastAsia="宋体"/>
          <w:color w:val="auto"/>
          <w:sz w:val="24"/>
          <w:highlight w:val="none"/>
        </w:rPr>
        <w:t>.3任何人或任何组织向投标人提供的任何书面或口头资料，未经采购代理机构在网上发布或书面通知，均作无效处理，不得作为招标文件的组成部分。采购代理机构对投标人由此而做出的推论、理解和结论概不负责。</w:t>
      </w:r>
    </w:p>
    <w:p w14:paraId="1E10D61D">
      <w:pPr>
        <w:spacing w:line="360" w:lineRule="auto"/>
        <w:ind w:firstLine="435"/>
        <w:rPr>
          <w:rFonts w:asciiTheme="minorEastAsia" w:hAnsiTheme="minorEastAsia" w:eastAsiaTheme="minorEastAsia"/>
          <w:i/>
          <w:iCs/>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对于</w:t>
      </w:r>
      <w:r>
        <w:rPr>
          <w:rFonts w:ascii="宋体" w:hAnsi="宋体" w:eastAsia="宋体"/>
          <w:color w:val="auto"/>
          <w:sz w:val="24"/>
          <w:highlight w:val="none"/>
        </w:rPr>
        <w:t>没有</w:t>
      </w:r>
      <w:r>
        <w:rPr>
          <w:rFonts w:asciiTheme="minorEastAsia" w:hAnsiTheme="minorEastAsia" w:eastAsiaTheme="minorEastAsia"/>
          <w:color w:val="auto"/>
          <w:sz w:val="24"/>
          <w:highlight w:val="none"/>
        </w:rPr>
        <w:t>提出</w:t>
      </w:r>
      <w:r>
        <w:rPr>
          <w:rFonts w:hint="eastAsia" w:asciiTheme="minorEastAsia" w:hAnsiTheme="minorEastAsia" w:eastAsiaTheme="minorEastAsia"/>
          <w:color w:val="auto"/>
          <w:sz w:val="24"/>
          <w:highlight w:val="none"/>
        </w:rPr>
        <w:t>疑问</w:t>
      </w:r>
      <w:r>
        <w:rPr>
          <w:rFonts w:asciiTheme="minorEastAsia" w:hAnsiTheme="minorEastAsia" w:eastAsiaTheme="minorEastAsia"/>
          <w:color w:val="auto"/>
          <w:sz w:val="24"/>
          <w:highlight w:val="none"/>
        </w:rPr>
        <w:t>又参与了</w:t>
      </w:r>
      <w:r>
        <w:rPr>
          <w:rFonts w:hint="eastAsia" w:asciiTheme="minorEastAsia" w:hAnsiTheme="minorEastAsia" w:eastAsiaTheme="minorEastAsia"/>
          <w:color w:val="auto"/>
          <w:sz w:val="24"/>
          <w:highlight w:val="none"/>
        </w:rPr>
        <w:t>本</w:t>
      </w:r>
      <w:r>
        <w:rPr>
          <w:rFonts w:asciiTheme="minorEastAsia" w:hAnsiTheme="minorEastAsia" w:eastAsiaTheme="minorEastAsia"/>
          <w:color w:val="auto"/>
          <w:sz w:val="24"/>
          <w:highlight w:val="none"/>
        </w:rPr>
        <w:t>项目投标的</w:t>
      </w:r>
      <w:r>
        <w:rPr>
          <w:rFonts w:hint="eastAsia" w:asciiTheme="minorEastAsia" w:hAnsiTheme="minorEastAsia" w:eastAsiaTheme="minorEastAsia"/>
          <w:color w:val="auto"/>
          <w:sz w:val="24"/>
          <w:highlight w:val="none"/>
        </w:rPr>
        <w:t>投标人</w:t>
      </w:r>
      <w:r>
        <w:rPr>
          <w:rFonts w:asciiTheme="minorEastAsia" w:hAnsiTheme="minorEastAsia" w:eastAsiaTheme="minorEastAsia"/>
          <w:color w:val="auto"/>
          <w:sz w:val="24"/>
          <w:highlight w:val="none"/>
        </w:rPr>
        <w:t>将被视为完全认同</w:t>
      </w:r>
      <w:r>
        <w:rPr>
          <w:rFonts w:hint="eastAsia" w:asciiTheme="minorEastAsia" w:hAnsiTheme="minorEastAsia" w:eastAsiaTheme="minorEastAsia"/>
          <w:color w:val="auto"/>
          <w:sz w:val="24"/>
          <w:highlight w:val="none"/>
        </w:rPr>
        <w:t>本</w:t>
      </w:r>
      <w:r>
        <w:rPr>
          <w:rFonts w:asciiTheme="minorEastAsia" w:hAnsiTheme="minorEastAsia" w:eastAsiaTheme="minorEastAsia"/>
          <w:color w:val="auto"/>
          <w:sz w:val="24"/>
          <w:highlight w:val="none"/>
        </w:rPr>
        <w:t>招标文件（含</w:t>
      </w:r>
      <w:r>
        <w:rPr>
          <w:rFonts w:hint="eastAsia" w:asciiTheme="minorEastAsia" w:hAnsiTheme="minorEastAsia" w:eastAsiaTheme="minorEastAsia"/>
          <w:color w:val="auto"/>
          <w:sz w:val="24"/>
          <w:highlight w:val="none"/>
        </w:rPr>
        <w:t>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i/>
          <w:color w:val="auto"/>
          <w:sz w:val="24"/>
          <w:highlight w:val="none"/>
        </w:rPr>
        <w:t>。</w:t>
      </w:r>
    </w:p>
    <w:p w14:paraId="22EC0309">
      <w:pPr>
        <w:spacing w:line="360" w:lineRule="auto"/>
        <w:ind w:firstLine="437"/>
        <w:outlineLvl w:val="2"/>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7.投标范围及投标文件中标准和计量单位的使用</w:t>
      </w:r>
    </w:p>
    <w:p w14:paraId="681763A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.1</w:t>
      </w:r>
      <w:r>
        <w:rPr>
          <w:rFonts w:ascii="宋体" w:hAnsi="宋体" w:eastAsia="宋体"/>
          <w:color w:val="auto"/>
          <w:sz w:val="24"/>
          <w:highlight w:val="none"/>
        </w:rPr>
        <w:t>项目</w:t>
      </w:r>
      <w:r>
        <w:rPr>
          <w:rFonts w:asciiTheme="minorEastAsia" w:hAnsiTheme="minorEastAsia" w:eastAsiaTheme="minorEastAsia"/>
          <w:color w:val="auto"/>
          <w:sz w:val="24"/>
          <w:highlight w:val="none"/>
        </w:rPr>
        <w:t>有分包的，投标人可对招标文件其中某一个或几个分包进行投标，除非在</w:t>
      </w:r>
      <w:r>
        <w:rPr>
          <w:rFonts w:asciiTheme="minorEastAsia" w:hAnsiTheme="minorEastAsia" w:eastAsiaTheme="minorEastAsia"/>
          <w:color w:val="auto"/>
          <w:sz w:val="24"/>
          <w:highlight w:val="none"/>
          <w:u w:val="single"/>
        </w:rPr>
        <w:t>投标人须知前附表</w:t>
      </w:r>
      <w:r>
        <w:rPr>
          <w:rFonts w:asciiTheme="minorEastAsia" w:hAnsiTheme="minorEastAsia" w:eastAsiaTheme="minorEastAsia"/>
          <w:color w:val="auto"/>
          <w:sz w:val="24"/>
          <w:highlight w:val="none"/>
        </w:rPr>
        <w:t>中另有规定。</w:t>
      </w:r>
    </w:p>
    <w:p w14:paraId="5A35AAF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.2投标人应当对所投分包招标文件中“</w:t>
      </w:r>
      <w:r>
        <w:rPr>
          <w:rFonts w:hint="eastAsia" w:asciiTheme="minorEastAsia" w:hAnsiTheme="minorEastAsia" w:eastAsiaTheme="minorEastAsia"/>
          <w:color w:val="auto"/>
          <w:sz w:val="24"/>
          <w:highlight w:val="none"/>
        </w:rPr>
        <w:t>采购</w:t>
      </w:r>
      <w:r>
        <w:rPr>
          <w:rFonts w:asciiTheme="minorEastAsia" w:hAnsiTheme="minorEastAsia" w:eastAsiaTheme="minorEastAsia"/>
          <w:color w:val="auto"/>
          <w:sz w:val="24"/>
          <w:highlight w:val="none"/>
        </w:rPr>
        <w:t>需求”所列的所有内容进行投标，如仅响应</w:t>
      </w:r>
      <w:r>
        <w:rPr>
          <w:rFonts w:hint="eastAsia" w:asciiTheme="minorEastAsia" w:hAnsiTheme="minorEastAsia" w:eastAsiaTheme="minorEastAsia"/>
          <w:color w:val="auto"/>
          <w:sz w:val="24"/>
          <w:highlight w:val="none"/>
        </w:rPr>
        <w:t>所投包别</w:t>
      </w:r>
      <w:r>
        <w:rPr>
          <w:rFonts w:asciiTheme="minorEastAsia" w:hAnsiTheme="minorEastAsia" w:eastAsiaTheme="minorEastAsia"/>
          <w:color w:val="auto"/>
          <w:sz w:val="24"/>
          <w:highlight w:val="none"/>
        </w:rPr>
        <w:t>中的部分内容，其</w:t>
      </w:r>
      <w:r>
        <w:rPr>
          <w:rFonts w:hint="eastAsia" w:asciiTheme="minorEastAsia" w:hAnsiTheme="minorEastAsia" w:eastAsiaTheme="minorEastAsia"/>
          <w:color w:val="auto"/>
          <w:sz w:val="24"/>
          <w:highlight w:val="none"/>
        </w:rPr>
        <w:t>所投包别的</w:t>
      </w:r>
      <w:r>
        <w:rPr>
          <w:rFonts w:asciiTheme="minorEastAsia" w:hAnsiTheme="minorEastAsia" w:eastAsiaTheme="minorEastAsia"/>
          <w:color w:val="auto"/>
          <w:sz w:val="24"/>
          <w:highlight w:val="none"/>
        </w:rPr>
        <w:t>投标将被认定为</w:t>
      </w:r>
      <w:r>
        <w:rPr>
          <w:rFonts w:asciiTheme="minorEastAsia" w:hAnsiTheme="minorEastAsia" w:eastAsiaTheme="minorEastAsia"/>
          <w:b/>
          <w:color w:val="auto"/>
          <w:sz w:val="24"/>
          <w:highlight w:val="none"/>
        </w:rPr>
        <w:t>投标无效</w:t>
      </w:r>
      <w:r>
        <w:rPr>
          <w:rFonts w:asciiTheme="minorEastAsia" w:hAnsiTheme="minorEastAsia" w:eastAsiaTheme="minorEastAsia"/>
          <w:color w:val="auto"/>
          <w:sz w:val="24"/>
          <w:highlight w:val="none"/>
        </w:rPr>
        <w:t>。</w:t>
      </w:r>
    </w:p>
    <w:p w14:paraId="49E23BA5">
      <w:pPr>
        <w:spacing w:line="360" w:lineRule="auto"/>
        <w:ind w:firstLine="435"/>
        <w:rPr>
          <w:rFonts w:asciiTheme="minorEastAsia" w:hAnsiTheme="minorEastAsia" w:eastAsiaTheme="minorEastAsia"/>
          <w:color w:val="auto"/>
          <w:sz w:val="24"/>
          <w:highlight w:val="none"/>
        </w:rPr>
      </w:pPr>
      <w:bookmarkStart w:id="16" w:name="_Hlk16458980"/>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.3无论招标文件中是否要求，</w:t>
      </w:r>
      <w:r>
        <w:rPr>
          <w:rFonts w:hint="eastAsia" w:asciiTheme="minorEastAsia" w:hAnsiTheme="minorEastAsia" w:eastAsiaTheme="minorEastAsia"/>
          <w:color w:val="auto"/>
          <w:sz w:val="24"/>
          <w:highlight w:val="none"/>
        </w:rPr>
        <w:t>投标人所投货物及伴随的服务和工程均应符合国家强制性标准。</w:t>
      </w:r>
    </w:p>
    <w:bookmarkEnd w:id="16"/>
    <w:p w14:paraId="2CE9092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投标人与采购</w:t>
      </w:r>
      <w:r>
        <w:rPr>
          <w:rFonts w:hint="eastAsia" w:asciiTheme="minorEastAsia" w:hAnsiTheme="minorEastAsia" w:eastAsiaTheme="minorEastAsia"/>
          <w:color w:val="auto"/>
          <w:sz w:val="24"/>
          <w:highlight w:val="none"/>
        </w:rPr>
        <w:t>代理</w:t>
      </w:r>
      <w:r>
        <w:rPr>
          <w:rFonts w:asciiTheme="minorEastAsia" w:hAnsiTheme="minorEastAsia" w:eastAsiaTheme="minorEastAsia"/>
          <w:color w:val="auto"/>
          <w:sz w:val="24"/>
          <w:highlight w:val="none"/>
        </w:rPr>
        <w:t>机构之间与投标有关的所有往来通知、函件和投标文件均用中文表述。投标人随投标文件提供的证明文件和资料可以为其它语言，但必须附中文译文。翻译的中文资料与外文资料出现差异时，以中文为准。</w:t>
      </w:r>
    </w:p>
    <w:p w14:paraId="2B000BC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除</w:t>
      </w:r>
      <w:r>
        <w:rPr>
          <w:rFonts w:ascii="宋体" w:hAnsi="宋体" w:eastAsia="宋体"/>
          <w:color w:val="auto"/>
          <w:sz w:val="24"/>
          <w:highlight w:val="none"/>
        </w:rPr>
        <w:t>招标文件</w:t>
      </w:r>
      <w:r>
        <w:rPr>
          <w:rFonts w:asciiTheme="minorEastAsia" w:hAnsiTheme="minorEastAsia" w:eastAsiaTheme="minorEastAsia"/>
          <w:color w:val="auto"/>
          <w:sz w:val="24"/>
          <w:highlight w:val="none"/>
        </w:rPr>
        <w:t>中有特殊要求外，投标文件中所使用的计量单位，应采用中华人民共和国法定计量单位。</w:t>
      </w:r>
    </w:p>
    <w:p w14:paraId="3F5AC4E0">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投标文件构成</w:t>
      </w:r>
    </w:p>
    <w:p w14:paraId="25B2925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8</w:t>
      </w:r>
      <w:r>
        <w:rPr>
          <w:rFonts w:asciiTheme="minorEastAsia" w:hAnsiTheme="minorEastAsia" w:eastAsiaTheme="minorEastAsia"/>
          <w:color w:val="auto"/>
          <w:sz w:val="24"/>
          <w:highlight w:val="none"/>
        </w:rPr>
        <w:t>.1</w:t>
      </w:r>
      <w:r>
        <w:rPr>
          <w:rFonts w:ascii="宋体" w:hAnsi="宋体" w:eastAsia="宋体"/>
          <w:color w:val="auto"/>
          <w:sz w:val="24"/>
          <w:highlight w:val="none"/>
        </w:rPr>
        <w:t>投标人</w:t>
      </w:r>
      <w:r>
        <w:rPr>
          <w:rFonts w:asciiTheme="minorEastAsia" w:hAnsiTheme="minorEastAsia" w:eastAsiaTheme="minorEastAsia"/>
          <w:color w:val="auto"/>
          <w:sz w:val="24"/>
          <w:highlight w:val="none"/>
        </w:rPr>
        <w:t>应完整地按招标文件提供的投标文件格式及要求</w:t>
      </w:r>
      <w:r>
        <w:rPr>
          <w:rFonts w:hint="eastAsia" w:asciiTheme="minorEastAsia" w:hAnsiTheme="minorEastAsia" w:eastAsiaTheme="minorEastAsia"/>
          <w:color w:val="auto"/>
          <w:sz w:val="24"/>
          <w:highlight w:val="none"/>
        </w:rPr>
        <w:t>编</w:t>
      </w:r>
      <w:r>
        <w:rPr>
          <w:rFonts w:asciiTheme="minorEastAsia" w:hAnsiTheme="minorEastAsia" w:eastAsiaTheme="minorEastAsia"/>
          <w:color w:val="auto"/>
          <w:sz w:val="24"/>
          <w:highlight w:val="none"/>
        </w:rPr>
        <w:t>写投标文件，</w:t>
      </w:r>
      <w:r>
        <w:rPr>
          <w:rFonts w:hint="eastAsia" w:asciiTheme="minorEastAsia" w:hAnsiTheme="minorEastAsia" w:eastAsiaTheme="minorEastAsia"/>
          <w:color w:val="auto"/>
          <w:sz w:val="24"/>
          <w:highlight w:val="none"/>
        </w:rPr>
        <w:t>具体内容详见本项目投标文件格式的相关内容。</w:t>
      </w:r>
    </w:p>
    <w:p w14:paraId="254CF768">
      <w:pPr>
        <w:spacing w:line="360" w:lineRule="auto"/>
        <w:ind w:firstLine="435"/>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8.2</w:t>
      </w:r>
      <w:r>
        <w:rPr>
          <w:rFonts w:ascii="宋体" w:hAnsi="宋体" w:eastAsia="宋体"/>
          <w:color w:val="auto"/>
          <w:sz w:val="24"/>
          <w:highlight w:val="none"/>
        </w:rPr>
        <w:t>投标人</w:t>
      </w:r>
      <w:r>
        <w:rPr>
          <w:rFonts w:asciiTheme="minorEastAsia" w:hAnsiTheme="minorEastAsia" w:eastAsiaTheme="minorEastAsia"/>
          <w:color w:val="auto"/>
          <w:sz w:val="24"/>
          <w:highlight w:val="none"/>
        </w:rPr>
        <w:t>应提交</w:t>
      </w:r>
      <w:r>
        <w:rPr>
          <w:rFonts w:hint="eastAsia" w:asciiTheme="minorEastAsia" w:hAnsiTheme="minorEastAsia" w:eastAsiaTheme="minorEastAsia"/>
          <w:color w:val="auto"/>
          <w:sz w:val="24"/>
          <w:highlight w:val="none"/>
        </w:rPr>
        <w:t>招标文件要求的</w:t>
      </w:r>
      <w:r>
        <w:rPr>
          <w:rFonts w:asciiTheme="minorEastAsia" w:hAnsiTheme="minorEastAsia" w:eastAsiaTheme="minorEastAsia"/>
          <w:color w:val="auto"/>
          <w:sz w:val="24"/>
          <w:highlight w:val="none"/>
        </w:rPr>
        <w:t>证明文件，证明其投标内容符合招标文件规定</w:t>
      </w:r>
      <w:r>
        <w:rPr>
          <w:rFonts w:hint="eastAsia" w:asciiTheme="minorEastAsia" w:hAnsiTheme="minorEastAsia" w:eastAsiaTheme="minorEastAsia"/>
          <w:color w:val="auto"/>
          <w:sz w:val="24"/>
          <w:highlight w:val="none"/>
          <w:lang w:eastAsia="zh-CN"/>
        </w:rPr>
        <w:t>，</w:t>
      </w:r>
      <w:r>
        <w:rPr>
          <w:rFonts w:asciiTheme="minorEastAsia" w:hAnsiTheme="minorEastAsia" w:eastAsiaTheme="minorEastAsia"/>
          <w:color w:val="auto"/>
          <w:sz w:val="24"/>
          <w:highlight w:val="none"/>
        </w:rPr>
        <w:t>该证明文件是投标文件的一部分</w:t>
      </w:r>
      <w:r>
        <w:rPr>
          <w:rFonts w:hint="eastAsia" w:asciiTheme="minorEastAsia" w:hAnsiTheme="minorEastAsia" w:eastAsiaTheme="minorEastAsia"/>
          <w:color w:val="auto"/>
          <w:sz w:val="24"/>
          <w:highlight w:val="none"/>
          <w:lang w:eastAsia="zh-CN"/>
        </w:rPr>
        <w:t>。</w:t>
      </w:r>
      <w:r>
        <w:rPr>
          <w:rFonts w:asciiTheme="minorEastAsia" w:hAnsiTheme="minorEastAsia" w:eastAsiaTheme="minorEastAsia"/>
          <w:color w:val="auto"/>
          <w:sz w:val="24"/>
          <w:highlight w:val="none"/>
        </w:rPr>
        <w:t>证明文件</w:t>
      </w:r>
      <w:r>
        <w:rPr>
          <w:rFonts w:hint="eastAsia" w:asciiTheme="minorEastAsia" w:hAnsiTheme="minorEastAsia" w:eastAsiaTheme="minorEastAsia"/>
          <w:color w:val="auto"/>
          <w:sz w:val="24"/>
          <w:highlight w:val="none"/>
          <w:lang w:val="en-US" w:eastAsia="zh-CN"/>
        </w:rPr>
        <w:t>形式</w:t>
      </w:r>
      <w:r>
        <w:rPr>
          <w:rFonts w:asciiTheme="minorEastAsia" w:hAnsiTheme="minorEastAsia" w:eastAsiaTheme="minorEastAsia"/>
          <w:color w:val="auto"/>
          <w:sz w:val="24"/>
          <w:highlight w:val="none"/>
        </w:rPr>
        <w:t>可以是文字资料、图纸和数据</w:t>
      </w:r>
      <w:bookmarkStart w:id="17" w:name="_Hlk11703583"/>
      <w:r>
        <w:rPr>
          <w:rFonts w:hint="eastAsia" w:asciiTheme="minorEastAsia" w:hAnsiTheme="minorEastAsia" w:eastAsiaTheme="minorEastAsia"/>
          <w:color w:val="auto"/>
          <w:sz w:val="24"/>
          <w:highlight w:val="none"/>
          <w:lang w:val="en-US" w:eastAsia="zh-CN"/>
        </w:rPr>
        <w:t>等。</w:t>
      </w:r>
    </w:p>
    <w:bookmarkEnd w:id="17"/>
    <w:p w14:paraId="3482246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8.3</w:t>
      </w:r>
      <w:r>
        <w:rPr>
          <w:rFonts w:asciiTheme="minorEastAsia" w:hAnsiTheme="minorEastAsia" w:eastAsiaTheme="minorEastAsia"/>
          <w:color w:val="auto"/>
          <w:sz w:val="24"/>
          <w:highlight w:val="none"/>
        </w:rPr>
        <w:t>为保证</w:t>
      </w:r>
      <w:r>
        <w:rPr>
          <w:rFonts w:ascii="宋体" w:hAnsi="宋体" w:eastAsia="宋体"/>
          <w:color w:val="auto"/>
          <w:sz w:val="24"/>
          <w:highlight w:val="none"/>
        </w:rPr>
        <w:t>公平</w:t>
      </w:r>
      <w:r>
        <w:rPr>
          <w:rFonts w:asciiTheme="minorEastAsia" w:hAnsiTheme="minorEastAsia" w:eastAsiaTheme="minorEastAsia"/>
          <w:color w:val="auto"/>
          <w:sz w:val="24"/>
          <w:highlight w:val="none"/>
        </w:rPr>
        <w:t>公正，除非另有规定或说明，投标人对同一项目投标时，不得同时提供</w:t>
      </w:r>
      <w:r>
        <w:rPr>
          <w:rFonts w:hint="eastAsia" w:asciiTheme="minorEastAsia" w:hAnsiTheme="minorEastAsia" w:eastAsiaTheme="minorEastAsia"/>
          <w:color w:val="auto"/>
          <w:sz w:val="24"/>
          <w:highlight w:val="none"/>
        </w:rPr>
        <w:t>备选</w:t>
      </w:r>
      <w:r>
        <w:rPr>
          <w:rFonts w:asciiTheme="minorEastAsia" w:hAnsiTheme="minorEastAsia" w:eastAsiaTheme="minorEastAsia"/>
          <w:color w:val="auto"/>
          <w:sz w:val="24"/>
          <w:highlight w:val="none"/>
        </w:rPr>
        <w:t>投标方案。</w:t>
      </w:r>
    </w:p>
    <w:p w14:paraId="7B3C4DA9">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投标报价</w:t>
      </w:r>
    </w:p>
    <w:p w14:paraId="2380048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.1投标人的报价应当包括满足本次招标全部采购需求</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除招标文件另有规定外，</w:t>
      </w:r>
      <w:r>
        <w:rPr>
          <w:rFonts w:hint="eastAsia" w:asciiTheme="minorEastAsia" w:hAnsiTheme="minorEastAsia" w:eastAsiaTheme="minorEastAsia"/>
          <w:color w:val="auto"/>
          <w:sz w:val="24"/>
          <w:highlight w:val="none"/>
        </w:rPr>
        <w:t>所有投标均应以人民币报价。投标人的投标报价应遵守《中华人民共和国价格法》。</w:t>
      </w:r>
    </w:p>
    <w:p w14:paraId="08F5879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.2投标人报价超过招标文件规定的预算金额或者分项、分包最高限价，其投标将被认定为</w:t>
      </w:r>
      <w:r>
        <w:rPr>
          <w:rFonts w:asciiTheme="minorEastAsia" w:hAnsiTheme="minorEastAsia" w:eastAsiaTheme="minorEastAsia"/>
          <w:b/>
          <w:bCs/>
          <w:color w:val="auto"/>
          <w:sz w:val="24"/>
          <w:highlight w:val="none"/>
        </w:rPr>
        <w:t>投标无效</w:t>
      </w:r>
      <w:r>
        <w:rPr>
          <w:rFonts w:asciiTheme="minorEastAsia" w:hAnsiTheme="minorEastAsia" w:eastAsiaTheme="minorEastAsia"/>
          <w:color w:val="auto"/>
          <w:sz w:val="24"/>
          <w:highlight w:val="none"/>
        </w:rPr>
        <w:t>。</w:t>
      </w:r>
    </w:p>
    <w:p w14:paraId="1FF7AA1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投标报价</w:t>
      </w:r>
      <w:r>
        <w:rPr>
          <w:rFonts w:asciiTheme="minorEastAsia" w:hAnsiTheme="minorEastAsia" w:eastAsiaTheme="minorEastAsia"/>
          <w:color w:val="auto"/>
          <w:sz w:val="24"/>
          <w:highlight w:val="none"/>
        </w:rPr>
        <w:t>在合同履行过程中是固定不变的，不得以任何理由予以变更。任何包含价格调整要求的投标，其投标将被认定为</w:t>
      </w:r>
      <w:r>
        <w:rPr>
          <w:rFonts w:asciiTheme="minorEastAsia" w:hAnsiTheme="minorEastAsia" w:eastAsiaTheme="minorEastAsia"/>
          <w:b/>
          <w:color w:val="auto"/>
          <w:sz w:val="24"/>
          <w:highlight w:val="none"/>
        </w:rPr>
        <w:t>投标无效</w:t>
      </w:r>
      <w:r>
        <w:rPr>
          <w:rFonts w:asciiTheme="minorEastAsia" w:hAnsiTheme="minorEastAsia" w:eastAsiaTheme="minorEastAsia"/>
          <w:color w:val="auto"/>
          <w:sz w:val="24"/>
          <w:highlight w:val="none"/>
        </w:rPr>
        <w:t>。</w:t>
      </w:r>
    </w:p>
    <w:p w14:paraId="0323B79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采购人不接受具有附加条件的报价。</w:t>
      </w:r>
    </w:p>
    <w:p w14:paraId="4436AE6B">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0</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投标保证金</w:t>
      </w:r>
    </w:p>
    <w:p w14:paraId="2B006C8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0</w:t>
      </w:r>
      <w:r>
        <w:rPr>
          <w:rFonts w:hint="eastAsia" w:asciiTheme="minorEastAsia" w:hAnsiTheme="minorEastAsia" w:eastAsiaTheme="minorEastAsia"/>
          <w:color w:val="auto"/>
          <w:sz w:val="24"/>
          <w:highlight w:val="none"/>
        </w:rPr>
        <w:t>.1本项目不收取投标保证金。</w:t>
      </w:r>
    </w:p>
    <w:p w14:paraId="0405A4D3">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投标有效期</w:t>
      </w:r>
    </w:p>
    <w:p w14:paraId="52B8EBE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.1投标有效期为从投标截止之日算起的日历天数，投标有效期详见</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w:t>
      </w:r>
    </w:p>
    <w:p w14:paraId="473D222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.2在投标有效期内，投标人的投标保持有效，投标人不得要求撤销或修改其投标文件。投标有效期不满足要求的投标，其投标将被认定为</w:t>
      </w:r>
      <w:r>
        <w:rPr>
          <w:rFonts w:hint="eastAsia" w:asciiTheme="minorEastAsia" w:hAnsiTheme="minorEastAsia" w:eastAsiaTheme="minorEastAsia"/>
          <w:b/>
          <w:color w:val="auto"/>
          <w:sz w:val="24"/>
          <w:highlight w:val="none"/>
        </w:rPr>
        <w:t>投标无效</w:t>
      </w:r>
      <w:r>
        <w:rPr>
          <w:rFonts w:hint="eastAsia" w:asciiTheme="minorEastAsia" w:hAnsiTheme="minorEastAsia" w:eastAsiaTheme="minorEastAsia"/>
          <w:color w:val="auto"/>
          <w:sz w:val="24"/>
          <w:highlight w:val="none"/>
        </w:rPr>
        <w:t>。</w:t>
      </w:r>
    </w:p>
    <w:p w14:paraId="24BC8B80">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因特殊原因，采购人或采购代理机构可在原投标有效期截止之前，要求投标人延长投标文件的有效期。接受该要求的投标人将不会被要求和允许修正其投标。投标人也可以拒绝延长投标有效期的要求，且不承担任何责任。上述要求和答复都应以书面形式提交。</w:t>
      </w:r>
    </w:p>
    <w:p w14:paraId="69B28252">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投标文件的递交、修改与撤回</w:t>
      </w:r>
    </w:p>
    <w:p w14:paraId="458F10A0">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.1投标人应当在</w:t>
      </w:r>
      <w:r>
        <w:rPr>
          <w:rFonts w:hint="eastAsia" w:asciiTheme="minorEastAsia" w:hAnsiTheme="minorEastAsia" w:eastAsiaTheme="minorEastAsia"/>
          <w:color w:val="auto"/>
          <w:sz w:val="24"/>
          <w:highlight w:val="none"/>
          <w:lang w:val="en-US" w:eastAsia="zh-CN"/>
        </w:rPr>
        <w:t>招标公告</w:t>
      </w:r>
      <w:r>
        <w:rPr>
          <w:rFonts w:hint="eastAsia" w:asciiTheme="minorEastAsia" w:hAnsiTheme="minorEastAsia" w:eastAsiaTheme="minorEastAsia"/>
          <w:color w:val="auto"/>
          <w:sz w:val="24"/>
          <w:highlight w:val="none"/>
        </w:rPr>
        <w:t>规定的投标截止时间前</w:t>
      </w:r>
      <w:r>
        <w:rPr>
          <w:rFonts w:asciiTheme="minorEastAsia" w:hAnsiTheme="minorEastAsia" w:eastAsiaTheme="minorEastAsia"/>
          <w:color w:val="auto"/>
          <w:sz w:val="24"/>
          <w:highlight w:val="none"/>
        </w:rPr>
        <w:t>，将加密的投标文件</w:t>
      </w:r>
      <w:r>
        <w:rPr>
          <w:rFonts w:hint="eastAsia" w:asciiTheme="minorEastAsia" w:hAnsiTheme="minorEastAsia" w:eastAsiaTheme="minorEastAsia"/>
          <w:color w:val="auto"/>
          <w:sz w:val="24"/>
          <w:highlight w:val="none"/>
        </w:rPr>
        <w:t>在电子交易系统</w:t>
      </w:r>
      <w:r>
        <w:rPr>
          <w:rFonts w:asciiTheme="minorEastAsia" w:hAnsiTheme="minorEastAsia" w:eastAsiaTheme="minorEastAsia"/>
          <w:color w:val="auto"/>
          <w:sz w:val="24"/>
          <w:highlight w:val="none"/>
        </w:rPr>
        <w:t>上传。</w:t>
      </w:r>
    </w:p>
    <w:p w14:paraId="3B85D6BC">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2投标人应当在投标截止时间前完成投标文件的传输递交（以接收到电子签收凭证为准），并可以补充、修改或者撤回投标文件。投标截止时间前未完成投标文件传输的，视为撤回投标文件。未按规定加密或投标截止时间后送达的投标文件，电子交易系统应当拒收。</w:t>
      </w:r>
    </w:p>
    <w:p w14:paraId="6184B101">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开标</w:t>
      </w:r>
    </w:p>
    <w:p w14:paraId="3BF0DE5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开标时，</w:t>
      </w:r>
      <w:r>
        <w:rPr>
          <w:rFonts w:ascii="宋体" w:hAnsi="宋体" w:eastAsia="宋体" w:cs="宋体"/>
          <w:sz w:val="24"/>
          <w:szCs w:val="24"/>
          <w:highlight w:val="none"/>
        </w:rPr>
        <w:t>各投标人应在</w:t>
      </w:r>
      <w:r>
        <w:rPr>
          <w:rFonts w:ascii="宋体" w:hAnsi="宋体" w:eastAsia="宋体" w:cs="宋体"/>
          <w:sz w:val="24"/>
          <w:szCs w:val="24"/>
          <w:highlight w:val="none"/>
          <w:u w:val="single"/>
        </w:rPr>
        <w:t>投标人须知前附表</w:t>
      </w:r>
      <w:r>
        <w:rPr>
          <w:rFonts w:ascii="宋体" w:hAnsi="宋体" w:eastAsia="宋体" w:cs="宋体"/>
          <w:sz w:val="24"/>
          <w:szCs w:val="24"/>
          <w:highlight w:val="none"/>
        </w:rPr>
        <w:t>规定的解密时间前</w:t>
      </w:r>
      <w:r>
        <w:rPr>
          <w:rFonts w:asciiTheme="minorEastAsia" w:hAnsiTheme="minorEastAsia" w:eastAsiaTheme="minorEastAsia"/>
          <w:color w:val="auto"/>
          <w:sz w:val="24"/>
          <w:highlight w:val="none"/>
        </w:rPr>
        <w:t>对</w:t>
      </w:r>
      <w:r>
        <w:rPr>
          <w:rFonts w:hint="eastAsia" w:ascii="宋体" w:hAnsi="宋体" w:eastAsia="宋体" w:cs="宋体"/>
          <w:color w:val="auto"/>
          <w:sz w:val="24"/>
          <w:szCs w:val="24"/>
          <w:highlight w:val="none"/>
          <w:lang w:val="en-US" w:eastAsia="zh-CN"/>
        </w:rPr>
        <w:t>其</w:t>
      </w:r>
      <w:r>
        <w:rPr>
          <w:rFonts w:asciiTheme="minorEastAsia" w:hAnsiTheme="minorEastAsia" w:eastAsiaTheme="minorEastAsia"/>
          <w:color w:val="auto"/>
          <w:sz w:val="24"/>
          <w:highlight w:val="none"/>
        </w:rPr>
        <w:t>投标文件</w:t>
      </w:r>
      <w:r>
        <w:rPr>
          <w:rFonts w:hint="eastAsia" w:asciiTheme="minorEastAsia" w:hAnsiTheme="minorEastAsia" w:eastAsiaTheme="minorEastAsia"/>
          <w:color w:val="auto"/>
          <w:sz w:val="24"/>
          <w:highlight w:val="none"/>
        </w:rPr>
        <w:t>进行</w:t>
      </w:r>
      <w:r>
        <w:rPr>
          <w:rFonts w:asciiTheme="minorEastAsia" w:hAnsiTheme="minorEastAsia" w:eastAsiaTheme="minorEastAsia"/>
          <w:color w:val="auto"/>
          <w:sz w:val="24"/>
          <w:highlight w:val="none"/>
        </w:rPr>
        <w:t>解密。</w:t>
      </w:r>
    </w:p>
    <w:p w14:paraId="78BC477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开标时，采购代理机构将通过网上开标系统公布</w:t>
      </w:r>
      <w:r>
        <w:rPr>
          <w:rFonts w:hint="eastAsia" w:asciiTheme="minorEastAsia" w:hAnsiTheme="minorEastAsia" w:eastAsiaTheme="minorEastAsia"/>
          <w:color w:val="auto"/>
          <w:sz w:val="24"/>
          <w:highlight w:val="none"/>
        </w:rPr>
        <w:t>开标结果，公布内容包括投标人名称、投标价格及招标文件规定的内容。</w:t>
      </w:r>
    </w:p>
    <w:p w14:paraId="680C78F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采购人或采购代理机构将对开标过程进行记录，由参加开标的各投标人代表和相关工作人员签字确认，并存档备查。</w:t>
      </w:r>
    </w:p>
    <w:p w14:paraId="2E08B26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投标人未派代表参加开标的，视同投标人认可开标结果。</w:t>
      </w:r>
    </w:p>
    <w:p w14:paraId="3C118CB9">
      <w:pPr>
        <w:spacing w:line="360" w:lineRule="auto"/>
        <w:ind w:firstLine="435"/>
        <w:rPr>
          <w:rFonts w:asciiTheme="minorEastAsia" w:hAnsiTheme="minorEastAsia" w:eastAsiaTheme="minorEastAsia"/>
          <w:color w:val="auto"/>
          <w:sz w:val="28"/>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投标人代表对开标过程和开标记录有疑义，以及认为采购人、采购代理机构相关工作人员有需要回避的情形的，应当场提出询问或者回避申请。</w:t>
      </w:r>
    </w:p>
    <w:p w14:paraId="78EA4732">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4</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资格审查及组建评标委员会</w:t>
      </w:r>
    </w:p>
    <w:p w14:paraId="7B96823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.1采购人或采购代理机构依据法律法规和招标文件中规定的内</w:t>
      </w:r>
      <w:r>
        <w:rPr>
          <w:rFonts w:asciiTheme="minorEastAsia" w:hAnsiTheme="minorEastAsia" w:eastAsiaTheme="minorEastAsia"/>
          <w:color w:val="auto"/>
          <w:sz w:val="24"/>
          <w:highlight w:val="none"/>
        </w:rPr>
        <w:t>容</w:t>
      </w:r>
      <w:r>
        <w:rPr>
          <w:rFonts w:hint="eastAsia" w:asciiTheme="minorEastAsia" w:hAnsiTheme="minorEastAsia" w:eastAsiaTheme="minorEastAsia"/>
          <w:color w:val="auto"/>
          <w:sz w:val="24"/>
          <w:highlight w:val="none"/>
        </w:rPr>
        <w:t>，对投标人资格进行审查，未</w:t>
      </w:r>
      <w:r>
        <w:rPr>
          <w:rFonts w:asciiTheme="minorEastAsia" w:hAnsiTheme="minorEastAsia" w:eastAsiaTheme="minorEastAsia"/>
          <w:color w:val="auto"/>
          <w:sz w:val="24"/>
          <w:highlight w:val="none"/>
        </w:rPr>
        <w:t>通过资格审查的投标人</w:t>
      </w:r>
      <w:r>
        <w:rPr>
          <w:rFonts w:hint="eastAsia" w:asciiTheme="minorEastAsia" w:hAnsiTheme="minorEastAsia" w:eastAsiaTheme="minorEastAsia"/>
          <w:color w:val="auto"/>
          <w:sz w:val="24"/>
          <w:highlight w:val="none"/>
        </w:rPr>
        <w:t>不</w:t>
      </w:r>
      <w:r>
        <w:rPr>
          <w:rFonts w:asciiTheme="minorEastAsia" w:hAnsiTheme="minorEastAsia" w:eastAsiaTheme="minorEastAsia"/>
          <w:color w:val="auto"/>
          <w:sz w:val="24"/>
          <w:highlight w:val="none"/>
        </w:rPr>
        <w:t>进入评标</w:t>
      </w:r>
      <w:r>
        <w:rPr>
          <w:rFonts w:hint="eastAsia" w:asciiTheme="minorEastAsia" w:hAnsiTheme="minorEastAsia" w:eastAsiaTheme="minorEastAsia"/>
          <w:color w:val="auto"/>
          <w:sz w:val="24"/>
          <w:highlight w:val="none"/>
        </w:rPr>
        <w:t>。</w:t>
      </w:r>
    </w:p>
    <w:p w14:paraId="772527BE">
      <w:pPr>
        <w:spacing w:line="360" w:lineRule="auto"/>
        <w:ind w:firstLine="435"/>
        <w:rPr>
          <w:rFonts w:hint="eastAsia" w:ascii="宋体" w:hAnsi="宋体" w:eastAsia="宋体" w:cs="宋体"/>
          <w:color w:val="auto"/>
          <w:sz w:val="24"/>
          <w:szCs w:val="24"/>
          <w:highlight w:val="none"/>
        </w:rPr>
      </w:pPr>
      <w:bookmarkStart w:id="18" w:name="_Hlk24663244"/>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.2采购人或采购代理机构将在投标截止时间后至评审结束前通过“信用中国”网站(www.creditchina.gov.cn)、中国政府采购网(www.ccgp.gov.cn)查询相关投标人信用记录，并对</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信用记录进行甄别，对列入“信用中国”网站(www.creditchina.gov.cn)失信被执行人名单、重大税收违法案件当事人名单、中国政府采购网(www.ccgp.gov.cn)政府采购严重违法失信行为记录名单及其他不符合《中华人民共和国政府采购法》第二十二条规定条件的供应商，其投标将被认定为</w:t>
      </w:r>
      <w:r>
        <w:rPr>
          <w:rFonts w:hint="eastAsia" w:ascii="宋体" w:hAnsi="宋体" w:eastAsia="宋体" w:cs="宋体"/>
          <w:b/>
          <w:color w:val="auto"/>
          <w:sz w:val="24"/>
          <w:szCs w:val="24"/>
          <w:highlight w:val="none"/>
        </w:rPr>
        <w:t>投标无效</w:t>
      </w:r>
      <w:r>
        <w:rPr>
          <w:rFonts w:hint="eastAsia" w:ascii="宋体" w:hAnsi="宋体" w:eastAsia="宋体" w:cs="宋体"/>
          <w:color w:val="auto"/>
          <w:sz w:val="24"/>
          <w:szCs w:val="24"/>
          <w:highlight w:val="none"/>
        </w:rPr>
        <w:t>。</w:t>
      </w:r>
    </w:p>
    <w:p w14:paraId="15CDAB1E">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以联合体形式参加投标的，联合体成员存在以上不良信用记录的，联合体投标将被认定为</w:t>
      </w:r>
      <w:r>
        <w:rPr>
          <w:rFonts w:hint="eastAsia" w:ascii="宋体" w:hAnsi="宋体" w:eastAsia="宋体" w:cs="宋体"/>
          <w:b/>
          <w:color w:val="auto"/>
          <w:sz w:val="24"/>
          <w:szCs w:val="24"/>
          <w:highlight w:val="none"/>
        </w:rPr>
        <w:t>投标无效</w:t>
      </w:r>
      <w:r>
        <w:rPr>
          <w:rFonts w:hint="eastAsia" w:ascii="宋体" w:hAnsi="宋体" w:eastAsia="宋体" w:cs="宋体"/>
          <w:color w:val="auto"/>
          <w:sz w:val="24"/>
          <w:szCs w:val="24"/>
          <w:highlight w:val="none"/>
        </w:rPr>
        <w:t>。</w:t>
      </w:r>
    </w:p>
    <w:p w14:paraId="5793C52B">
      <w:pPr>
        <w:spacing w:line="360" w:lineRule="auto"/>
        <w:ind w:firstLine="435"/>
        <w:rPr>
          <w:rFonts w:asciiTheme="minorEastAsia" w:hAnsiTheme="minorEastAsia" w:eastAsiaTheme="minorEastAsia"/>
          <w:color w:val="auto"/>
          <w:sz w:val="24"/>
          <w:highlight w:val="none"/>
        </w:rPr>
      </w:pPr>
      <w:r>
        <w:rPr>
          <w:rFonts w:hint="eastAsia" w:ascii="宋体" w:hAnsi="宋体" w:eastAsia="宋体" w:cs="宋体"/>
          <w:color w:val="auto"/>
          <w:sz w:val="24"/>
          <w:szCs w:val="24"/>
          <w:highlight w:val="none"/>
        </w:rPr>
        <w:t>以上信用查询记录，采购人或采购代理机构将下载查询结果页面后与其他采购文件一并保存。投标人不良信用记录以采购人或采购代理机构查询结果为准。在本招标文件规定的查询时间之外，网站信息发生的任何变更均不作为资格审查依据。投标人自行提供的与网站信息不一致的其他证明材料亦不作为资格审查依据。</w:t>
      </w:r>
    </w:p>
    <w:bookmarkEnd w:id="18"/>
    <w:p w14:paraId="32CF1F0F">
      <w:pPr>
        <w:spacing w:line="360" w:lineRule="auto"/>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.3按照</w:t>
      </w:r>
      <w:r>
        <w:rPr>
          <w:rFonts w:hint="eastAsia" w:ascii="宋体" w:hAnsi="宋体" w:eastAsia="宋体"/>
          <w:color w:val="auto"/>
          <w:sz w:val="24"/>
          <w:highlight w:val="none"/>
        </w:rPr>
        <w:t>《</w:t>
      </w:r>
      <w:r>
        <w:rPr>
          <w:rFonts w:ascii="宋体" w:hAnsi="宋体" w:eastAsia="宋体"/>
          <w:color w:val="auto"/>
          <w:sz w:val="24"/>
          <w:highlight w:val="none"/>
        </w:rPr>
        <w:t>中华人民共和国政府采购法》</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《中华人民共和国政府采购</w:t>
      </w:r>
      <w:r>
        <w:rPr>
          <w:rFonts w:hint="eastAsia" w:asciiTheme="minorEastAsia" w:hAnsiTheme="minorEastAsia" w:eastAsiaTheme="minorEastAsia"/>
          <w:color w:val="auto"/>
          <w:sz w:val="24"/>
          <w:highlight w:val="none"/>
        </w:rPr>
        <w:t>法</w:t>
      </w:r>
      <w:r>
        <w:rPr>
          <w:rFonts w:asciiTheme="minorEastAsia" w:hAnsiTheme="minorEastAsia" w:eastAsiaTheme="minorEastAsia"/>
          <w:color w:val="auto"/>
          <w:sz w:val="24"/>
          <w:highlight w:val="none"/>
        </w:rPr>
        <w:t>实施条例》</w:t>
      </w:r>
      <w:r>
        <w:rPr>
          <w:rFonts w:hint="eastAsia" w:asciiTheme="minorEastAsia" w:hAnsiTheme="minorEastAsia" w:eastAsiaTheme="minorEastAsia"/>
          <w:color w:val="auto"/>
          <w:sz w:val="24"/>
          <w:highlight w:val="none"/>
        </w:rPr>
        <w:t>及本项目本级</w:t>
      </w:r>
      <w:r>
        <w:rPr>
          <w:rFonts w:asciiTheme="minorEastAsia" w:hAnsiTheme="minorEastAsia" w:eastAsiaTheme="minorEastAsia"/>
          <w:color w:val="auto"/>
          <w:sz w:val="24"/>
          <w:highlight w:val="none"/>
        </w:rPr>
        <w:t>和上级财政部门</w:t>
      </w:r>
      <w:r>
        <w:rPr>
          <w:rFonts w:hint="eastAsia" w:asciiTheme="minorEastAsia" w:hAnsiTheme="minorEastAsia" w:eastAsiaTheme="minorEastAsia"/>
          <w:color w:val="auto"/>
          <w:sz w:val="24"/>
          <w:highlight w:val="none"/>
        </w:rPr>
        <w:t>、政府采购监督管理部门的有关规定依法组建的</w:t>
      </w:r>
      <w:r>
        <w:rPr>
          <w:rFonts w:asciiTheme="minorEastAsia" w:hAnsiTheme="minorEastAsia" w:eastAsiaTheme="minorEastAsia"/>
          <w:color w:val="auto"/>
          <w:sz w:val="24"/>
          <w:highlight w:val="none"/>
        </w:rPr>
        <w:t>评标委员会</w:t>
      </w:r>
      <w:r>
        <w:rPr>
          <w:rFonts w:hint="eastAsia" w:asciiTheme="minorEastAsia" w:hAnsiTheme="minorEastAsia" w:eastAsiaTheme="minorEastAsia"/>
          <w:color w:val="auto"/>
          <w:sz w:val="24"/>
          <w:highlight w:val="none"/>
        </w:rPr>
        <w:t>，负责本项目评标工作。</w:t>
      </w:r>
    </w:p>
    <w:p w14:paraId="1677CDB9">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15</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投标文件符合性审查与澄清</w:t>
      </w:r>
    </w:p>
    <w:p w14:paraId="355060E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15</w:t>
      </w:r>
      <w:r>
        <w:rPr>
          <w:rFonts w:asciiTheme="minorEastAsia" w:hAnsiTheme="minorEastAsia" w:eastAsiaTheme="minorEastAsia"/>
          <w:color w:val="auto"/>
          <w:sz w:val="24"/>
          <w:highlight w:val="none"/>
        </w:rPr>
        <w:t>.1符合性审查是指依据招标文件的规定，从投标文件的有效性和完整性对招标文件的响应程度</w:t>
      </w:r>
      <w:r>
        <w:rPr>
          <w:rFonts w:ascii="宋体" w:hAnsi="宋体" w:eastAsia="宋体"/>
          <w:color w:val="auto"/>
          <w:sz w:val="24"/>
          <w:highlight w:val="none"/>
        </w:rPr>
        <w:t>进行</w:t>
      </w:r>
      <w:r>
        <w:rPr>
          <w:rFonts w:asciiTheme="minorEastAsia" w:hAnsiTheme="minorEastAsia" w:eastAsiaTheme="minorEastAsia"/>
          <w:color w:val="auto"/>
          <w:sz w:val="24"/>
          <w:highlight w:val="none"/>
        </w:rPr>
        <w:t>审查，以确定是否对招标文件的实质性要求做出响应。</w:t>
      </w:r>
    </w:p>
    <w:p w14:paraId="1ECDC98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15</w:t>
      </w:r>
      <w:r>
        <w:rPr>
          <w:rFonts w:asciiTheme="minorEastAsia" w:hAnsiTheme="minorEastAsia" w:eastAsiaTheme="minorEastAsia"/>
          <w:color w:val="auto"/>
          <w:sz w:val="24"/>
          <w:highlight w:val="none"/>
        </w:rPr>
        <w:t>.2如一个分包内只有一种产品，不同投标人所投产品为同一品牌的，按如下方式处理：</w:t>
      </w:r>
    </w:p>
    <w:p w14:paraId="4B6A6FA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.2.1如本项目使用最低评标价法，提供相同品牌产品的不同投标人以其中通过资格审查、符合性审查</w:t>
      </w:r>
      <w:r>
        <w:rPr>
          <w:rFonts w:hint="eastAsia" w:ascii="宋体" w:hAnsi="宋体" w:eastAsia="宋体"/>
          <w:color w:val="auto"/>
          <w:sz w:val="24"/>
          <w:highlight w:val="none"/>
          <w:lang w:eastAsia="zh-CN"/>
        </w:rPr>
        <w:t>、</w:t>
      </w:r>
      <w:r>
        <w:rPr>
          <w:rFonts w:hint="eastAsia" w:ascii="宋体" w:hAnsi="宋体" w:eastAsia="宋体" w:cs="Times New Roman"/>
          <w:sz w:val="24"/>
          <w:highlight w:val="none"/>
          <w:lang w:val="en-US" w:eastAsia="zh-CN"/>
        </w:rPr>
        <w:t>异常低价投标审查</w:t>
      </w:r>
      <w:r>
        <w:rPr>
          <w:rFonts w:ascii="宋体" w:hAnsi="宋体" w:eastAsia="宋体"/>
          <w:color w:val="auto"/>
          <w:sz w:val="24"/>
          <w:highlight w:val="none"/>
        </w:rPr>
        <w:t>且报价最低的参加评标；报价相同的，由采购人或者采购人委托评标委员会按照招标文件中评标</w:t>
      </w:r>
      <w:r>
        <w:rPr>
          <w:rFonts w:hint="eastAsia" w:ascii="宋体" w:hAnsi="宋体" w:eastAsia="宋体"/>
          <w:color w:val="auto"/>
          <w:sz w:val="24"/>
          <w:highlight w:val="none"/>
        </w:rPr>
        <w:t>方</w:t>
      </w:r>
      <w:r>
        <w:rPr>
          <w:rFonts w:ascii="宋体" w:hAnsi="宋体" w:eastAsia="宋体"/>
          <w:color w:val="auto"/>
          <w:sz w:val="24"/>
          <w:highlight w:val="none"/>
        </w:rPr>
        <w:t>法</w:t>
      </w:r>
      <w:r>
        <w:rPr>
          <w:rFonts w:hint="eastAsia" w:ascii="宋体" w:hAnsi="宋体" w:eastAsia="宋体"/>
          <w:color w:val="auto"/>
          <w:sz w:val="24"/>
          <w:highlight w:val="none"/>
        </w:rPr>
        <w:t>和标准</w:t>
      </w:r>
      <w:r>
        <w:rPr>
          <w:rFonts w:ascii="宋体" w:hAnsi="宋体" w:eastAsia="宋体"/>
          <w:color w:val="auto"/>
          <w:sz w:val="24"/>
          <w:highlight w:val="none"/>
        </w:rPr>
        <w:t>规定的方式确定一个参加评标的投标人；未规定的采取随机抽取方式确定，其他投标将被认定为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184ED16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.2.2如本项目使用综合评分法，提供相同品牌产品且通过资格审查、符合性审查</w:t>
      </w:r>
      <w:r>
        <w:rPr>
          <w:rFonts w:hint="eastAsia" w:ascii="宋体" w:hAnsi="宋体" w:eastAsia="宋体"/>
          <w:color w:val="auto"/>
          <w:sz w:val="24"/>
          <w:highlight w:val="none"/>
          <w:lang w:eastAsia="zh-CN"/>
        </w:rPr>
        <w:t>、</w:t>
      </w:r>
      <w:r>
        <w:rPr>
          <w:rFonts w:hint="eastAsia" w:ascii="宋体" w:hAnsi="宋体" w:eastAsia="宋体" w:cs="Times New Roman"/>
          <w:sz w:val="24"/>
          <w:highlight w:val="none"/>
          <w:lang w:val="en-US" w:eastAsia="zh-CN"/>
        </w:rPr>
        <w:t>异常低价投标审查</w:t>
      </w:r>
      <w:r>
        <w:rPr>
          <w:rFonts w:ascii="宋体" w:hAnsi="宋体" w:eastAsia="宋体"/>
          <w:color w:val="auto"/>
          <w:sz w:val="24"/>
          <w:highlight w:val="none"/>
        </w:rPr>
        <w:t>的不同投标人，按一家投标人计算，评审后得分最高的同品牌投标人获得中标人推荐资格；评审得分相同的，由采购人或者采购人委托评标委员会按照招标文件中评标</w:t>
      </w:r>
      <w:r>
        <w:rPr>
          <w:rFonts w:hint="eastAsia" w:ascii="宋体" w:hAnsi="宋体" w:eastAsia="宋体"/>
          <w:color w:val="auto"/>
          <w:sz w:val="24"/>
          <w:highlight w:val="none"/>
        </w:rPr>
        <w:t>方</w:t>
      </w:r>
      <w:r>
        <w:rPr>
          <w:rFonts w:ascii="宋体" w:hAnsi="宋体" w:eastAsia="宋体"/>
          <w:color w:val="auto"/>
          <w:sz w:val="24"/>
          <w:highlight w:val="none"/>
        </w:rPr>
        <w:t>法</w:t>
      </w:r>
      <w:r>
        <w:rPr>
          <w:rFonts w:hint="eastAsia" w:ascii="宋体" w:hAnsi="宋体" w:eastAsia="宋体"/>
          <w:color w:val="auto"/>
          <w:sz w:val="24"/>
          <w:highlight w:val="none"/>
        </w:rPr>
        <w:t>和标准</w:t>
      </w:r>
      <w:r>
        <w:rPr>
          <w:rFonts w:ascii="宋体" w:hAnsi="宋体" w:eastAsia="宋体"/>
          <w:color w:val="auto"/>
          <w:sz w:val="24"/>
          <w:highlight w:val="none"/>
        </w:rPr>
        <w:t>规定的方式确定一个投标人获得中标人推荐资格；未规定的采取随机抽取方式确定，其他同品牌投标人不作为中标候选人。</w:t>
      </w:r>
    </w:p>
    <w:p w14:paraId="10BFB16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15</w:t>
      </w:r>
      <w:r>
        <w:rPr>
          <w:rFonts w:asciiTheme="minorEastAsia" w:hAnsiTheme="minorEastAsia" w:eastAsiaTheme="minorEastAsia"/>
          <w:color w:val="auto"/>
          <w:sz w:val="24"/>
          <w:highlight w:val="none"/>
        </w:rPr>
        <w:t>.3如一个分包内包含多种产品的，采购人或采购代理机构将在</w:t>
      </w:r>
      <w:r>
        <w:rPr>
          <w:rFonts w:hint="eastAsia" w:asciiTheme="minorEastAsia" w:hAnsiTheme="minorEastAsia" w:eastAsiaTheme="minorEastAsia"/>
          <w:color w:val="auto"/>
          <w:sz w:val="24"/>
          <w:highlight w:val="none"/>
          <w:u w:val="none"/>
          <w:lang w:val="en-US" w:eastAsia="zh-CN"/>
        </w:rPr>
        <w:t>采购需求</w:t>
      </w:r>
      <w:r>
        <w:rPr>
          <w:rFonts w:asciiTheme="minorEastAsia" w:hAnsiTheme="minorEastAsia" w:eastAsiaTheme="minorEastAsia"/>
          <w:color w:val="auto"/>
          <w:sz w:val="24"/>
          <w:highlight w:val="none"/>
          <w:u w:val="none"/>
        </w:rPr>
        <w:t>中</w:t>
      </w:r>
      <w:r>
        <w:rPr>
          <w:rFonts w:asciiTheme="minorEastAsia" w:hAnsiTheme="minorEastAsia" w:eastAsiaTheme="minorEastAsia"/>
          <w:color w:val="auto"/>
          <w:sz w:val="24"/>
          <w:highlight w:val="none"/>
        </w:rPr>
        <w:t>载明核心产品，多家投标人提供的核心产品品牌相同的，按第</w:t>
      </w:r>
      <w:r>
        <w:rPr>
          <w:rFonts w:hint="eastAsia" w:asciiTheme="minorEastAsia" w:hAnsiTheme="minorEastAsia" w:eastAsiaTheme="minorEastAsia"/>
          <w:color w:val="auto"/>
          <w:sz w:val="24"/>
          <w:highlight w:val="none"/>
          <w:lang w:val="en-US" w:eastAsia="zh-CN"/>
        </w:rPr>
        <w:t>15</w:t>
      </w: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款</w:t>
      </w:r>
      <w:r>
        <w:rPr>
          <w:rFonts w:asciiTheme="minorEastAsia" w:hAnsiTheme="minorEastAsia" w:eastAsiaTheme="minorEastAsia"/>
          <w:color w:val="auto"/>
          <w:sz w:val="24"/>
          <w:highlight w:val="none"/>
        </w:rPr>
        <w:t>规定处理。</w:t>
      </w:r>
    </w:p>
    <w:p w14:paraId="3AC51D0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.4</w:t>
      </w:r>
      <w:r>
        <w:rPr>
          <w:rFonts w:hint="eastAsia" w:ascii="宋体" w:hAnsi="宋体" w:eastAsia="宋体"/>
          <w:color w:val="auto"/>
          <w:sz w:val="24"/>
          <w:highlight w:val="none"/>
        </w:rPr>
        <w:t>投标文件的澄清</w:t>
      </w:r>
    </w:p>
    <w:p w14:paraId="1B14E30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.4.1为有助于投标</w:t>
      </w:r>
      <w:r>
        <w:rPr>
          <w:rFonts w:hint="eastAsia" w:ascii="宋体" w:hAnsi="宋体" w:eastAsia="宋体"/>
          <w:color w:val="auto"/>
          <w:sz w:val="24"/>
          <w:highlight w:val="none"/>
        </w:rPr>
        <w:t>文件</w:t>
      </w:r>
      <w:r>
        <w:rPr>
          <w:rFonts w:ascii="宋体" w:hAnsi="宋体" w:eastAsia="宋体"/>
          <w:color w:val="auto"/>
          <w:sz w:val="24"/>
          <w:highlight w:val="none"/>
        </w:rPr>
        <w:t>的审查、评价和比较，在评标期间，评标委员会将以书面</w:t>
      </w:r>
      <w:r>
        <w:rPr>
          <w:rFonts w:hint="eastAsia" w:ascii="宋体" w:hAnsi="宋体" w:eastAsia="宋体"/>
          <w:color w:val="auto"/>
          <w:sz w:val="24"/>
          <w:highlight w:val="none"/>
        </w:rPr>
        <w:t>方式（询标）</w:t>
      </w:r>
      <w:r>
        <w:rPr>
          <w:rFonts w:ascii="宋体" w:hAnsi="宋体" w:eastAsia="宋体"/>
          <w:color w:val="auto"/>
          <w:sz w:val="24"/>
          <w:highlight w:val="none"/>
        </w:rPr>
        <w:t>要求投标人对其投标文件中含义不明确、对同类问题表述不一致或者有明显文字和计算错误的内容</w:t>
      </w:r>
      <w:r>
        <w:rPr>
          <w:rFonts w:hint="eastAsia" w:ascii="宋体" w:hAnsi="宋体" w:eastAsia="宋体"/>
          <w:color w:val="auto"/>
          <w:sz w:val="24"/>
          <w:highlight w:val="none"/>
          <w:lang w:val="en-US" w:eastAsia="zh-CN"/>
        </w:rPr>
        <w:t>等</w:t>
      </w:r>
      <w:r>
        <w:rPr>
          <w:rFonts w:ascii="宋体" w:hAnsi="宋体" w:eastAsia="宋体"/>
          <w:color w:val="auto"/>
          <w:sz w:val="24"/>
          <w:highlight w:val="none"/>
        </w:rPr>
        <w:t>作必要的澄清、说明或补正。投标人的澄清、说明或补正应在评标委员会规定的时间内以书面</w:t>
      </w:r>
      <w:r>
        <w:rPr>
          <w:rFonts w:hint="eastAsia" w:ascii="宋体" w:hAnsi="宋体" w:eastAsia="宋体"/>
          <w:color w:val="auto"/>
          <w:sz w:val="24"/>
          <w:highlight w:val="none"/>
        </w:rPr>
        <w:t>方式</w:t>
      </w:r>
      <w:r>
        <w:rPr>
          <w:rFonts w:ascii="宋体" w:hAnsi="宋体" w:eastAsia="宋体"/>
          <w:color w:val="auto"/>
          <w:sz w:val="24"/>
          <w:highlight w:val="none"/>
        </w:rPr>
        <w:t>进行，并不得超出投标文件范围或者改变投标文件的实质性内容。</w:t>
      </w:r>
    </w:p>
    <w:p w14:paraId="439B149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如有询标，投标人授权代表（或法定代表人）可通过远程登录的方式接受网上询标，也可凭本人有效身份证明参加询标。因投标人授权代表联系不上、没有及时登录系统等情形而无法接受评标委员会询标的，投标人自行承担相关风险。</w:t>
      </w:r>
      <w:r>
        <w:rPr>
          <w:rFonts w:hint="eastAsia" w:ascii="宋体" w:hAnsi="宋体" w:eastAsia="宋体" w:cs="宋体"/>
          <w:b/>
          <w:bCs/>
          <w:color w:val="auto"/>
          <w:sz w:val="24"/>
          <w:highlight w:val="none"/>
        </w:rPr>
        <w:t>本项目采用远程开标，具体操作方法详见服务指南&gt;交易须知&gt;开标大厅远程解密、质疑(异议)及回复以及评标过程中询标流程操作手册。</w:t>
      </w:r>
    </w:p>
    <w:p w14:paraId="2A1124F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15.</w:t>
      </w:r>
      <w:r>
        <w:rPr>
          <w:rFonts w:asciiTheme="minorEastAsia" w:hAnsiTheme="minorEastAsia" w:eastAsiaTheme="minorEastAsia"/>
          <w:color w:val="auto"/>
          <w:sz w:val="24"/>
          <w:highlight w:val="none"/>
        </w:rPr>
        <w:t>4.2</w:t>
      </w:r>
      <w:r>
        <w:rPr>
          <w:rFonts w:hint="eastAsia" w:asciiTheme="minorEastAsia" w:hAnsiTheme="minorEastAsia" w:eastAsiaTheme="minorEastAsia"/>
          <w:color w:val="auto"/>
          <w:sz w:val="24"/>
          <w:highlight w:val="none"/>
        </w:rPr>
        <w:t>投标人的澄清、说明或补正将作为投标文件的一部分。</w:t>
      </w:r>
    </w:p>
    <w:p w14:paraId="20B8299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15.</w:t>
      </w:r>
      <w:r>
        <w:rPr>
          <w:rFonts w:ascii="宋体" w:hAnsi="宋体" w:eastAsia="宋体"/>
          <w:color w:val="auto"/>
          <w:sz w:val="24"/>
          <w:highlight w:val="none"/>
        </w:rPr>
        <w:t>4.3评标委员会对投标人提交的澄清、说明或补正有疑问的，可以要求投标人进一步澄清、说明或补正，直至满足评标委员会的要求。</w:t>
      </w:r>
    </w:p>
    <w:p w14:paraId="1668303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15.</w:t>
      </w:r>
      <w:r>
        <w:rPr>
          <w:rFonts w:ascii="宋体" w:hAnsi="宋体" w:eastAsia="宋体"/>
          <w:color w:val="auto"/>
          <w:sz w:val="24"/>
          <w:highlight w:val="none"/>
        </w:rPr>
        <w:t>5投标文件报价出现前后不一致的，按照下列规定修正：</w:t>
      </w:r>
    </w:p>
    <w:p w14:paraId="5A45EFDF">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1</w:t>
      </w:r>
      <w:r>
        <w:rPr>
          <w:rFonts w:ascii="宋体" w:hAnsi="宋体" w:eastAsia="宋体"/>
          <w:color w:val="auto"/>
          <w:sz w:val="24"/>
          <w:highlight w:val="none"/>
        </w:rPr>
        <w:t>）投标文件中开标一览表内容与投标文件中相应内容不一致的，以开标一览表为准；</w:t>
      </w:r>
    </w:p>
    <w:p w14:paraId="3DD6BC84">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2</w:t>
      </w:r>
      <w:r>
        <w:rPr>
          <w:rFonts w:ascii="宋体" w:hAnsi="宋体" w:eastAsia="宋体"/>
          <w:color w:val="auto"/>
          <w:sz w:val="24"/>
          <w:highlight w:val="none"/>
        </w:rPr>
        <w:t>）大写金额和小写金额不一致的，以大写金额为准；</w:t>
      </w:r>
    </w:p>
    <w:p w14:paraId="0C911C7E">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3</w:t>
      </w:r>
      <w:r>
        <w:rPr>
          <w:rFonts w:ascii="宋体" w:hAnsi="宋体" w:eastAsia="宋体"/>
          <w:color w:val="auto"/>
          <w:sz w:val="24"/>
          <w:highlight w:val="none"/>
        </w:rPr>
        <w:t>）单价金额小数点或者百分比有明显错位的，以开标一览表的总价为准，并修改单价；</w:t>
      </w:r>
    </w:p>
    <w:p w14:paraId="29D58767">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4</w:t>
      </w:r>
      <w:r>
        <w:rPr>
          <w:rFonts w:ascii="宋体" w:hAnsi="宋体" w:eastAsia="宋体"/>
          <w:color w:val="auto"/>
          <w:sz w:val="24"/>
          <w:highlight w:val="none"/>
        </w:rPr>
        <w:t>）总价金额与按单价汇总金额不一致的，以单价金额计算结果为准。</w:t>
      </w:r>
    </w:p>
    <w:p w14:paraId="1FB71949">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同时出现两种以上不一致的，按照前款规定的顺序修正。修正后的报价按照第</w:t>
      </w:r>
      <w:r>
        <w:rPr>
          <w:rFonts w:hint="eastAsia" w:ascii="宋体" w:hAnsi="宋体" w:eastAsia="宋体"/>
          <w:color w:val="auto"/>
          <w:sz w:val="24"/>
          <w:highlight w:val="none"/>
          <w:lang w:eastAsia="zh-CN"/>
        </w:rPr>
        <w:t>15.</w:t>
      </w:r>
      <w:r>
        <w:rPr>
          <w:rFonts w:ascii="宋体" w:hAnsi="宋体" w:eastAsia="宋体"/>
          <w:color w:val="auto"/>
          <w:sz w:val="24"/>
          <w:highlight w:val="none"/>
        </w:rPr>
        <w:t>4条的规定经投标人确认后产生约束力，投标人不确认的，其投标将被认定为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45727384">
      <w:pPr>
        <w:spacing w:line="360" w:lineRule="auto"/>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color w:val="auto"/>
          <w:sz w:val="24"/>
          <w:highlight w:val="none"/>
        </w:rPr>
        <w:t>对不同文字文本投标文件的解释发生异议的，以中文文本为准。</w:t>
      </w:r>
    </w:p>
    <w:p w14:paraId="7CAFD645">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eastAsia="zh-CN"/>
        </w:rPr>
        <w:t>16.</w:t>
      </w:r>
      <w:r>
        <w:rPr>
          <w:rFonts w:hint="eastAsia" w:asciiTheme="minorEastAsia" w:hAnsiTheme="minorEastAsia" w:eastAsiaTheme="minorEastAsia"/>
          <w:b/>
          <w:color w:val="auto"/>
          <w:sz w:val="24"/>
          <w:highlight w:val="none"/>
        </w:rPr>
        <w:t>投标无效</w:t>
      </w:r>
    </w:p>
    <w:p w14:paraId="0B4310A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16.</w:t>
      </w:r>
      <w:r>
        <w:rPr>
          <w:rFonts w:asciiTheme="minorEastAsia" w:hAnsiTheme="minorEastAsia" w:eastAsiaTheme="minorEastAsia"/>
          <w:color w:val="auto"/>
          <w:sz w:val="24"/>
          <w:highlight w:val="none"/>
        </w:rPr>
        <w:t>1根据本</w:t>
      </w:r>
      <w:r>
        <w:rPr>
          <w:rFonts w:hint="eastAsia" w:asciiTheme="minorEastAsia" w:hAnsiTheme="minorEastAsia" w:eastAsiaTheme="minorEastAsia"/>
          <w:color w:val="auto"/>
          <w:sz w:val="24"/>
          <w:highlight w:val="none"/>
        </w:rPr>
        <w:t>招标文件</w:t>
      </w:r>
      <w:r>
        <w:rPr>
          <w:rFonts w:asciiTheme="minorEastAsia" w:hAnsiTheme="minorEastAsia" w:eastAsiaTheme="minorEastAsia"/>
          <w:color w:val="auto"/>
          <w:sz w:val="24"/>
          <w:highlight w:val="none"/>
        </w:rPr>
        <w:t>的规定，评标委员会要审查每份投标文件是否实质上响应了招标文件的要求。投标人不得通过修正或撤销不符合要求的偏离，从而使其投标成为实质上响应的投标。</w:t>
      </w:r>
    </w:p>
    <w:p w14:paraId="482CA25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评标委员会决定投标的响应性只根据招标文件要求和投标文件内容。</w:t>
      </w:r>
    </w:p>
    <w:p w14:paraId="15BA0AD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无论何种原因，即使投标人投标时携带了证书材料的原件，但投标文件中未提供与之内容完全一致的扫描件的，评标委员会视同其未提供。</w:t>
      </w:r>
    </w:p>
    <w:p w14:paraId="2BBE37E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16.</w:t>
      </w:r>
      <w:r>
        <w:rPr>
          <w:rFonts w:asciiTheme="minorEastAsia" w:hAnsiTheme="minorEastAsia" w:eastAsiaTheme="minorEastAsia"/>
          <w:color w:val="auto"/>
          <w:sz w:val="24"/>
          <w:highlight w:val="none"/>
        </w:rPr>
        <w:t>2如发现下列情况之一的，其投标将被认定为</w:t>
      </w:r>
      <w:r>
        <w:rPr>
          <w:rFonts w:asciiTheme="minorEastAsia" w:hAnsiTheme="minorEastAsia" w:eastAsiaTheme="minorEastAsia"/>
          <w:b/>
          <w:color w:val="auto"/>
          <w:sz w:val="24"/>
          <w:highlight w:val="none"/>
        </w:rPr>
        <w:t>投标无效</w:t>
      </w:r>
      <w:r>
        <w:rPr>
          <w:rFonts w:asciiTheme="minorEastAsia" w:hAnsiTheme="minorEastAsia" w:eastAsiaTheme="minorEastAsia"/>
          <w:color w:val="auto"/>
          <w:sz w:val="24"/>
          <w:highlight w:val="none"/>
        </w:rPr>
        <w:t>：</w:t>
      </w:r>
    </w:p>
    <w:p w14:paraId="6632826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1）投标文件未按照招标文件规定要求签署、盖章的；</w:t>
      </w:r>
    </w:p>
    <w:p w14:paraId="27075D2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2）不具备招标文件中规定的资格要求的；</w:t>
      </w:r>
    </w:p>
    <w:p w14:paraId="59C0C8A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3）报价超过招标文件中规定的预算金额或者最高限价的；</w:t>
      </w:r>
    </w:p>
    <w:p w14:paraId="4BEDABA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4）投标文件含有采购人不能接受的附加条件的；</w:t>
      </w:r>
    </w:p>
    <w:p w14:paraId="755B073D">
      <w:pPr>
        <w:spacing w:line="360" w:lineRule="auto"/>
        <w:ind w:firstLine="435"/>
        <w:rPr>
          <w:rFonts w:ascii="宋体" w:hAnsi="宋体" w:eastAsia="宋体"/>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5）法律、法规和招标文件规定的其他无效情形。</w:t>
      </w:r>
    </w:p>
    <w:p w14:paraId="7B4BAE0D">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eastAsia="zh-CN"/>
        </w:rPr>
        <w:t>17.</w:t>
      </w:r>
      <w:r>
        <w:rPr>
          <w:rFonts w:hint="eastAsia" w:asciiTheme="minorEastAsia" w:hAnsiTheme="minorEastAsia" w:eastAsiaTheme="minorEastAsia"/>
          <w:b/>
          <w:color w:val="auto"/>
          <w:sz w:val="24"/>
          <w:highlight w:val="none"/>
        </w:rPr>
        <w:t>比较与评价</w:t>
      </w:r>
    </w:p>
    <w:p w14:paraId="2684790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17.</w:t>
      </w:r>
      <w:r>
        <w:rPr>
          <w:rFonts w:hint="eastAsia" w:asciiTheme="minorEastAsia" w:hAnsiTheme="minorEastAsia" w:eastAsiaTheme="minorEastAsia"/>
          <w:color w:val="auto"/>
          <w:sz w:val="24"/>
          <w:highlight w:val="none"/>
        </w:rPr>
        <w:t>1经符合性审查合格</w:t>
      </w:r>
      <w:r>
        <w:rPr>
          <w:rFonts w:hint="eastAsia" w:ascii="宋体" w:hAnsi="宋体" w:eastAsia="宋体" w:cs="Times New Roman"/>
          <w:sz w:val="24"/>
          <w:highlight w:val="none"/>
          <w:lang w:val="en-US" w:eastAsia="zh-CN"/>
        </w:rPr>
        <w:t>并通过异常低价投标审查</w:t>
      </w:r>
      <w:r>
        <w:rPr>
          <w:rFonts w:hint="eastAsia" w:asciiTheme="minorEastAsia" w:hAnsiTheme="minorEastAsia" w:eastAsiaTheme="minorEastAsia"/>
          <w:color w:val="auto"/>
          <w:sz w:val="24"/>
          <w:highlight w:val="none"/>
        </w:rPr>
        <w:t>的投标文件，评标委员会将根据招标文件确定的评标方法和标准，对其投标文件作进一步的比较与评价。</w:t>
      </w:r>
    </w:p>
    <w:p w14:paraId="656220C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17.</w:t>
      </w:r>
      <w:r>
        <w:rPr>
          <w:rFonts w:hint="eastAsia" w:asciiTheme="minorEastAsia" w:hAnsiTheme="minorEastAsia" w:eastAsiaTheme="minorEastAsia"/>
          <w:color w:val="auto"/>
          <w:sz w:val="24"/>
          <w:highlight w:val="none"/>
        </w:rPr>
        <w:t>2评标严格按照</w:t>
      </w:r>
      <w:r>
        <w:rPr>
          <w:rFonts w:hint="eastAsia" w:ascii="宋体" w:hAnsi="宋体" w:eastAsia="宋体"/>
          <w:color w:val="auto"/>
          <w:sz w:val="24"/>
          <w:highlight w:val="none"/>
        </w:rPr>
        <w:t>招标文件</w:t>
      </w:r>
      <w:r>
        <w:rPr>
          <w:rFonts w:hint="eastAsia" w:asciiTheme="minorEastAsia" w:hAnsiTheme="minorEastAsia" w:eastAsiaTheme="minorEastAsia"/>
          <w:color w:val="auto"/>
          <w:sz w:val="24"/>
          <w:highlight w:val="none"/>
        </w:rPr>
        <w:t>的要求和条件进行。根据实际情况，在</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中规定采用下列一种评标方法，详细评标方法和标准见招标文件第四章：</w:t>
      </w:r>
    </w:p>
    <w:p w14:paraId="7DA9149C">
      <w:pPr>
        <w:spacing w:line="360" w:lineRule="auto"/>
        <w:ind w:firstLine="435"/>
        <w:rPr>
          <w:rFonts w:ascii="宋体" w:hAnsi="宋体" w:eastAsia="宋体"/>
          <w:color w:val="auto"/>
          <w:sz w:val="24"/>
          <w:highlight w:val="none"/>
        </w:rPr>
      </w:pPr>
      <w:r>
        <w:rPr>
          <w:rFonts w:hint="eastAsia" w:asciiTheme="minorEastAsia" w:hAnsiTheme="minorEastAsia" w:eastAsiaTheme="minorEastAsia"/>
          <w:color w:val="auto"/>
          <w:sz w:val="24"/>
          <w:highlight w:val="none"/>
        </w:rPr>
        <w:t>（</w:t>
      </w:r>
      <w:r>
        <w:rPr>
          <w:rFonts w:hint="eastAsia" w:ascii="宋体" w:hAnsi="宋体" w:eastAsia="宋体"/>
          <w:color w:val="auto"/>
          <w:sz w:val="24"/>
          <w:highlight w:val="none"/>
        </w:rPr>
        <w:t>1）最低评标价法，是指</w:t>
      </w:r>
      <w:r>
        <w:rPr>
          <w:rFonts w:ascii="宋体" w:hAnsi="宋体" w:eastAsia="宋体"/>
          <w:color w:val="auto"/>
          <w:sz w:val="24"/>
          <w:highlight w:val="none"/>
        </w:rPr>
        <w:t>投标文件满足招标文件全部实质性要求</w:t>
      </w:r>
      <w:r>
        <w:rPr>
          <w:rFonts w:hint="eastAsia" w:ascii="宋体" w:hAnsi="宋体" w:eastAsia="宋体"/>
          <w:color w:val="auto"/>
          <w:sz w:val="24"/>
          <w:highlight w:val="none"/>
        </w:rPr>
        <w:t>，</w:t>
      </w:r>
      <w:r>
        <w:rPr>
          <w:rFonts w:ascii="宋体" w:hAnsi="宋体" w:eastAsia="宋体"/>
          <w:color w:val="auto"/>
          <w:sz w:val="24"/>
          <w:highlight w:val="none"/>
        </w:rPr>
        <w:t>且投标报价最低的</w:t>
      </w:r>
      <w:r>
        <w:rPr>
          <w:rFonts w:hint="eastAsia" w:ascii="宋体" w:hAnsi="宋体" w:eastAsia="宋体"/>
          <w:color w:val="auto"/>
          <w:sz w:val="24"/>
          <w:highlight w:val="none"/>
        </w:rPr>
        <w:t>投标人</w:t>
      </w:r>
      <w:r>
        <w:rPr>
          <w:rFonts w:ascii="宋体" w:hAnsi="宋体" w:eastAsia="宋体"/>
          <w:color w:val="auto"/>
          <w:sz w:val="24"/>
          <w:highlight w:val="none"/>
        </w:rPr>
        <w:t>为中标</w:t>
      </w:r>
      <w:r>
        <w:rPr>
          <w:rFonts w:hint="eastAsia" w:ascii="宋体" w:hAnsi="宋体" w:eastAsia="宋体"/>
          <w:color w:val="auto"/>
          <w:sz w:val="24"/>
          <w:highlight w:val="none"/>
        </w:rPr>
        <w:t>候选</w:t>
      </w:r>
      <w:r>
        <w:rPr>
          <w:rFonts w:ascii="宋体" w:hAnsi="宋体" w:eastAsia="宋体"/>
          <w:color w:val="auto"/>
          <w:sz w:val="24"/>
          <w:highlight w:val="none"/>
        </w:rPr>
        <w:t>人的评标方法</w:t>
      </w:r>
      <w:r>
        <w:rPr>
          <w:rFonts w:hint="eastAsia" w:ascii="宋体" w:hAnsi="宋体" w:eastAsia="宋体"/>
          <w:color w:val="auto"/>
          <w:sz w:val="24"/>
          <w:highlight w:val="none"/>
        </w:rPr>
        <w:t>。</w:t>
      </w:r>
    </w:p>
    <w:p w14:paraId="217638C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（2）综合评分法，是</w:t>
      </w:r>
      <w:r>
        <w:rPr>
          <w:rFonts w:ascii="宋体" w:hAnsi="宋体" w:eastAsia="宋体"/>
          <w:color w:val="auto"/>
          <w:sz w:val="24"/>
          <w:highlight w:val="none"/>
        </w:rPr>
        <w:t>指投标文件满足招标</w:t>
      </w:r>
      <w:r>
        <w:rPr>
          <w:rFonts w:hint="eastAsia" w:ascii="宋体" w:hAnsi="宋体" w:eastAsia="宋体"/>
          <w:color w:val="auto"/>
          <w:sz w:val="24"/>
          <w:highlight w:val="none"/>
        </w:rPr>
        <w:t>文件</w:t>
      </w:r>
      <w:r>
        <w:rPr>
          <w:rFonts w:ascii="宋体" w:hAnsi="宋体" w:eastAsia="宋体"/>
          <w:color w:val="auto"/>
          <w:sz w:val="24"/>
          <w:highlight w:val="none"/>
        </w:rPr>
        <w:t>全部实质性要求</w:t>
      </w:r>
      <w:r>
        <w:rPr>
          <w:rFonts w:hint="eastAsia" w:ascii="宋体" w:hAnsi="宋体" w:eastAsia="宋体"/>
          <w:color w:val="auto"/>
          <w:sz w:val="24"/>
          <w:highlight w:val="none"/>
        </w:rPr>
        <w:t>，</w:t>
      </w:r>
      <w:r>
        <w:rPr>
          <w:rFonts w:ascii="宋体" w:hAnsi="宋体" w:eastAsia="宋体"/>
          <w:color w:val="auto"/>
          <w:sz w:val="24"/>
          <w:highlight w:val="none"/>
        </w:rPr>
        <w:t>且按照评审因素的</w:t>
      </w:r>
      <w:r>
        <w:rPr>
          <w:rFonts w:hint="eastAsia" w:ascii="宋体" w:hAnsi="宋体" w:eastAsia="宋体"/>
          <w:color w:val="auto"/>
          <w:sz w:val="24"/>
          <w:highlight w:val="none"/>
        </w:rPr>
        <w:t>量化</w:t>
      </w:r>
      <w:r>
        <w:rPr>
          <w:rFonts w:ascii="宋体" w:hAnsi="宋体" w:eastAsia="宋体"/>
          <w:color w:val="auto"/>
          <w:sz w:val="24"/>
          <w:highlight w:val="none"/>
        </w:rPr>
        <w:t>指标评审得分最高的</w:t>
      </w:r>
      <w:r>
        <w:rPr>
          <w:rFonts w:hint="eastAsia" w:ascii="宋体" w:hAnsi="宋体" w:eastAsia="宋体"/>
          <w:color w:val="auto"/>
          <w:sz w:val="24"/>
          <w:highlight w:val="none"/>
        </w:rPr>
        <w:t>投标人</w:t>
      </w:r>
      <w:r>
        <w:rPr>
          <w:rFonts w:ascii="宋体" w:hAnsi="宋体" w:eastAsia="宋体"/>
          <w:color w:val="auto"/>
          <w:sz w:val="24"/>
          <w:highlight w:val="none"/>
        </w:rPr>
        <w:t>为中标候选人的评标方法。</w:t>
      </w:r>
    </w:p>
    <w:p w14:paraId="7F8A219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17.</w:t>
      </w:r>
      <w:r>
        <w:rPr>
          <w:rFonts w:ascii="宋体" w:hAnsi="宋体" w:eastAsia="宋体"/>
          <w:color w:val="auto"/>
          <w:sz w:val="24"/>
          <w:highlight w:val="none"/>
        </w:rPr>
        <w:t>3根据《政府采购促进中小企业发展管理办法》（财库〔2020〕46号）、《三部门联合发布关于促进残疾人就业政府采购政策的通知》（财库〔2017〕141号）和《财政部司法部关于政府采购支持监狱企业发展有关问题的通知》（财库〔2014〕68号）的规定，对满足价格扣除条件且在投标文件中提交了《中小企业声明函》、《残疾人福利性单位声明函》或省级以上监狱管理局、戒毒管理局（含新疆生产建设兵团）出具的属于监狱企业的证明文件的投标人，其投标报价按照</w:t>
      </w:r>
      <w:r>
        <w:rPr>
          <w:rFonts w:ascii="宋体" w:hAnsi="宋体" w:eastAsia="宋体"/>
          <w:color w:val="auto"/>
          <w:sz w:val="24"/>
          <w:highlight w:val="none"/>
          <w:u w:val="single"/>
        </w:rPr>
        <w:t>投标人须知前附表</w:t>
      </w:r>
      <w:r>
        <w:rPr>
          <w:rFonts w:ascii="宋体" w:hAnsi="宋体" w:eastAsia="宋体"/>
          <w:color w:val="auto"/>
          <w:sz w:val="24"/>
          <w:highlight w:val="none"/>
        </w:rPr>
        <w:t>中规定的标准扣除后的价格参与评审。对于同时属于小微企</w:t>
      </w:r>
      <w:r>
        <w:rPr>
          <w:rFonts w:hint="eastAsia" w:ascii="宋体" w:hAnsi="宋体" w:eastAsia="宋体"/>
          <w:color w:val="auto"/>
          <w:sz w:val="24"/>
          <w:highlight w:val="none"/>
        </w:rPr>
        <w:t>业、监狱企业或残疾人福利性单位的，不重复进行投标报价扣除。</w:t>
      </w:r>
    </w:p>
    <w:p w14:paraId="405BDA3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接受大中型企业与小微企业组成联合体或者允许大中型企业向一家或者多家小微企业分包的，对于联合协议或者分包意向协议约定小微企业的合同份额占到合同总金额</w:t>
      </w:r>
      <w:r>
        <w:rPr>
          <w:rFonts w:ascii="宋体" w:hAnsi="宋体" w:eastAsia="宋体"/>
          <w:color w:val="auto"/>
          <w:sz w:val="24"/>
          <w:highlight w:val="none"/>
        </w:rPr>
        <w:t>30%以上的，可给予联合体或者大中型企业的投标报价按照</w:t>
      </w:r>
      <w:r>
        <w:rPr>
          <w:rFonts w:ascii="宋体" w:hAnsi="宋体" w:eastAsia="宋体"/>
          <w:color w:val="auto"/>
          <w:sz w:val="24"/>
          <w:highlight w:val="none"/>
          <w:u w:val="single"/>
        </w:rPr>
        <w:t>投标人须知前附表</w:t>
      </w:r>
      <w:r>
        <w:rPr>
          <w:rFonts w:ascii="宋体" w:hAnsi="宋体" w:eastAsia="宋体"/>
          <w:color w:val="auto"/>
          <w:sz w:val="24"/>
          <w:highlight w:val="none"/>
        </w:rPr>
        <w:t>中规定的标准扣除后的价格参与评审。组成联合体或者接受分包的小微企业与联合体内其他企业、分包企业之间存在直接控股、管理关系的，不享受价格扣除优惠政策。</w:t>
      </w:r>
    </w:p>
    <w:p w14:paraId="635B00E3">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以联合体形式参加政府采购活动，联合体各方均为中小企业的，联合体视同中小企业。其中，联合体各方均为小微企业的，联合体视同小微企业。</w:t>
      </w:r>
    </w:p>
    <w:p w14:paraId="220EF5B1">
      <w:pPr>
        <w:pStyle w:val="4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宋体" w:hAnsi="宋体" w:eastAsia="宋体" w:cs="宋体"/>
          <w:b w:val="0"/>
          <w:i w:val="0"/>
          <w:iCs w:val="0"/>
          <w:sz w:val="24"/>
          <w:szCs w:val="24"/>
          <w:highlight w:val="none"/>
          <w:lang w:val="en-US" w:eastAsia="zh-CN"/>
        </w:rPr>
      </w:pPr>
      <w:r>
        <w:rPr>
          <w:rFonts w:hint="eastAsia" w:ascii="宋体" w:hAnsi="宋体" w:eastAsia="宋体" w:cs="宋体"/>
          <w:b w:val="0"/>
          <w:i w:val="0"/>
          <w:iCs w:val="0"/>
          <w:sz w:val="24"/>
          <w:szCs w:val="24"/>
          <w:highlight w:val="none"/>
          <w:lang w:val="en-US" w:eastAsia="zh-CN"/>
        </w:rPr>
        <w:t>17.4根据《国务院办公厅关于在政府采购中实施本国产品标准及相关政策的通知》（国办发〔2025〕34号）和财政部工业和信息化部关于贯彻落实《国务院办公厅关于在政府采购中实施本国产品标准及相关政策的通知》的意见（财库〔2025〕30号），政府采购活动中既有本国产品又有非本国产品参与竞争的，依法对本国产品给予价格评审优惠，对本国产品的报价给予20%的价格扣除，用扣除后的价格参与评审。当采购项目或者采购包中含有多种产品，投标人为该采购项目或者采购包提供的符合本国产品标准的产品成本之和占该投标人提供的全部产品成本之和的比例达到80%以上时，依法对该投标人提供的全部产品给予价格评审优惠，即对该投标人提供的全部产品的总报价给予20%的价格扣除，用扣除后的价格参与评审。</w:t>
      </w:r>
    </w:p>
    <w:p w14:paraId="016554BB">
      <w:pPr>
        <w:pStyle w:val="4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宋体" w:hAnsi="宋体" w:eastAsia="宋体" w:cs="宋体"/>
          <w:b w:val="0"/>
          <w:i w:val="0"/>
          <w:iCs w:val="0"/>
          <w:sz w:val="24"/>
          <w:szCs w:val="24"/>
          <w:highlight w:val="none"/>
          <w:lang w:val="en-US" w:eastAsia="zh-CN"/>
        </w:rPr>
      </w:pPr>
      <w:r>
        <w:rPr>
          <w:rFonts w:hint="eastAsia" w:ascii="宋体" w:hAnsi="宋体" w:eastAsia="宋体" w:cs="宋体"/>
          <w:b w:val="0"/>
          <w:i w:val="0"/>
          <w:iCs w:val="0"/>
          <w:sz w:val="24"/>
          <w:szCs w:val="24"/>
          <w:highlight w:val="none"/>
          <w:lang w:val="en-US" w:eastAsia="zh-CN"/>
        </w:rPr>
        <w:t>评标委员会应当对投标人所出具的《关于符合本国产品标准的声明函》（以下简称《声明函》）的完整性、准确性进行审查，评审中发现《声明函》内容含义不明确、同类事项与投标文件表述不一致或者有明显文字错误等情况的，应当以书面形式要求投标人作出必要的澄清、说明或者补正。经澄清、说明或者补正的《声明函》仍然不符合规定要求的，投标人提供的相关产品视为不符合本国产品标准。</w:t>
      </w:r>
    </w:p>
    <w:p w14:paraId="6434D486">
      <w:pPr>
        <w:pStyle w:val="4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240" w:firstLineChars="100"/>
        <w:jc w:val="both"/>
        <w:textAlignment w:val="auto"/>
        <w:rPr>
          <w:rFonts w:hint="eastAsia" w:ascii="宋体" w:hAnsi="宋体" w:eastAsia="宋体" w:cs="宋体"/>
          <w:b w:val="0"/>
          <w:i w:val="0"/>
          <w:iCs w:val="0"/>
          <w:sz w:val="24"/>
          <w:szCs w:val="24"/>
          <w:highlight w:val="none"/>
          <w:lang w:val="en-US" w:eastAsia="zh-CN"/>
        </w:rPr>
      </w:pPr>
      <w:r>
        <w:rPr>
          <w:rFonts w:hint="eastAsia" w:ascii="宋体" w:hAnsi="宋体" w:eastAsia="宋体" w:cs="宋体"/>
          <w:b w:val="0"/>
          <w:i w:val="0"/>
          <w:iCs w:val="0"/>
          <w:sz w:val="24"/>
          <w:szCs w:val="24"/>
          <w:highlight w:val="none"/>
          <w:lang w:val="en-US" w:eastAsia="zh-CN"/>
        </w:rPr>
        <w:t>注：本项目所称的本国产品是指在中国境内生产的产品，即在中华人民共和国关境内实现从原材料、组件到产品的属性改变。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7D8A746B">
      <w:pPr>
        <w:pStyle w:val="4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240" w:firstLineChars="100"/>
        <w:jc w:val="both"/>
        <w:textAlignment w:val="auto"/>
        <w:rPr>
          <w:rFonts w:hint="eastAsia" w:ascii="宋体" w:hAnsi="宋体" w:eastAsia="宋体" w:cs="宋体"/>
          <w:b w:val="0"/>
          <w:i w:val="0"/>
          <w:iCs w:val="0"/>
          <w:sz w:val="24"/>
          <w:szCs w:val="24"/>
          <w:highlight w:val="none"/>
          <w:lang w:val="en-US" w:eastAsia="zh-CN"/>
        </w:rPr>
      </w:pPr>
      <w:r>
        <w:rPr>
          <w:rFonts w:hint="eastAsia" w:ascii="宋体" w:hAnsi="宋体" w:eastAsia="宋体" w:cs="宋体"/>
          <w:b w:val="0"/>
          <w:i w:val="0"/>
          <w:iCs w:val="0"/>
          <w:sz w:val="24"/>
          <w:szCs w:val="24"/>
          <w:highlight w:val="none"/>
          <w:lang w:val="en-US" w:eastAsia="zh-CN"/>
        </w:rPr>
        <w:t>17.5同时符合17.3和17.4的价格评审优惠时，评标价为投标报价分别扣除促进中小企业发展政策的价格评审优惠和本国产品支持政策的价格评审优惠后的价格。</w:t>
      </w:r>
    </w:p>
    <w:p w14:paraId="5CC32B44">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废标、重新招标与变更采购方式</w:t>
      </w:r>
    </w:p>
    <w:p w14:paraId="06E0650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18</w:t>
      </w:r>
      <w:r>
        <w:rPr>
          <w:rFonts w:hint="eastAsia" w:asciiTheme="minorEastAsia" w:hAnsiTheme="minorEastAsia" w:eastAsiaTheme="minorEastAsia"/>
          <w:color w:val="auto"/>
          <w:sz w:val="24"/>
          <w:highlight w:val="none"/>
        </w:rPr>
        <w:t>.1出现下列情形之一，将导致项目废标：</w:t>
      </w:r>
    </w:p>
    <w:p w14:paraId="2A56F4AA">
      <w:pPr>
        <w:spacing w:line="360" w:lineRule="auto"/>
        <w:ind w:firstLine="435"/>
        <w:rPr>
          <w:rFonts w:ascii="宋体" w:hAnsi="宋体" w:eastAsia="宋体"/>
          <w:color w:val="auto"/>
          <w:sz w:val="24"/>
          <w:highlight w:val="none"/>
        </w:rPr>
      </w:pPr>
      <w:r>
        <w:rPr>
          <w:rFonts w:hint="eastAsia" w:asciiTheme="minorEastAsia" w:hAnsiTheme="minorEastAsia" w:eastAsiaTheme="minorEastAsia"/>
          <w:color w:val="auto"/>
          <w:sz w:val="24"/>
          <w:highlight w:val="none"/>
        </w:rPr>
        <w:t>（</w:t>
      </w:r>
      <w:r>
        <w:rPr>
          <w:rFonts w:hint="eastAsia" w:ascii="宋体" w:hAnsi="宋体" w:eastAsia="宋体"/>
          <w:color w:val="auto"/>
          <w:sz w:val="24"/>
          <w:highlight w:val="none"/>
        </w:rPr>
        <w:t>1）符合专业条件的供应商或者对招标文件做实质性响应的供应商不足规定数量的；</w:t>
      </w:r>
    </w:p>
    <w:p w14:paraId="1EDF639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（2）出现影响采购公正的违法、违规行为的；</w:t>
      </w:r>
    </w:p>
    <w:p w14:paraId="500D309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（3）投标人的报价均超过了采购预算，采购人不能支付的；</w:t>
      </w:r>
    </w:p>
    <w:p w14:paraId="58EB54C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（4）因重大变故，采购任务取消的。</w:t>
      </w:r>
    </w:p>
    <w:p w14:paraId="1962E13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18</w:t>
      </w:r>
      <w:r>
        <w:rPr>
          <w:rFonts w:hint="eastAsia" w:asciiTheme="minorEastAsia" w:hAnsiTheme="minorEastAsia" w:eastAsiaTheme="minorEastAsia"/>
          <w:color w:val="auto"/>
          <w:sz w:val="24"/>
          <w:highlight w:val="none"/>
        </w:rPr>
        <w:t>.2公开招标数额标准以上的采购项目，投标截止后投标人不足</w:t>
      </w:r>
      <w:r>
        <w:rPr>
          <w:rFonts w:asciiTheme="minorEastAsia" w:hAnsiTheme="minorEastAsia" w:eastAsiaTheme="minorEastAsia"/>
          <w:color w:val="auto"/>
          <w:sz w:val="24"/>
          <w:highlight w:val="none"/>
        </w:rPr>
        <w:t>3家或者通过</w:t>
      </w:r>
      <w:r>
        <w:rPr>
          <w:rFonts w:hint="eastAsia" w:asciiTheme="minorEastAsia" w:hAnsiTheme="minorEastAsia" w:eastAsiaTheme="minorEastAsia"/>
          <w:color w:val="auto"/>
          <w:sz w:val="24"/>
          <w:highlight w:val="none"/>
        </w:rPr>
        <w:t>资格审查或符合性审查</w:t>
      </w:r>
      <w:r>
        <w:rPr>
          <w:rFonts w:hint="eastAsia" w:ascii="宋体" w:hAnsi="宋体" w:eastAsia="宋体" w:cs="Times New Roman"/>
          <w:color w:val="auto"/>
          <w:sz w:val="24"/>
          <w:highlight w:val="none"/>
        </w:rPr>
        <w:t>或异常低价投标审查</w:t>
      </w:r>
      <w:r>
        <w:rPr>
          <w:rFonts w:hint="eastAsia" w:asciiTheme="minorEastAsia" w:hAnsiTheme="minorEastAsia" w:eastAsiaTheme="minorEastAsia"/>
          <w:color w:val="auto"/>
          <w:sz w:val="24"/>
          <w:highlight w:val="none"/>
        </w:rPr>
        <w:t>的投标人不足</w:t>
      </w:r>
      <w:r>
        <w:rPr>
          <w:rFonts w:asciiTheme="minorEastAsia" w:hAnsiTheme="minorEastAsia" w:eastAsiaTheme="minorEastAsia"/>
          <w:color w:val="auto"/>
          <w:sz w:val="24"/>
          <w:highlight w:val="none"/>
        </w:rPr>
        <w:t>3家的，除采购任务取消情形外，按照以下方式处理：</w:t>
      </w:r>
    </w:p>
    <w:p w14:paraId="57C254C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（1）招标文件存在不合理条款或者招标程序不符合规定的，采购人、采购代理机构改正后依法重新招标；</w:t>
      </w:r>
    </w:p>
    <w:p w14:paraId="3A7D17E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（2）招标文件没有不合理条款、招标程序符合规定，需要采用其他采购方式采购的，采购人应当依法报</w:t>
      </w:r>
      <w:r>
        <w:rPr>
          <w:rFonts w:hint="eastAsia" w:ascii="宋体" w:hAnsi="宋体" w:eastAsia="宋体" w:cs="宋体"/>
          <w:b w:val="0"/>
          <w:bCs w:val="0"/>
          <w:color w:val="000000"/>
          <w:kern w:val="2"/>
          <w:sz w:val="24"/>
          <w:szCs w:val="24"/>
          <w:highlight w:val="none"/>
          <w:u w:val="none"/>
          <w:lang w:val="en-US" w:eastAsia="zh-CN" w:bidi="ar-SA"/>
        </w:rPr>
        <w:t>政府采购监督管理部门</w:t>
      </w:r>
      <w:r>
        <w:rPr>
          <w:rFonts w:hint="eastAsia" w:asciiTheme="minorEastAsia" w:hAnsiTheme="minorEastAsia" w:eastAsiaTheme="minorEastAsia"/>
          <w:color w:val="auto"/>
          <w:sz w:val="24"/>
          <w:highlight w:val="none"/>
        </w:rPr>
        <w:t>批准。</w:t>
      </w:r>
    </w:p>
    <w:p w14:paraId="2248A9B5">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保密要求</w:t>
      </w:r>
    </w:p>
    <w:p w14:paraId="487A3EE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19</w:t>
      </w:r>
      <w:r>
        <w:rPr>
          <w:rFonts w:hint="eastAsia" w:ascii="宋体" w:hAnsi="宋体" w:eastAsia="宋体"/>
          <w:color w:val="auto"/>
          <w:sz w:val="24"/>
          <w:highlight w:val="none"/>
        </w:rPr>
        <w:t>.1评标将在严格保密的情况下进行。</w:t>
      </w:r>
    </w:p>
    <w:p w14:paraId="2B9163E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19</w:t>
      </w:r>
      <w:r>
        <w:rPr>
          <w:rFonts w:hint="eastAsia" w:ascii="宋体" w:hAnsi="宋体" w:eastAsia="宋体"/>
          <w:color w:val="auto"/>
          <w:sz w:val="24"/>
          <w:highlight w:val="none"/>
        </w:rPr>
        <w:t>.2有关人员</w:t>
      </w:r>
      <w:r>
        <w:rPr>
          <w:rFonts w:ascii="宋体" w:hAnsi="宋体" w:eastAsia="宋体"/>
          <w:color w:val="auto"/>
          <w:sz w:val="24"/>
          <w:highlight w:val="none"/>
        </w:rPr>
        <w:t>应当</w:t>
      </w:r>
      <w:r>
        <w:rPr>
          <w:rFonts w:hint="eastAsia" w:ascii="宋体" w:hAnsi="宋体" w:eastAsia="宋体"/>
          <w:color w:val="auto"/>
          <w:sz w:val="24"/>
          <w:highlight w:val="none"/>
        </w:rPr>
        <w:t>遵</w:t>
      </w:r>
      <w:r>
        <w:rPr>
          <w:rFonts w:ascii="宋体" w:hAnsi="宋体" w:eastAsia="宋体"/>
          <w:color w:val="auto"/>
          <w:sz w:val="24"/>
          <w:highlight w:val="none"/>
        </w:rPr>
        <w:t>守评</w:t>
      </w:r>
      <w:r>
        <w:rPr>
          <w:rFonts w:hint="eastAsia" w:ascii="宋体" w:hAnsi="宋体" w:eastAsia="宋体"/>
          <w:color w:val="auto"/>
          <w:sz w:val="24"/>
          <w:highlight w:val="none"/>
        </w:rPr>
        <w:t>标</w:t>
      </w:r>
      <w:r>
        <w:rPr>
          <w:rFonts w:ascii="宋体" w:hAnsi="宋体" w:eastAsia="宋体"/>
          <w:color w:val="auto"/>
          <w:sz w:val="24"/>
          <w:highlight w:val="none"/>
        </w:rPr>
        <w:t>工作纪律，不得</w:t>
      </w:r>
      <w:r>
        <w:rPr>
          <w:rFonts w:hint="eastAsia" w:ascii="宋体" w:hAnsi="宋体" w:eastAsia="宋体"/>
          <w:color w:val="auto"/>
          <w:sz w:val="24"/>
          <w:highlight w:val="none"/>
        </w:rPr>
        <w:t>泄露</w:t>
      </w:r>
      <w:r>
        <w:rPr>
          <w:rFonts w:ascii="宋体" w:hAnsi="宋体" w:eastAsia="宋体"/>
          <w:color w:val="auto"/>
          <w:sz w:val="24"/>
          <w:highlight w:val="none"/>
        </w:rPr>
        <w:t>评</w:t>
      </w:r>
      <w:r>
        <w:rPr>
          <w:rFonts w:hint="eastAsia" w:ascii="宋体" w:hAnsi="宋体" w:eastAsia="宋体"/>
          <w:color w:val="auto"/>
          <w:sz w:val="24"/>
          <w:highlight w:val="none"/>
        </w:rPr>
        <w:t>标文件</w:t>
      </w:r>
      <w:r>
        <w:rPr>
          <w:rFonts w:ascii="宋体" w:hAnsi="宋体" w:eastAsia="宋体"/>
          <w:color w:val="auto"/>
          <w:sz w:val="24"/>
          <w:highlight w:val="none"/>
        </w:rPr>
        <w:t>、评</w:t>
      </w:r>
      <w:r>
        <w:rPr>
          <w:rFonts w:hint="eastAsia" w:ascii="宋体" w:hAnsi="宋体" w:eastAsia="宋体"/>
          <w:color w:val="auto"/>
          <w:sz w:val="24"/>
          <w:highlight w:val="none"/>
        </w:rPr>
        <w:t>标</w:t>
      </w:r>
      <w:r>
        <w:rPr>
          <w:rFonts w:ascii="宋体" w:hAnsi="宋体" w:eastAsia="宋体"/>
          <w:color w:val="auto"/>
          <w:sz w:val="24"/>
          <w:highlight w:val="none"/>
        </w:rPr>
        <w:t>情况和评</w:t>
      </w:r>
      <w:r>
        <w:rPr>
          <w:rFonts w:hint="eastAsia" w:ascii="宋体" w:hAnsi="宋体" w:eastAsia="宋体"/>
          <w:color w:val="auto"/>
          <w:sz w:val="24"/>
          <w:highlight w:val="none"/>
        </w:rPr>
        <w:t>标</w:t>
      </w:r>
      <w:r>
        <w:rPr>
          <w:rFonts w:ascii="宋体" w:hAnsi="宋体" w:eastAsia="宋体"/>
          <w:color w:val="auto"/>
          <w:sz w:val="24"/>
          <w:highlight w:val="none"/>
        </w:rPr>
        <w:t>中获悉的</w:t>
      </w:r>
      <w:r>
        <w:rPr>
          <w:rFonts w:hint="eastAsia" w:ascii="宋体" w:hAnsi="宋体" w:eastAsia="宋体"/>
          <w:color w:val="auto"/>
          <w:sz w:val="24"/>
          <w:highlight w:val="none"/>
        </w:rPr>
        <w:t>国家秘密、</w:t>
      </w:r>
      <w:r>
        <w:rPr>
          <w:rFonts w:ascii="宋体" w:hAnsi="宋体" w:eastAsia="宋体"/>
          <w:color w:val="auto"/>
          <w:sz w:val="24"/>
          <w:highlight w:val="none"/>
        </w:rPr>
        <w:t>商业秘密。</w:t>
      </w:r>
    </w:p>
    <w:p w14:paraId="20F65F27">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0</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中标候选人的确定原则及标准</w:t>
      </w:r>
    </w:p>
    <w:p w14:paraId="64DA52B1">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0</w:t>
      </w:r>
      <w:r>
        <w:rPr>
          <w:rFonts w:asciiTheme="minorEastAsia" w:hAnsiTheme="minorEastAsia" w:eastAsiaTheme="minorEastAsia"/>
          <w:color w:val="auto"/>
          <w:sz w:val="24"/>
          <w:highlight w:val="none"/>
        </w:rPr>
        <w:t>.1评</w:t>
      </w:r>
      <w:r>
        <w:rPr>
          <w:rFonts w:hint="eastAsia" w:asciiTheme="minorEastAsia" w:hAnsiTheme="minorEastAsia" w:eastAsiaTheme="minorEastAsia"/>
          <w:color w:val="auto"/>
          <w:sz w:val="24"/>
          <w:highlight w:val="none"/>
        </w:rPr>
        <w:t>标</w:t>
      </w:r>
      <w:r>
        <w:rPr>
          <w:rFonts w:asciiTheme="minorEastAsia" w:hAnsiTheme="minorEastAsia" w:eastAsiaTheme="minorEastAsia"/>
          <w:color w:val="auto"/>
          <w:sz w:val="24"/>
          <w:highlight w:val="none"/>
        </w:rPr>
        <w:t>委员会依据本项目招标文件所约定的评标方法，对实质上响应招标文件的投标人按下列方法进行排序</w:t>
      </w:r>
      <w:r>
        <w:rPr>
          <w:rFonts w:hint="eastAsia" w:asciiTheme="minorEastAsia" w:hAnsiTheme="minorEastAsia" w:eastAsiaTheme="minorEastAsia"/>
          <w:color w:val="auto"/>
          <w:sz w:val="24"/>
          <w:highlight w:val="none"/>
        </w:rPr>
        <w:t>，确定中标候选人</w:t>
      </w:r>
      <w:r>
        <w:rPr>
          <w:rFonts w:asciiTheme="minorEastAsia" w:hAnsiTheme="minorEastAsia" w:eastAsiaTheme="minorEastAsia"/>
          <w:color w:val="auto"/>
          <w:sz w:val="24"/>
          <w:highlight w:val="none"/>
        </w:rPr>
        <w:t>：</w:t>
      </w:r>
    </w:p>
    <w:p w14:paraId="291D26D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1）采用最低评标价法的，除了算术修正和落实政府采购政策需进行的价格扣除外，不对投标人的投标价格进行任何调整。评标结果按修正和扣除后的投标报价由低到高顺序排列。修正和扣除后的投标报价</w:t>
      </w:r>
      <w:r>
        <w:rPr>
          <w:rFonts w:hint="eastAsia" w:asciiTheme="minorEastAsia" w:hAnsiTheme="minorEastAsia" w:eastAsiaTheme="minorEastAsia"/>
          <w:color w:val="auto"/>
          <w:sz w:val="24"/>
          <w:highlight w:val="none"/>
        </w:rPr>
        <w:t>出现两家或两家以上相同者，则所投产品为节能产品、环境标志产品、不发达地区或少数民族地区产品者优先；若报价相同且所投产品同为节能产品、环境标志产品、不发达地区或少数民族地区产品的，则采取评标委员会随机抽取的方式确定中标候选顺序。</w:t>
      </w:r>
    </w:p>
    <w:p w14:paraId="16E9C885">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2）采用综合评分法的，评标结果按评审后得分由高到低顺序排列。得分相同的，按投标报价由低到高顺序排列。得分与投标报价均相同的</w:t>
      </w:r>
      <w:r>
        <w:rPr>
          <w:rFonts w:hint="eastAsia" w:asciiTheme="minorEastAsia" w:hAnsiTheme="minorEastAsia" w:eastAsiaTheme="minorEastAsia"/>
          <w:color w:val="auto"/>
          <w:sz w:val="24"/>
          <w:highlight w:val="none"/>
        </w:rPr>
        <w:t>，则所投产品为节能产品、环境标志产品、不发达地区或少数民族地区产品者优先；若</w:t>
      </w:r>
      <w:r>
        <w:rPr>
          <w:rFonts w:asciiTheme="minorEastAsia" w:hAnsiTheme="minorEastAsia" w:eastAsiaTheme="minorEastAsia"/>
          <w:color w:val="auto"/>
          <w:sz w:val="24"/>
          <w:highlight w:val="none"/>
        </w:rPr>
        <w:t>得分与投标报价均相同</w:t>
      </w:r>
      <w:r>
        <w:rPr>
          <w:rFonts w:hint="eastAsia" w:asciiTheme="minorEastAsia" w:hAnsiTheme="minorEastAsia" w:eastAsiaTheme="minorEastAsia"/>
          <w:color w:val="auto"/>
          <w:sz w:val="24"/>
          <w:highlight w:val="none"/>
        </w:rPr>
        <w:t>且所投产品同为节能产品、环境标志产品、不发达地区或少数民族地区产品的，则采取评标委员会随机抽取的方式确定中标候选顺序。</w:t>
      </w:r>
    </w:p>
    <w:p w14:paraId="03106BDC">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确定中标候选人和中标人</w:t>
      </w:r>
    </w:p>
    <w:p w14:paraId="44B7C341">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.1评标委员会将根据评标标准，按</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中规定数量推荐中标候选人。</w:t>
      </w:r>
    </w:p>
    <w:p w14:paraId="363C65E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.2按</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hint="eastAsia" w:asciiTheme="minorEastAsia" w:hAnsiTheme="minorEastAsia" w:eastAsiaTheme="minorEastAsia"/>
          <w:color w:val="auto"/>
          <w:sz w:val="24"/>
          <w:highlight w:val="none"/>
        </w:rPr>
        <w:t>中规定，</w:t>
      </w:r>
      <w:r>
        <w:rPr>
          <w:rFonts w:asciiTheme="minorEastAsia" w:hAnsiTheme="minorEastAsia" w:eastAsiaTheme="minorEastAsia"/>
          <w:color w:val="auto"/>
          <w:sz w:val="24"/>
          <w:highlight w:val="none"/>
        </w:rPr>
        <w:t>由评标委员会或采购人确定中标人。</w:t>
      </w:r>
    </w:p>
    <w:p w14:paraId="3147137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因重大变故采购任务取消时，采购人有权拒绝任何投标人中标，且对受影响的投标人不承担任何责任。</w:t>
      </w:r>
    </w:p>
    <w:p w14:paraId="61A0A21E">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编写评标报告</w:t>
      </w:r>
    </w:p>
    <w:p w14:paraId="4A55E31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评标报告是根据全体评标委员会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w:t>
      </w:r>
    </w:p>
    <w:p w14:paraId="22E267C1">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中标结果公告</w:t>
      </w:r>
    </w:p>
    <w:p w14:paraId="064D10D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除</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规定由评标委员会直接确定中标</w:t>
      </w:r>
      <w:r>
        <w:rPr>
          <w:rFonts w:hint="eastAsia" w:asciiTheme="minorEastAsia" w:hAnsiTheme="minorEastAsia" w:eastAsiaTheme="minorEastAsia"/>
          <w:color w:val="auto"/>
          <w:sz w:val="24"/>
          <w:highlight w:val="none"/>
        </w:rPr>
        <w:t>人外，</w:t>
      </w:r>
      <w:r>
        <w:rPr>
          <w:rFonts w:asciiTheme="minorEastAsia" w:hAnsiTheme="minorEastAsia" w:eastAsiaTheme="minorEastAsia"/>
          <w:color w:val="auto"/>
          <w:sz w:val="24"/>
          <w:highlight w:val="none"/>
        </w:rPr>
        <w:t>在评标结束后2个工作日内</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采购代理机构将评标报告送采购人。采购人应当自收到评标报告之日起</w:t>
      </w: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06D9CACA">
      <w:pPr>
        <w:spacing w:line="360" w:lineRule="auto"/>
        <w:ind w:firstLine="435"/>
        <w:rPr>
          <w:rFonts w:ascii="宋体" w:hAnsi="宋体" w:eastAsia="宋体"/>
          <w:color w:val="auto"/>
          <w:sz w:val="24"/>
          <w:szCs w:val="18"/>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.2</w:t>
      </w:r>
      <w:r>
        <w:rPr>
          <w:rFonts w:hint="eastAsia" w:ascii="宋体" w:hAnsi="宋体" w:eastAsia="宋体"/>
          <w:color w:val="auto"/>
          <w:sz w:val="24"/>
          <w:szCs w:val="18"/>
          <w:highlight w:val="none"/>
        </w:rPr>
        <w:t>自中标人确定之日起2个工作日内，采购代理机构将在安徽省政府采购网（www.ccgp-anhui.gov.cn）上发布中标结果公告。</w:t>
      </w:r>
    </w:p>
    <w:p w14:paraId="3BC6F60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中标结果公告内容应当包括采购人及其委托的采购代理机构的名称、地址、联系方式，项目名称和项目编号，中标人名称、地址和中标金额，主要中标标的的名称、</w:t>
      </w:r>
      <w:r>
        <w:rPr>
          <w:rFonts w:hint="eastAsia" w:ascii="宋体" w:hAnsi="宋体" w:eastAsia="宋体" w:cs="宋体"/>
          <w:color w:val="auto"/>
          <w:sz w:val="24"/>
          <w:highlight w:val="none"/>
        </w:rPr>
        <w:t>品牌（如有）、规格型号、数量、单价</w:t>
      </w:r>
      <w:r>
        <w:rPr>
          <w:rFonts w:asciiTheme="minorEastAsia" w:hAnsiTheme="minorEastAsia" w:eastAsiaTheme="minorEastAsia"/>
          <w:color w:val="auto"/>
          <w:sz w:val="24"/>
          <w:highlight w:val="none"/>
        </w:rPr>
        <w:t>，中标公告期限、评审专家名单以及</w:t>
      </w:r>
      <w:r>
        <w:rPr>
          <w:rFonts w:hint="eastAsia" w:asciiTheme="minorEastAsia" w:hAnsiTheme="minorEastAsia" w:eastAsiaTheme="minorEastAsia"/>
          <w:color w:val="auto"/>
          <w:sz w:val="24"/>
          <w:highlight w:val="none"/>
          <w:u w:val="single"/>
        </w:rPr>
        <w:t>投标人须知前附表</w:t>
      </w:r>
      <w:r>
        <w:rPr>
          <w:rFonts w:asciiTheme="minorEastAsia" w:hAnsiTheme="minorEastAsia" w:eastAsiaTheme="minorEastAsia"/>
          <w:color w:val="auto"/>
          <w:sz w:val="24"/>
          <w:highlight w:val="none"/>
        </w:rPr>
        <w:t>中约定进行公告的内容。中标公告期限为1个工作日。</w:t>
      </w:r>
    </w:p>
    <w:p w14:paraId="7C121063">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4</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中标通知书</w:t>
      </w:r>
    </w:p>
    <w:p w14:paraId="52DE7CD3">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.1采购代理机构</w:t>
      </w:r>
      <w:r>
        <w:rPr>
          <w:rFonts w:ascii="宋体" w:hAnsi="宋体" w:eastAsia="宋体"/>
          <w:color w:val="auto"/>
          <w:sz w:val="24"/>
          <w:highlight w:val="none"/>
        </w:rPr>
        <w:t>发布</w:t>
      </w:r>
      <w:r>
        <w:rPr>
          <w:rFonts w:asciiTheme="minorEastAsia" w:hAnsiTheme="minorEastAsia" w:eastAsiaTheme="minorEastAsia"/>
          <w:color w:val="auto"/>
          <w:sz w:val="24"/>
          <w:highlight w:val="none"/>
        </w:rPr>
        <w:t>中标结果公告</w:t>
      </w:r>
      <w:r>
        <w:rPr>
          <w:rFonts w:hint="eastAsia" w:asciiTheme="minorEastAsia" w:hAnsiTheme="minorEastAsia" w:eastAsiaTheme="minorEastAsia"/>
          <w:iCs/>
          <w:color w:val="auto"/>
          <w:sz w:val="24"/>
          <w:highlight w:val="none"/>
        </w:rPr>
        <w:t>的</w:t>
      </w:r>
      <w:r>
        <w:rPr>
          <w:rFonts w:asciiTheme="minorEastAsia" w:hAnsiTheme="minorEastAsia" w:eastAsiaTheme="minorEastAsia"/>
          <w:color w:val="auto"/>
          <w:sz w:val="24"/>
          <w:highlight w:val="none"/>
        </w:rPr>
        <w:t>同时以</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规定的</w:t>
      </w:r>
      <w:r>
        <w:rPr>
          <w:rFonts w:asciiTheme="minorEastAsia" w:hAnsiTheme="minorEastAsia" w:eastAsiaTheme="minorEastAsia"/>
          <w:color w:val="auto"/>
          <w:sz w:val="24"/>
          <w:highlight w:val="none"/>
        </w:rPr>
        <w:t>形式向中标人发出中标通知书。</w:t>
      </w:r>
    </w:p>
    <w:p w14:paraId="3A9F6F22">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.2中标通知书对采购人和中标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具有同等法律效力。中标通知书发出以后，采购人改变中标结果或者中标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放弃中标，应当承担相应的法律责任。</w:t>
      </w:r>
    </w:p>
    <w:p w14:paraId="33F4987E">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.3中标通知书是</w:t>
      </w:r>
      <w:r>
        <w:rPr>
          <w:rFonts w:ascii="宋体" w:hAnsi="宋体" w:eastAsia="宋体"/>
          <w:color w:val="auto"/>
          <w:sz w:val="24"/>
          <w:highlight w:val="none"/>
        </w:rPr>
        <w:t>合同</w:t>
      </w:r>
      <w:r>
        <w:rPr>
          <w:rFonts w:asciiTheme="minorEastAsia" w:hAnsiTheme="minorEastAsia" w:eastAsiaTheme="minorEastAsia"/>
          <w:color w:val="auto"/>
          <w:sz w:val="24"/>
          <w:highlight w:val="none"/>
        </w:rPr>
        <w:t>的组成部分。</w:t>
      </w:r>
    </w:p>
    <w:p w14:paraId="1CC14990">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25</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告知招标结果</w:t>
      </w:r>
    </w:p>
    <w:p w14:paraId="1E4AE37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25</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在公告</w:t>
      </w:r>
      <w:r>
        <w:rPr>
          <w:rFonts w:asciiTheme="minorEastAsia" w:hAnsiTheme="minorEastAsia" w:eastAsiaTheme="minorEastAsia"/>
          <w:color w:val="auto"/>
          <w:sz w:val="24"/>
          <w:highlight w:val="none"/>
        </w:rPr>
        <w:t>中标结果的同时，采购代理机构同时以</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规定的</w:t>
      </w:r>
      <w:r>
        <w:rPr>
          <w:rFonts w:asciiTheme="minorEastAsia" w:hAnsiTheme="minorEastAsia" w:eastAsiaTheme="minorEastAsia"/>
          <w:color w:val="auto"/>
          <w:sz w:val="24"/>
          <w:highlight w:val="none"/>
        </w:rPr>
        <w:t>形式</w:t>
      </w:r>
      <w:r>
        <w:rPr>
          <w:rFonts w:hint="eastAsia" w:asciiTheme="minorEastAsia" w:hAnsiTheme="minorEastAsia" w:eastAsiaTheme="minorEastAsia"/>
          <w:color w:val="auto"/>
          <w:sz w:val="24"/>
          <w:highlight w:val="none"/>
        </w:rPr>
        <w:t>告知未通过资格审查的投标人未通过的原因；采用综合评分法评审的，还将告知未中标人本人的评审得分和排序。</w:t>
      </w:r>
    </w:p>
    <w:p w14:paraId="6C808E87">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26</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履约保证金</w:t>
      </w:r>
    </w:p>
    <w:p w14:paraId="60A18F8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26</w:t>
      </w:r>
      <w:r>
        <w:rPr>
          <w:rFonts w:hint="eastAsia" w:asciiTheme="minorEastAsia" w:hAnsiTheme="minorEastAsia" w:eastAsiaTheme="minorEastAsia"/>
          <w:color w:val="auto"/>
          <w:sz w:val="24"/>
          <w:highlight w:val="none"/>
        </w:rPr>
        <w:t>.1中标人应按照</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规定缴纳履约保证金。</w:t>
      </w:r>
    </w:p>
    <w:p w14:paraId="55F6B442">
      <w:pPr>
        <w:spacing w:line="360" w:lineRule="auto"/>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color w:val="auto"/>
          <w:sz w:val="24"/>
          <w:highlight w:val="none"/>
          <w:lang w:val="en-US" w:eastAsia="zh-CN"/>
        </w:rPr>
        <w:t>26</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2</w:t>
      </w:r>
      <w:r>
        <w:rPr>
          <w:rFonts w:hint="eastAsia" w:ascii="宋体" w:hAnsi="宋体" w:eastAsia="宋体"/>
          <w:color w:val="auto"/>
          <w:sz w:val="24"/>
          <w:highlight w:val="none"/>
        </w:rPr>
        <w:t>如果</w:t>
      </w:r>
      <w:r>
        <w:rPr>
          <w:rFonts w:hint="eastAsia" w:asciiTheme="minorEastAsia" w:hAnsiTheme="minorEastAsia" w:eastAsiaTheme="minorEastAsia"/>
          <w:color w:val="auto"/>
          <w:sz w:val="24"/>
          <w:highlight w:val="none"/>
        </w:rPr>
        <w:t>中标人没有按照上述履约保证金的规定执行，将视为放弃中标资格。在此情况下，采购人可</w:t>
      </w:r>
      <w:r>
        <w:rPr>
          <w:rFonts w:asciiTheme="minorEastAsia" w:hAnsiTheme="minorEastAsia" w:eastAsiaTheme="minorEastAsia"/>
          <w:color w:val="auto"/>
          <w:sz w:val="24"/>
          <w:highlight w:val="none"/>
        </w:rPr>
        <w:t>确定下一</w:t>
      </w:r>
      <w:r>
        <w:rPr>
          <w:rFonts w:hint="eastAsia" w:ascii="宋体" w:hAnsi="宋体" w:eastAsia="宋体"/>
          <w:color w:val="auto"/>
          <w:sz w:val="24"/>
          <w:highlight w:val="none"/>
        </w:rPr>
        <w:t>中标</w:t>
      </w:r>
      <w:r>
        <w:rPr>
          <w:rFonts w:hint="eastAsia" w:asciiTheme="minorEastAsia" w:hAnsiTheme="minorEastAsia" w:eastAsiaTheme="minorEastAsia"/>
          <w:color w:val="auto"/>
          <w:sz w:val="24"/>
          <w:highlight w:val="none"/>
        </w:rPr>
        <w:t>候选</w:t>
      </w:r>
      <w:r>
        <w:rPr>
          <w:rFonts w:asciiTheme="minorEastAsia" w:hAnsiTheme="minorEastAsia" w:eastAsiaTheme="minorEastAsia"/>
          <w:color w:val="auto"/>
          <w:sz w:val="24"/>
          <w:highlight w:val="none"/>
        </w:rPr>
        <w:t>人为中标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，也可以重新开展采购活动。</w:t>
      </w:r>
    </w:p>
    <w:p w14:paraId="38D95CA1">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27</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签订合同</w:t>
      </w:r>
    </w:p>
    <w:p w14:paraId="5383EA1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27</w:t>
      </w:r>
      <w:r>
        <w:rPr>
          <w:rFonts w:hint="eastAsia" w:ascii="宋体" w:hAnsi="宋体" w:eastAsia="宋体"/>
          <w:color w:val="auto"/>
          <w:sz w:val="24"/>
          <w:highlight w:val="none"/>
        </w:rPr>
        <w:t>.1</w:t>
      </w:r>
      <w:r>
        <w:rPr>
          <w:rFonts w:hint="eastAsia" w:ascii="宋体" w:hAnsi="宋体" w:eastAsia="宋体" w:cs="宋体"/>
          <w:color w:val="auto"/>
          <w:sz w:val="24"/>
          <w:szCs w:val="24"/>
          <w:highlight w:val="none"/>
          <w:u w:val="none"/>
          <w:lang w:val="en-US" w:eastAsia="zh-CN"/>
        </w:rPr>
        <w:t>采购人与中标人应当按照</w:t>
      </w:r>
      <w:r>
        <w:rPr>
          <w:rFonts w:hint="eastAsia" w:ascii="宋体" w:hAnsi="宋体" w:eastAsia="宋体" w:cs="宋体"/>
          <w:color w:val="auto"/>
          <w:sz w:val="24"/>
          <w:szCs w:val="24"/>
          <w:highlight w:val="none"/>
          <w:u w:val="single"/>
        </w:rPr>
        <w:t>投标人须知前附表</w:t>
      </w:r>
      <w:r>
        <w:rPr>
          <w:rFonts w:hint="eastAsia" w:ascii="宋体" w:hAnsi="宋体" w:eastAsia="宋体" w:cs="宋体"/>
          <w:color w:val="auto"/>
          <w:sz w:val="24"/>
          <w:szCs w:val="24"/>
          <w:highlight w:val="none"/>
          <w:u w:val="none"/>
        </w:rPr>
        <w:t>规定</w:t>
      </w:r>
      <w:r>
        <w:rPr>
          <w:rFonts w:hint="eastAsia" w:ascii="宋体" w:hAnsi="宋体" w:eastAsia="宋体" w:cs="宋体"/>
          <w:color w:val="auto"/>
          <w:sz w:val="24"/>
          <w:szCs w:val="24"/>
          <w:highlight w:val="none"/>
          <w:lang w:val="en-US" w:eastAsia="zh-CN"/>
        </w:rPr>
        <w:t>的时间内完成政府采购合同签订及合同公告。</w:t>
      </w:r>
    </w:p>
    <w:p w14:paraId="60CF480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27</w:t>
      </w:r>
      <w:r>
        <w:rPr>
          <w:rFonts w:hint="eastAsia" w:ascii="宋体" w:hAnsi="宋体" w:eastAsia="宋体"/>
          <w:color w:val="auto"/>
          <w:sz w:val="24"/>
          <w:highlight w:val="none"/>
        </w:rPr>
        <w:t>.2招标文件、中标人的投标文件及其澄清文件等，均为签订合同的依据。</w:t>
      </w:r>
    </w:p>
    <w:p w14:paraId="4216231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2</w:t>
      </w:r>
      <w:r>
        <w:rPr>
          <w:rFonts w:hint="eastAsia" w:ascii="宋体" w:hAnsi="宋体" w:eastAsia="宋体"/>
          <w:color w:val="auto"/>
          <w:sz w:val="24"/>
          <w:highlight w:val="none"/>
          <w:lang w:val="en-US" w:eastAsia="zh-CN"/>
        </w:rPr>
        <w:t>7</w:t>
      </w:r>
      <w:r>
        <w:rPr>
          <w:rFonts w:hint="eastAsia" w:ascii="宋体" w:hAnsi="宋体" w:eastAsia="宋体"/>
          <w:color w:val="auto"/>
          <w:sz w:val="24"/>
          <w:highlight w:val="none"/>
          <w:lang w:eastAsia="zh-CN"/>
        </w:rPr>
        <w:t>.</w:t>
      </w:r>
      <w:r>
        <w:rPr>
          <w:rFonts w:hint="eastAsia" w:ascii="宋体" w:hAnsi="宋体" w:eastAsia="宋体"/>
          <w:color w:val="auto"/>
          <w:sz w:val="24"/>
          <w:highlight w:val="none"/>
        </w:rPr>
        <w:t>3中</w:t>
      </w:r>
      <w:r>
        <w:rPr>
          <w:rFonts w:ascii="宋体" w:hAnsi="宋体" w:eastAsia="宋体"/>
          <w:color w:val="auto"/>
          <w:sz w:val="24"/>
          <w:highlight w:val="none"/>
        </w:rPr>
        <w:t>标</w:t>
      </w:r>
      <w:r>
        <w:rPr>
          <w:rFonts w:hint="eastAsia" w:ascii="宋体" w:hAnsi="宋体" w:eastAsia="宋体"/>
          <w:color w:val="auto"/>
          <w:sz w:val="24"/>
          <w:highlight w:val="none"/>
        </w:rPr>
        <w:t>人</w:t>
      </w:r>
      <w:r>
        <w:rPr>
          <w:rFonts w:ascii="宋体" w:hAnsi="宋体" w:eastAsia="宋体"/>
          <w:color w:val="auto"/>
          <w:sz w:val="24"/>
          <w:highlight w:val="none"/>
        </w:rPr>
        <w:t>拒绝与采购人签订合同的，采购人可以按照评审报告推荐的中标候选人</w:t>
      </w:r>
      <w:r>
        <w:rPr>
          <w:rFonts w:hint="eastAsia" w:ascii="宋体" w:hAnsi="宋体" w:eastAsia="宋体"/>
          <w:color w:val="auto"/>
          <w:sz w:val="24"/>
          <w:highlight w:val="none"/>
        </w:rPr>
        <w:t>名单</w:t>
      </w:r>
      <w:r>
        <w:rPr>
          <w:rFonts w:ascii="宋体" w:hAnsi="宋体" w:eastAsia="宋体"/>
          <w:color w:val="auto"/>
          <w:sz w:val="24"/>
          <w:highlight w:val="none"/>
        </w:rPr>
        <w:t>排序</w:t>
      </w:r>
      <w:r>
        <w:rPr>
          <w:rFonts w:hint="eastAsia" w:ascii="宋体" w:hAnsi="宋体" w:eastAsia="宋体"/>
          <w:color w:val="auto"/>
          <w:sz w:val="24"/>
          <w:highlight w:val="none"/>
        </w:rPr>
        <w:t>，</w:t>
      </w:r>
      <w:r>
        <w:rPr>
          <w:rFonts w:ascii="宋体" w:hAnsi="宋体" w:eastAsia="宋体"/>
          <w:color w:val="auto"/>
          <w:sz w:val="24"/>
          <w:highlight w:val="none"/>
        </w:rPr>
        <w:t>确定下一</w:t>
      </w:r>
      <w:r>
        <w:rPr>
          <w:rFonts w:hint="eastAsia" w:ascii="宋体" w:hAnsi="宋体" w:eastAsia="宋体"/>
          <w:color w:val="auto"/>
          <w:sz w:val="24"/>
          <w:highlight w:val="none"/>
        </w:rPr>
        <w:t>中标候选</w:t>
      </w:r>
      <w:r>
        <w:rPr>
          <w:rFonts w:ascii="宋体" w:hAnsi="宋体" w:eastAsia="宋体"/>
          <w:color w:val="auto"/>
          <w:sz w:val="24"/>
          <w:highlight w:val="none"/>
        </w:rPr>
        <w:t>人为中标</w:t>
      </w:r>
      <w:r>
        <w:rPr>
          <w:rFonts w:hint="eastAsia" w:ascii="宋体" w:hAnsi="宋体" w:eastAsia="宋体"/>
          <w:color w:val="auto"/>
          <w:sz w:val="24"/>
          <w:highlight w:val="none"/>
        </w:rPr>
        <w:t>人</w:t>
      </w:r>
      <w:r>
        <w:rPr>
          <w:rFonts w:ascii="宋体" w:hAnsi="宋体" w:eastAsia="宋体"/>
          <w:color w:val="auto"/>
          <w:sz w:val="24"/>
          <w:highlight w:val="none"/>
        </w:rPr>
        <w:t>，也可以重新开展政府采购活动。</w:t>
      </w:r>
    </w:p>
    <w:p w14:paraId="65C36CF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2</w:t>
      </w:r>
      <w:r>
        <w:rPr>
          <w:rFonts w:hint="eastAsia" w:ascii="宋体" w:hAnsi="宋体" w:eastAsia="宋体"/>
          <w:color w:val="auto"/>
          <w:sz w:val="24"/>
          <w:highlight w:val="none"/>
          <w:lang w:val="en-US" w:eastAsia="zh-CN"/>
        </w:rPr>
        <w:t>7</w:t>
      </w:r>
      <w:r>
        <w:rPr>
          <w:rFonts w:hint="eastAsia" w:ascii="宋体" w:hAnsi="宋体" w:eastAsia="宋体"/>
          <w:color w:val="auto"/>
          <w:sz w:val="24"/>
          <w:highlight w:val="none"/>
          <w:lang w:eastAsia="zh-CN"/>
        </w:rPr>
        <w:t>.</w:t>
      </w:r>
      <w:r>
        <w:rPr>
          <w:rFonts w:hint="eastAsia" w:ascii="宋体" w:hAnsi="宋体" w:eastAsia="宋体"/>
          <w:color w:val="auto"/>
          <w:sz w:val="24"/>
          <w:highlight w:val="none"/>
          <w:lang w:val="en-US" w:eastAsia="zh-CN"/>
        </w:rPr>
        <w:t>4</w:t>
      </w:r>
      <w:r>
        <w:rPr>
          <w:rFonts w:hint="eastAsia" w:ascii="宋体" w:hAnsi="宋体" w:eastAsia="宋体"/>
          <w:color w:val="auto"/>
          <w:sz w:val="24"/>
          <w:highlight w:val="none"/>
        </w:rPr>
        <w:t>依据《政府采购促进中小企业发展管理办法》（财库〔</w:t>
      </w:r>
      <w:r>
        <w:rPr>
          <w:rFonts w:ascii="宋体" w:hAnsi="宋体" w:eastAsia="宋体"/>
          <w:color w:val="auto"/>
          <w:sz w:val="24"/>
          <w:highlight w:val="none"/>
        </w:rPr>
        <w:t>2020〕46号</w:t>
      </w:r>
      <w:r>
        <w:rPr>
          <w:rFonts w:hint="eastAsia" w:ascii="宋体" w:hAnsi="宋体" w:eastAsia="宋体"/>
          <w:color w:val="auto"/>
          <w:sz w:val="24"/>
          <w:highlight w:val="none"/>
        </w:rPr>
        <w:t>）规定享受扶持政策获得政府采购合同的，小微企业不得将合同分包给大中型企业，中型企业不得将合同分包给大型企业。</w:t>
      </w:r>
    </w:p>
    <w:p w14:paraId="2909804F">
      <w:pPr>
        <w:spacing w:line="360" w:lineRule="auto"/>
        <w:ind w:firstLine="437"/>
        <w:outlineLvl w:val="2"/>
        <w:rPr>
          <w:rFonts w:hint="default"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28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lang w:val="en-US" w:eastAsia="zh-CN"/>
        </w:rPr>
        <w:t>代理费用</w:t>
      </w:r>
    </w:p>
    <w:p w14:paraId="2547649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28</w:t>
      </w:r>
      <w:r>
        <w:rPr>
          <w:rFonts w:ascii="宋体" w:hAnsi="宋体" w:eastAsia="宋体"/>
          <w:color w:val="auto"/>
          <w:sz w:val="24"/>
          <w:highlight w:val="none"/>
        </w:rPr>
        <w:t>.1</w:t>
      </w:r>
      <w:r>
        <w:rPr>
          <w:rFonts w:hint="eastAsia" w:ascii="宋体" w:hAnsi="宋体" w:eastAsia="宋体"/>
          <w:color w:val="auto"/>
          <w:sz w:val="24"/>
          <w:highlight w:val="none"/>
        </w:rPr>
        <w:t>本项目</w:t>
      </w:r>
      <w:r>
        <w:rPr>
          <w:rFonts w:hint="eastAsia" w:ascii="宋体" w:hAnsi="宋体" w:eastAsia="宋体"/>
          <w:color w:val="auto"/>
          <w:sz w:val="24"/>
          <w:highlight w:val="none"/>
          <w:lang w:val="en-US" w:eastAsia="zh-CN"/>
        </w:rPr>
        <w:t>代理费用</w:t>
      </w:r>
      <w:r>
        <w:rPr>
          <w:rFonts w:hint="eastAsia" w:ascii="宋体" w:hAnsi="宋体" w:eastAsia="宋体"/>
          <w:color w:val="auto"/>
          <w:sz w:val="24"/>
          <w:highlight w:val="none"/>
        </w:rPr>
        <w:t>的收取按</w:t>
      </w:r>
      <w:r>
        <w:rPr>
          <w:rFonts w:hint="eastAsia" w:asciiTheme="minorEastAsia" w:hAnsiTheme="minorEastAsia" w:eastAsiaTheme="minorEastAsia"/>
          <w:color w:val="auto"/>
          <w:sz w:val="24"/>
          <w:highlight w:val="none"/>
          <w:u w:val="single"/>
        </w:rPr>
        <w:t>投标人须知前附表的</w:t>
      </w:r>
      <w:r>
        <w:rPr>
          <w:rFonts w:hint="eastAsia" w:ascii="宋体" w:hAnsi="宋体" w:eastAsia="宋体"/>
          <w:color w:val="auto"/>
          <w:sz w:val="24"/>
          <w:highlight w:val="none"/>
        </w:rPr>
        <w:t>规定执行</w:t>
      </w:r>
      <w:r>
        <w:rPr>
          <w:rFonts w:hint="eastAsia" w:asciiTheme="minorEastAsia" w:hAnsiTheme="minorEastAsia" w:eastAsiaTheme="minorEastAsia"/>
          <w:color w:val="auto"/>
          <w:sz w:val="24"/>
          <w:highlight w:val="none"/>
        </w:rPr>
        <w:t>。</w:t>
      </w:r>
    </w:p>
    <w:p w14:paraId="7926190C">
      <w:pPr>
        <w:spacing w:line="360" w:lineRule="auto"/>
        <w:ind w:firstLine="437"/>
        <w:outlineLvl w:val="2"/>
        <w:rPr>
          <w:rFonts w:asciiTheme="minorEastAsia" w:hAnsiTheme="minorEastAsia" w:eastAsiaTheme="minorEastAsia"/>
          <w:b/>
          <w:color w:val="auto"/>
          <w:sz w:val="24"/>
          <w:highlight w:val="none"/>
        </w:rPr>
      </w:pPr>
      <w:bookmarkStart w:id="19" w:name="_Toc2583661"/>
      <w:bookmarkStart w:id="20" w:name="_Toc518923100"/>
      <w:r>
        <w:rPr>
          <w:rFonts w:hint="eastAsia" w:asciiTheme="minorEastAsia" w:hAnsiTheme="minorEastAsia" w:eastAsiaTheme="minorEastAsia"/>
          <w:b/>
          <w:color w:val="auto"/>
          <w:sz w:val="24"/>
          <w:highlight w:val="none"/>
          <w:lang w:eastAsia="zh-CN"/>
        </w:rPr>
        <w:t>29.</w:t>
      </w:r>
      <w:r>
        <w:rPr>
          <w:rFonts w:hint="eastAsia" w:asciiTheme="minorEastAsia" w:hAnsiTheme="minorEastAsia" w:eastAsiaTheme="minorEastAsia"/>
          <w:b/>
          <w:color w:val="auto"/>
          <w:sz w:val="24"/>
          <w:highlight w:val="none"/>
        </w:rPr>
        <w:t>廉洁自律</w:t>
      </w:r>
      <w:r>
        <w:rPr>
          <w:rFonts w:asciiTheme="minorEastAsia" w:hAnsiTheme="minorEastAsia" w:eastAsiaTheme="minorEastAsia"/>
          <w:b/>
          <w:color w:val="auto"/>
          <w:sz w:val="24"/>
          <w:highlight w:val="none"/>
        </w:rPr>
        <w:t>规定</w:t>
      </w:r>
      <w:bookmarkEnd w:id="19"/>
      <w:bookmarkEnd w:id="20"/>
    </w:p>
    <w:p w14:paraId="18C4DC0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29.</w:t>
      </w:r>
      <w:r>
        <w:rPr>
          <w:rFonts w:hint="eastAsia" w:ascii="宋体" w:hAnsi="宋体" w:eastAsia="宋体"/>
          <w:color w:val="auto"/>
          <w:sz w:val="24"/>
          <w:highlight w:val="none"/>
        </w:rPr>
        <w:t>1采购代理机构</w:t>
      </w:r>
      <w:r>
        <w:rPr>
          <w:rFonts w:ascii="宋体" w:hAnsi="宋体" w:eastAsia="宋体"/>
          <w:color w:val="auto"/>
          <w:sz w:val="24"/>
          <w:highlight w:val="none"/>
        </w:rPr>
        <w:t>工作人员</w:t>
      </w:r>
      <w:r>
        <w:rPr>
          <w:rFonts w:hint="eastAsia" w:ascii="宋体" w:hAnsi="宋体" w:eastAsia="宋体"/>
          <w:color w:val="auto"/>
          <w:sz w:val="24"/>
          <w:highlight w:val="none"/>
        </w:rPr>
        <w:t>不得以不正当手段获取政府采购代理业务，不得与采购人、供应商恶意串通。</w:t>
      </w:r>
    </w:p>
    <w:p w14:paraId="0322836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29.</w:t>
      </w:r>
      <w:r>
        <w:rPr>
          <w:rFonts w:ascii="宋体" w:hAnsi="宋体" w:eastAsia="宋体"/>
          <w:color w:val="auto"/>
          <w:sz w:val="24"/>
          <w:highlight w:val="none"/>
        </w:rPr>
        <w:t>2</w:t>
      </w:r>
      <w:r>
        <w:rPr>
          <w:rFonts w:hint="eastAsia" w:ascii="宋体" w:hAnsi="宋体" w:eastAsia="宋体"/>
          <w:color w:val="auto"/>
          <w:sz w:val="24"/>
          <w:highlight w:val="none"/>
        </w:rPr>
        <w:t>采购代理机构工作人员不得接受采购人或者供应商组织的宴请、旅游、娱乐，不得收受礼品、现金、有价证券等，不得向采购人或者供应商报销应当由个人承担的费用。</w:t>
      </w:r>
    </w:p>
    <w:p w14:paraId="12C59DE8">
      <w:pPr>
        <w:spacing w:line="360" w:lineRule="auto"/>
        <w:ind w:firstLine="437"/>
        <w:outlineLvl w:val="2"/>
        <w:rPr>
          <w:rFonts w:asciiTheme="minorEastAsia" w:hAnsiTheme="minorEastAsia" w:eastAsiaTheme="minorEastAsia"/>
          <w:b/>
          <w:color w:val="auto"/>
          <w:sz w:val="24"/>
          <w:highlight w:val="none"/>
        </w:rPr>
      </w:pPr>
      <w:bookmarkStart w:id="21" w:name="_Toc518923101"/>
      <w:bookmarkStart w:id="22" w:name="_Toc2583662"/>
      <w:r>
        <w:rPr>
          <w:rFonts w:hint="eastAsia" w:asciiTheme="minorEastAsia" w:hAnsiTheme="minorEastAsia" w:eastAsiaTheme="minorEastAsia"/>
          <w:b/>
          <w:color w:val="auto"/>
          <w:sz w:val="24"/>
          <w:highlight w:val="none"/>
        </w:rPr>
        <w:t>3</w:t>
      </w:r>
      <w:r>
        <w:rPr>
          <w:rFonts w:hint="eastAsia" w:asciiTheme="minorEastAsia" w:hAnsiTheme="minorEastAsia" w:eastAsiaTheme="minorEastAsia"/>
          <w:b/>
          <w:color w:val="auto"/>
          <w:sz w:val="24"/>
          <w:highlight w:val="none"/>
          <w:lang w:val="en-US" w:eastAsia="zh-CN"/>
        </w:rPr>
        <w:t>0</w:t>
      </w:r>
      <w:r>
        <w:rPr>
          <w:rFonts w:hint="eastAsia" w:asciiTheme="minorEastAsia" w:hAnsiTheme="minorEastAsia" w:eastAsiaTheme="minorEastAsia"/>
          <w:b/>
          <w:color w:val="auto"/>
          <w:sz w:val="24"/>
          <w:highlight w:val="none"/>
        </w:rPr>
        <w:t>.人员回避</w:t>
      </w:r>
      <w:bookmarkEnd w:id="21"/>
      <w:bookmarkEnd w:id="22"/>
    </w:p>
    <w:p w14:paraId="0B1192DE">
      <w:pPr>
        <w:spacing w:line="360" w:lineRule="auto"/>
        <w:ind w:firstLine="435"/>
        <w:rPr>
          <w:rFonts w:ascii="仿宋_GB2312" w:hAnsi="宋体" w:eastAsia="仿宋_GB2312"/>
          <w:color w:val="auto"/>
          <w:sz w:val="24"/>
          <w:highlight w:val="none"/>
        </w:rPr>
      </w:pPr>
      <w:r>
        <w:rPr>
          <w:rFonts w:hint="eastAsia" w:ascii="宋体" w:hAnsi="宋体" w:eastAsia="宋体"/>
          <w:color w:val="auto"/>
          <w:sz w:val="24"/>
          <w:highlight w:val="none"/>
        </w:rPr>
        <w:t>投标人</w:t>
      </w:r>
      <w:r>
        <w:rPr>
          <w:rFonts w:ascii="宋体" w:hAnsi="宋体" w:eastAsia="宋体"/>
          <w:color w:val="auto"/>
          <w:sz w:val="24"/>
          <w:highlight w:val="none"/>
        </w:rPr>
        <w:t>认为采购人员</w:t>
      </w:r>
      <w:r>
        <w:rPr>
          <w:rFonts w:hint="eastAsia" w:ascii="宋体" w:hAnsi="宋体" w:eastAsia="宋体"/>
          <w:color w:val="auto"/>
          <w:sz w:val="24"/>
          <w:highlight w:val="none"/>
        </w:rPr>
        <w:t>及其</w:t>
      </w:r>
      <w:r>
        <w:rPr>
          <w:rFonts w:ascii="宋体" w:hAnsi="宋体" w:eastAsia="宋体"/>
          <w:color w:val="auto"/>
          <w:sz w:val="24"/>
          <w:highlight w:val="none"/>
        </w:rPr>
        <w:t>相关人员有</w:t>
      </w:r>
      <w:r>
        <w:rPr>
          <w:rFonts w:hint="eastAsia" w:ascii="宋体" w:hAnsi="宋体" w:eastAsia="宋体"/>
          <w:color w:val="auto"/>
          <w:sz w:val="24"/>
          <w:highlight w:val="none"/>
        </w:rPr>
        <w:t>法律</w:t>
      </w:r>
      <w:r>
        <w:rPr>
          <w:rFonts w:ascii="宋体" w:hAnsi="宋体" w:eastAsia="宋体"/>
          <w:color w:val="auto"/>
          <w:sz w:val="24"/>
          <w:highlight w:val="none"/>
        </w:rPr>
        <w:t>法规所列与其他供应商</w:t>
      </w:r>
      <w:r>
        <w:rPr>
          <w:rFonts w:hint="eastAsia" w:ascii="宋体" w:hAnsi="宋体" w:eastAsia="宋体"/>
          <w:color w:val="auto"/>
          <w:sz w:val="24"/>
          <w:highlight w:val="none"/>
        </w:rPr>
        <w:t>有</w:t>
      </w:r>
      <w:r>
        <w:rPr>
          <w:rFonts w:ascii="宋体" w:hAnsi="宋体" w:eastAsia="宋体"/>
          <w:color w:val="auto"/>
          <w:sz w:val="24"/>
          <w:highlight w:val="none"/>
        </w:rPr>
        <w:t>利害关系的，可以向</w:t>
      </w:r>
      <w:r>
        <w:rPr>
          <w:rFonts w:hint="eastAsia" w:ascii="宋体" w:hAnsi="宋体" w:eastAsia="宋体"/>
          <w:color w:val="auto"/>
          <w:sz w:val="24"/>
          <w:highlight w:val="none"/>
        </w:rPr>
        <w:t>采购人或</w:t>
      </w:r>
      <w:r>
        <w:rPr>
          <w:rFonts w:ascii="宋体" w:hAnsi="宋体" w:eastAsia="宋体"/>
          <w:color w:val="auto"/>
          <w:sz w:val="24"/>
          <w:highlight w:val="none"/>
        </w:rPr>
        <w:t>采购代理机构书面提出回避申请，并说明理由。</w:t>
      </w:r>
    </w:p>
    <w:p w14:paraId="471F1918">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3</w:t>
      </w:r>
      <w:r>
        <w:rPr>
          <w:rFonts w:hint="eastAsia" w:asciiTheme="minorEastAsia" w:hAnsiTheme="minorEastAsia" w:eastAsiaTheme="minorEastAsia"/>
          <w:b/>
          <w:color w:val="auto"/>
          <w:sz w:val="24"/>
          <w:highlight w:val="none"/>
          <w:lang w:val="en-US" w:eastAsia="zh-CN"/>
        </w:rPr>
        <w:t>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质疑的提出与接收</w:t>
      </w:r>
    </w:p>
    <w:p w14:paraId="6DF9776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.1投标人认为招标文件、招标过程和中标结果使自己的权益受到损害的，可以在知道或者应知其权益受到损害之日起七个工作日内，以书面形式向采购人或其委托的采购代理机构提出质疑。</w:t>
      </w:r>
    </w:p>
    <w:p w14:paraId="03AEA0C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2</w:t>
      </w:r>
      <w:r>
        <w:rPr>
          <w:rFonts w:hint="eastAsia" w:ascii="宋体" w:hAnsi="宋体" w:eastAsia="宋体"/>
          <w:color w:val="auto"/>
          <w:sz w:val="24"/>
          <w:highlight w:val="none"/>
        </w:rPr>
        <w:t>质疑供应商应按照财政部制定的《政府采购供应商质疑函范本》格式（详见招标文件）和《政府采购质疑和投诉办法》的要求，在法定质疑期内以书面形式提出质疑，超出法定质疑期提交的质疑将被拒绝。针对同一采购程序环节的质疑应一次性提出。</w:t>
      </w:r>
    </w:p>
    <w:p w14:paraId="24D3F218">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3</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采购代理机构质疑函接收部门、联系电话和通讯地址，见</w:t>
      </w:r>
      <w:r>
        <w:rPr>
          <w:rFonts w:hint="eastAsia" w:ascii="宋体" w:hAnsi="宋体" w:eastAsia="宋体"/>
          <w:color w:val="auto"/>
          <w:sz w:val="24"/>
          <w:highlight w:val="none"/>
          <w:u w:val="single"/>
        </w:rPr>
        <w:t>投标人须知前附表</w:t>
      </w:r>
      <w:r>
        <w:rPr>
          <w:rFonts w:hint="eastAsia" w:ascii="宋体" w:hAnsi="宋体" w:eastAsia="宋体"/>
          <w:color w:val="auto"/>
          <w:sz w:val="24"/>
          <w:highlight w:val="none"/>
        </w:rPr>
        <w:t>。</w:t>
      </w:r>
    </w:p>
    <w:p w14:paraId="6CCC8C47">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注：上述条款中所要求的书面形式包含通过电子交易系统递交方式。</w:t>
      </w:r>
    </w:p>
    <w:p w14:paraId="4875B45E">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3</w:t>
      </w:r>
      <w:r>
        <w:rPr>
          <w:rFonts w:hint="eastAsia" w:asciiTheme="minorEastAsia" w:hAnsiTheme="minorEastAsia" w:eastAsiaTheme="minorEastAsia"/>
          <w:b/>
          <w:color w:val="auto"/>
          <w:sz w:val="24"/>
          <w:highlight w:val="none"/>
          <w:lang w:val="en-US" w:eastAsia="zh-CN"/>
        </w:rPr>
        <w:t>2</w:t>
      </w:r>
      <w:r>
        <w:rPr>
          <w:rFonts w:hint="eastAsia"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lang w:val="en-US" w:eastAsia="zh-CN"/>
        </w:rPr>
        <w:t>投诉</w:t>
      </w:r>
    </w:p>
    <w:p w14:paraId="24779597">
      <w:pPr>
        <w:keepNext w:val="0"/>
        <w:keepLines w:val="0"/>
        <w:pageBreakBefore w:val="0"/>
        <w:widowControl w:val="0"/>
        <w:kinsoku/>
        <w:wordWrap w:val="0"/>
        <w:overflowPunct/>
        <w:topLinePunct w:val="0"/>
        <w:autoSpaceDE/>
        <w:autoSpaceDN/>
        <w:bidi w:val="0"/>
        <w:adjustRightInd/>
        <w:snapToGrid/>
        <w:spacing w:line="360" w:lineRule="auto"/>
        <w:ind w:firstLine="437"/>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32.1质疑投标人对采购人、采购代理机构的答复不满意，或者采购人、采购代理机构未在规定的时间内答复的，可以在答复期满后十五个工作日内按有关规定，以书面形式（http://ggzy.chuzhou.gov.cn/fwzn/011001/011001001/011001001003/20200727/7fb88e17-63dd-4f17-b17c-290526c6eda8.html）向同级政府采购监督管理部门提出投诉或者线上提交投诉材料（http://ggzy.chuzhou.gov.cn/fwzn/011001/011001001/011001001003/20200221/b079d9ca-90f2-4cce-aa7c-94a444e7ac91.html）。</w:t>
      </w:r>
    </w:p>
    <w:p w14:paraId="77A466E9">
      <w:pPr>
        <w:keepNext w:val="0"/>
        <w:keepLines w:val="0"/>
        <w:pageBreakBefore w:val="0"/>
        <w:widowControl w:val="0"/>
        <w:kinsoku/>
        <w:wordWrap w:val="0"/>
        <w:overflowPunct/>
        <w:topLinePunct w:val="0"/>
        <w:autoSpaceDE/>
        <w:autoSpaceDN/>
        <w:bidi w:val="0"/>
        <w:adjustRightInd/>
        <w:snapToGrid/>
        <w:spacing w:line="360" w:lineRule="auto"/>
        <w:ind w:firstLine="437"/>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32.2政府采购监督管理部门应当在收到投诉后30个工作日内，对投诉事项作出处理决定，并以书面形式通知投诉人和与投诉事项有关的当事人，并在安徽省政府采购网公告。政府采购监督管理部门处理投诉事项，需要检验、检测、鉴定、专家评审以及需要投诉人补正材料的，所需时间不计算在投诉处理期限内。</w:t>
      </w:r>
    </w:p>
    <w:p w14:paraId="1915A612">
      <w:pPr>
        <w:keepNext w:val="0"/>
        <w:keepLines w:val="0"/>
        <w:pageBreakBefore w:val="0"/>
        <w:widowControl w:val="0"/>
        <w:kinsoku/>
        <w:wordWrap w:val="0"/>
        <w:overflowPunct/>
        <w:topLinePunct w:val="0"/>
        <w:autoSpaceDE/>
        <w:autoSpaceDN/>
        <w:bidi w:val="0"/>
        <w:adjustRightInd/>
        <w:snapToGrid/>
        <w:spacing w:line="360" w:lineRule="auto"/>
        <w:ind w:firstLine="437"/>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32.3政府采购监督管理部门在处理投诉事项期间，可以视具体情况书面通知采购人暂停采购活动，但暂停时间最长不得超过30日。</w:t>
      </w:r>
    </w:p>
    <w:p w14:paraId="2258F860">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3</w:t>
      </w:r>
      <w:r>
        <w:rPr>
          <w:rFonts w:hint="eastAsia" w:asciiTheme="minorEastAsia" w:hAnsiTheme="minorEastAsia" w:eastAsiaTheme="minorEastAsia"/>
          <w:b/>
          <w:color w:val="auto"/>
          <w:sz w:val="24"/>
          <w:highlight w:val="none"/>
          <w:lang w:val="en-US" w:eastAsia="zh-CN"/>
        </w:rPr>
        <w:t>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需要补充的其他内容</w:t>
      </w:r>
    </w:p>
    <w:p w14:paraId="1432393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需要补充的其他内容，见</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w:t>
      </w:r>
    </w:p>
    <w:p w14:paraId="7084582A">
      <w:pPr>
        <w:widowControl/>
        <w:jc w:val="left"/>
        <w:rPr>
          <w:rFonts w:asciiTheme="minorEastAsia" w:hAnsiTheme="minorEastAsia" w:eastAsiaTheme="minorEastAsia"/>
          <w:b/>
          <w:color w:val="auto"/>
          <w:sz w:val="28"/>
          <w:highlight w:val="none"/>
        </w:rPr>
      </w:pPr>
      <w:r>
        <w:rPr>
          <w:rFonts w:asciiTheme="minorEastAsia" w:hAnsiTheme="minorEastAsia" w:eastAsiaTheme="minorEastAsia"/>
          <w:color w:val="auto"/>
          <w:sz w:val="24"/>
          <w:highlight w:val="none"/>
        </w:rPr>
        <w:br w:type="page"/>
      </w:r>
    </w:p>
    <w:p w14:paraId="46B29A95">
      <w:pPr>
        <w:spacing w:line="360" w:lineRule="auto"/>
        <w:jc w:val="center"/>
        <w:outlineLvl w:val="0"/>
        <w:rPr>
          <w:rFonts w:hint="eastAsia" w:asciiTheme="minorEastAsia" w:hAnsiTheme="minorEastAsia" w:eastAsiaTheme="minorEastAsia"/>
          <w:b/>
          <w:color w:val="auto"/>
          <w:sz w:val="28"/>
          <w:highlight w:val="none"/>
          <w:lang w:eastAsia="zh-CN"/>
        </w:rPr>
      </w:pPr>
      <w:bookmarkStart w:id="23" w:name="_Toc13685"/>
      <w:r>
        <w:rPr>
          <w:rFonts w:hint="eastAsia" w:asciiTheme="minorEastAsia" w:hAnsiTheme="minorEastAsia" w:eastAsiaTheme="minorEastAsia"/>
          <w:b/>
          <w:color w:val="auto"/>
          <w:sz w:val="28"/>
          <w:highlight w:val="none"/>
        </w:rPr>
        <w:t>第三章  采购需求</w:t>
      </w:r>
      <w:bookmarkEnd w:id="23"/>
    </w:p>
    <w:p w14:paraId="0D9E3639">
      <w:pPr>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前注：</w:t>
      </w:r>
    </w:p>
    <w:p w14:paraId="648A9894">
      <w:pPr>
        <w:spacing w:line="360" w:lineRule="auto"/>
        <w:ind w:firstLine="435"/>
        <w:rPr>
          <w:rFonts w:ascii="宋体" w:hAnsi="宋体" w:eastAsia="宋体"/>
          <w:color w:val="auto"/>
          <w:sz w:val="24"/>
          <w:szCs w:val="18"/>
          <w:highlight w:val="none"/>
        </w:rPr>
      </w:pPr>
      <w:r>
        <w:rPr>
          <w:rFonts w:hint="eastAsia" w:asciiTheme="minorEastAsia" w:hAnsiTheme="minorEastAsia" w:eastAsiaTheme="minorEastAsia"/>
          <w:color w:val="auto"/>
          <w:sz w:val="24"/>
          <w:highlight w:val="none"/>
        </w:rPr>
        <w:t>1.</w:t>
      </w:r>
      <w:r>
        <w:rPr>
          <w:rFonts w:ascii="宋体" w:hAnsi="宋体" w:eastAsia="宋体"/>
          <w:color w:val="auto"/>
          <w:sz w:val="24"/>
          <w:szCs w:val="18"/>
          <w:highlight w:val="none"/>
        </w:rPr>
        <w:t>根据《</w:t>
      </w:r>
      <w:r>
        <w:rPr>
          <w:rFonts w:hint="eastAsia" w:ascii="宋体" w:hAnsi="宋体" w:eastAsia="宋体"/>
          <w:color w:val="auto"/>
          <w:sz w:val="24"/>
          <w:szCs w:val="18"/>
          <w:highlight w:val="none"/>
        </w:rPr>
        <w:t>政府采购进口产品管理办法</w:t>
      </w:r>
      <w:r>
        <w:rPr>
          <w:rFonts w:ascii="宋体" w:hAnsi="宋体" w:eastAsia="宋体"/>
          <w:color w:val="auto"/>
          <w:sz w:val="24"/>
          <w:szCs w:val="18"/>
          <w:highlight w:val="none"/>
        </w:rPr>
        <w:t>》及政府采购管理部门的相关规定，下列采购需求中</w:t>
      </w:r>
      <w:r>
        <w:rPr>
          <w:rFonts w:hint="eastAsia" w:ascii="宋体" w:hAnsi="宋体" w:eastAsia="宋体"/>
          <w:color w:val="auto"/>
          <w:sz w:val="24"/>
          <w:szCs w:val="18"/>
          <w:highlight w:val="none"/>
        </w:rPr>
        <w:t>标注进口产品的货物均</w:t>
      </w:r>
      <w:r>
        <w:rPr>
          <w:rFonts w:ascii="宋体" w:hAnsi="宋体" w:eastAsia="宋体"/>
          <w:color w:val="auto"/>
          <w:sz w:val="24"/>
          <w:szCs w:val="18"/>
          <w:highlight w:val="none"/>
        </w:rPr>
        <w:t>已履行相关论证手续，经核准采购进口</w:t>
      </w:r>
      <w:r>
        <w:rPr>
          <w:rFonts w:hint="eastAsia" w:ascii="宋体" w:hAnsi="宋体" w:eastAsia="宋体"/>
          <w:color w:val="auto"/>
          <w:sz w:val="24"/>
          <w:szCs w:val="18"/>
          <w:highlight w:val="none"/>
        </w:rPr>
        <w:t>产品</w:t>
      </w:r>
      <w:r>
        <w:rPr>
          <w:rFonts w:ascii="宋体" w:hAnsi="宋体" w:eastAsia="宋体"/>
          <w:color w:val="auto"/>
          <w:sz w:val="24"/>
          <w:szCs w:val="18"/>
          <w:highlight w:val="none"/>
        </w:rPr>
        <w:t>，但不限制满足招标文件要求的国内产品参与竞争</w:t>
      </w:r>
      <w:r>
        <w:rPr>
          <w:rFonts w:hint="eastAsia" w:ascii="宋体" w:hAnsi="宋体" w:eastAsia="宋体"/>
          <w:color w:val="auto"/>
          <w:sz w:val="24"/>
          <w:szCs w:val="18"/>
          <w:highlight w:val="none"/>
        </w:rPr>
        <w:t>。未标注进口产品的货物均</w:t>
      </w:r>
      <w:r>
        <w:rPr>
          <w:rFonts w:ascii="宋体" w:hAnsi="宋体" w:eastAsia="宋体"/>
          <w:color w:val="auto"/>
          <w:sz w:val="24"/>
          <w:szCs w:val="18"/>
          <w:highlight w:val="none"/>
        </w:rPr>
        <w:t>为拒绝采购进口产品</w:t>
      </w:r>
      <w:r>
        <w:rPr>
          <w:rFonts w:hint="eastAsia" w:ascii="宋体" w:hAnsi="宋体" w:eastAsia="宋体"/>
          <w:color w:val="auto"/>
          <w:sz w:val="24"/>
          <w:szCs w:val="18"/>
          <w:highlight w:val="none"/>
        </w:rPr>
        <w:t>。</w:t>
      </w:r>
    </w:p>
    <w:p w14:paraId="3D19009F">
      <w:pPr>
        <w:spacing w:line="360" w:lineRule="auto"/>
        <w:ind w:firstLine="435"/>
        <w:rPr>
          <w:rFonts w:hint="eastAsia" w:ascii="宋体" w:hAnsi="宋体" w:eastAsia="宋体"/>
          <w:color w:val="auto"/>
          <w:sz w:val="24"/>
          <w:szCs w:val="18"/>
          <w:highlight w:val="none"/>
        </w:rPr>
      </w:pPr>
      <w:r>
        <w:rPr>
          <w:rFonts w:hint="eastAsia" w:ascii="宋体" w:hAnsi="宋体" w:eastAsia="宋体"/>
          <w:color w:val="auto"/>
          <w:sz w:val="24"/>
          <w:szCs w:val="18"/>
          <w:highlight w:val="none"/>
        </w:rPr>
        <w:t>2</w:t>
      </w:r>
      <w:r>
        <w:rPr>
          <w:rFonts w:hint="eastAsia" w:ascii="宋体" w:hAnsi="宋体" w:eastAsia="宋体"/>
          <w:color w:val="auto"/>
          <w:sz w:val="24"/>
          <w:szCs w:val="18"/>
          <w:highlight w:val="none"/>
          <w:lang w:eastAsia="zh-CN"/>
        </w:rPr>
        <w:t>.</w:t>
      </w:r>
      <w:r>
        <w:rPr>
          <w:rFonts w:ascii="宋体" w:hAnsi="宋体" w:eastAsia="宋体" w:cs="宋体"/>
          <w:sz w:val="24"/>
          <w:szCs w:val="24"/>
          <w:highlight w:val="none"/>
        </w:rPr>
        <w:t>政府采购政策（包括但不限于下列具体政策要求</w:t>
      </w:r>
      <w:r>
        <w:rPr>
          <w:rFonts w:hint="eastAsia" w:ascii="宋体" w:hAnsi="宋体" w:eastAsia="宋体" w:cs="宋体"/>
          <w:sz w:val="24"/>
          <w:szCs w:val="24"/>
          <w:highlight w:val="none"/>
          <w:lang w:eastAsia="zh-CN"/>
        </w:rPr>
        <w:t>）</w:t>
      </w:r>
      <w:r>
        <w:rPr>
          <w:rFonts w:hint="eastAsia" w:ascii="宋体" w:hAnsi="宋体" w:eastAsia="宋体"/>
          <w:color w:val="auto"/>
          <w:sz w:val="24"/>
          <w:szCs w:val="18"/>
          <w:highlight w:val="none"/>
        </w:rPr>
        <w:t>：</w:t>
      </w:r>
    </w:p>
    <w:p w14:paraId="33939EB8">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（1）如属于《节能产品政府采购品目清单》中政府强制采购的节能产品，则在投标文件中提供</w:t>
      </w:r>
      <w:r>
        <w:rPr>
          <w:rFonts w:hint="eastAsia" w:ascii="宋体" w:hAnsi="宋体" w:eastAsia="宋体" w:cs="宋体"/>
          <w:color w:val="auto"/>
          <w:sz w:val="24"/>
          <w:szCs w:val="24"/>
          <w:highlight w:val="none"/>
          <w:lang w:val="en-US" w:eastAsia="zh-CN"/>
        </w:rPr>
        <w:t>所投</w:t>
      </w:r>
      <w:r>
        <w:rPr>
          <w:rFonts w:hint="eastAsia" w:ascii="宋体" w:hAnsi="宋体" w:eastAsia="宋体" w:cs="宋体"/>
          <w:color w:val="auto"/>
          <w:sz w:val="24"/>
          <w:szCs w:val="24"/>
          <w:highlight w:val="none"/>
        </w:rPr>
        <w:t>产品须具有市场监管总局公布的《参与实施政府采购节能产品认证机构目录》中的认证机构出具的、处于有效期内的节能产品认证证书。</w:t>
      </w:r>
    </w:p>
    <w:p w14:paraId="799BB425">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14:paraId="21C7F3E8">
      <w:pPr>
        <w:spacing w:line="360" w:lineRule="auto"/>
        <w:ind w:firstLine="435"/>
        <w:rPr>
          <w:color w:val="auto"/>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olor w:val="auto"/>
          <w:sz w:val="24"/>
          <w:szCs w:val="18"/>
          <w:highlight w:val="none"/>
        </w:rPr>
        <w:t>如采购人允许采用分包方式履行合同的，应当明确可以分包履行的相关内容。</w:t>
      </w:r>
    </w:p>
    <w:p w14:paraId="30B0ED33">
      <w:pPr>
        <w:spacing w:line="360" w:lineRule="auto"/>
        <w:ind w:firstLine="437"/>
        <w:outlineLvl w:val="1"/>
        <w:rPr>
          <w:rFonts w:ascii="宋体" w:hAnsi="宋体" w:eastAsia="宋体"/>
          <w:b/>
          <w:color w:val="auto"/>
          <w:sz w:val="24"/>
          <w:szCs w:val="18"/>
          <w:highlight w:val="none"/>
        </w:rPr>
      </w:pPr>
      <w:bookmarkStart w:id="24" w:name="_Toc16826"/>
      <w:bookmarkStart w:id="25" w:name="_Toc32151"/>
      <w:bookmarkStart w:id="26" w:name="_Toc2554"/>
      <w:r>
        <w:rPr>
          <w:rFonts w:hint="eastAsia" w:ascii="宋体" w:hAnsi="宋体" w:eastAsia="宋体"/>
          <w:b/>
          <w:color w:val="auto"/>
          <w:sz w:val="24"/>
          <w:szCs w:val="18"/>
          <w:highlight w:val="none"/>
        </w:rPr>
        <w:t>一、采购需求前附表</w:t>
      </w:r>
      <w:bookmarkEnd w:id="24"/>
      <w:bookmarkEnd w:id="25"/>
      <w:bookmarkEnd w:id="26"/>
    </w:p>
    <w:tbl>
      <w:tblPr>
        <w:tblStyle w:val="2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6"/>
        <w:gridCol w:w="2215"/>
        <w:gridCol w:w="5977"/>
      </w:tblGrid>
      <w:tr w14:paraId="43BAD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0F188398">
            <w:pPr>
              <w:pStyle w:val="44"/>
              <w:pBdr>
                <w:bottom w:val="none" w:color="auto" w:sz="0" w:space="0"/>
              </w:pBdr>
              <w:tabs>
                <w:tab w:val="clear" w:pos="4153"/>
                <w:tab w:val="clear" w:pos="8306"/>
              </w:tabs>
              <w:adjustRightInd/>
              <w:spacing w:line="240" w:lineRule="auto"/>
              <w:textAlignment w:val="auto"/>
              <w:rPr>
                <w:rFonts w:ascii="宋体" w:hAnsi="宋体" w:eastAsia="宋体"/>
                <w:b/>
                <w:color w:val="auto"/>
                <w:kern w:val="2"/>
                <w:highlight w:val="none"/>
              </w:rPr>
            </w:pPr>
            <w:r>
              <w:rPr>
                <w:rFonts w:hint="eastAsia" w:ascii="宋体" w:hAnsi="宋体" w:eastAsia="宋体"/>
                <w:b/>
                <w:color w:val="auto"/>
                <w:kern w:val="2"/>
                <w:highlight w:val="none"/>
              </w:rPr>
              <w:t>序号</w:t>
            </w:r>
          </w:p>
        </w:tc>
        <w:tc>
          <w:tcPr>
            <w:tcW w:w="1192" w:type="pct"/>
            <w:vAlign w:val="center"/>
          </w:tcPr>
          <w:p w14:paraId="200C6B67">
            <w:pPr>
              <w:pStyle w:val="43"/>
              <w:widowControl w:val="0"/>
              <w:spacing w:before="0" w:beforeAutospacing="0" w:after="0" w:afterAutospacing="0" w:line="360" w:lineRule="auto"/>
              <w:rPr>
                <w:rFonts w:ascii="宋体" w:hAnsi="宋体" w:eastAsia="宋体"/>
                <w:bCs w:val="0"/>
                <w:color w:val="auto"/>
                <w:sz w:val="24"/>
                <w:highlight w:val="none"/>
              </w:rPr>
            </w:pPr>
            <w:r>
              <w:rPr>
                <w:rFonts w:hint="eastAsia" w:ascii="宋体" w:hAnsi="宋体" w:eastAsia="宋体"/>
                <w:bCs w:val="0"/>
                <w:color w:val="auto"/>
                <w:sz w:val="24"/>
                <w:highlight w:val="none"/>
              </w:rPr>
              <w:t>条款名称</w:t>
            </w:r>
          </w:p>
        </w:tc>
        <w:tc>
          <w:tcPr>
            <w:tcW w:w="3217" w:type="pct"/>
            <w:vAlign w:val="center"/>
          </w:tcPr>
          <w:p w14:paraId="1E08E055">
            <w:pPr>
              <w:pStyle w:val="43"/>
              <w:widowControl w:val="0"/>
              <w:spacing w:before="0" w:beforeAutospacing="0" w:after="0" w:afterAutospacing="0" w:line="360" w:lineRule="auto"/>
              <w:rPr>
                <w:rFonts w:ascii="宋体" w:hAnsi="宋体" w:eastAsia="宋体"/>
                <w:bCs w:val="0"/>
                <w:color w:val="auto"/>
                <w:sz w:val="24"/>
                <w:highlight w:val="none"/>
              </w:rPr>
            </w:pPr>
            <w:r>
              <w:rPr>
                <w:rFonts w:hint="eastAsia" w:ascii="宋体" w:hAnsi="宋体" w:eastAsia="宋体"/>
                <w:bCs w:val="0"/>
                <w:color w:val="auto"/>
                <w:sz w:val="24"/>
                <w:highlight w:val="none"/>
              </w:rPr>
              <w:t>内容、说明与要求</w:t>
            </w:r>
          </w:p>
        </w:tc>
      </w:tr>
      <w:tr w14:paraId="20CF3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44D6A7A7">
            <w:pPr>
              <w:pStyle w:val="44"/>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w:t>
            </w:r>
          </w:p>
        </w:tc>
        <w:tc>
          <w:tcPr>
            <w:tcW w:w="1192" w:type="pct"/>
            <w:vAlign w:val="center"/>
          </w:tcPr>
          <w:p w14:paraId="7EA999D1">
            <w:pPr>
              <w:pStyle w:val="43"/>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付款方式</w:t>
            </w:r>
          </w:p>
        </w:tc>
        <w:tc>
          <w:tcPr>
            <w:tcW w:w="3217" w:type="pct"/>
            <w:vAlign w:val="center"/>
          </w:tcPr>
          <w:p w14:paraId="609B3175">
            <w:pPr>
              <w:pStyle w:val="43"/>
              <w:widowControl w:val="0"/>
              <w:spacing w:before="0" w:beforeAutospacing="0" w:after="0" w:afterAutospacing="0" w:line="360" w:lineRule="auto"/>
              <w:jc w:val="both"/>
              <w:rPr>
                <w:rFonts w:ascii="宋体" w:hAnsi="宋体" w:eastAsia="宋体"/>
                <w:b w:val="0"/>
                <w:color w:val="auto"/>
                <w:sz w:val="24"/>
                <w:highlight w:val="none"/>
                <w:u w:val="none"/>
              </w:rPr>
            </w:pPr>
            <w:r>
              <w:rPr>
                <w:rFonts w:hint="eastAsia" w:ascii="宋体" w:hAnsi="宋体" w:eastAsia="宋体"/>
                <w:b w:val="0"/>
                <w:color w:val="auto"/>
                <w:sz w:val="24"/>
                <w:highlight w:val="none"/>
                <w:u w:val="none"/>
                <w:lang w:val="en-US" w:eastAsia="zh-CN"/>
              </w:rPr>
              <w:t>合同签订且具备实施条件后，支付合同价的40%预付款（预付款支付前，中标人须提供同等金额的见索即付保函），全部供货安装调试完毕并由采购人验收合格后，一次性付清结算价款。</w:t>
            </w:r>
          </w:p>
        </w:tc>
      </w:tr>
      <w:tr w14:paraId="54BAE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1BFF4145">
            <w:pPr>
              <w:pStyle w:val="44"/>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w:t>
            </w:r>
          </w:p>
        </w:tc>
        <w:tc>
          <w:tcPr>
            <w:tcW w:w="1192" w:type="pct"/>
            <w:vAlign w:val="center"/>
          </w:tcPr>
          <w:p w14:paraId="400801A7">
            <w:pPr>
              <w:pStyle w:val="43"/>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供货及安装地点</w:t>
            </w:r>
          </w:p>
        </w:tc>
        <w:tc>
          <w:tcPr>
            <w:tcW w:w="3217" w:type="pct"/>
            <w:vAlign w:val="center"/>
          </w:tcPr>
          <w:p w14:paraId="008E1630">
            <w:pPr>
              <w:pStyle w:val="43"/>
              <w:widowControl w:val="0"/>
              <w:spacing w:before="0" w:beforeAutospacing="0" w:after="0" w:afterAutospacing="0" w:line="360" w:lineRule="auto"/>
              <w:jc w:val="both"/>
              <w:rPr>
                <w:rFonts w:ascii="宋体" w:hAnsi="宋体" w:eastAsia="宋体"/>
                <w:b w:val="0"/>
                <w:color w:val="auto"/>
                <w:sz w:val="24"/>
                <w:highlight w:val="none"/>
                <w:u w:val="none"/>
              </w:rPr>
            </w:pPr>
            <w:r>
              <w:rPr>
                <w:rFonts w:hint="eastAsia" w:ascii="宋体" w:hAnsi="宋体" w:eastAsia="宋体" w:cs="宋体"/>
                <w:b w:val="0"/>
                <w:color w:val="auto"/>
                <w:sz w:val="24"/>
                <w:highlight w:val="none"/>
                <w:u w:val="none"/>
              </w:rPr>
              <w:t>采购人指定地点</w:t>
            </w:r>
          </w:p>
        </w:tc>
      </w:tr>
      <w:tr w14:paraId="453DE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79C64E8A">
            <w:pPr>
              <w:pStyle w:val="44"/>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3</w:t>
            </w:r>
          </w:p>
        </w:tc>
        <w:tc>
          <w:tcPr>
            <w:tcW w:w="1192" w:type="pct"/>
            <w:vAlign w:val="center"/>
          </w:tcPr>
          <w:p w14:paraId="28D0729D">
            <w:pPr>
              <w:pStyle w:val="43"/>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供货及安装期限</w:t>
            </w:r>
          </w:p>
        </w:tc>
        <w:tc>
          <w:tcPr>
            <w:tcW w:w="3217" w:type="pct"/>
            <w:vAlign w:val="center"/>
          </w:tcPr>
          <w:p w14:paraId="79FDDCAC">
            <w:pPr>
              <w:pStyle w:val="43"/>
              <w:widowControl w:val="0"/>
              <w:spacing w:before="0" w:beforeAutospacing="0" w:after="0" w:afterAutospacing="0" w:line="360" w:lineRule="auto"/>
              <w:jc w:val="both"/>
              <w:rPr>
                <w:rFonts w:ascii="宋体" w:hAnsi="宋体" w:eastAsia="宋体"/>
                <w:b w:val="0"/>
                <w:color w:val="auto"/>
                <w:sz w:val="24"/>
                <w:highlight w:val="none"/>
                <w:u w:val="none"/>
              </w:rPr>
            </w:pPr>
            <w:r>
              <w:rPr>
                <w:rFonts w:hint="eastAsia" w:ascii="宋体" w:hAnsi="宋体" w:eastAsia="宋体"/>
                <w:b w:val="0"/>
                <w:color w:val="auto"/>
                <w:sz w:val="24"/>
                <w:highlight w:val="none"/>
                <w:u w:val="none"/>
                <w:lang w:val="en-US" w:eastAsia="zh-CN"/>
              </w:rPr>
              <w:t>自合同签订并接到采购人通知之日起30个日历天内完成全部货物的供货、安装、调试。</w:t>
            </w:r>
          </w:p>
        </w:tc>
      </w:tr>
      <w:tr w14:paraId="1661A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0A86A6BE">
            <w:pPr>
              <w:pStyle w:val="44"/>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4</w:t>
            </w:r>
          </w:p>
        </w:tc>
        <w:tc>
          <w:tcPr>
            <w:tcW w:w="1192" w:type="pct"/>
            <w:vAlign w:val="center"/>
          </w:tcPr>
          <w:p w14:paraId="6BA5A37C">
            <w:pPr>
              <w:pStyle w:val="43"/>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免费质保期</w:t>
            </w:r>
          </w:p>
        </w:tc>
        <w:tc>
          <w:tcPr>
            <w:tcW w:w="3217" w:type="pct"/>
            <w:vAlign w:val="center"/>
          </w:tcPr>
          <w:p w14:paraId="757D9F25">
            <w:pPr>
              <w:pStyle w:val="43"/>
              <w:widowControl w:val="0"/>
              <w:spacing w:before="0" w:beforeAutospacing="0" w:after="0" w:afterAutospacing="0" w:line="360" w:lineRule="auto"/>
              <w:jc w:val="both"/>
              <w:rPr>
                <w:rFonts w:hint="eastAsia" w:ascii="宋体" w:hAnsi="宋体" w:eastAsia="宋体" w:cs="宋体"/>
                <w:b w:val="0"/>
                <w:color w:val="auto"/>
                <w:sz w:val="24"/>
                <w:highlight w:val="none"/>
                <w:u w:val="none"/>
                <w:lang w:val="en-US" w:eastAsia="zh-CN"/>
              </w:rPr>
            </w:pPr>
            <w:r>
              <w:rPr>
                <w:rFonts w:hint="eastAsia" w:ascii="宋体" w:hAnsi="宋体" w:eastAsia="宋体" w:cs="宋体"/>
                <w:b w:val="0"/>
                <w:color w:val="auto"/>
                <w:sz w:val="24"/>
                <w:highlight w:val="none"/>
                <w:u w:val="none"/>
                <w:lang w:val="en-US" w:eastAsia="zh-CN"/>
              </w:rPr>
              <w:t>提供至少3年的免费质保服务。</w:t>
            </w:r>
          </w:p>
          <w:p w14:paraId="0D94A51E">
            <w:pPr>
              <w:pStyle w:val="43"/>
              <w:widowControl w:val="0"/>
              <w:spacing w:before="0" w:beforeAutospacing="0" w:after="0" w:afterAutospacing="0" w:line="360" w:lineRule="auto"/>
              <w:jc w:val="both"/>
              <w:rPr>
                <w:rFonts w:ascii="宋体" w:hAnsi="宋体" w:eastAsia="宋体"/>
                <w:b w:val="0"/>
                <w:color w:val="auto"/>
                <w:sz w:val="24"/>
                <w:highlight w:val="none"/>
                <w:u w:val="none"/>
              </w:rPr>
            </w:pPr>
            <w:r>
              <w:rPr>
                <w:rFonts w:hint="eastAsia" w:ascii="宋体" w:hAnsi="宋体" w:eastAsia="宋体" w:cs="宋体"/>
                <w:b w:val="0"/>
                <w:color w:val="auto"/>
                <w:sz w:val="24"/>
                <w:highlight w:val="none"/>
                <w:u w:val="none"/>
                <w:lang w:val="en-US" w:eastAsia="zh-CN"/>
              </w:rPr>
              <w:t>投标人至少提供8年免费会议保障，根据采购人要求派驻人员到场进行会议保障</w:t>
            </w:r>
          </w:p>
        </w:tc>
      </w:tr>
    </w:tbl>
    <w:p w14:paraId="3E806DB2">
      <w:pPr>
        <w:numPr>
          <w:ilvl w:val="0"/>
          <w:numId w:val="1"/>
        </w:numPr>
        <w:spacing w:line="360" w:lineRule="auto"/>
        <w:ind w:firstLine="437"/>
        <w:outlineLvl w:val="1"/>
        <w:rPr>
          <w:rFonts w:hint="eastAsia" w:ascii="宋体" w:hAnsi="宋体" w:eastAsia="宋体"/>
          <w:b/>
          <w:bCs/>
          <w:color w:val="auto"/>
          <w:sz w:val="24"/>
          <w:szCs w:val="18"/>
          <w:highlight w:val="none"/>
        </w:rPr>
      </w:pPr>
      <w:bookmarkStart w:id="27" w:name="_Toc3599"/>
      <w:bookmarkStart w:id="28" w:name="_Toc5944"/>
      <w:bookmarkStart w:id="29" w:name="_Toc7671"/>
      <w:r>
        <w:rPr>
          <w:rFonts w:hint="eastAsia" w:ascii="宋体" w:hAnsi="宋体" w:eastAsia="宋体"/>
          <w:b/>
          <w:color w:val="auto"/>
          <w:sz w:val="24"/>
          <w:szCs w:val="18"/>
          <w:highlight w:val="none"/>
        </w:rPr>
        <w:t>货物</w:t>
      </w:r>
      <w:r>
        <w:rPr>
          <w:rFonts w:hint="eastAsia" w:ascii="宋体" w:hAnsi="宋体" w:eastAsia="宋体"/>
          <w:b/>
          <w:bCs/>
          <w:color w:val="auto"/>
          <w:sz w:val="24"/>
          <w:szCs w:val="18"/>
          <w:highlight w:val="none"/>
        </w:rPr>
        <w:t>需求</w:t>
      </w:r>
      <w:bookmarkEnd w:id="27"/>
      <w:bookmarkEnd w:id="28"/>
      <w:bookmarkEnd w:id="29"/>
    </w:p>
    <w:p w14:paraId="23E8E36F">
      <w:pPr>
        <w:widowControl w:val="0"/>
        <w:numPr>
          <w:ilvl w:val="0"/>
          <w:numId w:val="0"/>
        </w:numPr>
        <w:spacing w:line="360" w:lineRule="auto"/>
        <w:ind w:firstLine="480" w:firstLineChars="200"/>
        <w:jc w:val="both"/>
        <w:outlineLvl w:val="1"/>
        <w:rPr>
          <w:rFonts w:hint="eastAsia" w:ascii="宋体" w:hAnsi="宋体" w:eastAsia="宋体"/>
          <w:b w:val="0"/>
          <w:bCs w:val="0"/>
          <w:color w:val="auto"/>
          <w:sz w:val="24"/>
          <w:szCs w:val="18"/>
          <w:highlight w:val="none"/>
        </w:rPr>
      </w:pPr>
    </w:p>
    <w:p w14:paraId="3491A7D8">
      <w:pPr>
        <w:widowControl w:val="0"/>
        <w:numPr>
          <w:ilvl w:val="0"/>
          <w:numId w:val="0"/>
        </w:numPr>
        <w:spacing w:line="360" w:lineRule="auto"/>
        <w:ind w:firstLine="480" w:firstLineChars="200"/>
        <w:jc w:val="both"/>
        <w:outlineLvl w:val="1"/>
        <w:rPr>
          <w:rFonts w:hint="eastAsia" w:ascii="宋体" w:hAnsi="宋体" w:eastAsia="宋体"/>
          <w:b w:val="0"/>
          <w:bCs w:val="0"/>
          <w:color w:val="auto"/>
          <w:sz w:val="24"/>
          <w:szCs w:val="18"/>
          <w:highlight w:val="none"/>
        </w:rPr>
      </w:pPr>
    </w:p>
    <w:tbl>
      <w:tblPr>
        <w:tblStyle w:val="25"/>
        <w:tblW w:w="4999" w:type="pct"/>
        <w:tblInd w:w="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710"/>
        <w:gridCol w:w="4131"/>
        <w:gridCol w:w="1161"/>
        <w:gridCol w:w="833"/>
        <w:gridCol w:w="1259"/>
        <w:gridCol w:w="490"/>
      </w:tblGrid>
      <w:tr w14:paraId="77314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shd w:val="clear" w:color="auto" w:fill="auto"/>
            <w:noWrap/>
            <w:vAlign w:val="center"/>
          </w:tcPr>
          <w:p w14:paraId="49E7827F">
            <w:pPr>
              <w:widowControl/>
              <w:spacing w:line="400" w:lineRule="exact"/>
              <w:jc w:val="center"/>
              <w:textAlignment w:val="center"/>
              <w:rPr>
                <w:rFonts w:ascii="宋体" w:hAnsi="宋体" w:eastAsia="宋体" w:cs="宋体"/>
                <w:b/>
                <w:bCs/>
                <w:color w:val="auto"/>
                <w:szCs w:val="21"/>
              </w:rPr>
            </w:pPr>
            <w:r>
              <w:rPr>
                <w:rFonts w:hint="eastAsia" w:ascii="宋体" w:hAnsi="宋体" w:eastAsia="宋体" w:cs="宋体"/>
                <w:b/>
                <w:bCs/>
                <w:color w:val="auto"/>
                <w:kern w:val="0"/>
                <w:szCs w:val="21"/>
                <w:lang w:bidi="ar"/>
              </w:rPr>
              <w:t>序号</w:t>
            </w:r>
          </w:p>
        </w:tc>
        <w:tc>
          <w:tcPr>
            <w:tcW w:w="710" w:type="dxa"/>
            <w:shd w:val="clear" w:color="auto" w:fill="auto"/>
            <w:vAlign w:val="center"/>
          </w:tcPr>
          <w:p w14:paraId="195416F8">
            <w:pPr>
              <w:widowControl/>
              <w:spacing w:line="400" w:lineRule="exact"/>
              <w:jc w:val="center"/>
              <w:textAlignment w:val="center"/>
              <w:rPr>
                <w:rFonts w:ascii="宋体" w:hAnsi="宋体" w:eastAsia="宋体" w:cs="宋体"/>
                <w:b/>
                <w:bCs/>
                <w:color w:val="auto"/>
                <w:szCs w:val="21"/>
              </w:rPr>
            </w:pPr>
            <w:r>
              <w:rPr>
                <w:rFonts w:hint="eastAsia" w:ascii="宋体" w:hAnsi="宋体" w:eastAsia="宋体" w:cs="宋体"/>
                <w:b/>
                <w:bCs/>
                <w:color w:val="auto"/>
                <w:kern w:val="0"/>
                <w:szCs w:val="21"/>
                <w:lang w:bidi="ar"/>
              </w:rPr>
              <w:t>货物名称</w:t>
            </w:r>
          </w:p>
        </w:tc>
        <w:tc>
          <w:tcPr>
            <w:tcW w:w="4131" w:type="dxa"/>
            <w:shd w:val="clear" w:color="auto" w:fill="auto"/>
            <w:vAlign w:val="center"/>
          </w:tcPr>
          <w:p w14:paraId="7D513513">
            <w:pPr>
              <w:widowControl/>
              <w:spacing w:line="400" w:lineRule="exact"/>
              <w:jc w:val="center"/>
              <w:textAlignment w:val="center"/>
              <w:rPr>
                <w:rFonts w:ascii="宋体" w:hAnsi="宋体" w:eastAsia="宋体" w:cs="宋体"/>
                <w:b/>
                <w:bCs/>
                <w:color w:val="auto"/>
                <w:szCs w:val="21"/>
              </w:rPr>
            </w:pPr>
            <w:r>
              <w:rPr>
                <w:rFonts w:hint="eastAsia" w:ascii="宋体" w:hAnsi="宋体" w:eastAsia="宋体" w:cs="宋体"/>
                <w:b/>
                <w:bCs/>
                <w:color w:val="auto"/>
                <w:kern w:val="0"/>
                <w:szCs w:val="21"/>
                <w:lang w:bidi="ar"/>
              </w:rPr>
              <w:t>技术参数及要求</w:t>
            </w:r>
          </w:p>
        </w:tc>
        <w:tc>
          <w:tcPr>
            <w:tcW w:w="1161" w:type="dxa"/>
            <w:shd w:val="clear" w:color="auto" w:fill="auto"/>
            <w:noWrap/>
            <w:vAlign w:val="center"/>
          </w:tcPr>
          <w:p w14:paraId="46E3151D">
            <w:pPr>
              <w:widowControl/>
              <w:spacing w:line="400" w:lineRule="exact"/>
              <w:jc w:val="center"/>
              <w:textAlignment w:val="center"/>
              <w:rPr>
                <w:rFonts w:hint="eastAsia" w:ascii="宋体" w:hAnsi="宋体" w:eastAsia="宋体" w:cs="宋体"/>
                <w:b/>
                <w:bCs/>
                <w:color w:val="auto"/>
                <w:kern w:val="0"/>
                <w:szCs w:val="21"/>
                <w:lang w:bidi="ar"/>
              </w:rPr>
            </w:pPr>
            <w:r>
              <w:rPr>
                <w:rFonts w:hint="eastAsia" w:ascii="宋体" w:hAnsi="宋体" w:eastAsia="宋体" w:cs="宋体"/>
                <w:b/>
                <w:bCs/>
                <w:color w:val="auto"/>
                <w:kern w:val="0"/>
                <w:szCs w:val="21"/>
                <w:lang w:bidi="ar"/>
              </w:rPr>
              <w:t>数量</w:t>
            </w:r>
          </w:p>
          <w:p w14:paraId="015B845E">
            <w:pPr>
              <w:widowControl/>
              <w:spacing w:line="400" w:lineRule="exact"/>
              <w:jc w:val="center"/>
              <w:textAlignment w:val="center"/>
              <w:rPr>
                <w:rFonts w:ascii="宋体" w:hAnsi="宋体" w:eastAsia="宋体" w:cs="宋体"/>
                <w:b/>
                <w:bCs/>
                <w:color w:val="auto"/>
                <w:szCs w:val="21"/>
              </w:rPr>
            </w:pPr>
            <w:r>
              <w:rPr>
                <w:rFonts w:hint="eastAsia" w:ascii="宋体" w:hAnsi="宋体" w:eastAsia="宋体" w:cs="宋体"/>
                <w:b/>
                <w:bCs/>
                <w:color w:val="auto"/>
                <w:kern w:val="0"/>
                <w:szCs w:val="21"/>
                <w:lang w:bidi="ar"/>
              </w:rPr>
              <w:t>（单位）</w:t>
            </w:r>
          </w:p>
        </w:tc>
        <w:tc>
          <w:tcPr>
            <w:tcW w:w="833" w:type="dxa"/>
            <w:shd w:val="clear" w:color="auto" w:fill="auto"/>
            <w:vAlign w:val="center"/>
          </w:tcPr>
          <w:p w14:paraId="5B4D724B">
            <w:pPr>
              <w:widowControl/>
              <w:spacing w:line="400" w:lineRule="exact"/>
              <w:jc w:val="center"/>
              <w:textAlignment w:val="center"/>
              <w:rPr>
                <w:rFonts w:ascii="宋体" w:hAnsi="宋体" w:eastAsia="宋体" w:cs="宋体"/>
                <w:b/>
                <w:bCs/>
                <w:color w:val="auto"/>
                <w:szCs w:val="21"/>
              </w:rPr>
            </w:pPr>
            <w:r>
              <w:rPr>
                <w:rFonts w:hint="eastAsia" w:ascii="宋体" w:hAnsi="宋体" w:eastAsia="宋体" w:cs="宋体"/>
                <w:b/>
                <w:bCs/>
                <w:color w:val="auto"/>
                <w:kern w:val="0"/>
                <w:szCs w:val="21"/>
                <w:lang w:bidi="ar"/>
              </w:rPr>
              <w:t>所属行业</w:t>
            </w:r>
          </w:p>
        </w:tc>
        <w:tc>
          <w:tcPr>
            <w:tcW w:w="1259" w:type="dxa"/>
            <w:shd w:val="clear" w:color="auto" w:fill="auto"/>
            <w:vAlign w:val="center"/>
          </w:tcPr>
          <w:p w14:paraId="38A47EC5">
            <w:pPr>
              <w:widowControl/>
              <w:spacing w:line="400" w:lineRule="exact"/>
              <w:jc w:val="center"/>
              <w:textAlignment w:val="center"/>
              <w:rPr>
                <w:rFonts w:ascii="宋体" w:hAnsi="宋体" w:eastAsia="宋体" w:cs="宋体"/>
                <w:b/>
                <w:bCs/>
                <w:color w:val="auto"/>
                <w:szCs w:val="21"/>
              </w:rPr>
            </w:pPr>
            <w:r>
              <w:rPr>
                <w:rFonts w:hint="eastAsia" w:ascii="宋体" w:hAnsi="宋体" w:eastAsia="宋体" w:cs="宋体"/>
                <w:b/>
                <w:bCs/>
                <w:color w:val="auto"/>
                <w:kern w:val="0"/>
                <w:szCs w:val="21"/>
                <w:lang w:bidi="ar"/>
              </w:rPr>
              <w:t>是否为核心产品</w:t>
            </w:r>
          </w:p>
        </w:tc>
        <w:tc>
          <w:tcPr>
            <w:tcW w:w="490" w:type="dxa"/>
            <w:shd w:val="clear" w:color="auto" w:fill="auto"/>
            <w:vAlign w:val="center"/>
          </w:tcPr>
          <w:p w14:paraId="5D1723BB">
            <w:pPr>
              <w:widowControl/>
              <w:spacing w:line="400" w:lineRule="exact"/>
              <w:jc w:val="center"/>
              <w:textAlignment w:val="center"/>
              <w:rPr>
                <w:rFonts w:ascii="宋体" w:hAnsi="宋体" w:eastAsia="宋体" w:cs="宋体"/>
                <w:b/>
                <w:bCs/>
                <w:color w:val="auto"/>
                <w:szCs w:val="21"/>
              </w:rPr>
            </w:pPr>
            <w:r>
              <w:rPr>
                <w:rFonts w:hint="eastAsia" w:ascii="宋体" w:hAnsi="宋体" w:eastAsia="宋体" w:cs="宋体"/>
                <w:b/>
                <w:bCs/>
                <w:color w:val="auto"/>
                <w:kern w:val="0"/>
                <w:szCs w:val="21"/>
                <w:lang w:bidi="ar"/>
              </w:rPr>
              <w:t>备注</w:t>
            </w:r>
          </w:p>
        </w:tc>
      </w:tr>
      <w:tr w14:paraId="16E01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4" w:hRule="atLeast"/>
        </w:trPr>
        <w:tc>
          <w:tcPr>
            <w:tcW w:w="703" w:type="dxa"/>
            <w:shd w:val="clear" w:color="auto" w:fill="auto"/>
            <w:noWrap/>
            <w:vAlign w:val="center"/>
          </w:tcPr>
          <w:p w14:paraId="0B663AAA">
            <w:pPr>
              <w:widowControl/>
              <w:spacing w:line="400" w:lineRule="exact"/>
              <w:jc w:val="center"/>
              <w:textAlignment w:val="center"/>
              <w:rPr>
                <w:rFonts w:ascii="宋体" w:hAnsi="宋体" w:eastAsia="宋体" w:cs="宋体"/>
                <w:b/>
                <w:bCs/>
                <w:color w:val="auto"/>
                <w:szCs w:val="21"/>
              </w:rPr>
            </w:pPr>
            <w:r>
              <w:rPr>
                <w:rFonts w:hint="eastAsia" w:ascii="宋体" w:hAnsi="宋体" w:eastAsia="宋体" w:cs="宋体"/>
                <w:b/>
                <w:bCs/>
                <w:color w:val="auto"/>
                <w:kern w:val="0"/>
                <w:szCs w:val="21"/>
                <w:lang w:bidi="ar"/>
              </w:rPr>
              <w:t>1</w:t>
            </w:r>
          </w:p>
        </w:tc>
        <w:tc>
          <w:tcPr>
            <w:tcW w:w="710" w:type="dxa"/>
            <w:shd w:val="clear" w:color="auto" w:fill="auto"/>
            <w:vAlign w:val="center"/>
          </w:tcPr>
          <w:p w14:paraId="299D0F29">
            <w:pPr>
              <w:widowControl/>
              <w:spacing w:line="400" w:lineRule="exact"/>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LED显示屏主屏</w:t>
            </w:r>
          </w:p>
        </w:tc>
        <w:tc>
          <w:tcPr>
            <w:tcW w:w="4131" w:type="dxa"/>
            <w:shd w:val="clear" w:color="auto" w:fill="auto"/>
            <w:vAlign w:val="center"/>
          </w:tcPr>
          <w:p w14:paraId="38503046">
            <w:pPr>
              <w:widowControl/>
              <w:spacing w:line="400" w:lineRule="exact"/>
              <w:jc w:val="left"/>
              <w:textAlignment w:val="center"/>
              <w:rPr>
                <w:rFonts w:hint="eastAsia" w:ascii="宋体" w:hAnsi="宋体" w:eastAsia="宋体" w:cs="宋体"/>
                <w:color w:val="auto"/>
                <w:kern w:val="0"/>
                <w:szCs w:val="21"/>
                <w:lang w:bidi="ar"/>
              </w:rPr>
            </w:pPr>
            <w:r>
              <w:rPr>
                <w:rFonts w:hint="eastAsia" w:ascii="宋体" w:hAnsi="宋体" w:eastAsia="宋体" w:cs="宋体"/>
                <w:color w:val="auto"/>
                <w:kern w:val="0"/>
                <w:szCs w:val="21"/>
                <w:lang w:bidi="ar"/>
              </w:rPr>
              <w:t>屏体尺寸：10.8m*4.05m；分辨率不低于8640*3240；</w:t>
            </w:r>
          </w:p>
          <w:p w14:paraId="58CA9794">
            <w:pPr>
              <w:widowControl/>
              <w:spacing w:line="400" w:lineRule="exact"/>
              <w:jc w:val="left"/>
              <w:textAlignment w:val="center"/>
              <w:rPr>
                <w:rFonts w:hint="eastAsia" w:ascii="宋体" w:hAnsi="宋体" w:eastAsia="宋体" w:cs="宋体"/>
                <w:color w:val="auto"/>
                <w:kern w:val="0"/>
                <w:szCs w:val="21"/>
                <w:lang w:bidi="ar"/>
              </w:rPr>
            </w:pPr>
            <w:r>
              <w:rPr>
                <w:rFonts w:hint="eastAsia" w:ascii="宋体" w:hAnsi="宋体" w:eastAsia="宋体" w:cs="宋体"/>
                <w:color w:val="auto"/>
                <w:kern w:val="0"/>
                <w:szCs w:val="21"/>
                <w:lang w:bidi="ar"/>
              </w:rPr>
              <w:t>★1.像素构成 表贴三合一，1R1G1B 封装；点间距 (mm)≤1.25；</w:t>
            </w:r>
          </w:p>
          <w:p w14:paraId="4EB92F70">
            <w:pPr>
              <w:widowControl/>
              <w:spacing w:line="400" w:lineRule="exact"/>
              <w:jc w:val="left"/>
              <w:textAlignment w:val="center"/>
              <w:rPr>
                <w:rFonts w:hint="eastAsia" w:ascii="宋体" w:hAnsi="宋体" w:eastAsia="宋体" w:cs="宋体"/>
                <w:color w:val="auto"/>
                <w:kern w:val="0"/>
                <w:szCs w:val="21"/>
                <w:lang w:bidi="ar"/>
              </w:rPr>
            </w:pPr>
            <w:r>
              <w:rPr>
                <w:rFonts w:hint="eastAsia" w:ascii="宋体" w:hAnsi="宋体" w:eastAsia="宋体" w:cs="宋体"/>
                <w:color w:val="auto"/>
                <w:kern w:val="0"/>
                <w:szCs w:val="21"/>
                <w:lang w:bidi="ar"/>
              </w:rPr>
              <w:t>2.箱体尺寸：600mm*337.5mm；</w:t>
            </w:r>
          </w:p>
          <w:p w14:paraId="0FBA8FF8">
            <w:pPr>
              <w:widowControl/>
              <w:spacing w:line="400" w:lineRule="exact"/>
              <w:jc w:val="left"/>
              <w:textAlignment w:val="center"/>
              <w:rPr>
                <w:rFonts w:hint="eastAsia" w:ascii="宋体" w:hAnsi="宋体" w:eastAsia="宋体" w:cs="宋体"/>
                <w:color w:val="auto"/>
                <w:kern w:val="0"/>
                <w:szCs w:val="21"/>
                <w:lang w:bidi="ar"/>
              </w:rPr>
            </w:pPr>
            <w:r>
              <w:rPr>
                <w:rFonts w:hint="eastAsia" w:ascii="宋体" w:hAnsi="宋体" w:eastAsia="宋体" w:cs="宋体"/>
                <w:color w:val="auto"/>
                <w:kern w:val="0"/>
                <w:szCs w:val="21"/>
                <w:lang w:bidi="ar"/>
              </w:rPr>
              <w:t>3.</w:t>
            </w:r>
            <w:r>
              <w:rPr>
                <w:rFonts w:hint="eastAsia" w:ascii="宋体" w:hAnsi="宋体" w:eastAsia="宋体" w:cs="宋体"/>
                <w:b/>
                <w:bCs/>
                <w:color w:val="auto"/>
                <w:kern w:val="0"/>
                <w:szCs w:val="21"/>
                <w:lang w:bidi="ar"/>
              </w:rPr>
              <w:t>▲亮度≥850nits,支持通过配套软件0-100%无级调节；刷新频率≥4200Hz</w:t>
            </w:r>
            <w:r>
              <w:rPr>
                <w:rFonts w:hint="eastAsia" w:ascii="宋体" w:hAnsi="宋体" w:eastAsia="宋体" w:cs="宋体"/>
                <w:color w:val="auto"/>
                <w:kern w:val="0"/>
                <w:szCs w:val="21"/>
                <w:lang w:bidi="ar"/>
              </w:rPr>
              <w:t xml:space="preserve"> (提供有效的第三方检测报告扫描件)；</w:t>
            </w:r>
          </w:p>
          <w:p w14:paraId="3E118B9C">
            <w:pPr>
              <w:widowControl/>
              <w:spacing w:line="400" w:lineRule="exact"/>
              <w:jc w:val="left"/>
              <w:textAlignment w:val="center"/>
              <w:rPr>
                <w:rFonts w:hint="eastAsia" w:ascii="宋体" w:hAnsi="宋体" w:eastAsia="宋体" w:cs="宋体"/>
                <w:color w:val="auto"/>
                <w:kern w:val="0"/>
                <w:szCs w:val="21"/>
                <w:lang w:bidi="ar"/>
              </w:rPr>
            </w:pPr>
            <w:r>
              <w:rPr>
                <w:rFonts w:hint="eastAsia" w:ascii="宋体" w:hAnsi="宋体" w:eastAsia="宋体" w:cs="宋体"/>
                <w:color w:val="auto"/>
                <w:kern w:val="0"/>
                <w:szCs w:val="21"/>
                <w:lang w:bidi="ar"/>
              </w:rPr>
              <w:t>4.</w:t>
            </w:r>
            <w:r>
              <w:rPr>
                <w:rFonts w:hint="eastAsia" w:ascii="宋体" w:hAnsi="宋体" w:eastAsia="宋体" w:cs="宋体"/>
                <w:b/>
                <w:bCs/>
                <w:color w:val="auto"/>
                <w:kern w:val="0"/>
                <w:szCs w:val="21"/>
                <w:lang w:bidi="ar"/>
              </w:rPr>
              <w:t>▲水平视角 ≥175° 垂直视角 ≥175°；最大对比度 ≥ 12000:1(全白/全黑，环境照度 0.05lux)</w:t>
            </w:r>
            <w:r>
              <w:rPr>
                <w:rFonts w:hint="eastAsia" w:ascii="宋体" w:hAnsi="宋体" w:eastAsia="宋体" w:cs="宋体"/>
                <w:color w:val="auto"/>
                <w:kern w:val="0"/>
                <w:szCs w:val="21"/>
                <w:lang w:bidi="ar"/>
              </w:rPr>
              <w:t xml:space="preserve"> (提供有效的第三方检测报告扫描件)；</w:t>
            </w:r>
          </w:p>
          <w:p w14:paraId="4C7481EC">
            <w:pPr>
              <w:widowControl/>
              <w:spacing w:line="400" w:lineRule="exact"/>
              <w:jc w:val="left"/>
              <w:textAlignment w:val="center"/>
              <w:rPr>
                <w:rFonts w:hint="eastAsia" w:ascii="宋体" w:hAnsi="宋体" w:eastAsia="宋体" w:cs="宋体"/>
                <w:color w:val="auto"/>
                <w:kern w:val="0"/>
                <w:szCs w:val="21"/>
                <w:lang w:bidi="ar"/>
              </w:rPr>
            </w:pPr>
            <w:r>
              <w:rPr>
                <w:rFonts w:hint="eastAsia" w:ascii="宋体" w:hAnsi="宋体" w:eastAsia="宋体" w:cs="宋体"/>
                <w:color w:val="auto"/>
                <w:kern w:val="0"/>
                <w:szCs w:val="21"/>
                <w:lang w:bidi="ar"/>
              </w:rPr>
              <w:t>5.显示单元平整度偏差≤0.05mm(垂直偏差JX≤5%；水平偏差：CS≤5%) ；单元拼接间隙≤0.05mm；</w:t>
            </w:r>
          </w:p>
          <w:p w14:paraId="74B1830B">
            <w:pPr>
              <w:widowControl/>
              <w:spacing w:line="400" w:lineRule="exact"/>
              <w:jc w:val="left"/>
              <w:textAlignment w:val="center"/>
              <w:rPr>
                <w:rFonts w:hint="eastAsia" w:ascii="宋体" w:hAnsi="宋体" w:eastAsia="宋体" w:cs="宋体"/>
                <w:color w:val="auto"/>
                <w:kern w:val="0"/>
                <w:szCs w:val="21"/>
                <w:lang w:bidi="ar"/>
              </w:rPr>
            </w:pPr>
            <w:r>
              <w:rPr>
                <w:rFonts w:hint="eastAsia" w:ascii="宋体" w:hAnsi="宋体" w:eastAsia="宋体" w:cs="宋体"/>
                <w:color w:val="auto"/>
                <w:kern w:val="0"/>
                <w:szCs w:val="21"/>
                <w:lang w:bidi="ar"/>
              </w:rPr>
              <w:t>6.色温≥2000-15000K 可调，色温误差：色温为 6500K 时，100%，75%，50%，25% 四档电平白场调节色温误差≤200K；</w:t>
            </w:r>
          </w:p>
          <w:p w14:paraId="7DB62C74">
            <w:pPr>
              <w:widowControl/>
              <w:spacing w:line="400" w:lineRule="exact"/>
              <w:jc w:val="left"/>
              <w:textAlignment w:val="center"/>
              <w:rPr>
                <w:rFonts w:hint="eastAsia" w:ascii="宋体" w:hAnsi="宋体" w:eastAsia="宋体" w:cs="宋体"/>
                <w:color w:val="auto"/>
                <w:kern w:val="0"/>
                <w:szCs w:val="21"/>
                <w:lang w:bidi="ar"/>
              </w:rPr>
            </w:pPr>
            <w:r>
              <w:rPr>
                <w:rFonts w:hint="eastAsia" w:ascii="宋体" w:hAnsi="宋体" w:eastAsia="宋体" w:cs="宋体"/>
                <w:color w:val="auto"/>
                <w:kern w:val="0"/>
                <w:szCs w:val="21"/>
                <w:lang w:bidi="ar"/>
              </w:rPr>
              <w:t xml:space="preserve">7.亮度均匀性(校正后)≥98%；亮度均匀性LMG≤5%；发光点中心跑偏差≤1%；色度均匀性±0.002Cx,Cy；灰度等级256级；换帧频率50&amp;60Hz； </w:t>
            </w:r>
          </w:p>
          <w:p w14:paraId="58C00625">
            <w:pPr>
              <w:widowControl/>
              <w:spacing w:line="400" w:lineRule="exact"/>
              <w:jc w:val="left"/>
              <w:textAlignment w:val="center"/>
              <w:rPr>
                <w:rFonts w:hint="eastAsia" w:ascii="宋体" w:hAnsi="宋体" w:eastAsia="宋体" w:cs="宋体"/>
                <w:color w:val="auto"/>
                <w:kern w:val="0"/>
                <w:szCs w:val="21"/>
                <w:lang w:bidi="ar"/>
              </w:rPr>
            </w:pPr>
            <w:r>
              <w:rPr>
                <w:rFonts w:hint="eastAsia" w:ascii="宋体" w:hAnsi="宋体" w:eastAsia="宋体" w:cs="宋体"/>
                <w:color w:val="auto"/>
                <w:kern w:val="0"/>
                <w:szCs w:val="21"/>
                <w:lang w:bidi="ar"/>
              </w:rPr>
              <w:t>8.</w:t>
            </w:r>
            <w:r>
              <w:rPr>
                <w:rFonts w:hint="eastAsia" w:ascii="宋体" w:hAnsi="宋体" w:eastAsia="宋体" w:cs="宋体"/>
                <w:b/>
                <w:bCs/>
                <w:color w:val="auto"/>
                <w:kern w:val="0"/>
                <w:szCs w:val="21"/>
                <w:lang w:bidi="ar"/>
              </w:rPr>
              <w:t>▲灰度分层校正 依据 LED 灯发光曲线参数，一级一级的灰度进行亮度、色度修正。分段多套校正数据，实现显示自动匹灰阶校正数据</w:t>
            </w:r>
            <w:r>
              <w:rPr>
                <w:rFonts w:hint="eastAsia" w:ascii="宋体" w:hAnsi="宋体" w:eastAsia="宋体" w:cs="宋体"/>
                <w:color w:val="auto"/>
                <w:kern w:val="0"/>
                <w:szCs w:val="21"/>
                <w:lang w:bidi="ar"/>
              </w:rPr>
              <w:t>(提供有效的第三方检测报告扫描件)；</w:t>
            </w:r>
          </w:p>
          <w:p w14:paraId="7F8FDBEF">
            <w:pPr>
              <w:widowControl/>
              <w:spacing w:line="400" w:lineRule="exact"/>
              <w:jc w:val="left"/>
              <w:textAlignment w:val="center"/>
              <w:rPr>
                <w:rFonts w:hint="eastAsia" w:ascii="宋体" w:hAnsi="宋体" w:eastAsia="宋体" w:cs="宋体"/>
                <w:color w:val="auto"/>
                <w:kern w:val="0"/>
                <w:szCs w:val="21"/>
                <w:lang w:bidi="ar"/>
              </w:rPr>
            </w:pPr>
            <w:r>
              <w:rPr>
                <w:rFonts w:hint="eastAsia" w:ascii="宋体" w:hAnsi="宋体" w:eastAsia="宋体" w:cs="宋体"/>
                <w:color w:val="auto"/>
                <w:kern w:val="0"/>
                <w:szCs w:val="21"/>
                <w:lang w:bidi="ar"/>
              </w:rPr>
              <w:t xml:space="preserve">9.峰值功耗≤500W/m²平均功率≤200W/m² </w:t>
            </w:r>
          </w:p>
          <w:p w14:paraId="008A1A7C">
            <w:pPr>
              <w:widowControl/>
              <w:spacing w:line="400" w:lineRule="exact"/>
              <w:jc w:val="left"/>
              <w:textAlignment w:val="center"/>
              <w:rPr>
                <w:rFonts w:hint="eastAsia" w:ascii="宋体" w:hAnsi="宋体" w:eastAsia="宋体" w:cs="宋体"/>
                <w:color w:val="auto"/>
                <w:kern w:val="0"/>
                <w:szCs w:val="21"/>
                <w:lang w:bidi="ar"/>
              </w:rPr>
            </w:pPr>
            <w:r>
              <w:rPr>
                <w:rFonts w:hint="eastAsia" w:ascii="宋体" w:hAnsi="宋体" w:eastAsia="宋体" w:cs="宋体"/>
                <w:color w:val="auto"/>
                <w:kern w:val="0"/>
                <w:szCs w:val="21"/>
                <w:lang w:bidi="ar"/>
              </w:rPr>
              <w:t>10.</w:t>
            </w:r>
            <w:r>
              <w:rPr>
                <w:rFonts w:hint="eastAsia" w:ascii="宋体" w:hAnsi="宋体" w:eastAsia="宋体" w:cs="宋体"/>
                <w:b/>
                <w:bCs/>
                <w:color w:val="auto"/>
                <w:kern w:val="0"/>
                <w:szCs w:val="21"/>
                <w:lang w:bidi="ar"/>
              </w:rPr>
              <w:t>▲智能节电功能：具备智能(黑屏)节电功能，开启智能节电功能比和没有开启节能50%以上；LED显示屏符合相关标准,能效一级。</w:t>
            </w:r>
            <w:r>
              <w:rPr>
                <w:rFonts w:hint="eastAsia" w:ascii="宋体" w:hAnsi="宋体" w:eastAsia="宋体" w:cs="宋体"/>
                <w:color w:val="auto"/>
                <w:kern w:val="0"/>
                <w:szCs w:val="21"/>
                <w:lang w:bidi="ar"/>
              </w:rPr>
              <w:t>(提供有效的第三方检测报告扫描件)；</w:t>
            </w:r>
          </w:p>
          <w:p w14:paraId="4BAAFB84">
            <w:pPr>
              <w:widowControl/>
              <w:spacing w:line="400" w:lineRule="exact"/>
              <w:jc w:val="left"/>
              <w:textAlignment w:val="center"/>
              <w:rPr>
                <w:rFonts w:hint="eastAsia" w:ascii="宋体" w:hAnsi="宋体" w:eastAsia="宋体" w:cs="宋体"/>
                <w:color w:val="auto"/>
                <w:kern w:val="0"/>
                <w:szCs w:val="21"/>
                <w:lang w:bidi="ar"/>
              </w:rPr>
            </w:pPr>
            <w:r>
              <w:rPr>
                <w:rFonts w:hint="eastAsia" w:ascii="宋体" w:hAnsi="宋体" w:eastAsia="宋体" w:cs="宋体"/>
                <w:color w:val="auto"/>
                <w:kern w:val="0"/>
                <w:szCs w:val="21"/>
                <w:lang w:bidi="ar"/>
              </w:rPr>
              <w:t>11.</w:t>
            </w:r>
            <w:r>
              <w:rPr>
                <w:rFonts w:hint="eastAsia" w:ascii="宋体" w:hAnsi="宋体" w:eastAsia="宋体" w:cs="宋体"/>
                <w:b/>
                <w:bCs/>
                <w:color w:val="auto"/>
                <w:kern w:val="0"/>
                <w:szCs w:val="21"/>
                <w:lang w:bidi="ar"/>
              </w:rPr>
              <w:t xml:space="preserve">▲色彩管理 屏幕支持色域范围调节，可任意按标准色域显示(如设置为 NTSC、REC709、DCI-P3 等) </w:t>
            </w:r>
            <w:r>
              <w:rPr>
                <w:rFonts w:hint="eastAsia" w:ascii="宋体" w:hAnsi="宋体" w:eastAsia="宋体" w:cs="宋体"/>
                <w:color w:val="auto"/>
                <w:kern w:val="0"/>
                <w:szCs w:val="21"/>
                <w:lang w:bidi="ar"/>
              </w:rPr>
              <w:t xml:space="preserve"> (提供有效的第三方检测报告扫描件)；</w:t>
            </w:r>
          </w:p>
          <w:p w14:paraId="5817F29B">
            <w:pPr>
              <w:widowControl/>
              <w:spacing w:line="400" w:lineRule="exact"/>
              <w:jc w:val="left"/>
              <w:textAlignment w:val="center"/>
              <w:rPr>
                <w:rFonts w:hint="eastAsia" w:ascii="宋体" w:hAnsi="宋体" w:eastAsia="宋体" w:cs="宋体"/>
                <w:color w:val="auto"/>
                <w:kern w:val="0"/>
                <w:szCs w:val="21"/>
                <w:lang w:bidi="ar"/>
              </w:rPr>
            </w:pPr>
            <w:r>
              <w:rPr>
                <w:rFonts w:hint="eastAsia" w:ascii="宋体" w:hAnsi="宋体" w:eastAsia="宋体" w:cs="宋体"/>
                <w:color w:val="auto"/>
                <w:kern w:val="0"/>
                <w:szCs w:val="21"/>
                <w:lang w:bidi="ar"/>
              </w:rPr>
              <w:t xml:space="preserve">12.故障告警 LED显示屏可实时监控显示屏工作状态，具有计时功能及信号运行监测功能，具有坏点检测系统，具体故障自动告警功能，发生故障立即发消息到指定邮箱及时处理； </w:t>
            </w:r>
          </w:p>
          <w:p w14:paraId="5674442F">
            <w:pPr>
              <w:widowControl/>
              <w:spacing w:line="400" w:lineRule="exact"/>
              <w:jc w:val="left"/>
              <w:textAlignment w:val="center"/>
              <w:rPr>
                <w:rFonts w:hint="eastAsia" w:ascii="宋体" w:hAnsi="宋体" w:eastAsia="宋体" w:cs="宋体"/>
                <w:color w:val="auto"/>
                <w:kern w:val="0"/>
                <w:szCs w:val="21"/>
                <w:lang w:bidi="ar"/>
              </w:rPr>
            </w:pPr>
            <w:r>
              <w:rPr>
                <w:rFonts w:hint="eastAsia" w:ascii="宋体" w:hAnsi="宋体" w:eastAsia="宋体" w:cs="宋体"/>
                <w:color w:val="auto"/>
                <w:kern w:val="0"/>
                <w:szCs w:val="21"/>
                <w:lang w:bidi="ar"/>
              </w:rPr>
              <w:t>13.▲</w:t>
            </w:r>
            <w:r>
              <w:rPr>
                <w:rFonts w:hint="eastAsia" w:ascii="宋体" w:hAnsi="宋体" w:eastAsia="宋体" w:cs="宋体"/>
                <w:b/>
                <w:bCs/>
                <w:color w:val="auto"/>
                <w:kern w:val="0"/>
                <w:szCs w:val="21"/>
                <w:lang w:bidi="ar"/>
              </w:rPr>
              <w:t>支持双电网供电；支持热备份；支持信号备份及电源备份；显示产品单元模组电源、信号传输采用一体化传输；</w:t>
            </w:r>
            <w:r>
              <w:rPr>
                <w:rFonts w:hint="eastAsia" w:ascii="宋体" w:hAnsi="宋体" w:eastAsia="宋体" w:cs="宋体"/>
                <w:color w:val="auto"/>
                <w:kern w:val="0"/>
                <w:szCs w:val="21"/>
                <w:lang w:bidi="ar"/>
              </w:rPr>
              <w:t>（提供有效的第三方检测报告扫描件）；</w:t>
            </w:r>
          </w:p>
          <w:p w14:paraId="6214E03B">
            <w:pPr>
              <w:widowControl/>
              <w:spacing w:line="400" w:lineRule="exact"/>
              <w:jc w:val="left"/>
              <w:textAlignment w:val="center"/>
              <w:rPr>
                <w:rFonts w:hint="eastAsia" w:ascii="宋体" w:hAnsi="宋体" w:eastAsia="宋体" w:cs="宋体"/>
                <w:color w:val="auto"/>
                <w:kern w:val="0"/>
                <w:szCs w:val="21"/>
                <w:lang w:bidi="ar"/>
              </w:rPr>
            </w:pPr>
            <w:r>
              <w:rPr>
                <w:rFonts w:hint="eastAsia" w:ascii="宋体" w:hAnsi="宋体" w:eastAsia="宋体" w:cs="宋体"/>
                <w:color w:val="auto"/>
                <w:kern w:val="0"/>
                <w:szCs w:val="21"/>
                <w:lang w:bidi="ar"/>
              </w:rPr>
              <w:t>14.像素失控率 LED 像素失控率：≤0.000001，区域像素失控率≤0.000003，无连续失控点，出厂时为0；平均无故障时间(MTBF值)≥100,000小时；图像处理 图像有降噪、增强、运动补偿、色坐标变换处理、钝化处理；故障平均修复时间MTTR不超过5分钟；</w:t>
            </w:r>
          </w:p>
          <w:p w14:paraId="1694D767">
            <w:pPr>
              <w:widowControl/>
              <w:spacing w:line="400" w:lineRule="exact"/>
              <w:jc w:val="left"/>
              <w:textAlignment w:val="center"/>
              <w:rPr>
                <w:rFonts w:hint="eastAsia" w:ascii="宋体" w:hAnsi="宋体" w:eastAsia="宋体" w:cs="宋体"/>
                <w:color w:val="auto"/>
                <w:kern w:val="0"/>
                <w:szCs w:val="21"/>
                <w:lang w:bidi="ar"/>
              </w:rPr>
            </w:pPr>
            <w:r>
              <w:rPr>
                <w:rFonts w:hint="eastAsia" w:ascii="宋体" w:hAnsi="宋体" w:eastAsia="宋体" w:cs="宋体"/>
                <w:color w:val="auto"/>
                <w:kern w:val="0"/>
                <w:szCs w:val="21"/>
                <w:lang w:bidi="ar"/>
              </w:rPr>
              <w:t>15.</w:t>
            </w:r>
            <w:r>
              <w:rPr>
                <w:rFonts w:hint="eastAsia" w:ascii="宋体" w:hAnsi="宋体" w:eastAsia="宋体" w:cs="宋体"/>
                <w:b/>
                <w:bCs/>
                <w:color w:val="auto"/>
                <w:kern w:val="0"/>
                <w:szCs w:val="21"/>
                <w:lang w:bidi="ar"/>
              </w:rPr>
              <w:t>▲系统稳定抗干扰选用的产品9层PCB板结构设计，同时采用35μ镀金接插件</w:t>
            </w:r>
            <w:r>
              <w:rPr>
                <w:rFonts w:hint="eastAsia" w:ascii="宋体" w:hAnsi="宋体" w:eastAsia="宋体" w:cs="宋体"/>
                <w:color w:val="auto"/>
                <w:kern w:val="0"/>
                <w:szCs w:val="21"/>
                <w:lang w:bidi="ar"/>
              </w:rPr>
              <w:t>(提供有效的第三方检测报告扫描件)；</w:t>
            </w:r>
          </w:p>
          <w:p w14:paraId="504F3D15">
            <w:pPr>
              <w:widowControl/>
              <w:spacing w:line="400" w:lineRule="exact"/>
              <w:jc w:val="left"/>
              <w:textAlignment w:val="center"/>
              <w:rPr>
                <w:rFonts w:hint="eastAsia" w:ascii="宋体" w:hAnsi="宋体" w:eastAsia="宋体" w:cs="宋体"/>
                <w:color w:val="auto"/>
                <w:kern w:val="0"/>
                <w:szCs w:val="21"/>
                <w:lang w:bidi="ar"/>
              </w:rPr>
            </w:pPr>
            <w:r>
              <w:rPr>
                <w:rFonts w:hint="eastAsia" w:ascii="宋体" w:hAnsi="宋体" w:eastAsia="宋体" w:cs="宋体"/>
                <w:color w:val="auto"/>
                <w:kern w:val="0"/>
                <w:szCs w:val="21"/>
                <w:lang w:bidi="ar"/>
              </w:rPr>
              <w:t>16.</w:t>
            </w:r>
            <w:r>
              <w:rPr>
                <w:rFonts w:hint="eastAsia" w:ascii="宋体" w:hAnsi="宋体" w:eastAsia="宋体" w:cs="宋体"/>
                <w:b/>
                <w:bCs/>
                <w:color w:val="auto"/>
                <w:kern w:val="0"/>
                <w:szCs w:val="21"/>
                <w:lang w:bidi="ar"/>
              </w:rPr>
              <w:t>▲图像处理 快速运动补偿、灰度非线性变换、色度校正、低灰降噪处理、黑电平稳定 处理、缩放平滑处理、高频白噪声滤波、梳状滤波处理等</w:t>
            </w:r>
            <w:r>
              <w:rPr>
                <w:rFonts w:hint="eastAsia" w:ascii="宋体" w:hAnsi="宋体" w:eastAsia="宋体" w:cs="宋体"/>
                <w:color w:val="auto"/>
                <w:kern w:val="0"/>
                <w:szCs w:val="21"/>
                <w:lang w:bidi="ar"/>
              </w:rPr>
              <w:t>(提供有效的第三方检测报告扫描件)；</w:t>
            </w:r>
          </w:p>
          <w:p w14:paraId="1612B3FA">
            <w:pPr>
              <w:widowControl/>
              <w:spacing w:line="400" w:lineRule="exact"/>
              <w:jc w:val="left"/>
              <w:textAlignment w:val="center"/>
              <w:rPr>
                <w:rFonts w:hint="eastAsia" w:ascii="宋体" w:hAnsi="宋体" w:eastAsia="宋体" w:cs="宋体"/>
                <w:color w:val="auto"/>
                <w:kern w:val="0"/>
                <w:szCs w:val="21"/>
                <w:lang w:bidi="ar"/>
              </w:rPr>
            </w:pPr>
            <w:r>
              <w:rPr>
                <w:rFonts w:hint="eastAsia" w:ascii="宋体" w:hAnsi="宋体" w:eastAsia="宋体" w:cs="宋体"/>
                <w:color w:val="auto"/>
                <w:kern w:val="0"/>
                <w:szCs w:val="21"/>
                <w:lang w:bidi="ar"/>
              </w:rPr>
              <w:t>17.</w:t>
            </w:r>
            <w:r>
              <w:rPr>
                <w:rFonts w:hint="eastAsia" w:ascii="宋体" w:hAnsi="宋体" w:eastAsia="宋体" w:cs="宋体"/>
                <w:b/>
                <w:bCs/>
                <w:color w:val="auto"/>
                <w:kern w:val="0"/>
                <w:szCs w:val="21"/>
                <w:lang w:bidi="ar"/>
              </w:rPr>
              <w:t>▲传输方式：显示产品单元，模组电源、信号传输采用一体化传输</w:t>
            </w:r>
            <w:r>
              <w:rPr>
                <w:rFonts w:hint="eastAsia" w:ascii="宋体" w:hAnsi="宋体" w:eastAsia="宋体" w:cs="宋体"/>
                <w:color w:val="auto"/>
                <w:kern w:val="0"/>
                <w:szCs w:val="21"/>
                <w:lang w:bidi="ar"/>
              </w:rPr>
              <w:t xml:space="preserve"> (提供有效的第三方检测报告扫描件)</w:t>
            </w:r>
          </w:p>
          <w:p w14:paraId="19023618">
            <w:pPr>
              <w:widowControl/>
              <w:spacing w:line="400" w:lineRule="exact"/>
              <w:jc w:val="left"/>
              <w:textAlignment w:val="center"/>
              <w:rPr>
                <w:rFonts w:hint="eastAsia" w:ascii="宋体" w:hAnsi="宋体" w:eastAsia="宋体" w:cs="宋体"/>
                <w:color w:val="auto"/>
                <w:kern w:val="0"/>
                <w:szCs w:val="21"/>
                <w:lang w:bidi="ar"/>
              </w:rPr>
            </w:pPr>
            <w:r>
              <w:rPr>
                <w:rFonts w:hint="eastAsia" w:ascii="宋体" w:hAnsi="宋体" w:eastAsia="宋体" w:cs="宋体"/>
                <w:color w:val="auto"/>
                <w:kern w:val="0"/>
                <w:szCs w:val="21"/>
                <w:lang w:bidi="ar"/>
              </w:rPr>
              <w:t>18.LED 显示屏供电电源功率因数≥96%，转换效率≥88%；屏体亚黑处理，反光率≤0.7%；</w:t>
            </w:r>
          </w:p>
          <w:p w14:paraId="37434239">
            <w:pPr>
              <w:widowControl/>
              <w:spacing w:line="400" w:lineRule="exact"/>
              <w:jc w:val="left"/>
              <w:textAlignment w:val="center"/>
              <w:rPr>
                <w:rFonts w:hint="eastAsia" w:ascii="宋体" w:hAnsi="宋体" w:eastAsia="宋体" w:cs="宋体"/>
                <w:color w:val="auto"/>
                <w:kern w:val="0"/>
                <w:szCs w:val="21"/>
                <w:lang w:bidi="ar"/>
              </w:rPr>
            </w:pPr>
            <w:r>
              <w:rPr>
                <w:rFonts w:hint="eastAsia" w:ascii="宋体" w:hAnsi="宋体" w:eastAsia="宋体" w:cs="宋体"/>
                <w:color w:val="auto"/>
                <w:kern w:val="0"/>
                <w:szCs w:val="21"/>
                <w:lang w:bidi="ar"/>
              </w:rPr>
              <w:t>19</w:t>
            </w:r>
            <w:r>
              <w:rPr>
                <w:rFonts w:hint="eastAsia" w:ascii="宋体" w:hAnsi="宋体" w:eastAsia="宋体" w:cs="宋体"/>
                <w:b/>
                <w:bCs/>
                <w:color w:val="auto"/>
                <w:kern w:val="0"/>
                <w:szCs w:val="21"/>
                <w:lang w:bidi="ar"/>
              </w:rPr>
              <w:t>.▲屏体精度控制 LED 箱体支持 X/Y/Z 六向调节；驱动IC≥16路通道，具备点检 (开路检测)；箱体抗拉力≥7000 N/㎡；箱体抗压力≥7200 N/㎡；模组机械强度≥32MPa</w:t>
            </w:r>
            <w:r>
              <w:rPr>
                <w:rFonts w:hint="eastAsia" w:ascii="宋体" w:hAnsi="宋体" w:eastAsia="宋体" w:cs="宋体"/>
                <w:color w:val="auto"/>
                <w:kern w:val="0"/>
                <w:szCs w:val="21"/>
                <w:lang w:bidi="ar"/>
              </w:rPr>
              <w:t>(提供有效的第三方检测报告扫描件)；</w:t>
            </w:r>
          </w:p>
          <w:p w14:paraId="03699DE8">
            <w:pPr>
              <w:widowControl/>
              <w:spacing w:line="400" w:lineRule="exact"/>
              <w:jc w:val="left"/>
              <w:textAlignment w:val="center"/>
              <w:rPr>
                <w:rFonts w:hint="eastAsia" w:ascii="宋体" w:hAnsi="宋体" w:eastAsia="宋体" w:cs="宋体"/>
                <w:color w:val="auto"/>
                <w:kern w:val="0"/>
                <w:szCs w:val="21"/>
                <w:lang w:bidi="ar"/>
              </w:rPr>
            </w:pPr>
            <w:r>
              <w:rPr>
                <w:rFonts w:hint="eastAsia" w:ascii="宋体" w:hAnsi="宋体" w:eastAsia="宋体" w:cs="宋体"/>
                <w:color w:val="auto"/>
                <w:kern w:val="0"/>
                <w:szCs w:val="21"/>
                <w:lang w:bidi="ar"/>
              </w:rPr>
              <w:t>20.</w:t>
            </w:r>
            <w:r>
              <w:rPr>
                <w:rFonts w:hint="eastAsia" w:ascii="宋体" w:hAnsi="宋体" w:eastAsia="宋体" w:cs="宋体"/>
                <w:b/>
                <w:bCs/>
                <w:color w:val="auto"/>
                <w:kern w:val="0"/>
                <w:szCs w:val="21"/>
                <w:lang w:bidi="ar"/>
              </w:rPr>
              <w:t>▲LED 显示屏支持单电自检、通讯检测、电源检测、温度监控；实现故障快速自诊断及排查功能；模块级校正 模组自带校正功能，带 flash 芯片，支持数据存储及回读</w:t>
            </w:r>
            <w:r>
              <w:rPr>
                <w:rFonts w:hint="eastAsia" w:ascii="宋体" w:hAnsi="宋体" w:eastAsia="宋体" w:cs="宋体"/>
                <w:color w:val="auto"/>
                <w:kern w:val="0"/>
                <w:szCs w:val="21"/>
                <w:lang w:bidi="ar"/>
              </w:rPr>
              <w:t>(提供有效的第三方检测报告扫描件)；</w:t>
            </w:r>
          </w:p>
          <w:p w14:paraId="619FA513">
            <w:pPr>
              <w:widowControl/>
              <w:spacing w:line="400" w:lineRule="exact"/>
              <w:jc w:val="left"/>
              <w:textAlignment w:val="center"/>
              <w:rPr>
                <w:rFonts w:hint="eastAsia" w:ascii="宋体" w:hAnsi="宋体" w:eastAsia="宋体" w:cs="宋体"/>
                <w:color w:val="auto"/>
                <w:kern w:val="0"/>
                <w:szCs w:val="21"/>
                <w:lang w:bidi="ar"/>
              </w:rPr>
            </w:pPr>
            <w:r>
              <w:rPr>
                <w:rFonts w:hint="eastAsia" w:ascii="宋体" w:hAnsi="宋体" w:eastAsia="宋体" w:cs="宋体"/>
                <w:color w:val="auto"/>
                <w:kern w:val="0"/>
                <w:szCs w:val="21"/>
                <w:lang w:bidi="ar"/>
              </w:rPr>
              <w:t>21.★一体式箱体,箱体为压铸铝或镁铝合金材质，箱体背板为一次性整体压铸成型，背板和后盖均为压铸铝或镁铝合金材质，全金属自然散热结构，静音无风扇；</w:t>
            </w:r>
          </w:p>
          <w:p w14:paraId="3ED9A794">
            <w:pPr>
              <w:widowControl/>
              <w:spacing w:line="400" w:lineRule="exact"/>
              <w:jc w:val="left"/>
              <w:textAlignment w:val="center"/>
              <w:rPr>
                <w:rFonts w:hint="eastAsia" w:ascii="宋体" w:hAnsi="宋体" w:eastAsia="宋体" w:cs="宋体"/>
                <w:color w:val="auto"/>
                <w:kern w:val="0"/>
                <w:szCs w:val="21"/>
                <w:lang w:bidi="ar"/>
              </w:rPr>
            </w:pPr>
            <w:r>
              <w:rPr>
                <w:rFonts w:hint="eastAsia" w:ascii="宋体" w:hAnsi="宋体" w:eastAsia="宋体" w:cs="宋体"/>
                <w:color w:val="auto"/>
                <w:kern w:val="0"/>
                <w:szCs w:val="21"/>
                <w:lang w:bidi="ar"/>
              </w:rPr>
              <w:t>22</w:t>
            </w:r>
            <w:r>
              <w:rPr>
                <w:rFonts w:hint="eastAsia" w:ascii="宋体" w:hAnsi="宋体" w:eastAsia="宋体" w:cs="宋体"/>
                <w:b/>
                <w:bCs/>
                <w:color w:val="auto"/>
                <w:kern w:val="0"/>
                <w:szCs w:val="21"/>
                <w:lang w:bidi="ar"/>
              </w:rPr>
              <w:t>.▲ 90°直角拼装箱体可实现90直角无缝拼装；箱体连接美观整洁，不占用箱体外部空间</w:t>
            </w:r>
            <w:r>
              <w:rPr>
                <w:rFonts w:hint="eastAsia" w:ascii="宋体" w:hAnsi="宋体" w:eastAsia="宋体" w:cs="宋体"/>
                <w:color w:val="auto"/>
                <w:kern w:val="0"/>
                <w:szCs w:val="21"/>
                <w:lang w:bidi="ar"/>
              </w:rPr>
              <w:t xml:space="preserve"> (提供有效的第三方检测报告扫描件)；</w:t>
            </w:r>
          </w:p>
          <w:p w14:paraId="6EC8DBB5">
            <w:pPr>
              <w:widowControl/>
              <w:spacing w:line="400" w:lineRule="exact"/>
              <w:jc w:val="left"/>
              <w:textAlignment w:val="center"/>
              <w:rPr>
                <w:rFonts w:hint="eastAsia" w:ascii="宋体" w:hAnsi="宋体" w:eastAsia="宋体" w:cs="宋体"/>
                <w:color w:val="auto"/>
                <w:kern w:val="0"/>
                <w:szCs w:val="21"/>
                <w:lang w:bidi="ar"/>
              </w:rPr>
            </w:pPr>
            <w:r>
              <w:rPr>
                <w:rFonts w:hint="eastAsia" w:ascii="宋体" w:hAnsi="宋体" w:eastAsia="宋体" w:cs="宋体"/>
                <w:color w:val="auto"/>
                <w:kern w:val="0"/>
                <w:szCs w:val="21"/>
                <w:lang w:bidi="ar"/>
              </w:rPr>
              <w:t>23.</w:t>
            </w:r>
            <w:r>
              <w:rPr>
                <w:rFonts w:hint="eastAsia" w:ascii="宋体" w:hAnsi="宋体" w:eastAsia="宋体" w:cs="宋体"/>
                <w:b/>
                <w:bCs/>
                <w:color w:val="auto"/>
                <w:kern w:val="0"/>
                <w:szCs w:val="21"/>
                <w:lang w:bidi="ar"/>
              </w:rPr>
              <w:t>▲星型连接 模组供电电源和信号采用星型连接方式</w:t>
            </w:r>
            <w:r>
              <w:rPr>
                <w:rFonts w:hint="eastAsia" w:ascii="宋体" w:hAnsi="宋体" w:eastAsia="宋体" w:cs="宋体"/>
                <w:color w:val="auto"/>
                <w:kern w:val="0"/>
                <w:szCs w:val="21"/>
                <w:lang w:bidi="ar"/>
              </w:rPr>
              <w:t xml:space="preserve"> (提供有效的第三方检测报告扫描件)；</w:t>
            </w:r>
          </w:p>
          <w:p w14:paraId="1FEE400F">
            <w:pPr>
              <w:widowControl/>
              <w:spacing w:line="400" w:lineRule="exact"/>
              <w:jc w:val="left"/>
              <w:textAlignment w:val="center"/>
              <w:rPr>
                <w:rFonts w:hint="eastAsia" w:ascii="宋体" w:hAnsi="宋体" w:eastAsia="宋体" w:cs="宋体"/>
                <w:color w:val="auto"/>
                <w:kern w:val="0"/>
                <w:szCs w:val="21"/>
                <w:lang w:bidi="ar"/>
              </w:rPr>
            </w:pPr>
            <w:r>
              <w:rPr>
                <w:rFonts w:hint="eastAsia" w:ascii="宋体" w:hAnsi="宋体" w:eastAsia="宋体" w:cs="宋体"/>
                <w:color w:val="auto"/>
                <w:kern w:val="0"/>
                <w:szCs w:val="21"/>
                <w:lang w:bidi="ar"/>
              </w:rPr>
              <w:t>24.LED 显示屏正常工作时显示画面无重影和拖影现象；显示效果无失真LED显示屏正常工作时显示画面无几何失真和非线性失真；具备故障自诊断及排查功能；</w:t>
            </w:r>
          </w:p>
          <w:p w14:paraId="4BC4D06D">
            <w:pPr>
              <w:widowControl/>
              <w:spacing w:line="400" w:lineRule="exact"/>
              <w:jc w:val="left"/>
              <w:textAlignment w:val="center"/>
              <w:rPr>
                <w:rFonts w:hint="eastAsia" w:ascii="宋体" w:hAnsi="宋体" w:eastAsia="宋体" w:cs="宋体"/>
                <w:color w:val="auto"/>
                <w:kern w:val="0"/>
                <w:szCs w:val="21"/>
                <w:lang w:bidi="ar"/>
              </w:rPr>
            </w:pPr>
            <w:r>
              <w:rPr>
                <w:rFonts w:hint="eastAsia" w:ascii="宋体" w:hAnsi="宋体" w:eastAsia="宋体" w:cs="宋体"/>
                <w:color w:val="auto"/>
                <w:kern w:val="0"/>
                <w:szCs w:val="21"/>
                <w:lang w:bidi="ar"/>
              </w:rPr>
              <w:t>25.振动试验模拟9级强度地震2行 2 列单元组成拼接显示屏，垂直、水平振动,5~55~5Hz，峰值加速0.25g，1倍频程，每一轴向循环扫频50次，每次时间5min；</w:t>
            </w:r>
          </w:p>
          <w:p w14:paraId="672A848D">
            <w:pPr>
              <w:widowControl/>
              <w:spacing w:line="400" w:lineRule="exact"/>
              <w:jc w:val="left"/>
              <w:textAlignment w:val="center"/>
              <w:rPr>
                <w:rFonts w:hint="eastAsia" w:ascii="宋体" w:hAnsi="宋体" w:eastAsia="宋体" w:cs="宋体"/>
                <w:color w:val="auto"/>
                <w:kern w:val="0"/>
                <w:szCs w:val="21"/>
                <w:lang w:bidi="ar"/>
              </w:rPr>
            </w:pPr>
            <w:r>
              <w:rPr>
                <w:rFonts w:hint="eastAsia" w:ascii="宋体" w:hAnsi="宋体" w:eastAsia="宋体" w:cs="宋体"/>
                <w:color w:val="auto"/>
                <w:kern w:val="0"/>
                <w:szCs w:val="21"/>
                <w:lang w:bidi="ar"/>
              </w:rPr>
              <w:t>26.</w:t>
            </w:r>
            <w:r>
              <w:rPr>
                <w:rFonts w:hint="eastAsia" w:ascii="宋体" w:hAnsi="宋体" w:eastAsia="宋体" w:cs="宋体"/>
                <w:b/>
                <w:bCs/>
                <w:color w:val="auto"/>
                <w:kern w:val="0"/>
                <w:szCs w:val="21"/>
                <w:lang w:bidi="ar"/>
              </w:rPr>
              <w:t>▲抗电强度显示模组或LED显示屏应承受50Hz 1500VAC (交流有效值) 的试验电压60S 不发生绝缘击穿。</w:t>
            </w:r>
            <w:r>
              <w:rPr>
                <w:rFonts w:hint="eastAsia" w:ascii="宋体" w:hAnsi="宋体" w:eastAsia="宋体" w:cs="宋体"/>
                <w:color w:val="auto"/>
                <w:kern w:val="0"/>
                <w:szCs w:val="21"/>
                <w:lang w:bidi="ar"/>
              </w:rPr>
              <w:t>(提供有效的第三方检测报告扫描件)；</w:t>
            </w:r>
          </w:p>
          <w:p w14:paraId="09CF3B17">
            <w:pPr>
              <w:widowControl/>
              <w:spacing w:line="400" w:lineRule="exact"/>
              <w:jc w:val="left"/>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 xml:space="preserve">27.★为了保证产品质量，LED 全彩色屏，原厂生产，不得使用OEM产品,投标人需提供承诺函。 </w:t>
            </w:r>
          </w:p>
        </w:tc>
        <w:tc>
          <w:tcPr>
            <w:tcW w:w="1161" w:type="dxa"/>
            <w:shd w:val="clear" w:color="auto" w:fill="auto"/>
            <w:noWrap/>
            <w:vAlign w:val="center"/>
          </w:tcPr>
          <w:p w14:paraId="4C579A7C">
            <w:pPr>
              <w:widowControl/>
              <w:spacing w:line="400" w:lineRule="exact"/>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43.74平方米</w:t>
            </w:r>
          </w:p>
        </w:tc>
        <w:tc>
          <w:tcPr>
            <w:tcW w:w="833" w:type="dxa"/>
            <w:shd w:val="clear" w:color="auto" w:fill="auto"/>
            <w:noWrap/>
            <w:vAlign w:val="center"/>
          </w:tcPr>
          <w:p w14:paraId="56EE8192">
            <w:pPr>
              <w:widowControl/>
              <w:spacing w:line="400" w:lineRule="exact"/>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工业</w:t>
            </w:r>
          </w:p>
        </w:tc>
        <w:tc>
          <w:tcPr>
            <w:tcW w:w="1259" w:type="dxa"/>
            <w:shd w:val="clear" w:color="auto" w:fill="auto"/>
            <w:noWrap/>
            <w:vAlign w:val="center"/>
          </w:tcPr>
          <w:p w14:paraId="59F66E7F">
            <w:pPr>
              <w:widowControl/>
              <w:spacing w:line="400" w:lineRule="exact"/>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是</w:t>
            </w:r>
          </w:p>
        </w:tc>
        <w:tc>
          <w:tcPr>
            <w:tcW w:w="490" w:type="dxa"/>
            <w:shd w:val="clear" w:color="auto" w:fill="auto"/>
            <w:noWrap/>
            <w:vAlign w:val="center"/>
          </w:tcPr>
          <w:p w14:paraId="3935DFB4">
            <w:pPr>
              <w:widowControl/>
              <w:spacing w:line="400" w:lineRule="exact"/>
              <w:rPr>
                <w:rFonts w:ascii="宋体" w:hAnsi="宋体" w:eastAsia="宋体" w:cs="宋体"/>
                <w:color w:val="auto"/>
                <w:szCs w:val="21"/>
              </w:rPr>
            </w:pPr>
            <w:r>
              <w:rPr>
                <w:rFonts w:hint="eastAsia" w:ascii="宋体" w:hAnsi="宋体" w:eastAsia="宋体" w:cs="宋体"/>
                <w:color w:val="auto"/>
                <w:szCs w:val="21"/>
              </w:rPr>
              <w:t>政府强制采购的节能产品</w:t>
            </w:r>
          </w:p>
        </w:tc>
      </w:tr>
      <w:tr w14:paraId="055F0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4" w:hRule="atLeast"/>
        </w:trPr>
        <w:tc>
          <w:tcPr>
            <w:tcW w:w="703" w:type="dxa"/>
            <w:shd w:val="clear" w:color="auto" w:fill="auto"/>
            <w:noWrap/>
            <w:vAlign w:val="center"/>
          </w:tcPr>
          <w:p w14:paraId="70BA7224">
            <w:pPr>
              <w:widowControl/>
              <w:spacing w:line="400" w:lineRule="exact"/>
              <w:jc w:val="center"/>
              <w:textAlignment w:val="center"/>
              <w:rPr>
                <w:rFonts w:ascii="宋体" w:hAnsi="宋体" w:eastAsia="宋体" w:cs="宋体"/>
                <w:b/>
                <w:bCs/>
                <w:color w:val="auto"/>
                <w:kern w:val="0"/>
                <w:szCs w:val="21"/>
                <w:lang w:bidi="ar"/>
              </w:rPr>
            </w:pPr>
            <w:r>
              <w:rPr>
                <w:rFonts w:hint="eastAsia" w:ascii="宋体" w:hAnsi="宋体" w:eastAsia="宋体" w:cs="宋体"/>
                <w:b/>
                <w:bCs/>
                <w:color w:val="auto"/>
                <w:kern w:val="0"/>
                <w:szCs w:val="21"/>
                <w:lang w:bidi="ar"/>
              </w:rPr>
              <w:t>2</w:t>
            </w:r>
          </w:p>
        </w:tc>
        <w:tc>
          <w:tcPr>
            <w:tcW w:w="710" w:type="dxa"/>
            <w:shd w:val="clear" w:color="auto" w:fill="auto"/>
            <w:vAlign w:val="center"/>
          </w:tcPr>
          <w:p w14:paraId="727D4421">
            <w:pPr>
              <w:widowControl/>
              <w:spacing w:line="400" w:lineRule="exact"/>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LED显示屏侧屏</w:t>
            </w:r>
          </w:p>
        </w:tc>
        <w:tc>
          <w:tcPr>
            <w:tcW w:w="4131" w:type="dxa"/>
            <w:shd w:val="clear" w:color="auto" w:fill="auto"/>
            <w:vAlign w:val="center"/>
          </w:tcPr>
          <w:p w14:paraId="0A93A168">
            <w:pPr>
              <w:widowControl/>
              <w:spacing w:line="400" w:lineRule="exact"/>
              <w:jc w:val="left"/>
              <w:textAlignment w:val="center"/>
              <w:rPr>
                <w:rFonts w:hint="eastAsia" w:ascii="宋体" w:hAnsi="宋体" w:eastAsia="宋体" w:cs="宋体"/>
                <w:color w:val="auto"/>
                <w:kern w:val="0"/>
                <w:szCs w:val="21"/>
                <w:lang w:bidi="ar"/>
              </w:rPr>
            </w:pPr>
            <w:r>
              <w:rPr>
                <w:rFonts w:hint="eastAsia" w:ascii="宋体" w:hAnsi="宋体" w:eastAsia="宋体" w:cs="宋体"/>
                <w:color w:val="auto"/>
                <w:kern w:val="0"/>
                <w:szCs w:val="21"/>
                <w:lang w:bidi="ar"/>
              </w:rPr>
              <w:t>屏体尺寸：1.2m*4.05m*4块；分辨率：不低于960*3240；</w:t>
            </w:r>
          </w:p>
          <w:p w14:paraId="1C674AC9">
            <w:pPr>
              <w:widowControl/>
              <w:spacing w:line="400" w:lineRule="exact"/>
              <w:jc w:val="left"/>
              <w:textAlignment w:val="center"/>
              <w:rPr>
                <w:rFonts w:hint="eastAsia" w:ascii="宋体" w:hAnsi="宋体" w:eastAsia="宋体" w:cs="宋体"/>
                <w:color w:val="auto"/>
                <w:kern w:val="0"/>
                <w:szCs w:val="21"/>
                <w:lang w:bidi="ar"/>
              </w:rPr>
            </w:pPr>
            <w:r>
              <w:rPr>
                <w:rFonts w:hint="eastAsia" w:ascii="宋体" w:hAnsi="宋体" w:eastAsia="宋体" w:cs="宋体"/>
                <w:color w:val="auto"/>
                <w:kern w:val="0"/>
                <w:szCs w:val="21"/>
                <w:lang w:bidi="ar"/>
              </w:rPr>
              <w:t>★1.像素间距≤1.25；模组尺寸300mm*337.5mm；</w:t>
            </w:r>
          </w:p>
          <w:p w14:paraId="7A74836E">
            <w:pPr>
              <w:widowControl/>
              <w:spacing w:line="400" w:lineRule="exact"/>
              <w:jc w:val="left"/>
              <w:textAlignment w:val="center"/>
              <w:rPr>
                <w:rFonts w:hint="eastAsia" w:ascii="宋体" w:hAnsi="宋体" w:eastAsia="宋体" w:cs="宋体"/>
                <w:color w:val="auto"/>
                <w:kern w:val="0"/>
                <w:szCs w:val="21"/>
                <w:lang w:bidi="ar"/>
              </w:rPr>
            </w:pPr>
            <w:r>
              <w:rPr>
                <w:rFonts w:hint="eastAsia" w:ascii="宋体" w:hAnsi="宋体" w:eastAsia="宋体" w:cs="宋体"/>
                <w:color w:val="auto"/>
                <w:kern w:val="0"/>
                <w:szCs w:val="21"/>
                <w:lang w:bidi="ar"/>
              </w:rPr>
              <w:t>2.模拟9级烈度地震2行2列单元组成拼接显示屏，垂直、水平振动5〜55〜5Hz, 峰值加速度0.25g, 1倍频程，每一轴向循环扫频50次，每次时间5min；试后正常工作；</w:t>
            </w:r>
          </w:p>
          <w:p w14:paraId="0658821C">
            <w:pPr>
              <w:widowControl/>
              <w:spacing w:line="400" w:lineRule="exact"/>
              <w:jc w:val="left"/>
              <w:textAlignment w:val="center"/>
              <w:rPr>
                <w:rFonts w:hint="eastAsia" w:ascii="宋体" w:hAnsi="宋体" w:eastAsia="宋体" w:cs="宋体"/>
                <w:color w:val="auto"/>
                <w:kern w:val="0"/>
                <w:szCs w:val="21"/>
                <w:lang w:bidi="ar"/>
              </w:rPr>
            </w:pPr>
            <w:r>
              <w:rPr>
                <w:rFonts w:hint="eastAsia" w:ascii="宋体" w:hAnsi="宋体" w:eastAsia="宋体" w:cs="宋体"/>
                <w:color w:val="auto"/>
                <w:kern w:val="0"/>
                <w:szCs w:val="21"/>
                <w:lang w:bidi="ar"/>
              </w:rPr>
              <w:t>3</w:t>
            </w:r>
            <w:r>
              <w:rPr>
                <w:rFonts w:hint="eastAsia" w:ascii="宋体" w:hAnsi="宋体" w:eastAsia="宋体" w:cs="宋体"/>
                <w:b/>
                <w:bCs/>
                <w:color w:val="auto"/>
                <w:kern w:val="0"/>
                <w:szCs w:val="21"/>
                <w:lang w:bidi="ar"/>
              </w:rPr>
              <w:t>.▲亮度≥850nits,支持通过配套软件0-100%无级调节；刷新率≥4200Hz；最大对比度 (全白/全黑，环 境照度0.05lux)≥12000：1</w:t>
            </w:r>
            <w:r>
              <w:rPr>
                <w:rFonts w:hint="eastAsia" w:ascii="宋体" w:hAnsi="宋体" w:eastAsia="宋体" w:cs="宋体"/>
                <w:color w:val="auto"/>
                <w:kern w:val="0"/>
                <w:szCs w:val="21"/>
                <w:lang w:bidi="ar"/>
              </w:rPr>
              <w:t>（提供有效的第三方检测报告扫描件）；</w:t>
            </w:r>
          </w:p>
          <w:p w14:paraId="25A20D1F">
            <w:pPr>
              <w:widowControl/>
              <w:spacing w:line="400" w:lineRule="exact"/>
              <w:jc w:val="left"/>
              <w:textAlignment w:val="center"/>
              <w:rPr>
                <w:rFonts w:hint="eastAsia" w:ascii="宋体" w:hAnsi="宋体" w:eastAsia="宋体" w:cs="宋体"/>
                <w:color w:val="auto"/>
                <w:kern w:val="0"/>
                <w:szCs w:val="21"/>
                <w:lang w:bidi="ar"/>
              </w:rPr>
            </w:pPr>
            <w:r>
              <w:rPr>
                <w:rFonts w:hint="eastAsia" w:ascii="宋体" w:hAnsi="宋体" w:eastAsia="宋体" w:cs="宋体"/>
                <w:color w:val="auto"/>
                <w:kern w:val="0"/>
                <w:szCs w:val="21"/>
                <w:lang w:bidi="ar"/>
              </w:rPr>
              <w:t>4.显示单元平整度偏差≤0.05mm（垂直偏差JX≤5% ； 水平偏差：CS≤5%）；平整度、单元拼接间隙、相邻像素之间平整度、相邻模块之间平整度：≤0.05mm；模组底壳材质：矿纤基增强镁合金复合材料或铝</w:t>
            </w:r>
          </w:p>
          <w:p w14:paraId="3486BEF5">
            <w:pPr>
              <w:widowControl/>
              <w:spacing w:line="400" w:lineRule="exact"/>
              <w:jc w:val="left"/>
              <w:textAlignment w:val="center"/>
              <w:rPr>
                <w:rFonts w:hint="eastAsia" w:ascii="宋体" w:hAnsi="宋体" w:eastAsia="宋体" w:cs="宋体"/>
                <w:color w:val="auto"/>
                <w:kern w:val="0"/>
                <w:szCs w:val="21"/>
                <w:lang w:bidi="ar"/>
              </w:rPr>
            </w:pPr>
            <w:r>
              <w:rPr>
                <w:rFonts w:hint="eastAsia" w:ascii="宋体" w:hAnsi="宋体" w:eastAsia="宋体" w:cs="宋体"/>
                <w:color w:val="auto"/>
                <w:kern w:val="0"/>
                <w:szCs w:val="21"/>
                <w:lang w:bidi="ar"/>
              </w:rPr>
              <w:t>5. 峰值功率≤460W/㎡；平均功率≤155W/㎡；</w:t>
            </w:r>
          </w:p>
          <w:p w14:paraId="520DCE30">
            <w:pPr>
              <w:widowControl/>
              <w:spacing w:line="400" w:lineRule="exact"/>
              <w:jc w:val="left"/>
              <w:textAlignment w:val="center"/>
              <w:rPr>
                <w:rFonts w:hint="eastAsia" w:ascii="宋体" w:hAnsi="宋体" w:eastAsia="宋体" w:cs="宋体"/>
                <w:b/>
                <w:bCs/>
                <w:color w:val="auto"/>
                <w:kern w:val="0"/>
                <w:szCs w:val="21"/>
                <w:lang w:bidi="ar"/>
              </w:rPr>
            </w:pPr>
            <w:r>
              <w:rPr>
                <w:rFonts w:hint="eastAsia" w:ascii="宋体" w:hAnsi="宋体" w:eastAsia="宋体" w:cs="宋体"/>
                <w:color w:val="auto"/>
                <w:kern w:val="0"/>
                <w:szCs w:val="21"/>
                <w:lang w:bidi="ar"/>
              </w:rPr>
              <w:t>6</w:t>
            </w:r>
            <w:r>
              <w:rPr>
                <w:rFonts w:hint="eastAsia" w:ascii="宋体" w:hAnsi="宋体" w:eastAsia="宋体" w:cs="宋体"/>
                <w:b/>
                <w:bCs/>
                <w:color w:val="auto"/>
                <w:kern w:val="0"/>
                <w:szCs w:val="21"/>
                <w:lang w:bidi="ar"/>
              </w:rPr>
              <w:t>.▲ 黑屏功率≤30W/单元 ；视角水平:≥175°垂直:≥175°；产品具备智能（黑屏）节电功能，开启智能节电功能比没有开启节能50%; LED显示屏符合相关标准,能效一级；（提供有效的第三方检测报告扫描件）；</w:t>
            </w:r>
          </w:p>
          <w:p w14:paraId="3A793320">
            <w:pPr>
              <w:widowControl/>
              <w:spacing w:line="400" w:lineRule="exact"/>
              <w:jc w:val="left"/>
              <w:textAlignment w:val="center"/>
              <w:rPr>
                <w:rFonts w:hint="eastAsia" w:ascii="宋体" w:hAnsi="宋体" w:eastAsia="宋体" w:cs="宋体"/>
                <w:color w:val="auto"/>
                <w:kern w:val="0"/>
                <w:szCs w:val="21"/>
                <w:lang w:bidi="ar"/>
              </w:rPr>
            </w:pPr>
            <w:r>
              <w:rPr>
                <w:rFonts w:hint="eastAsia" w:ascii="宋体" w:hAnsi="宋体" w:eastAsia="宋体" w:cs="宋体"/>
                <w:color w:val="auto"/>
                <w:kern w:val="0"/>
                <w:szCs w:val="21"/>
                <w:lang w:bidi="ar"/>
              </w:rPr>
              <w:t>7.支持EPWM灰阶控制技术提升低灰视觉效果:支持软件实现不同亮度情况下灰度8-16bit任意设置0-100%亮度时.8-16bits任意灰度设置；</w:t>
            </w:r>
          </w:p>
          <w:p w14:paraId="3984B3BE">
            <w:pPr>
              <w:widowControl/>
              <w:spacing w:line="400" w:lineRule="exact"/>
              <w:jc w:val="left"/>
              <w:textAlignment w:val="center"/>
              <w:rPr>
                <w:rFonts w:hint="eastAsia" w:ascii="宋体" w:hAnsi="宋体" w:eastAsia="宋体" w:cs="宋体"/>
                <w:b/>
                <w:bCs/>
                <w:color w:val="auto"/>
                <w:kern w:val="0"/>
                <w:szCs w:val="21"/>
                <w:lang w:bidi="ar"/>
              </w:rPr>
            </w:pPr>
            <w:r>
              <w:rPr>
                <w:rFonts w:hint="eastAsia" w:ascii="宋体" w:hAnsi="宋体" w:eastAsia="宋体" w:cs="宋体"/>
                <w:b/>
                <w:bCs/>
                <w:color w:val="auto"/>
                <w:kern w:val="0"/>
                <w:szCs w:val="21"/>
                <w:lang w:bidi="ar"/>
              </w:rPr>
              <w:t>8.▲模组供电电源和信号采用星型连接方式；驱动IC≥16路通道，具备点检 (开路检测)（提供有效的第三方检测报告扫描件）；</w:t>
            </w:r>
          </w:p>
          <w:p w14:paraId="42F50E66">
            <w:pPr>
              <w:widowControl/>
              <w:spacing w:line="400" w:lineRule="exact"/>
              <w:jc w:val="left"/>
              <w:textAlignment w:val="center"/>
              <w:rPr>
                <w:rFonts w:hint="eastAsia" w:ascii="宋体" w:hAnsi="宋体" w:eastAsia="宋体" w:cs="宋体"/>
                <w:b/>
                <w:bCs/>
                <w:color w:val="auto"/>
                <w:kern w:val="0"/>
                <w:szCs w:val="21"/>
                <w:lang w:bidi="ar"/>
              </w:rPr>
            </w:pPr>
            <w:r>
              <w:rPr>
                <w:rFonts w:hint="eastAsia" w:ascii="宋体" w:hAnsi="宋体" w:eastAsia="宋体" w:cs="宋体"/>
                <w:b/>
                <w:bCs/>
                <w:color w:val="auto"/>
                <w:kern w:val="0"/>
                <w:szCs w:val="21"/>
                <w:lang w:bidi="ar"/>
              </w:rPr>
              <w:t>9.▲箱体使用宽电压:100-240V~。模组供电:4.0V-4.5VDC，搭配定制3C电源满足市场对节能环保需求，具备PFC电源，提供电源证书号；（提供有效的第三方检测报告扫描件）；</w:t>
            </w:r>
          </w:p>
          <w:p w14:paraId="5DEDB7E6">
            <w:pPr>
              <w:widowControl/>
              <w:spacing w:line="400" w:lineRule="exact"/>
              <w:jc w:val="left"/>
              <w:textAlignment w:val="center"/>
              <w:rPr>
                <w:rFonts w:hint="eastAsia" w:ascii="宋体" w:hAnsi="宋体" w:eastAsia="宋体" w:cs="宋体"/>
                <w:color w:val="auto"/>
                <w:kern w:val="0"/>
                <w:szCs w:val="21"/>
                <w:lang w:bidi="ar"/>
              </w:rPr>
            </w:pPr>
            <w:r>
              <w:rPr>
                <w:rFonts w:hint="eastAsia" w:ascii="宋体" w:hAnsi="宋体" w:eastAsia="宋体" w:cs="宋体"/>
                <w:color w:val="auto"/>
                <w:kern w:val="0"/>
                <w:szCs w:val="21"/>
                <w:lang w:bidi="ar"/>
              </w:rPr>
              <w:t>10</w:t>
            </w:r>
            <w:r>
              <w:rPr>
                <w:rFonts w:hint="eastAsia" w:ascii="宋体" w:hAnsi="宋体" w:eastAsia="宋体" w:cs="宋体"/>
                <w:b/>
                <w:bCs/>
                <w:color w:val="auto"/>
                <w:kern w:val="0"/>
                <w:szCs w:val="21"/>
                <w:lang w:bidi="ar"/>
              </w:rPr>
              <w:t>.</w:t>
            </w:r>
            <w:r>
              <w:rPr>
                <w:rFonts w:hint="eastAsia" w:ascii="宋体" w:hAnsi="宋体" w:eastAsia="宋体" w:cs="宋体"/>
                <w:color w:val="auto"/>
                <w:kern w:val="0"/>
                <w:szCs w:val="21"/>
                <w:lang w:bidi="ar"/>
              </w:rPr>
              <w:t>显示屏具有LED驱动器，包括其的LED显示屏及LED驱动芯片的驱动方法，具有LED显示屏拼接误差的检测方法和装置；</w:t>
            </w:r>
          </w:p>
          <w:p w14:paraId="3D79E54D">
            <w:pPr>
              <w:widowControl/>
              <w:spacing w:line="400" w:lineRule="exact"/>
              <w:jc w:val="left"/>
              <w:textAlignment w:val="center"/>
              <w:rPr>
                <w:rFonts w:hint="eastAsia" w:ascii="宋体" w:hAnsi="宋体" w:eastAsia="宋体" w:cs="宋体"/>
                <w:color w:val="auto"/>
                <w:kern w:val="0"/>
                <w:szCs w:val="21"/>
                <w:lang w:bidi="ar"/>
              </w:rPr>
            </w:pPr>
            <w:r>
              <w:rPr>
                <w:rFonts w:hint="eastAsia" w:ascii="宋体" w:hAnsi="宋体" w:eastAsia="宋体" w:cs="宋体"/>
                <w:color w:val="auto"/>
                <w:kern w:val="0"/>
                <w:szCs w:val="21"/>
                <w:lang w:bidi="ar"/>
              </w:rPr>
              <w:t>1</w:t>
            </w:r>
            <w:r>
              <w:rPr>
                <w:rFonts w:hint="eastAsia" w:ascii="宋体" w:hAnsi="宋体" w:eastAsia="宋体" w:cs="宋体"/>
                <w:b/>
                <w:bCs/>
                <w:color w:val="auto"/>
                <w:kern w:val="0"/>
                <w:szCs w:val="21"/>
                <w:lang w:bidi="ar"/>
              </w:rPr>
              <w:t>1.▲搭配HDR系统卡，可实现即高动态范围图像显示屏效果，支持4K、8K超高清显示；（提供有效的第三方检测报告扫描件）；</w:t>
            </w:r>
          </w:p>
          <w:p w14:paraId="264DB848">
            <w:pPr>
              <w:widowControl/>
              <w:spacing w:line="400" w:lineRule="exact"/>
              <w:jc w:val="left"/>
              <w:textAlignment w:val="center"/>
              <w:rPr>
                <w:rFonts w:hint="eastAsia" w:ascii="宋体" w:hAnsi="宋体" w:eastAsia="宋体" w:cs="宋体"/>
                <w:color w:val="auto"/>
                <w:kern w:val="0"/>
                <w:szCs w:val="21"/>
                <w:lang w:bidi="ar"/>
              </w:rPr>
            </w:pPr>
            <w:r>
              <w:rPr>
                <w:rFonts w:hint="eastAsia" w:ascii="宋体" w:hAnsi="宋体" w:eastAsia="宋体" w:cs="宋体"/>
                <w:color w:val="auto"/>
                <w:kern w:val="0"/>
                <w:szCs w:val="21"/>
                <w:lang w:bidi="ar"/>
              </w:rPr>
              <w:t>12.LED显示屏平均故障时间间隔(MTBF)≥12000 小时；支持7x24h连续工作；故障平均修复时间不超过5分钟 ；</w:t>
            </w:r>
          </w:p>
          <w:p w14:paraId="37CA854D">
            <w:pPr>
              <w:widowControl/>
              <w:spacing w:line="400" w:lineRule="exact"/>
              <w:jc w:val="left"/>
              <w:textAlignment w:val="center"/>
              <w:rPr>
                <w:rFonts w:hint="eastAsia" w:ascii="宋体" w:hAnsi="宋体" w:eastAsia="宋体" w:cs="宋体"/>
                <w:color w:val="auto"/>
                <w:kern w:val="0"/>
                <w:szCs w:val="21"/>
                <w:lang w:bidi="ar"/>
              </w:rPr>
            </w:pPr>
            <w:r>
              <w:rPr>
                <w:rFonts w:hint="eastAsia" w:ascii="宋体" w:hAnsi="宋体" w:eastAsia="宋体" w:cs="宋体"/>
                <w:color w:val="auto"/>
                <w:kern w:val="0"/>
                <w:szCs w:val="21"/>
                <w:lang w:bidi="ar"/>
              </w:rPr>
              <w:t>13.支持动态节能，降低功耗；具有亮度调节，对比度调节，色饱和度调节，色温调节功能；快速运动补偿、灰度非线性变换、色度校正、低灰降噪处理、黑电平稳定处理，缩放平滑处理、高频白噪声滤波、梳状滤波处理等；</w:t>
            </w:r>
          </w:p>
          <w:p w14:paraId="6FB73F98">
            <w:pPr>
              <w:widowControl/>
              <w:spacing w:line="400" w:lineRule="exact"/>
              <w:jc w:val="left"/>
              <w:textAlignment w:val="center"/>
              <w:rPr>
                <w:rFonts w:hint="eastAsia" w:ascii="宋体" w:hAnsi="宋体" w:eastAsia="宋体" w:cs="宋体"/>
                <w:b/>
                <w:bCs/>
                <w:color w:val="auto"/>
                <w:kern w:val="0"/>
                <w:szCs w:val="21"/>
                <w:lang w:bidi="ar"/>
              </w:rPr>
            </w:pPr>
            <w:r>
              <w:rPr>
                <w:rFonts w:hint="eastAsia" w:ascii="宋体" w:hAnsi="宋体" w:eastAsia="宋体" w:cs="宋体"/>
                <w:b/>
                <w:bCs/>
                <w:color w:val="auto"/>
                <w:kern w:val="0"/>
                <w:szCs w:val="21"/>
                <w:lang w:bidi="ar"/>
              </w:rPr>
              <w:t>14.▲支持双电网供电；支持热备份；支持信号备份及电源备份；显示产品单元模组电源、信号传输采用一体化传输；（提供有效的第三方检测报告扫描件）；</w:t>
            </w:r>
          </w:p>
          <w:p w14:paraId="19346559">
            <w:pPr>
              <w:widowControl/>
              <w:spacing w:line="400" w:lineRule="exact"/>
              <w:jc w:val="left"/>
              <w:textAlignment w:val="center"/>
              <w:rPr>
                <w:rFonts w:hint="eastAsia" w:ascii="宋体" w:hAnsi="宋体" w:eastAsia="宋体" w:cs="宋体"/>
                <w:b/>
                <w:bCs/>
                <w:color w:val="auto"/>
                <w:kern w:val="0"/>
                <w:szCs w:val="21"/>
                <w:lang w:bidi="ar"/>
              </w:rPr>
            </w:pPr>
            <w:r>
              <w:rPr>
                <w:rFonts w:hint="eastAsia" w:ascii="宋体" w:hAnsi="宋体" w:eastAsia="宋体" w:cs="宋体"/>
                <w:b/>
                <w:bCs/>
                <w:color w:val="auto"/>
                <w:kern w:val="0"/>
                <w:szCs w:val="21"/>
                <w:lang w:bidi="ar"/>
              </w:rPr>
              <w:t>15.▲电源能效LED显示屏供电电源功率因数≥98%，转换效率≥90%（提供有效的第三方检测报告扫描件）；</w:t>
            </w:r>
          </w:p>
          <w:p w14:paraId="370BC783">
            <w:pPr>
              <w:widowControl/>
              <w:spacing w:line="400" w:lineRule="exact"/>
              <w:jc w:val="left"/>
              <w:textAlignment w:val="center"/>
              <w:rPr>
                <w:rFonts w:hint="eastAsia" w:ascii="宋体" w:hAnsi="宋体" w:eastAsia="宋体" w:cs="宋体"/>
                <w:color w:val="auto"/>
                <w:kern w:val="0"/>
                <w:szCs w:val="21"/>
                <w:lang w:bidi="ar"/>
              </w:rPr>
            </w:pPr>
            <w:r>
              <w:rPr>
                <w:rFonts w:hint="eastAsia" w:ascii="宋体" w:hAnsi="宋体" w:eastAsia="宋体" w:cs="宋体"/>
                <w:color w:val="auto"/>
                <w:kern w:val="0"/>
                <w:szCs w:val="21"/>
                <w:lang w:bidi="ar"/>
              </w:rPr>
              <w:t>16. 屏体亚黑处理，反光率≤1%；</w:t>
            </w:r>
          </w:p>
          <w:p w14:paraId="13149B85">
            <w:pPr>
              <w:widowControl/>
              <w:spacing w:line="400" w:lineRule="exact"/>
              <w:jc w:val="left"/>
              <w:textAlignment w:val="center"/>
              <w:rPr>
                <w:rFonts w:hint="eastAsia" w:ascii="宋体" w:hAnsi="宋体" w:eastAsia="宋体" w:cs="宋体"/>
                <w:b/>
                <w:bCs/>
                <w:color w:val="auto"/>
                <w:kern w:val="0"/>
                <w:szCs w:val="21"/>
                <w:lang w:bidi="ar"/>
              </w:rPr>
            </w:pPr>
            <w:r>
              <w:rPr>
                <w:rFonts w:hint="eastAsia" w:ascii="宋体" w:hAnsi="宋体" w:eastAsia="宋体" w:cs="宋体"/>
                <w:b/>
                <w:bCs/>
                <w:color w:val="auto"/>
                <w:kern w:val="0"/>
                <w:szCs w:val="21"/>
                <w:lang w:bidi="ar"/>
              </w:rPr>
              <w:t>17.▲支持网络同步控制，点点对应；支持屏体拼缝亮暗线校正；LED显示屏支持单电自检、通讯检测、电源检测、温度监控:实现故障快速自诊断及排查功能；具有远程监控功能；（提供有效的第三方检测报告扫描件）；</w:t>
            </w:r>
          </w:p>
          <w:p w14:paraId="19373753">
            <w:pPr>
              <w:widowControl/>
              <w:spacing w:line="400" w:lineRule="exact"/>
              <w:jc w:val="left"/>
              <w:textAlignment w:val="center"/>
              <w:rPr>
                <w:rFonts w:ascii="宋体" w:hAnsi="宋体" w:eastAsia="宋体" w:cs="宋体"/>
                <w:color w:val="auto"/>
                <w:kern w:val="0"/>
                <w:szCs w:val="21"/>
                <w:lang w:bidi="ar"/>
              </w:rPr>
            </w:pPr>
            <w:r>
              <w:rPr>
                <w:rFonts w:hint="eastAsia" w:ascii="宋体" w:hAnsi="宋体" w:eastAsia="宋体" w:cs="宋体"/>
                <w:b/>
                <w:bCs/>
                <w:color w:val="auto"/>
                <w:kern w:val="0"/>
                <w:szCs w:val="21"/>
                <w:lang w:bidi="ar"/>
              </w:rPr>
              <w:t>18.▲模块级校正 模组自带校正功能，带flash芯片。支持数据存储及回读；模组、接收卡与主板采用硬接口设计，接插件镀金&gt;50μ厚度；（提供有效的第三方检测报告扫描件）。</w:t>
            </w:r>
          </w:p>
        </w:tc>
        <w:tc>
          <w:tcPr>
            <w:tcW w:w="1161" w:type="dxa"/>
            <w:shd w:val="clear" w:color="auto" w:fill="auto"/>
            <w:noWrap/>
            <w:vAlign w:val="center"/>
          </w:tcPr>
          <w:p w14:paraId="2DDE43B6">
            <w:pPr>
              <w:widowControl/>
              <w:spacing w:line="400" w:lineRule="exact"/>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19.44平方米</w:t>
            </w:r>
          </w:p>
        </w:tc>
        <w:tc>
          <w:tcPr>
            <w:tcW w:w="833" w:type="dxa"/>
            <w:shd w:val="clear" w:color="auto" w:fill="auto"/>
            <w:noWrap/>
            <w:vAlign w:val="center"/>
          </w:tcPr>
          <w:p w14:paraId="6616B7FD">
            <w:pPr>
              <w:widowControl/>
              <w:spacing w:line="400" w:lineRule="exact"/>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工业</w:t>
            </w:r>
          </w:p>
        </w:tc>
        <w:tc>
          <w:tcPr>
            <w:tcW w:w="1259" w:type="dxa"/>
            <w:shd w:val="clear" w:color="auto" w:fill="auto"/>
            <w:noWrap/>
            <w:vAlign w:val="center"/>
          </w:tcPr>
          <w:p w14:paraId="6AE997C1">
            <w:pPr>
              <w:widowControl/>
              <w:spacing w:line="400" w:lineRule="exact"/>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否</w:t>
            </w:r>
          </w:p>
        </w:tc>
        <w:tc>
          <w:tcPr>
            <w:tcW w:w="490" w:type="dxa"/>
            <w:shd w:val="clear" w:color="auto" w:fill="auto"/>
            <w:noWrap/>
            <w:vAlign w:val="center"/>
          </w:tcPr>
          <w:p w14:paraId="19AE8EA1">
            <w:pPr>
              <w:widowControl/>
              <w:spacing w:line="400" w:lineRule="exact"/>
              <w:rPr>
                <w:rFonts w:ascii="宋体" w:hAnsi="宋体" w:eastAsia="宋体" w:cs="宋体"/>
                <w:color w:val="auto"/>
                <w:szCs w:val="21"/>
              </w:rPr>
            </w:pPr>
            <w:r>
              <w:rPr>
                <w:rFonts w:hint="eastAsia" w:ascii="宋体" w:hAnsi="宋体" w:eastAsia="宋体" w:cs="宋体"/>
                <w:color w:val="auto"/>
                <w:szCs w:val="21"/>
              </w:rPr>
              <w:t>政府强制采购的节能产品</w:t>
            </w:r>
          </w:p>
        </w:tc>
      </w:tr>
      <w:tr w14:paraId="28BD3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9" w:hRule="atLeast"/>
        </w:trPr>
        <w:tc>
          <w:tcPr>
            <w:tcW w:w="703" w:type="dxa"/>
            <w:shd w:val="clear" w:color="auto" w:fill="auto"/>
            <w:noWrap/>
            <w:vAlign w:val="center"/>
          </w:tcPr>
          <w:p w14:paraId="1972E4F7">
            <w:pPr>
              <w:widowControl/>
              <w:spacing w:line="400" w:lineRule="exact"/>
              <w:jc w:val="center"/>
              <w:textAlignment w:val="center"/>
              <w:rPr>
                <w:rFonts w:hint="eastAsia" w:ascii="宋体" w:hAnsi="宋体" w:eastAsia="宋体" w:cs="宋体"/>
                <w:b/>
                <w:bCs/>
                <w:color w:val="auto"/>
                <w:kern w:val="0"/>
                <w:szCs w:val="21"/>
                <w:lang w:val="en-US" w:eastAsia="zh-CN" w:bidi="ar"/>
              </w:rPr>
            </w:pPr>
            <w:r>
              <w:rPr>
                <w:rFonts w:hint="eastAsia" w:ascii="宋体" w:hAnsi="宋体" w:eastAsia="宋体" w:cs="宋体"/>
                <w:b/>
                <w:bCs/>
                <w:color w:val="auto"/>
                <w:kern w:val="0"/>
                <w:szCs w:val="21"/>
                <w:lang w:bidi="ar"/>
              </w:rPr>
              <w:t>3</w:t>
            </w:r>
          </w:p>
        </w:tc>
        <w:tc>
          <w:tcPr>
            <w:tcW w:w="710" w:type="dxa"/>
            <w:shd w:val="clear" w:color="auto" w:fill="auto"/>
            <w:vAlign w:val="center"/>
          </w:tcPr>
          <w:p w14:paraId="2A4A566E">
            <w:pPr>
              <w:widowControl/>
              <w:spacing w:line="400" w:lineRule="exact"/>
              <w:jc w:val="left"/>
              <w:textAlignment w:val="center"/>
              <w:rPr>
                <w:rFonts w:hint="eastAsia" w:ascii="宋体" w:hAnsi="宋体" w:eastAsia="宋体" w:cs="宋体"/>
                <w:color w:val="auto"/>
                <w:kern w:val="0"/>
                <w:szCs w:val="21"/>
                <w:lang w:bidi="ar"/>
              </w:rPr>
            </w:pPr>
            <w:r>
              <w:rPr>
                <w:rFonts w:hint="eastAsia" w:ascii="宋体" w:hAnsi="宋体" w:eastAsia="宋体" w:cs="宋体"/>
                <w:color w:val="auto"/>
                <w:kern w:val="0"/>
                <w:szCs w:val="21"/>
                <w:lang w:bidi="ar"/>
              </w:rPr>
              <w:t>LED条屏</w:t>
            </w:r>
          </w:p>
          <w:p w14:paraId="5FC7DF42">
            <w:pPr>
              <w:widowControl/>
              <w:spacing w:line="400" w:lineRule="exact"/>
              <w:jc w:val="center"/>
              <w:textAlignment w:val="center"/>
              <w:rPr>
                <w:rFonts w:hint="eastAsia" w:ascii="宋体" w:hAnsi="宋体" w:eastAsia="宋体" w:cs="宋体"/>
                <w:color w:val="auto"/>
                <w:kern w:val="0"/>
                <w:szCs w:val="21"/>
                <w:lang w:bidi="ar"/>
              </w:rPr>
            </w:pPr>
          </w:p>
        </w:tc>
        <w:tc>
          <w:tcPr>
            <w:tcW w:w="4131" w:type="dxa"/>
            <w:shd w:val="clear" w:color="auto" w:fill="auto"/>
            <w:vAlign w:val="center"/>
          </w:tcPr>
          <w:p w14:paraId="68F992B5">
            <w:pPr>
              <w:widowControl/>
              <w:spacing w:line="400" w:lineRule="exact"/>
              <w:jc w:val="left"/>
              <w:textAlignment w:val="center"/>
              <w:rPr>
                <w:rFonts w:hint="eastAsia" w:ascii="宋体" w:hAnsi="宋体" w:eastAsia="宋体" w:cs="宋体"/>
                <w:color w:val="auto"/>
                <w:kern w:val="0"/>
                <w:szCs w:val="21"/>
                <w:lang w:bidi="ar"/>
              </w:rPr>
            </w:pPr>
            <w:r>
              <w:rPr>
                <w:rFonts w:hint="eastAsia" w:ascii="宋体" w:hAnsi="宋体" w:eastAsia="宋体" w:cs="宋体"/>
                <w:color w:val="auto"/>
                <w:kern w:val="0"/>
                <w:szCs w:val="21"/>
                <w:lang w:bidi="ar"/>
              </w:rPr>
              <w:t>屏体尺寸：16.72*0.456；分辨率不低于3520*96。</w:t>
            </w:r>
          </w:p>
          <w:p w14:paraId="1C503507">
            <w:pPr>
              <w:widowControl/>
              <w:spacing w:line="400" w:lineRule="exact"/>
              <w:jc w:val="left"/>
              <w:textAlignment w:val="center"/>
              <w:rPr>
                <w:rFonts w:hint="eastAsia" w:ascii="宋体" w:hAnsi="宋体" w:eastAsia="宋体" w:cs="宋体"/>
                <w:color w:val="auto"/>
                <w:kern w:val="0"/>
                <w:szCs w:val="21"/>
                <w:lang w:bidi="ar"/>
              </w:rPr>
            </w:pPr>
            <w:r>
              <w:rPr>
                <w:rFonts w:hint="eastAsia" w:ascii="宋体" w:hAnsi="宋体" w:eastAsia="宋体" w:cs="宋体"/>
                <w:color w:val="auto"/>
                <w:kern w:val="0"/>
                <w:szCs w:val="21"/>
                <w:lang w:bidi="ar"/>
              </w:rPr>
              <w:t>1.LED显示屏像素间距≤4.75mm；发光点颜色： RG；像素密度≥44321点/㎡。</w:t>
            </w:r>
          </w:p>
          <w:p w14:paraId="3941701C">
            <w:pPr>
              <w:widowControl/>
              <w:spacing w:line="400" w:lineRule="exact"/>
              <w:jc w:val="left"/>
              <w:textAlignment w:val="center"/>
              <w:rPr>
                <w:rFonts w:hint="eastAsia" w:ascii="宋体" w:hAnsi="宋体" w:eastAsia="宋体" w:cs="宋体"/>
                <w:color w:val="auto"/>
                <w:kern w:val="0"/>
                <w:szCs w:val="21"/>
                <w:lang w:bidi="ar"/>
              </w:rPr>
            </w:pPr>
            <w:r>
              <w:rPr>
                <w:rFonts w:hint="eastAsia" w:ascii="宋体" w:hAnsi="宋体" w:eastAsia="宋体" w:cs="宋体"/>
                <w:color w:val="auto"/>
                <w:kern w:val="0"/>
                <w:szCs w:val="21"/>
                <w:lang w:bidi="ar"/>
              </w:rPr>
              <w:t>2.表面贴封装技术：SMD封装。驱动方式：恒流驱动16S。</w:t>
            </w:r>
          </w:p>
          <w:p w14:paraId="66B57193">
            <w:pPr>
              <w:widowControl/>
              <w:spacing w:line="400" w:lineRule="exact"/>
              <w:jc w:val="left"/>
              <w:textAlignment w:val="center"/>
              <w:rPr>
                <w:rFonts w:hint="eastAsia" w:ascii="宋体" w:hAnsi="宋体" w:eastAsia="宋体" w:cs="宋体"/>
                <w:color w:val="auto"/>
                <w:kern w:val="0"/>
                <w:szCs w:val="21"/>
                <w:lang w:bidi="ar"/>
              </w:rPr>
            </w:pPr>
            <w:r>
              <w:rPr>
                <w:rFonts w:hint="eastAsia" w:ascii="宋体" w:hAnsi="宋体" w:eastAsia="宋体" w:cs="宋体"/>
                <w:color w:val="auto"/>
                <w:kern w:val="0"/>
                <w:szCs w:val="21"/>
                <w:lang w:bidi="ar"/>
              </w:rPr>
              <w:t>3.白平衡亮度≥600cd/㎡。</w:t>
            </w:r>
          </w:p>
          <w:p w14:paraId="4D67666E">
            <w:pPr>
              <w:widowControl/>
              <w:spacing w:line="400" w:lineRule="exact"/>
              <w:jc w:val="left"/>
              <w:textAlignment w:val="center"/>
              <w:rPr>
                <w:rFonts w:hint="eastAsia" w:ascii="宋体" w:hAnsi="宋体" w:eastAsia="宋体" w:cs="宋体"/>
                <w:color w:val="auto"/>
                <w:kern w:val="0"/>
                <w:szCs w:val="21"/>
                <w:lang w:bidi="ar"/>
              </w:rPr>
            </w:pPr>
            <w:r>
              <w:rPr>
                <w:rFonts w:hint="eastAsia" w:ascii="宋体" w:hAnsi="宋体" w:eastAsia="宋体" w:cs="宋体"/>
                <w:color w:val="auto"/>
                <w:kern w:val="0"/>
                <w:szCs w:val="21"/>
                <w:lang w:bidi="ar"/>
              </w:rPr>
              <w:t>4.可视角度：水平≥150度，垂直≥130度。</w:t>
            </w:r>
          </w:p>
          <w:p w14:paraId="4468D5D3">
            <w:pPr>
              <w:widowControl/>
              <w:spacing w:line="400" w:lineRule="exact"/>
              <w:jc w:val="left"/>
              <w:textAlignment w:val="center"/>
              <w:rPr>
                <w:rFonts w:hint="eastAsia" w:ascii="宋体" w:hAnsi="宋体" w:eastAsia="宋体" w:cs="宋体"/>
                <w:color w:val="auto"/>
                <w:kern w:val="0"/>
                <w:szCs w:val="21"/>
                <w:lang w:bidi="ar"/>
              </w:rPr>
            </w:pPr>
            <w:r>
              <w:rPr>
                <w:rFonts w:hint="eastAsia" w:ascii="宋体" w:hAnsi="宋体" w:eastAsia="宋体" w:cs="宋体"/>
                <w:color w:val="auto"/>
                <w:kern w:val="0"/>
                <w:szCs w:val="21"/>
                <w:lang w:bidi="ar"/>
              </w:rPr>
              <w:t>5.刷新频率≥120HZ；对比度≥5000:1。</w:t>
            </w:r>
          </w:p>
          <w:p w14:paraId="39E46FBF">
            <w:pPr>
              <w:widowControl/>
              <w:spacing w:line="400" w:lineRule="exact"/>
              <w:jc w:val="left"/>
              <w:textAlignment w:val="center"/>
              <w:rPr>
                <w:rFonts w:hint="eastAsia" w:ascii="宋体" w:hAnsi="宋体" w:eastAsia="宋体" w:cs="宋体"/>
                <w:color w:val="auto"/>
                <w:kern w:val="0"/>
                <w:szCs w:val="21"/>
                <w:lang w:bidi="ar"/>
              </w:rPr>
            </w:pPr>
            <w:r>
              <w:rPr>
                <w:rFonts w:hint="eastAsia" w:ascii="宋体" w:hAnsi="宋体" w:eastAsia="宋体" w:cs="宋体"/>
                <w:color w:val="auto"/>
                <w:kern w:val="0"/>
                <w:szCs w:val="21"/>
                <w:lang w:bidi="ar"/>
              </w:rPr>
              <w:t>6.峰值功耗：≤320W/㎡；平均功耗：≤110W/㎡。</w:t>
            </w:r>
          </w:p>
          <w:p w14:paraId="20B1B011">
            <w:pPr>
              <w:widowControl/>
              <w:spacing w:line="400" w:lineRule="exact"/>
              <w:jc w:val="left"/>
              <w:textAlignment w:val="center"/>
              <w:rPr>
                <w:rFonts w:hint="eastAsia" w:ascii="宋体" w:hAnsi="宋体" w:eastAsia="宋体" w:cs="宋体"/>
                <w:color w:val="auto"/>
                <w:kern w:val="0"/>
                <w:szCs w:val="21"/>
                <w:lang w:bidi="ar"/>
              </w:rPr>
            </w:pPr>
            <w:r>
              <w:rPr>
                <w:rFonts w:hint="eastAsia" w:ascii="宋体" w:hAnsi="宋体" w:eastAsia="宋体" w:cs="宋体"/>
                <w:color w:val="auto"/>
                <w:kern w:val="0"/>
                <w:szCs w:val="21"/>
                <w:lang w:bidi="ar"/>
              </w:rPr>
              <w:t>7.换帧频率50&amp;60Hz。</w:t>
            </w:r>
          </w:p>
          <w:p w14:paraId="789CDED3">
            <w:pPr>
              <w:widowControl/>
              <w:spacing w:line="400" w:lineRule="exact"/>
              <w:jc w:val="left"/>
              <w:textAlignment w:val="center"/>
              <w:rPr>
                <w:rFonts w:hint="eastAsia" w:ascii="宋体" w:hAnsi="宋体" w:eastAsia="宋体" w:cs="宋体"/>
                <w:color w:val="auto"/>
                <w:kern w:val="0"/>
                <w:szCs w:val="21"/>
                <w:lang w:bidi="ar"/>
              </w:rPr>
            </w:pPr>
            <w:r>
              <w:rPr>
                <w:rFonts w:hint="eastAsia" w:ascii="宋体" w:hAnsi="宋体" w:eastAsia="宋体" w:cs="宋体"/>
                <w:color w:val="auto"/>
                <w:kern w:val="0"/>
                <w:szCs w:val="21"/>
                <w:lang w:bidi="ar"/>
              </w:rPr>
              <w:t>8.含配套发送卡及发布软件。</w:t>
            </w:r>
          </w:p>
        </w:tc>
        <w:tc>
          <w:tcPr>
            <w:tcW w:w="1161" w:type="dxa"/>
            <w:shd w:val="clear" w:color="auto" w:fill="auto"/>
            <w:noWrap/>
            <w:vAlign w:val="center"/>
          </w:tcPr>
          <w:p w14:paraId="763825B1">
            <w:pPr>
              <w:widowControl/>
              <w:spacing w:line="400" w:lineRule="exact"/>
              <w:jc w:val="center"/>
              <w:textAlignment w:val="center"/>
              <w:rPr>
                <w:rFonts w:hint="default" w:ascii="宋体" w:hAnsi="宋体" w:eastAsia="宋体" w:cs="宋体"/>
                <w:color w:val="auto"/>
                <w:kern w:val="0"/>
                <w:szCs w:val="21"/>
                <w:lang w:val="en-US" w:eastAsia="zh-CN" w:bidi="ar"/>
              </w:rPr>
            </w:pPr>
            <w:r>
              <w:rPr>
                <w:rFonts w:hint="eastAsia" w:ascii="宋体" w:hAnsi="宋体" w:eastAsia="宋体" w:cs="宋体"/>
                <w:color w:val="auto"/>
                <w:kern w:val="0"/>
                <w:szCs w:val="21"/>
                <w:lang w:bidi="ar"/>
              </w:rPr>
              <w:t>7.624平方米</w:t>
            </w:r>
          </w:p>
        </w:tc>
        <w:tc>
          <w:tcPr>
            <w:tcW w:w="833" w:type="dxa"/>
            <w:shd w:val="clear" w:color="auto" w:fill="auto"/>
            <w:noWrap/>
            <w:vAlign w:val="center"/>
          </w:tcPr>
          <w:p w14:paraId="673EB090">
            <w:pPr>
              <w:widowControl/>
              <w:spacing w:line="400" w:lineRule="exact"/>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Cs w:val="21"/>
                <w:lang w:bidi="ar"/>
              </w:rPr>
              <w:t>工业</w:t>
            </w:r>
          </w:p>
        </w:tc>
        <w:tc>
          <w:tcPr>
            <w:tcW w:w="1259" w:type="dxa"/>
            <w:shd w:val="clear" w:color="auto" w:fill="auto"/>
            <w:noWrap/>
            <w:vAlign w:val="center"/>
          </w:tcPr>
          <w:p w14:paraId="62930E32">
            <w:pPr>
              <w:widowControl/>
              <w:spacing w:line="400" w:lineRule="exact"/>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Cs w:val="21"/>
                <w:lang w:bidi="ar"/>
              </w:rPr>
              <w:t>否</w:t>
            </w:r>
          </w:p>
        </w:tc>
        <w:tc>
          <w:tcPr>
            <w:tcW w:w="490" w:type="dxa"/>
            <w:shd w:val="clear" w:color="auto" w:fill="auto"/>
            <w:noWrap/>
            <w:vAlign w:val="center"/>
          </w:tcPr>
          <w:p w14:paraId="203F2258">
            <w:pPr>
              <w:widowControl/>
              <w:spacing w:line="400" w:lineRule="exac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Cs w:val="21"/>
              </w:rPr>
              <w:t>政府强制采购的节能产品</w:t>
            </w:r>
          </w:p>
        </w:tc>
      </w:tr>
      <w:tr w14:paraId="62A6E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4" w:hRule="atLeast"/>
        </w:trPr>
        <w:tc>
          <w:tcPr>
            <w:tcW w:w="703" w:type="dxa"/>
            <w:shd w:val="clear" w:color="auto" w:fill="auto"/>
            <w:noWrap/>
            <w:vAlign w:val="center"/>
          </w:tcPr>
          <w:p w14:paraId="449680E2">
            <w:pPr>
              <w:widowControl/>
              <w:spacing w:line="400" w:lineRule="exact"/>
              <w:jc w:val="center"/>
              <w:textAlignment w:val="center"/>
              <w:rPr>
                <w:rFonts w:hint="eastAsia" w:ascii="宋体" w:hAnsi="宋体" w:eastAsia="宋体" w:cs="宋体"/>
                <w:b/>
                <w:bCs/>
                <w:color w:val="auto"/>
                <w:kern w:val="0"/>
                <w:szCs w:val="21"/>
                <w:lang w:eastAsia="zh-CN" w:bidi="ar"/>
              </w:rPr>
            </w:pPr>
            <w:r>
              <w:rPr>
                <w:rFonts w:hint="eastAsia" w:ascii="宋体" w:hAnsi="宋体" w:eastAsia="宋体" w:cs="宋体"/>
                <w:b/>
                <w:bCs/>
                <w:color w:val="auto"/>
                <w:kern w:val="0"/>
                <w:szCs w:val="21"/>
                <w:lang w:bidi="ar"/>
              </w:rPr>
              <w:t>4</w:t>
            </w:r>
          </w:p>
        </w:tc>
        <w:tc>
          <w:tcPr>
            <w:tcW w:w="710" w:type="dxa"/>
            <w:shd w:val="clear" w:color="auto" w:fill="auto"/>
            <w:vAlign w:val="center"/>
          </w:tcPr>
          <w:p w14:paraId="073F29D8">
            <w:pPr>
              <w:widowControl/>
              <w:spacing w:line="400" w:lineRule="exact"/>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多媒体服务器</w:t>
            </w:r>
          </w:p>
        </w:tc>
        <w:tc>
          <w:tcPr>
            <w:tcW w:w="4131" w:type="dxa"/>
            <w:shd w:val="clear" w:color="auto" w:fill="auto"/>
            <w:vAlign w:val="center"/>
          </w:tcPr>
          <w:p w14:paraId="31E00D78">
            <w:pPr>
              <w:widowControl/>
              <w:spacing w:line="400" w:lineRule="exact"/>
              <w:jc w:val="left"/>
              <w:textAlignment w:val="center"/>
              <w:rPr>
                <w:rFonts w:hint="eastAsia" w:ascii="宋体" w:hAnsi="宋体" w:eastAsia="宋体" w:cs="宋体"/>
                <w:color w:val="auto"/>
                <w:kern w:val="0"/>
                <w:szCs w:val="21"/>
                <w:lang w:bidi="ar"/>
              </w:rPr>
            </w:pPr>
            <w:r>
              <w:rPr>
                <w:rFonts w:hint="eastAsia" w:ascii="宋体" w:hAnsi="宋体" w:eastAsia="宋体" w:cs="宋体"/>
                <w:color w:val="auto"/>
                <w:kern w:val="0"/>
                <w:szCs w:val="21"/>
                <w:lang w:bidi="ar"/>
              </w:rPr>
              <w:t>1、19英寸标准机架安装，金属结构机箱，外壳防护等级符合GB/T4208-2017中IP20的要求；</w:t>
            </w:r>
          </w:p>
          <w:p w14:paraId="1776492C">
            <w:pPr>
              <w:widowControl/>
              <w:spacing w:line="400" w:lineRule="exact"/>
              <w:jc w:val="left"/>
              <w:textAlignment w:val="center"/>
              <w:rPr>
                <w:rFonts w:hint="eastAsia" w:ascii="宋体" w:hAnsi="宋体" w:eastAsia="宋体" w:cs="宋体"/>
                <w:color w:val="auto"/>
                <w:kern w:val="0"/>
                <w:szCs w:val="21"/>
                <w:lang w:bidi="ar"/>
              </w:rPr>
            </w:pPr>
            <w:r>
              <w:rPr>
                <w:rFonts w:hint="eastAsia" w:ascii="宋体" w:hAnsi="宋体" w:eastAsia="宋体" w:cs="宋体"/>
                <w:color w:val="auto"/>
                <w:kern w:val="0"/>
                <w:szCs w:val="21"/>
                <w:lang w:bidi="ar"/>
              </w:rPr>
              <w:t>2、采用X86嵌入式系统架构，内存不低于32G、硬盘不低于500G SSD；</w:t>
            </w:r>
          </w:p>
          <w:p w14:paraId="75F97C28">
            <w:pPr>
              <w:widowControl/>
              <w:spacing w:line="400" w:lineRule="exact"/>
              <w:jc w:val="left"/>
              <w:textAlignment w:val="center"/>
              <w:rPr>
                <w:rFonts w:hint="eastAsia" w:ascii="宋体" w:hAnsi="宋体" w:eastAsia="宋体" w:cs="宋体"/>
                <w:color w:val="auto"/>
                <w:kern w:val="0"/>
                <w:szCs w:val="21"/>
                <w:lang w:bidi="ar"/>
              </w:rPr>
            </w:pPr>
            <w:r>
              <w:rPr>
                <w:rFonts w:hint="eastAsia" w:ascii="宋体" w:hAnsi="宋体" w:eastAsia="宋体" w:cs="宋体"/>
                <w:color w:val="auto"/>
                <w:kern w:val="0"/>
                <w:szCs w:val="21"/>
                <w:lang w:bidi="ar"/>
              </w:rPr>
              <w:t>3、不少于1路MIC IN ，1路Line IN ，1路Line OUT音频接口，支持接口扩展；</w:t>
            </w:r>
          </w:p>
          <w:p w14:paraId="7C533324">
            <w:pPr>
              <w:widowControl/>
              <w:spacing w:line="400" w:lineRule="exact"/>
              <w:jc w:val="left"/>
              <w:textAlignment w:val="center"/>
              <w:rPr>
                <w:rFonts w:hint="eastAsia" w:ascii="宋体" w:hAnsi="宋体" w:eastAsia="宋体" w:cs="宋体"/>
                <w:color w:val="auto"/>
                <w:kern w:val="0"/>
                <w:szCs w:val="21"/>
                <w:lang w:bidi="ar"/>
              </w:rPr>
            </w:pPr>
            <w:r>
              <w:rPr>
                <w:rFonts w:hint="eastAsia" w:ascii="宋体" w:hAnsi="宋体" w:eastAsia="宋体" w:cs="宋体"/>
                <w:color w:val="auto"/>
                <w:kern w:val="0"/>
                <w:szCs w:val="21"/>
                <w:lang w:bidi="ar"/>
              </w:rPr>
              <w:t>4、支持不少于4台服务器之间进行拼接输出，通过主机实现对全部从机的集中控制；</w:t>
            </w:r>
          </w:p>
          <w:p w14:paraId="1545C871">
            <w:pPr>
              <w:widowControl/>
              <w:spacing w:line="400" w:lineRule="exact"/>
              <w:jc w:val="left"/>
              <w:textAlignment w:val="center"/>
              <w:rPr>
                <w:rFonts w:hint="eastAsia" w:ascii="宋体" w:hAnsi="宋体" w:eastAsia="宋体" w:cs="宋体"/>
                <w:color w:val="auto"/>
                <w:kern w:val="0"/>
                <w:szCs w:val="21"/>
                <w:lang w:bidi="ar"/>
              </w:rPr>
            </w:pPr>
            <w:r>
              <w:rPr>
                <w:rFonts w:hint="eastAsia" w:ascii="宋体" w:hAnsi="宋体" w:eastAsia="宋体" w:cs="宋体"/>
                <w:color w:val="auto"/>
                <w:kern w:val="0"/>
                <w:szCs w:val="21"/>
                <w:lang w:bidi="ar"/>
              </w:rPr>
              <w:t>5、支持接口虚拟放大缩小，支持输出接口标记，定位输出接口位置；</w:t>
            </w:r>
          </w:p>
          <w:p w14:paraId="41ABD0EF">
            <w:pPr>
              <w:widowControl/>
              <w:spacing w:line="400" w:lineRule="exact"/>
              <w:jc w:val="left"/>
              <w:textAlignment w:val="center"/>
              <w:rPr>
                <w:rFonts w:hint="eastAsia" w:ascii="宋体" w:hAnsi="宋体" w:eastAsia="宋体" w:cs="宋体"/>
                <w:color w:val="auto"/>
                <w:kern w:val="0"/>
                <w:szCs w:val="21"/>
                <w:lang w:bidi="ar"/>
              </w:rPr>
            </w:pPr>
            <w:r>
              <w:rPr>
                <w:rFonts w:hint="eastAsia" w:ascii="宋体" w:hAnsi="宋体" w:eastAsia="宋体" w:cs="宋体"/>
                <w:color w:val="auto"/>
                <w:kern w:val="0"/>
                <w:szCs w:val="21"/>
                <w:lang w:bidi="ar"/>
              </w:rPr>
              <w:t>6、支持通过平板或手机端控制软件对多媒体服务器进行播放、暂停、停止、节目切换、音量调节、黑屏等功能操作；</w:t>
            </w:r>
          </w:p>
          <w:p w14:paraId="5D9BE6AE">
            <w:pPr>
              <w:widowControl/>
              <w:spacing w:line="400" w:lineRule="exact"/>
              <w:jc w:val="left"/>
              <w:textAlignment w:val="center"/>
              <w:rPr>
                <w:rFonts w:hint="eastAsia" w:ascii="宋体" w:hAnsi="宋体" w:eastAsia="宋体" w:cs="宋体"/>
                <w:color w:val="auto"/>
                <w:kern w:val="0"/>
                <w:szCs w:val="21"/>
                <w:lang w:bidi="ar"/>
              </w:rPr>
            </w:pPr>
            <w:r>
              <w:rPr>
                <w:rFonts w:hint="eastAsia" w:ascii="宋体" w:hAnsi="宋体" w:eastAsia="宋体" w:cs="宋体"/>
                <w:color w:val="auto"/>
                <w:kern w:val="0"/>
                <w:szCs w:val="21"/>
                <w:lang w:bidi="ar"/>
              </w:rPr>
              <w:t>7、支持3D视频源播放输出，分辨率不低于3840x2160@60Hz；</w:t>
            </w:r>
          </w:p>
          <w:p w14:paraId="7617560A">
            <w:pPr>
              <w:widowControl/>
              <w:spacing w:line="400" w:lineRule="exact"/>
              <w:jc w:val="left"/>
              <w:textAlignment w:val="center"/>
              <w:rPr>
                <w:rFonts w:hint="eastAsia" w:ascii="宋体" w:hAnsi="宋体" w:eastAsia="宋体" w:cs="宋体"/>
                <w:color w:val="auto"/>
                <w:kern w:val="0"/>
                <w:szCs w:val="21"/>
                <w:lang w:bidi="ar"/>
              </w:rPr>
            </w:pPr>
            <w:r>
              <w:rPr>
                <w:rFonts w:hint="eastAsia" w:ascii="宋体" w:hAnsi="宋体" w:eastAsia="宋体" w:cs="宋体"/>
                <w:color w:val="auto"/>
                <w:kern w:val="0"/>
                <w:szCs w:val="21"/>
                <w:lang w:bidi="ar"/>
              </w:rPr>
              <w:t>8、支持设备热备份，播放画面实时同步，切换无黑屏、闪屏；</w:t>
            </w:r>
          </w:p>
          <w:p w14:paraId="37B7A498">
            <w:pPr>
              <w:widowControl/>
              <w:spacing w:line="400" w:lineRule="exact"/>
              <w:jc w:val="left"/>
              <w:textAlignment w:val="center"/>
              <w:rPr>
                <w:rFonts w:hint="eastAsia" w:ascii="宋体" w:hAnsi="宋体" w:eastAsia="宋体" w:cs="宋体"/>
                <w:color w:val="auto"/>
                <w:kern w:val="0"/>
                <w:szCs w:val="21"/>
                <w:lang w:bidi="ar"/>
              </w:rPr>
            </w:pPr>
            <w:r>
              <w:rPr>
                <w:rFonts w:hint="eastAsia" w:ascii="宋体" w:hAnsi="宋体" w:eastAsia="宋体" w:cs="宋体"/>
                <w:color w:val="auto"/>
                <w:kern w:val="0"/>
                <w:szCs w:val="21"/>
                <w:lang w:bidi="ar"/>
              </w:rPr>
              <w:t>9、支持多画面同时播放时按照主计时媒体进行跳转；</w:t>
            </w:r>
          </w:p>
          <w:p w14:paraId="060B5F1F">
            <w:pPr>
              <w:widowControl/>
              <w:spacing w:line="400" w:lineRule="exact"/>
              <w:jc w:val="left"/>
              <w:textAlignment w:val="center"/>
              <w:rPr>
                <w:rFonts w:hint="eastAsia" w:ascii="宋体" w:hAnsi="宋体" w:eastAsia="宋体" w:cs="宋体"/>
                <w:color w:val="auto"/>
                <w:kern w:val="0"/>
                <w:szCs w:val="21"/>
                <w:lang w:bidi="ar"/>
              </w:rPr>
            </w:pPr>
            <w:r>
              <w:rPr>
                <w:rFonts w:hint="eastAsia" w:ascii="宋体" w:hAnsi="宋体" w:eastAsia="宋体" w:cs="宋体"/>
                <w:color w:val="auto"/>
                <w:kern w:val="0"/>
                <w:szCs w:val="21"/>
                <w:lang w:bidi="ar"/>
              </w:rPr>
              <w:t>10、支持预编辑输出，可在预览编辑成后再进行媒体素材的一键输出播放，支持切换特效及抠像功能；</w:t>
            </w:r>
          </w:p>
          <w:p w14:paraId="3F3DC061">
            <w:pPr>
              <w:widowControl/>
              <w:spacing w:line="400" w:lineRule="exact"/>
              <w:jc w:val="left"/>
              <w:textAlignment w:val="center"/>
              <w:rPr>
                <w:rFonts w:hint="eastAsia" w:ascii="宋体" w:hAnsi="宋体" w:eastAsia="宋体" w:cs="宋体"/>
                <w:color w:val="auto"/>
                <w:kern w:val="0"/>
                <w:szCs w:val="21"/>
                <w:lang w:bidi="ar"/>
              </w:rPr>
            </w:pPr>
            <w:r>
              <w:rPr>
                <w:rFonts w:hint="eastAsia" w:ascii="宋体" w:hAnsi="宋体" w:eastAsia="宋体" w:cs="宋体"/>
                <w:color w:val="auto"/>
                <w:kern w:val="0"/>
                <w:szCs w:val="21"/>
                <w:lang w:bidi="ar"/>
              </w:rPr>
              <w:t>11、支持输出画面拆分重组，实现画面任意排序，支持输出任意角度旋转，满足对不规则显示屏的拼接带载；</w:t>
            </w:r>
          </w:p>
          <w:p w14:paraId="3A8964BE">
            <w:pPr>
              <w:widowControl/>
              <w:spacing w:line="400" w:lineRule="exact"/>
              <w:jc w:val="left"/>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12、支持对节目中任意一个媒体按区域进行画质调节、裁剪，遮罩。</w:t>
            </w:r>
          </w:p>
        </w:tc>
        <w:tc>
          <w:tcPr>
            <w:tcW w:w="1161" w:type="dxa"/>
            <w:shd w:val="clear" w:color="auto" w:fill="auto"/>
            <w:noWrap/>
            <w:vAlign w:val="center"/>
          </w:tcPr>
          <w:p w14:paraId="4D58F504">
            <w:pPr>
              <w:widowControl/>
              <w:spacing w:line="400" w:lineRule="exact"/>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1台</w:t>
            </w:r>
          </w:p>
        </w:tc>
        <w:tc>
          <w:tcPr>
            <w:tcW w:w="833" w:type="dxa"/>
            <w:shd w:val="clear" w:color="auto" w:fill="auto"/>
            <w:noWrap/>
            <w:vAlign w:val="center"/>
          </w:tcPr>
          <w:p w14:paraId="19C75A6C">
            <w:pPr>
              <w:widowControl/>
              <w:spacing w:line="400" w:lineRule="exact"/>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工业</w:t>
            </w:r>
          </w:p>
        </w:tc>
        <w:tc>
          <w:tcPr>
            <w:tcW w:w="1259" w:type="dxa"/>
            <w:shd w:val="clear" w:color="auto" w:fill="auto"/>
            <w:noWrap/>
            <w:vAlign w:val="center"/>
          </w:tcPr>
          <w:p w14:paraId="5FC4960E">
            <w:pPr>
              <w:widowControl/>
              <w:spacing w:line="400" w:lineRule="exact"/>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否</w:t>
            </w:r>
          </w:p>
        </w:tc>
        <w:tc>
          <w:tcPr>
            <w:tcW w:w="490" w:type="dxa"/>
            <w:shd w:val="clear" w:color="auto" w:fill="auto"/>
            <w:noWrap/>
            <w:vAlign w:val="center"/>
          </w:tcPr>
          <w:p w14:paraId="2961BC42">
            <w:pPr>
              <w:widowControl/>
              <w:spacing w:line="400" w:lineRule="exact"/>
              <w:rPr>
                <w:rFonts w:ascii="宋体" w:hAnsi="宋体" w:eastAsia="宋体" w:cs="宋体"/>
                <w:color w:val="auto"/>
                <w:szCs w:val="21"/>
              </w:rPr>
            </w:pPr>
          </w:p>
        </w:tc>
      </w:tr>
      <w:tr w14:paraId="218A8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703" w:type="dxa"/>
            <w:shd w:val="clear" w:color="auto" w:fill="auto"/>
            <w:noWrap/>
            <w:vAlign w:val="center"/>
          </w:tcPr>
          <w:p w14:paraId="778F6195">
            <w:pPr>
              <w:widowControl/>
              <w:spacing w:line="400" w:lineRule="exact"/>
              <w:jc w:val="center"/>
              <w:textAlignment w:val="center"/>
              <w:rPr>
                <w:rFonts w:hint="eastAsia" w:ascii="宋体" w:hAnsi="宋体" w:eastAsia="宋体" w:cs="宋体"/>
                <w:b/>
                <w:bCs/>
                <w:color w:val="auto"/>
                <w:kern w:val="0"/>
                <w:szCs w:val="21"/>
                <w:lang w:eastAsia="zh-CN" w:bidi="ar"/>
              </w:rPr>
            </w:pPr>
            <w:r>
              <w:rPr>
                <w:rFonts w:hint="eastAsia" w:ascii="宋体" w:hAnsi="宋体" w:eastAsia="宋体" w:cs="宋体"/>
                <w:b/>
                <w:bCs/>
                <w:color w:val="auto"/>
                <w:kern w:val="0"/>
                <w:szCs w:val="21"/>
                <w:lang w:bidi="ar"/>
              </w:rPr>
              <w:t>5</w:t>
            </w:r>
          </w:p>
        </w:tc>
        <w:tc>
          <w:tcPr>
            <w:tcW w:w="710" w:type="dxa"/>
            <w:shd w:val="clear" w:color="auto" w:fill="auto"/>
            <w:vAlign w:val="center"/>
          </w:tcPr>
          <w:p w14:paraId="23281A5F">
            <w:pPr>
              <w:widowControl/>
              <w:spacing w:line="400" w:lineRule="exact"/>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视频处理器</w:t>
            </w:r>
          </w:p>
        </w:tc>
        <w:tc>
          <w:tcPr>
            <w:tcW w:w="4131" w:type="dxa"/>
            <w:shd w:val="clear" w:color="auto" w:fill="auto"/>
            <w:vAlign w:val="center"/>
          </w:tcPr>
          <w:p w14:paraId="15AE3BD6">
            <w:pPr>
              <w:widowControl/>
              <w:spacing w:line="400" w:lineRule="exact"/>
              <w:jc w:val="left"/>
              <w:textAlignment w:val="center"/>
              <w:rPr>
                <w:rFonts w:hint="eastAsia" w:ascii="宋体" w:hAnsi="宋体" w:eastAsia="宋体" w:cs="宋体"/>
                <w:color w:val="auto"/>
                <w:kern w:val="0"/>
                <w:szCs w:val="21"/>
                <w:lang w:bidi="ar"/>
              </w:rPr>
            </w:pPr>
            <w:r>
              <w:rPr>
                <w:rFonts w:hint="eastAsia" w:ascii="宋体" w:hAnsi="宋体" w:eastAsia="宋体" w:cs="宋体"/>
                <w:color w:val="auto"/>
                <w:kern w:val="0"/>
                <w:szCs w:val="21"/>
                <w:lang w:bidi="ar"/>
              </w:rPr>
              <w:t>6路HDMI2.0输入；96网口输出，4路HDMI输出；</w:t>
            </w:r>
          </w:p>
          <w:p w14:paraId="1EF642A7">
            <w:pPr>
              <w:widowControl/>
              <w:spacing w:line="400" w:lineRule="exact"/>
              <w:jc w:val="left"/>
              <w:textAlignment w:val="center"/>
              <w:rPr>
                <w:rFonts w:hint="eastAsia" w:ascii="宋体" w:hAnsi="宋体" w:eastAsia="宋体" w:cs="宋体"/>
                <w:color w:val="auto"/>
                <w:kern w:val="0"/>
                <w:szCs w:val="21"/>
                <w:lang w:bidi="ar"/>
              </w:rPr>
            </w:pPr>
            <w:r>
              <w:rPr>
                <w:rFonts w:hint="eastAsia" w:ascii="宋体" w:hAnsi="宋体" w:eastAsia="宋体" w:cs="宋体"/>
                <w:color w:val="auto"/>
                <w:kern w:val="0"/>
                <w:szCs w:val="21"/>
                <w:lang w:bidi="ar"/>
              </w:rPr>
              <w:t>1.样机正常工作时，噪声不大于45dB(A)（距离样机1m处）；</w:t>
            </w:r>
          </w:p>
          <w:p w14:paraId="1BF041F3">
            <w:pPr>
              <w:widowControl/>
              <w:spacing w:line="400" w:lineRule="exact"/>
              <w:jc w:val="left"/>
              <w:textAlignment w:val="center"/>
              <w:rPr>
                <w:rFonts w:hint="eastAsia" w:ascii="宋体" w:hAnsi="宋体" w:eastAsia="宋体" w:cs="宋体"/>
                <w:color w:val="auto"/>
                <w:kern w:val="0"/>
                <w:szCs w:val="21"/>
                <w:lang w:bidi="ar"/>
              </w:rPr>
            </w:pPr>
            <w:r>
              <w:rPr>
                <w:rFonts w:hint="eastAsia" w:ascii="宋体" w:hAnsi="宋体" w:eastAsia="宋体" w:cs="宋体"/>
                <w:color w:val="auto"/>
                <w:kern w:val="0"/>
                <w:szCs w:val="21"/>
                <w:lang w:bidi="ar"/>
              </w:rPr>
              <w:t>2.样机前面板内嵌7英寸液晶显示屏，可通过显示屏显示设备运行参数与状态，包括：设备型号、设备SN、设备接口连接状态、运行状态（温度、电压、风扇）、IP地址、固件版本、公司信息、当前屏幕内容的预监回显；支持触摸设置设备IP地址、中控串口参数、固件升级、U盘文件的导入导出、屏幕亮度调节、中英文显示内容切换等；</w:t>
            </w:r>
          </w:p>
          <w:p w14:paraId="76771F3D">
            <w:pPr>
              <w:widowControl/>
              <w:spacing w:line="400" w:lineRule="exact"/>
              <w:jc w:val="left"/>
              <w:textAlignment w:val="center"/>
              <w:rPr>
                <w:rFonts w:hint="eastAsia" w:ascii="宋体" w:hAnsi="宋体" w:eastAsia="宋体" w:cs="宋体"/>
                <w:color w:val="auto"/>
                <w:kern w:val="0"/>
                <w:szCs w:val="21"/>
                <w:lang w:bidi="ar"/>
              </w:rPr>
            </w:pPr>
            <w:r>
              <w:rPr>
                <w:rFonts w:hint="eastAsia" w:ascii="宋体" w:hAnsi="宋体" w:eastAsia="宋体" w:cs="宋体"/>
                <w:color w:val="auto"/>
                <w:kern w:val="0"/>
                <w:szCs w:val="21"/>
                <w:lang w:bidi="ar"/>
              </w:rPr>
              <w:t>3.样机采用插卡式结构，内置数据交换背板，可监测设备温度、电压、风扇在线状态；可自动自适应识别板卡类型；</w:t>
            </w:r>
          </w:p>
          <w:p w14:paraId="2D162074">
            <w:pPr>
              <w:widowControl/>
              <w:spacing w:line="400" w:lineRule="exact"/>
              <w:jc w:val="left"/>
              <w:textAlignment w:val="center"/>
              <w:rPr>
                <w:rFonts w:hint="eastAsia" w:ascii="宋体" w:hAnsi="宋体" w:eastAsia="宋体" w:cs="宋体"/>
                <w:color w:val="auto"/>
                <w:kern w:val="0"/>
                <w:szCs w:val="21"/>
                <w:lang w:bidi="ar"/>
              </w:rPr>
            </w:pPr>
            <w:r>
              <w:rPr>
                <w:rFonts w:hint="eastAsia" w:ascii="宋体" w:hAnsi="宋体" w:eastAsia="宋体" w:cs="宋体"/>
                <w:color w:val="auto"/>
                <w:kern w:val="0"/>
                <w:szCs w:val="21"/>
                <w:lang w:bidi="ar"/>
              </w:rPr>
              <w:t>4.单台设备最大支持同时接入30个输入卡和10个输出卡。单路光纤最大支持传输8路网口数据，可同时支持网口传输和光口传输，板卡支持光口和网口之间的复制/热备；</w:t>
            </w:r>
          </w:p>
          <w:p w14:paraId="3243E554">
            <w:pPr>
              <w:widowControl/>
              <w:spacing w:line="400" w:lineRule="exact"/>
              <w:jc w:val="left"/>
              <w:textAlignment w:val="center"/>
              <w:rPr>
                <w:rFonts w:hint="eastAsia" w:ascii="宋体" w:hAnsi="宋体" w:eastAsia="宋体" w:cs="宋体"/>
                <w:color w:val="auto"/>
                <w:kern w:val="0"/>
                <w:szCs w:val="21"/>
                <w:lang w:bidi="ar"/>
              </w:rPr>
            </w:pPr>
            <w:r>
              <w:rPr>
                <w:rFonts w:hint="eastAsia" w:ascii="宋体" w:hAnsi="宋体" w:eastAsia="宋体" w:cs="宋体"/>
                <w:color w:val="auto"/>
                <w:kern w:val="0"/>
                <w:szCs w:val="21"/>
                <w:lang w:bidi="ar"/>
              </w:rPr>
              <w:t>5.支持自检功能，包括：运行情况、CPU、EMMC、交叉点通信、内存、电压、温度等状态；</w:t>
            </w:r>
          </w:p>
          <w:p w14:paraId="55049BF0">
            <w:pPr>
              <w:widowControl/>
              <w:spacing w:line="400" w:lineRule="exact"/>
              <w:jc w:val="left"/>
              <w:textAlignment w:val="center"/>
              <w:rPr>
                <w:rFonts w:hint="eastAsia" w:ascii="宋体" w:hAnsi="宋体" w:eastAsia="宋体" w:cs="宋体"/>
                <w:color w:val="auto"/>
                <w:kern w:val="0"/>
                <w:szCs w:val="21"/>
                <w:lang w:bidi="ar"/>
              </w:rPr>
            </w:pPr>
            <w:r>
              <w:rPr>
                <w:rFonts w:hint="eastAsia" w:ascii="宋体" w:hAnsi="宋体" w:eastAsia="宋体" w:cs="宋体"/>
                <w:color w:val="auto"/>
                <w:kern w:val="0"/>
                <w:szCs w:val="21"/>
                <w:lang w:bidi="ar"/>
              </w:rPr>
              <w:t>6.DVI和HDMI输出卡最大支持创建4个屏幕，单台样机最大支持创建40个屏幕；支持非规则建屏，可单卡单接口建屏；</w:t>
            </w:r>
          </w:p>
          <w:p w14:paraId="626F7DE8">
            <w:pPr>
              <w:widowControl/>
              <w:spacing w:line="400" w:lineRule="exact"/>
              <w:jc w:val="left"/>
              <w:textAlignment w:val="center"/>
              <w:rPr>
                <w:rFonts w:hint="eastAsia" w:ascii="宋体" w:hAnsi="宋体" w:eastAsia="宋体" w:cs="宋体"/>
                <w:color w:val="auto"/>
                <w:kern w:val="0"/>
                <w:szCs w:val="21"/>
                <w:lang w:bidi="ar"/>
              </w:rPr>
            </w:pPr>
            <w:r>
              <w:rPr>
                <w:rFonts w:hint="eastAsia" w:ascii="宋体" w:hAnsi="宋体" w:eastAsia="宋体" w:cs="宋体"/>
                <w:color w:val="auto"/>
                <w:kern w:val="0"/>
                <w:szCs w:val="21"/>
                <w:lang w:bidi="ar"/>
              </w:rPr>
              <w:t>7.单个输出板卡最大支持16个图层，每个图层可放大到4K显示；支持图层在输出接口间漫游，可进行图层参数设置，包括：无极缩放、图层画面截取、水平和垂直镜像翻转、冻结、叠加、图层优先级；可对 图层无极缩放、图层全屏和自适应接口全屏；</w:t>
            </w:r>
          </w:p>
          <w:p w14:paraId="1703F3A5">
            <w:pPr>
              <w:widowControl/>
              <w:spacing w:line="400" w:lineRule="exact"/>
              <w:jc w:val="left"/>
              <w:textAlignment w:val="center"/>
              <w:rPr>
                <w:rFonts w:hint="eastAsia" w:ascii="宋体" w:hAnsi="宋体" w:eastAsia="宋体" w:cs="宋体"/>
                <w:color w:val="auto"/>
                <w:kern w:val="0"/>
                <w:szCs w:val="21"/>
                <w:lang w:bidi="ar"/>
              </w:rPr>
            </w:pPr>
            <w:r>
              <w:rPr>
                <w:rFonts w:hint="eastAsia" w:ascii="宋体" w:hAnsi="宋体" w:eastAsia="宋体" w:cs="宋体"/>
                <w:color w:val="auto"/>
                <w:kern w:val="0"/>
                <w:szCs w:val="21"/>
                <w:lang w:bidi="ar"/>
              </w:rPr>
              <w:t>8.单拼接屏幕支持1个背景图叠加显示，背景图不占图层资源，支持重命名设置，且可全屏缩放，单张背景图最大支持15360×4096显示；</w:t>
            </w:r>
          </w:p>
          <w:p w14:paraId="3CF08D02">
            <w:pPr>
              <w:widowControl/>
              <w:spacing w:line="400" w:lineRule="exact"/>
              <w:jc w:val="left"/>
              <w:textAlignment w:val="center"/>
              <w:rPr>
                <w:rFonts w:hint="eastAsia" w:ascii="宋体" w:hAnsi="宋体" w:eastAsia="宋体" w:cs="宋体"/>
                <w:color w:val="auto"/>
                <w:kern w:val="0"/>
                <w:szCs w:val="21"/>
                <w:lang w:bidi="ar"/>
              </w:rPr>
            </w:pPr>
            <w:r>
              <w:rPr>
                <w:rFonts w:hint="eastAsia" w:ascii="宋体" w:hAnsi="宋体" w:eastAsia="宋体" w:cs="宋体"/>
                <w:color w:val="auto"/>
                <w:kern w:val="0"/>
                <w:szCs w:val="21"/>
                <w:lang w:bidi="ar"/>
              </w:rPr>
              <w:t>9.单拼接屏幕支持1个OSD叠加显示，OSD可为文字或图片，最大尺寸支持19200×3240,且透明度和位置可调，支持对字体间距、颜色、位置、透明度、运动特效等参数设置，支持任意比例缩放；</w:t>
            </w:r>
          </w:p>
          <w:p w14:paraId="402A8134">
            <w:pPr>
              <w:widowControl/>
              <w:spacing w:line="400" w:lineRule="exact"/>
              <w:jc w:val="left"/>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10.屏幕画质调节支持4种调节模式：标准模 式、文档模式、会议模式、视频模式，每种模式下均支持护眼模式开关设置，护眼 模式关闭时，可对亮度、对比度、饱和度、色调、色温、Gamma进行自定义调节。输出接口画质支持亮度、对比度、饱和度、色调、色温、Gamma调节，可添加22种测 试画面图像，支持间距、速度、亮度调节。</w:t>
            </w:r>
          </w:p>
        </w:tc>
        <w:tc>
          <w:tcPr>
            <w:tcW w:w="1161" w:type="dxa"/>
            <w:shd w:val="clear" w:color="auto" w:fill="auto"/>
            <w:noWrap/>
            <w:vAlign w:val="center"/>
          </w:tcPr>
          <w:p w14:paraId="458AC2AD">
            <w:pPr>
              <w:widowControl/>
              <w:spacing w:line="400" w:lineRule="exact"/>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1台</w:t>
            </w:r>
          </w:p>
        </w:tc>
        <w:tc>
          <w:tcPr>
            <w:tcW w:w="833" w:type="dxa"/>
            <w:shd w:val="clear" w:color="auto" w:fill="auto"/>
            <w:noWrap/>
            <w:vAlign w:val="center"/>
          </w:tcPr>
          <w:p w14:paraId="15C52A7D">
            <w:pPr>
              <w:widowControl/>
              <w:spacing w:line="400" w:lineRule="exact"/>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工业</w:t>
            </w:r>
          </w:p>
        </w:tc>
        <w:tc>
          <w:tcPr>
            <w:tcW w:w="1259" w:type="dxa"/>
            <w:shd w:val="clear" w:color="auto" w:fill="auto"/>
            <w:noWrap/>
            <w:vAlign w:val="center"/>
          </w:tcPr>
          <w:p w14:paraId="29C3B2A4">
            <w:pPr>
              <w:widowControl/>
              <w:spacing w:line="400" w:lineRule="exact"/>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否</w:t>
            </w:r>
          </w:p>
        </w:tc>
        <w:tc>
          <w:tcPr>
            <w:tcW w:w="490" w:type="dxa"/>
            <w:shd w:val="clear" w:color="auto" w:fill="auto"/>
            <w:noWrap/>
            <w:vAlign w:val="center"/>
          </w:tcPr>
          <w:p w14:paraId="276B2366">
            <w:pPr>
              <w:widowControl/>
              <w:spacing w:line="400" w:lineRule="exact"/>
              <w:rPr>
                <w:rFonts w:ascii="宋体" w:hAnsi="宋体" w:eastAsia="宋体" w:cs="宋体"/>
                <w:color w:val="auto"/>
                <w:szCs w:val="21"/>
              </w:rPr>
            </w:pPr>
          </w:p>
        </w:tc>
      </w:tr>
      <w:tr w14:paraId="37B03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703" w:type="dxa"/>
            <w:shd w:val="clear" w:color="auto" w:fill="auto"/>
            <w:noWrap/>
            <w:vAlign w:val="center"/>
          </w:tcPr>
          <w:p w14:paraId="37B4590E">
            <w:pPr>
              <w:widowControl/>
              <w:spacing w:line="400" w:lineRule="exact"/>
              <w:jc w:val="center"/>
              <w:textAlignment w:val="center"/>
              <w:rPr>
                <w:rFonts w:hint="eastAsia" w:ascii="宋体" w:hAnsi="宋体" w:eastAsia="宋体" w:cs="宋体"/>
                <w:b/>
                <w:bCs/>
                <w:color w:val="auto"/>
                <w:kern w:val="0"/>
                <w:szCs w:val="21"/>
                <w:lang w:eastAsia="zh-CN" w:bidi="ar"/>
              </w:rPr>
            </w:pPr>
            <w:r>
              <w:rPr>
                <w:rFonts w:hint="eastAsia" w:ascii="宋体" w:hAnsi="宋体" w:eastAsia="宋体" w:cs="宋体"/>
                <w:b/>
                <w:bCs/>
                <w:color w:val="auto"/>
                <w:kern w:val="0"/>
                <w:szCs w:val="21"/>
                <w:lang w:bidi="ar"/>
              </w:rPr>
              <w:t>6</w:t>
            </w:r>
          </w:p>
        </w:tc>
        <w:tc>
          <w:tcPr>
            <w:tcW w:w="710" w:type="dxa"/>
            <w:shd w:val="clear" w:color="auto" w:fill="auto"/>
            <w:vAlign w:val="center"/>
          </w:tcPr>
          <w:p w14:paraId="3A401570">
            <w:pPr>
              <w:widowControl/>
              <w:spacing w:line="400" w:lineRule="exact"/>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播放软件</w:t>
            </w:r>
          </w:p>
        </w:tc>
        <w:tc>
          <w:tcPr>
            <w:tcW w:w="4131" w:type="dxa"/>
            <w:shd w:val="clear" w:color="auto" w:fill="auto"/>
            <w:vAlign w:val="center"/>
          </w:tcPr>
          <w:p w14:paraId="18A81C80">
            <w:pPr>
              <w:widowControl/>
              <w:spacing w:line="400" w:lineRule="exact"/>
              <w:jc w:val="left"/>
              <w:textAlignment w:val="center"/>
              <w:rPr>
                <w:rFonts w:hint="eastAsia" w:ascii="宋体" w:hAnsi="宋体" w:eastAsia="宋体" w:cs="宋体"/>
                <w:color w:val="auto"/>
                <w:kern w:val="0"/>
                <w:szCs w:val="21"/>
                <w:lang w:bidi="ar"/>
              </w:rPr>
            </w:pPr>
            <w:r>
              <w:rPr>
                <w:rFonts w:hint="eastAsia" w:ascii="宋体" w:hAnsi="宋体" w:eastAsia="宋体" w:cs="宋体"/>
                <w:color w:val="auto"/>
                <w:kern w:val="0"/>
                <w:szCs w:val="21"/>
                <w:lang w:bidi="ar"/>
              </w:rPr>
              <w:t>1.支持载入配置、设置输入源、点亮显示屏、显示屏连接设置、冗余备份设置、启用3D设置、工作模式设置、性能参数设置；</w:t>
            </w:r>
          </w:p>
          <w:p w14:paraId="2C56B3A9">
            <w:pPr>
              <w:widowControl/>
              <w:spacing w:line="400" w:lineRule="exact"/>
              <w:jc w:val="left"/>
              <w:textAlignment w:val="center"/>
              <w:rPr>
                <w:rFonts w:hint="eastAsia" w:ascii="宋体" w:hAnsi="宋体" w:eastAsia="宋体" w:cs="宋体"/>
                <w:color w:val="auto"/>
                <w:kern w:val="0"/>
                <w:szCs w:val="21"/>
                <w:lang w:bidi="ar"/>
              </w:rPr>
            </w:pPr>
            <w:r>
              <w:rPr>
                <w:rFonts w:hint="eastAsia" w:ascii="宋体" w:hAnsi="宋体" w:eastAsia="宋体" w:cs="宋体"/>
                <w:color w:val="auto"/>
                <w:kern w:val="0"/>
                <w:szCs w:val="21"/>
                <w:lang w:bidi="ar"/>
              </w:rPr>
              <w:t>2.可连接多媒体播放器，调试与媒体播放器的屏体参数。支持升级接收卡、发送卡的硬件程序，支持密码修改；</w:t>
            </w:r>
          </w:p>
          <w:p w14:paraId="0B73445B">
            <w:pPr>
              <w:widowControl/>
              <w:spacing w:line="400" w:lineRule="exact"/>
              <w:jc w:val="left"/>
              <w:textAlignment w:val="center"/>
              <w:rPr>
                <w:rFonts w:hint="eastAsia" w:ascii="宋体" w:hAnsi="宋体" w:eastAsia="宋体" w:cs="宋体"/>
                <w:color w:val="auto"/>
                <w:kern w:val="0"/>
                <w:szCs w:val="21"/>
                <w:lang w:bidi="ar"/>
              </w:rPr>
            </w:pPr>
            <w:r>
              <w:rPr>
                <w:rFonts w:hint="eastAsia" w:ascii="宋体" w:hAnsi="宋体" w:eastAsia="宋体" w:cs="宋体"/>
                <w:color w:val="auto"/>
                <w:kern w:val="0"/>
                <w:szCs w:val="21"/>
                <w:lang w:bidi="ar"/>
              </w:rPr>
              <w:t>3.对智能配电柜PLC模块实行远程控制，控制屏体的开关状态。主界面具有画质引擎设置功能；</w:t>
            </w:r>
          </w:p>
          <w:p w14:paraId="2B7EB86C">
            <w:pPr>
              <w:widowControl/>
              <w:spacing w:line="400" w:lineRule="exact"/>
              <w:jc w:val="left"/>
              <w:textAlignment w:val="center"/>
              <w:rPr>
                <w:rFonts w:hint="eastAsia" w:ascii="宋体" w:hAnsi="宋体" w:eastAsia="宋体" w:cs="宋体"/>
                <w:color w:val="auto"/>
                <w:kern w:val="0"/>
                <w:szCs w:val="21"/>
                <w:lang w:bidi="ar"/>
              </w:rPr>
            </w:pPr>
            <w:r>
              <w:rPr>
                <w:rFonts w:hint="eastAsia" w:ascii="宋体" w:hAnsi="宋体" w:eastAsia="宋体" w:cs="宋体"/>
                <w:color w:val="auto"/>
                <w:kern w:val="0"/>
                <w:szCs w:val="21"/>
                <w:lang w:bidi="ar"/>
              </w:rPr>
              <w:t>4.支持添加100个显示屏，分别对其进行控制管理。支持检测显示屏LED灯珠的工作状态软件显示点检状态，显示问题点位置；</w:t>
            </w:r>
          </w:p>
          <w:p w14:paraId="684A347B">
            <w:pPr>
              <w:widowControl/>
              <w:spacing w:line="400" w:lineRule="exact"/>
              <w:jc w:val="left"/>
              <w:textAlignment w:val="center"/>
              <w:rPr>
                <w:rFonts w:hint="eastAsia" w:ascii="宋体" w:hAnsi="宋体" w:eastAsia="宋体" w:cs="宋体"/>
                <w:color w:val="auto"/>
                <w:kern w:val="0"/>
                <w:szCs w:val="21"/>
                <w:lang w:bidi="ar"/>
              </w:rPr>
            </w:pPr>
            <w:r>
              <w:rPr>
                <w:rFonts w:hint="eastAsia" w:ascii="宋体" w:hAnsi="宋体" w:eastAsia="宋体" w:cs="宋体"/>
                <w:color w:val="auto"/>
                <w:kern w:val="0"/>
                <w:szCs w:val="21"/>
                <w:lang w:bidi="ar"/>
              </w:rPr>
              <w:t>5.支持选中灯板并且给灯板设置ID。支持将液晶模块显示的接收卡运行时间清零；</w:t>
            </w:r>
          </w:p>
          <w:p w14:paraId="3BC833F5">
            <w:pPr>
              <w:widowControl/>
              <w:spacing w:line="400" w:lineRule="exact"/>
              <w:jc w:val="left"/>
              <w:textAlignment w:val="center"/>
              <w:rPr>
                <w:rFonts w:hint="eastAsia" w:ascii="宋体" w:hAnsi="宋体" w:eastAsia="宋体" w:cs="宋体"/>
                <w:color w:val="auto"/>
                <w:kern w:val="0"/>
                <w:szCs w:val="21"/>
                <w:lang w:bidi="ar"/>
              </w:rPr>
            </w:pPr>
            <w:r>
              <w:rPr>
                <w:rFonts w:hint="eastAsia" w:ascii="宋体" w:hAnsi="宋体" w:eastAsia="宋体" w:cs="宋体"/>
                <w:color w:val="auto"/>
                <w:kern w:val="0"/>
                <w:szCs w:val="21"/>
                <w:lang w:bidi="ar"/>
              </w:rPr>
              <w:t>6.支持通过软件对灯点进行亮度校正；</w:t>
            </w:r>
          </w:p>
          <w:p w14:paraId="71D3BDEB">
            <w:pPr>
              <w:widowControl/>
              <w:spacing w:line="400" w:lineRule="exact"/>
              <w:jc w:val="left"/>
              <w:textAlignment w:val="center"/>
              <w:rPr>
                <w:rFonts w:hint="eastAsia" w:ascii="宋体" w:hAnsi="宋体" w:eastAsia="宋体" w:cs="宋体"/>
                <w:color w:val="auto"/>
                <w:kern w:val="0"/>
                <w:szCs w:val="21"/>
                <w:lang w:bidi="ar"/>
              </w:rPr>
            </w:pPr>
            <w:r>
              <w:rPr>
                <w:rFonts w:hint="eastAsia" w:ascii="宋体" w:hAnsi="宋体" w:eastAsia="宋体" w:cs="宋体"/>
                <w:color w:val="auto"/>
                <w:kern w:val="0"/>
                <w:szCs w:val="21"/>
                <w:lang w:bidi="ar"/>
              </w:rPr>
              <w:t>7.软件具备误码率检测功能；在关于界面中可以查看软件的版本信息和更新日志；</w:t>
            </w:r>
          </w:p>
          <w:p w14:paraId="64D50C05">
            <w:pPr>
              <w:widowControl/>
              <w:spacing w:line="400" w:lineRule="exact"/>
              <w:jc w:val="left"/>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8.支持为发送卡设置除湿模式，使控制系统上电后屏体亮度逐渐变化到目标值。</w:t>
            </w:r>
          </w:p>
        </w:tc>
        <w:tc>
          <w:tcPr>
            <w:tcW w:w="1161" w:type="dxa"/>
            <w:shd w:val="clear" w:color="auto" w:fill="auto"/>
            <w:noWrap/>
            <w:vAlign w:val="center"/>
          </w:tcPr>
          <w:p w14:paraId="78FBE28E">
            <w:pPr>
              <w:widowControl/>
              <w:spacing w:line="400" w:lineRule="exact"/>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1套</w:t>
            </w:r>
          </w:p>
        </w:tc>
        <w:tc>
          <w:tcPr>
            <w:tcW w:w="833" w:type="dxa"/>
            <w:shd w:val="clear" w:color="auto" w:fill="auto"/>
            <w:noWrap/>
            <w:vAlign w:val="center"/>
          </w:tcPr>
          <w:p w14:paraId="4C35D035">
            <w:pPr>
              <w:widowControl/>
              <w:spacing w:line="400" w:lineRule="exact"/>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软件和信息技术服务业</w:t>
            </w:r>
          </w:p>
        </w:tc>
        <w:tc>
          <w:tcPr>
            <w:tcW w:w="1259" w:type="dxa"/>
            <w:shd w:val="clear" w:color="auto" w:fill="auto"/>
            <w:noWrap/>
            <w:vAlign w:val="center"/>
          </w:tcPr>
          <w:p w14:paraId="03E3510F">
            <w:pPr>
              <w:widowControl/>
              <w:spacing w:line="400" w:lineRule="exact"/>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否</w:t>
            </w:r>
          </w:p>
        </w:tc>
        <w:tc>
          <w:tcPr>
            <w:tcW w:w="490" w:type="dxa"/>
            <w:shd w:val="clear" w:color="auto" w:fill="auto"/>
            <w:noWrap/>
            <w:vAlign w:val="center"/>
          </w:tcPr>
          <w:p w14:paraId="74B0632C">
            <w:pPr>
              <w:widowControl/>
              <w:spacing w:line="400" w:lineRule="exact"/>
              <w:rPr>
                <w:rFonts w:ascii="宋体" w:hAnsi="宋体" w:eastAsia="宋体" w:cs="宋体"/>
                <w:color w:val="auto"/>
                <w:szCs w:val="21"/>
              </w:rPr>
            </w:pPr>
          </w:p>
        </w:tc>
      </w:tr>
      <w:tr w14:paraId="18F2C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703" w:type="dxa"/>
            <w:shd w:val="clear" w:color="auto" w:fill="auto"/>
            <w:noWrap/>
            <w:vAlign w:val="center"/>
          </w:tcPr>
          <w:p w14:paraId="66E266DE">
            <w:pPr>
              <w:widowControl/>
              <w:spacing w:line="400" w:lineRule="exact"/>
              <w:jc w:val="center"/>
              <w:textAlignment w:val="center"/>
              <w:rPr>
                <w:rFonts w:hint="eastAsia" w:ascii="宋体" w:hAnsi="宋体" w:eastAsia="宋体" w:cs="宋体"/>
                <w:b/>
                <w:bCs/>
                <w:color w:val="auto"/>
                <w:kern w:val="0"/>
                <w:szCs w:val="21"/>
                <w:lang w:eastAsia="zh-CN" w:bidi="ar"/>
              </w:rPr>
            </w:pPr>
            <w:r>
              <w:rPr>
                <w:rFonts w:hint="eastAsia" w:ascii="宋体" w:hAnsi="宋体" w:eastAsia="宋体" w:cs="宋体"/>
                <w:b/>
                <w:bCs/>
                <w:color w:val="auto"/>
                <w:kern w:val="0"/>
                <w:szCs w:val="21"/>
                <w:lang w:bidi="ar"/>
              </w:rPr>
              <w:t>7</w:t>
            </w:r>
          </w:p>
        </w:tc>
        <w:tc>
          <w:tcPr>
            <w:tcW w:w="710" w:type="dxa"/>
            <w:shd w:val="clear" w:color="auto" w:fill="auto"/>
            <w:vAlign w:val="center"/>
          </w:tcPr>
          <w:p w14:paraId="0633B530">
            <w:pPr>
              <w:widowControl/>
              <w:spacing w:line="400" w:lineRule="exact"/>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显示屏钢结构</w:t>
            </w:r>
          </w:p>
        </w:tc>
        <w:tc>
          <w:tcPr>
            <w:tcW w:w="4131" w:type="dxa"/>
            <w:shd w:val="clear" w:color="auto" w:fill="auto"/>
            <w:vAlign w:val="center"/>
          </w:tcPr>
          <w:p w14:paraId="22B105DA">
            <w:pPr>
              <w:widowControl/>
              <w:spacing w:line="400" w:lineRule="exact"/>
              <w:jc w:val="left"/>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根据现场情况定制（主屏+两块侧屏+一块条屏固装）</w:t>
            </w:r>
          </w:p>
        </w:tc>
        <w:tc>
          <w:tcPr>
            <w:tcW w:w="1161" w:type="dxa"/>
            <w:shd w:val="clear" w:color="auto" w:fill="auto"/>
            <w:noWrap/>
            <w:vAlign w:val="center"/>
          </w:tcPr>
          <w:p w14:paraId="26F8FC77">
            <w:pPr>
              <w:widowControl/>
              <w:spacing w:line="400" w:lineRule="exact"/>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1套</w:t>
            </w:r>
          </w:p>
        </w:tc>
        <w:tc>
          <w:tcPr>
            <w:tcW w:w="833" w:type="dxa"/>
            <w:shd w:val="clear" w:color="auto" w:fill="auto"/>
            <w:noWrap/>
            <w:vAlign w:val="center"/>
          </w:tcPr>
          <w:p w14:paraId="523F42EF">
            <w:pPr>
              <w:widowControl/>
              <w:spacing w:line="400" w:lineRule="exact"/>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工业</w:t>
            </w:r>
          </w:p>
        </w:tc>
        <w:tc>
          <w:tcPr>
            <w:tcW w:w="1259" w:type="dxa"/>
            <w:shd w:val="clear" w:color="auto" w:fill="auto"/>
            <w:noWrap/>
            <w:vAlign w:val="center"/>
          </w:tcPr>
          <w:p w14:paraId="3CDA1DFB">
            <w:pPr>
              <w:widowControl/>
              <w:spacing w:line="400" w:lineRule="exact"/>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否</w:t>
            </w:r>
          </w:p>
        </w:tc>
        <w:tc>
          <w:tcPr>
            <w:tcW w:w="490" w:type="dxa"/>
            <w:shd w:val="clear" w:color="auto" w:fill="auto"/>
            <w:noWrap/>
            <w:vAlign w:val="center"/>
          </w:tcPr>
          <w:p w14:paraId="269456BE">
            <w:pPr>
              <w:widowControl/>
              <w:spacing w:line="400" w:lineRule="exact"/>
              <w:rPr>
                <w:rFonts w:ascii="宋体" w:hAnsi="宋体" w:eastAsia="宋体" w:cs="宋体"/>
                <w:color w:val="auto"/>
                <w:szCs w:val="21"/>
              </w:rPr>
            </w:pPr>
          </w:p>
        </w:tc>
      </w:tr>
      <w:tr w14:paraId="4E92E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703" w:type="dxa"/>
            <w:shd w:val="clear" w:color="auto" w:fill="auto"/>
            <w:noWrap/>
            <w:vAlign w:val="center"/>
          </w:tcPr>
          <w:p w14:paraId="6E0B3784">
            <w:pPr>
              <w:widowControl/>
              <w:spacing w:line="400" w:lineRule="exact"/>
              <w:jc w:val="center"/>
              <w:textAlignment w:val="center"/>
              <w:rPr>
                <w:rFonts w:hint="default" w:ascii="宋体" w:hAnsi="宋体" w:eastAsia="宋体" w:cs="宋体"/>
                <w:b/>
                <w:bCs/>
                <w:color w:val="auto"/>
                <w:kern w:val="0"/>
                <w:szCs w:val="21"/>
                <w:lang w:val="en-US" w:eastAsia="zh-CN" w:bidi="ar"/>
              </w:rPr>
            </w:pPr>
            <w:r>
              <w:rPr>
                <w:rFonts w:hint="eastAsia" w:ascii="宋体" w:hAnsi="宋体" w:eastAsia="宋体" w:cs="宋体"/>
                <w:b/>
                <w:bCs/>
                <w:color w:val="auto"/>
                <w:kern w:val="0"/>
                <w:szCs w:val="21"/>
                <w:lang w:bidi="ar"/>
              </w:rPr>
              <w:t>8</w:t>
            </w:r>
          </w:p>
        </w:tc>
        <w:tc>
          <w:tcPr>
            <w:tcW w:w="710" w:type="dxa"/>
            <w:shd w:val="clear" w:color="auto" w:fill="auto"/>
            <w:vAlign w:val="center"/>
          </w:tcPr>
          <w:p w14:paraId="2AE6EF60">
            <w:pPr>
              <w:widowControl/>
              <w:spacing w:line="400" w:lineRule="exact"/>
              <w:jc w:val="center"/>
              <w:textAlignment w:val="center"/>
              <w:rPr>
                <w:rFonts w:hint="eastAsia" w:ascii="宋体" w:hAnsi="宋体" w:eastAsia="宋体" w:cs="宋体"/>
                <w:color w:val="auto"/>
                <w:kern w:val="0"/>
                <w:szCs w:val="21"/>
                <w:lang w:bidi="ar"/>
              </w:rPr>
            </w:pPr>
            <w:r>
              <w:rPr>
                <w:rFonts w:hint="eastAsia" w:ascii="宋体" w:hAnsi="宋体" w:eastAsia="宋体" w:cs="宋体"/>
                <w:color w:val="auto"/>
                <w:kern w:val="0"/>
                <w:szCs w:val="21"/>
                <w:lang w:bidi="ar"/>
              </w:rPr>
              <w:t>显示屏安装调试</w:t>
            </w:r>
          </w:p>
        </w:tc>
        <w:tc>
          <w:tcPr>
            <w:tcW w:w="4131" w:type="dxa"/>
            <w:shd w:val="clear" w:color="auto" w:fill="auto"/>
            <w:vAlign w:val="center"/>
          </w:tcPr>
          <w:p w14:paraId="49CD5F0E">
            <w:pPr>
              <w:widowControl/>
              <w:spacing w:line="400" w:lineRule="exact"/>
              <w:jc w:val="left"/>
              <w:textAlignment w:val="center"/>
              <w:rPr>
                <w:rFonts w:hint="eastAsia" w:ascii="宋体" w:hAnsi="宋体" w:eastAsia="宋体" w:cs="宋体"/>
                <w:color w:val="auto"/>
                <w:kern w:val="0"/>
                <w:szCs w:val="21"/>
                <w:lang w:eastAsia="zh-CN" w:bidi="ar"/>
              </w:rPr>
            </w:pPr>
            <w:r>
              <w:rPr>
                <w:rFonts w:hint="eastAsia" w:ascii="宋体" w:hAnsi="宋体" w:eastAsia="宋体" w:cs="宋体"/>
                <w:color w:val="auto"/>
                <w:kern w:val="0"/>
                <w:szCs w:val="21"/>
                <w:lang w:bidi="ar"/>
              </w:rPr>
              <w:t>根据现场情况定制。</w:t>
            </w:r>
          </w:p>
        </w:tc>
        <w:tc>
          <w:tcPr>
            <w:tcW w:w="1161" w:type="dxa"/>
            <w:shd w:val="clear" w:color="auto" w:fill="auto"/>
            <w:noWrap/>
            <w:vAlign w:val="center"/>
          </w:tcPr>
          <w:p w14:paraId="77B64925">
            <w:pPr>
              <w:widowControl/>
              <w:spacing w:line="400" w:lineRule="exact"/>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Cs w:val="21"/>
                <w:lang w:bidi="ar"/>
              </w:rPr>
              <w:t>1套</w:t>
            </w:r>
          </w:p>
        </w:tc>
        <w:tc>
          <w:tcPr>
            <w:tcW w:w="833" w:type="dxa"/>
            <w:shd w:val="clear" w:color="auto" w:fill="auto"/>
            <w:noWrap/>
            <w:vAlign w:val="center"/>
          </w:tcPr>
          <w:p w14:paraId="7F5284C3">
            <w:pPr>
              <w:widowControl/>
              <w:spacing w:line="400" w:lineRule="exact"/>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Cs w:val="21"/>
                <w:lang w:bidi="ar"/>
              </w:rPr>
              <w:t>工业</w:t>
            </w:r>
          </w:p>
        </w:tc>
        <w:tc>
          <w:tcPr>
            <w:tcW w:w="1259" w:type="dxa"/>
            <w:shd w:val="clear" w:color="auto" w:fill="auto"/>
            <w:noWrap/>
            <w:vAlign w:val="center"/>
          </w:tcPr>
          <w:p w14:paraId="2D6A07DF">
            <w:pPr>
              <w:widowControl/>
              <w:spacing w:line="400" w:lineRule="exact"/>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Cs w:val="21"/>
                <w:lang w:bidi="ar"/>
              </w:rPr>
              <w:t>否</w:t>
            </w:r>
          </w:p>
        </w:tc>
        <w:tc>
          <w:tcPr>
            <w:tcW w:w="490" w:type="dxa"/>
            <w:shd w:val="clear" w:color="auto" w:fill="auto"/>
            <w:noWrap/>
            <w:vAlign w:val="center"/>
          </w:tcPr>
          <w:p w14:paraId="7980FBD4">
            <w:pPr>
              <w:widowControl/>
              <w:spacing w:line="400" w:lineRule="exact"/>
              <w:rPr>
                <w:rFonts w:ascii="宋体" w:hAnsi="宋体" w:eastAsia="宋体" w:cs="宋体"/>
                <w:color w:val="auto"/>
                <w:szCs w:val="21"/>
              </w:rPr>
            </w:pPr>
          </w:p>
        </w:tc>
      </w:tr>
      <w:tr w14:paraId="72C0C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703" w:type="dxa"/>
            <w:shd w:val="clear" w:color="auto" w:fill="auto"/>
            <w:noWrap/>
            <w:vAlign w:val="center"/>
          </w:tcPr>
          <w:p w14:paraId="096625B7">
            <w:pPr>
              <w:widowControl/>
              <w:spacing w:line="400" w:lineRule="exact"/>
              <w:jc w:val="center"/>
              <w:textAlignment w:val="center"/>
              <w:rPr>
                <w:rFonts w:hint="eastAsia" w:ascii="宋体" w:hAnsi="宋体" w:eastAsia="宋体" w:cs="宋体"/>
                <w:b/>
                <w:bCs/>
                <w:color w:val="auto"/>
                <w:kern w:val="0"/>
                <w:szCs w:val="21"/>
                <w:lang w:eastAsia="zh-CN" w:bidi="ar"/>
              </w:rPr>
            </w:pPr>
            <w:r>
              <w:rPr>
                <w:rFonts w:hint="eastAsia" w:ascii="宋体" w:hAnsi="宋体" w:eastAsia="宋体" w:cs="宋体"/>
                <w:b/>
                <w:bCs/>
                <w:color w:val="auto"/>
                <w:kern w:val="0"/>
                <w:szCs w:val="21"/>
                <w:lang w:bidi="ar"/>
              </w:rPr>
              <w:t>9</w:t>
            </w:r>
          </w:p>
        </w:tc>
        <w:tc>
          <w:tcPr>
            <w:tcW w:w="710" w:type="dxa"/>
            <w:shd w:val="clear" w:color="auto" w:fill="auto"/>
            <w:vAlign w:val="center"/>
          </w:tcPr>
          <w:p w14:paraId="57F166FA">
            <w:pPr>
              <w:widowControl/>
              <w:spacing w:line="400" w:lineRule="exact"/>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移动侧屏舞台机械控制系统</w:t>
            </w:r>
          </w:p>
        </w:tc>
        <w:tc>
          <w:tcPr>
            <w:tcW w:w="4131" w:type="dxa"/>
            <w:shd w:val="clear" w:color="auto" w:fill="auto"/>
            <w:vAlign w:val="center"/>
          </w:tcPr>
          <w:p w14:paraId="4F2322C6">
            <w:pPr>
              <w:widowControl/>
              <w:spacing w:line="400" w:lineRule="exact"/>
              <w:jc w:val="left"/>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2路PLC控制系统；由触摸屏、PLC等组成，控制系统技术先进，可靠性高，系统可扩展性好；触摸屏具有人性化的操作界面，可操作控制侧屏左右移动；具有点控、急停控制功能；</w:t>
            </w:r>
          </w:p>
        </w:tc>
        <w:tc>
          <w:tcPr>
            <w:tcW w:w="1161" w:type="dxa"/>
            <w:shd w:val="clear" w:color="auto" w:fill="auto"/>
            <w:noWrap/>
            <w:vAlign w:val="center"/>
          </w:tcPr>
          <w:p w14:paraId="5588821D">
            <w:pPr>
              <w:widowControl/>
              <w:spacing w:line="400" w:lineRule="exact"/>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1套</w:t>
            </w:r>
          </w:p>
        </w:tc>
        <w:tc>
          <w:tcPr>
            <w:tcW w:w="833" w:type="dxa"/>
            <w:shd w:val="clear" w:color="auto" w:fill="auto"/>
            <w:noWrap/>
            <w:vAlign w:val="center"/>
          </w:tcPr>
          <w:p w14:paraId="7E5CA9D4">
            <w:pPr>
              <w:widowControl/>
              <w:spacing w:line="400" w:lineRule="exact"/>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软件和信息技术服务业</w:t>
            </w:r>
          </w:p>
        </w:tc>
        <w:tc>
          <w:tcPr>
            <w:tcW w:w="1259" w:type="dxa"/>
            <w:shd w:val="clear" w:color="auto" w:fill="auto"/>
            <w:noWrap/>
            <w:vAlign w:val="center"/>
          </w:tcPr>
          <w:p w14:paraId="00DC5DE5">
            <w:pPr>
              <w:widowControl/>
              <w:spacing w:line="400" w:lineRule="exact"/>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否</w:t>
            </w:r>
          </w:p>
        </w:tc>
        <w:tc>
          <w:tcPr>
            <w:tcW w:w="490" w:type="dxa"/>
            <w:shd w:val="clear" w:color="auto" w:fill="auto"/>
            <w:noWrap/>
            <w:vAlign w:val="center"/>
          </w:tcPr>
          <w:p w14:paraId="5FBD1B13">
            <w:pPr>
              <w:widowControl/>
              <w:spacing w:line="400" w:lineRule="exact"/>
              <w:rPr>
                <w:rFonts w:ascii="宋体" w:hAnsi="宋体" w:eastAsia="宋体" w:cs="宋体"/>
                <w:color w:val="auto"/>
                <w:szCs w:val="21"/>
              </w:rPr>
            </w:pPr>
          </w:p>
        </w:tc>
      </w:tr>
      <w:tr w14:paraId="7DBC2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703" w:type="dxa"/>
            <w:shd w:val="clear" w:color="auto" w:fill="auto"/>
            <w:noWrap/>
            <w:vAlign w:val="center"/>
          </w:tcPr>
          <w:p w14:paraId="004B3050">
            <w:pPr>
              <w:widowControl/>
              <w:spacing w:line="400" w:lineRule="exact"/>
              <w:jc w:val="center"/>
              <w:textAlignment w:val="center"/>
              <w:rPr>
                <w:rFonts w:hint="default" w:ascii="宋体" w:hAnsi="宋体" w:eastAsia="宋体" w:cs="宋体"/>
                <w:b/>
                <w:bCs/>
                <w:color w:val="auto"/>
                <w:kern w:val="0"/>
                <w:szCs w:val="21"/>
                <w:lang w:val="en-US" w:eastAsia="zh-CN" w:bidi="ar"/>
              </w:rPr>
            </w:pPr>
            <w:r>
              <w:rPr>
                <w:rFonts w:hint="eastAsia" w:ascii="宋体" w:hAnsi="宋体" w:eastAsia="宋体" w:cs="宋体"/>
                <w:b/>
                <w:bCs/>
                <w:color w:val="auto"/>
                <w:kern w:val="0"/>
                <w:szCs w:val="21"/>
                <w:lang w:bidi="ar"/>
              </w:rPr>
              <w:t>10</w:t>
            </w:r>
          </w:p>
        </w:tc>
        <w:tc>
          <w:tcPr>
            <w:tcW w:w="710" w:type="dxa"/>
            <w:shd w:val="clear" w:color="auto" w:fill="auto"/>
            <w:vAlign w:val="center"/>
          </w:tcPr>
          <w:p w14:paraId="322B21BA">
            <w:pPr>
              <w:widowControl/>
              <w:spacing w:line="400" w:lineRule="exact"/>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移动侧屏机械装置</w:t>
            </w:r>
          </w:p>
        </w:tc>
        <w:tc>
          <w:tcPr>
            <w:tcW w:w="4131" w:type="dxa"/>
            <w:shd w:val="clear" w:color="auto" w:fill="auto"/>
            <w:vAlign w:val="center"/>
          </w:tcPr>
          <w:p w14:paraId="7D388540">
            <w:pPr>
              <w:widowControl/>
              <w:spacing w:line="400" w:lineRule="exact"/>
              <w:jc w:val="left"/>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驱动类型：电动；驱动方式：自行走传动；功率：1.1kw；行程：3m（具体以实际需求为准）；速度：0.05-0.5m/s；定位精度：±2mm；同步精度：±3mm；噪音控制：≤48dB(A)；含电机、减速机、静音轮、辅助轮、轨道结构、轨道安装组件等等，不含屏体钢架</w:t>
            </w:r>
          </w:p>
        </w:tc>
        <w:tc>
          <w:tcPr>
            <w:tcW w:w="1161" w:type="dxa"/>
            <w:shd w:val="clear" w:color="auto" w:fill="auto"/>
            <w:noWrap/>
            <w:vAlign w:val="center"/>
          </w:tcPr>
          <w:p w14:paraId="54E7C689">
            <w:pPr>
              <w:widowControl/>
              <w:spacing w:line="400" w:lineRule="exact"/>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2套</w:t>
            </w:r>
          </w:p>
        </w:tc>
        <w:tc>
          <w:tcPr>
            <w:tcW w:w="833" w:type="dxa"/>
            <w:shd w:val="clear" w:color="auto" w:fill="auto"/>
            <w:noWrap/>
            <w:vAlign w:val="center"/>
          </w:tcPr>
          <w:p w14:paraId="7FFF82D4">
            <w:pPr>
              <w:widowControl/>
              <w:spacing w:line="400" w:lineRule="exact"/>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工业</w:t>
            </w:r>
          </w:p>
        </w:tc>
        <w:tc>
          <w:tcPr>
            <w:tcW w:w="1259" w:type="dxa"/>
            <w:shd w:val="clear" w:color="auto" w:fill="auto"/>
            <w:noWrap/>
            <w:vAlign w:val="center"/>
          </w:tcPr>
          <w:p w14:paraId="01F39CDB">
            <w:pPr>
              <w:widowControl/>
              <w:spacing w:line="400" w:lineRule="exact"/>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否</w:t>
            </w:r>
          </w:p>
        </w:tc>
        <w:tc>
          <w:tcPr>
            <w:tcW w:w="490" w:type="dxa"/>
            <w:shd w:val="clear" w:color="auto" w:fill="auto"/>
            <w:noWrap/>
            <w:vAlign w:val="center"/>
          </w:tcPr>
          <w:p w14:paraId="1A3B0925">
            <w:pPr>
              <w:widowControl/>
              <w:spacing w:line="400" w:lineRule="exact"/>
              <w:rPr>
                <w:rFonts w:ascii="宋体" w:hAnsi="宋体" w:eastAsia="宋体" w:cs="宋体"/>
                <w:color w:val="auto"/>
                <w:szCs w:val="21"/>
              </w:rPr>
            </w:pPr>
          </w:p>
        </w:tc>
      </w:tr>
      <w:tr w14:paraId="30622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703" w:type="dxa"/>
            <w:shd w:val="clear" w:color="auto" w:fill="auto"/>
            <w:noWrap/>
            <w:vAlign w:val="center"/>
          </w:tcPr>
          <w:p w14:paraId="4F45CC70">
            <w:pPr>
              <w:widowControl/>
              <w:spacing w:line="400" w:lineRule="exact"/>
              <w:jc w:val="center"/>
              <w:textAlignment w:val="center"/>
              <w:rPr>
                <w:rFonts w:hint="default" w:ascii="宋体" w:hAnsi="宋体" w:eastAsia="宋体" w:cs="宋体"/>
                <w:b/>
                <w:bCs/>
                <w:color w:val="auto"/>
                <w:kern w:val="0"/>
                <w:szCs w:val="21"/>
                <w:lang w:val="en-US" w:eastAsia="zh-CN" w:bidi="ar"/>
              </w:rPr>
            </w:pPr>
            <w:r>
              <w:rPr>
                <w:rFonts w:hint="eastAsia" w:ascii="宋体" w:hAnsi="宋体" w:eastAsia="宋体" w:cs="宋体"/>
                <w:b/>
                <w:bCs/>
                <w:color w:val="auto"/>
                <w:kern w:val="0"/>
                <w:szCs w:val="21"/>
                <w:lang w:bidi="ar"/>
              </w:rPr>
              <w:t>11</w:t>
            </w:r>
          </w:p>
        </w:tc>
        <w:tc>
          <w:tcPr>
            <w:tcW w:w="710" w:type="dxa"/>
            <w:shd w:val="clear" w:color="auto" w:fill="auto"/>
            <w:vAlign w:val="center"/>
          </w:tcPr>
          <w:p w14:paraId="4D465CF4">
            <w:pPr>
              <w:widowControl/>
              <w:spacing w:line="400" w:lineRule="exact"/>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移动侧屏吊挂结构</w:t>
            </w:r>
          </w:p>
        </w:tc>
        <w:tc>
          <w:tcPr>
            <w:tcW w:w="4131" w:type="dxa"/>
            <w:shd w:val="clear" w:color="auto" w:fill="auto"/>
            <w:vAlign w:val="center"/>
          </w:tcPr>
          <w:p w14:paraId="1EFA4A7A">
            <w:pPr>
              <w:widowControl/>
              <w:spacing w:line="400" w:lineRule="exact"/>
              <w:jc w:val="left"/>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角铁、槽钢现场定制，满足使用需求</w:t>
            </w:r>
          </w:p>
        </w:tc>
        <w:tc>
          <w:tcPr>
            <w:tcW w:w="1161" w:type="dxa"/>
            <w:shd w:val="clear" w:color="auto" w:fill="auto"/>
            <w:noWrap/>
            <w:vAlign w:val="center"/>
          </w:tcPr>
          <w:p w14:paraId="4C147438">
            <w:pPr>
              <w:widowControl/>
              <w:spacing w:line="400" w:lineRule="exact"/>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1套</w:t>
            </w:r>
          </w:p>
        </w:tc>
        <w:tc>
          <w:tcPr>
            <w:tcW w:w="833" w:type="dxa"/>
            <w:shd w:val="clear" w:color="auto" w:fill="auto"/>
            <w:noWrap/>
            <w:vAlign w:val="center"/>
          </w:tcPr>
          <w:p w14:paraId="7D97BA0F">
            <w:pPr>
              <w:widowControl/>
              <w:spacing w:line="400" w:lineRule="exact"/>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工业</w:t>
            </w:r>
          </w:p>
        </w:tc>
        <w:tc>
          <w:tcPr>
            <w:tcW w:w="1259" w:type="dxa"/>
            <w:shd w:val="clear" w:color="auto" w:fill="auto"/>
            <w:noWrap/>
            <w:vAlign w:val="center"/>
          </w:tcPr>
          <w:p w14:paraId="2B582C1F">
            <w:pPr>
              <w:widowControl/>
              <w:spacing w:line="400" w:lineRule="exact"/>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否</w:t>
            </w:r>
          </w:p>
        </w:tc>
        <w:tc>
          <w:tcPr>
            <w:tcW w:w="490" w:type="dxa"/>
            <w:shd w:val="clear" w:color="auto" w:fill="auto"/>
            <w:noWrap/>
            <w:vAlign w:val="center"/>
          </w:tcPr>
          <w:p w14:paraId="1608B14D">
            <w:pPr>
              <w:widowControl/>
              <w:spacing w:line="400" w:lineRule="exact"/>
              <w:rPr>
                <w:rFonts w:ascii="宋体" w:hAnsi="宋体" w:eastAsia="宋体" w:cs="宋体"/>
                <w:color w:val="auto"/>
                <w:szCs w:val="21"/>
              </w:rPr>
            </w:pPr>
          </w:p>
        </w:tc>
      </w:tr>
      <w:tr w14:paraId="28672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703" w:type="dxa"/>
            <w:shd w:val="clear" w:color="auto" w:fill="auto"/>
            <w:noWrap/>
            <w:vAlign w:val="center"/>
          </w:tcPr>
          <w:p w14:paraId="087BA41D">
            <w:pPr>
              <w:widowControl/>
              <w:spacing w:line="400" w:lineRule="exact"/>
              <w:jc w:val="center"/>
              <w:textAlignment w:val="center"/>
              <w:rPr>
                <w:rFonts w:hint="eastAsia" w:ascii="宋体" w:hAnsi="宋体" w:eastAsia="宋体" w:cs="宋体"/>
                <w:b/>
                <w:bCs/>
                <w:color w:val="auto"/>
                <w:kern w:val="0"/>
                <w:szCs w:val="21"/>
                <w:lang w:eastAsia="zh-CN" w:bidi="ar"/>
              </w:rPr>
            </w:pPr>
            <w:r>
              <w:rPr>
                <w:rFonts w:hint="eastAsia" w:ascii="宋体" w:hAnsi="宋体" w:eastAsia="宋体" w:cs="宋体"/>
                <w:b/>
                <w:bCs/>
                <w:color w:val="auto"/>
                <w:kern w:val="0"/>
                <w:szCs w:val="21"/>
                <w:lang w:bidi="ar"/>
              </w:rPr>
              <w:t>12</w:t>
            </w:r>
          </w:p>
        </w:tc>
        <w:tc>
          <w:tcPr>
            <w:tcW w:w="710" w:type="dxa"/>
            <w:shd w:val="clear" w:color="auto" w:fill="auto"/>
            <w:vAlign w:val="center"/>
          </w:tcPr>
          <w:p w14:paraId="45007BFB">
            <w:pPr>
              <w:widowControl/>
              <w:spacing w:line="400" w:lineRule="exact"/>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配电柜</w:t>
            </w:r>
          </w:p>
        </w:tc>
        <w:tc>
          <w:tcPr>
            <w:tcW w:w="4131" w:type="dxa"/>
            <w:shd w:val="clear" w:color="auto" w:fill="auto"/>
            <w:vAlign w:val="center"/>
          </w:tcPr>
          <w:p w14:paraId="65339320">
            <w:pPr>
              <w:widowControl/>
              <w:spacing w:line="400" w:lineRule="exact"/>
              <w:jc w:val="left"/>
              <w:textAlignment w:val="center"/>
              <w:rPr>
                <w:rFonts w:hint="eastAsia" w:ascii="宋体" w:hAnsi="宋体" w:eastAsia="宋体" w:cs="宋体"/>
                <w:color w:val="auto"/>
                <w:kern w:val="0"/>
                <w:szCs w:val="21"/>
                <w:lang w:bidi="ar"/>
              </w:rPr>
            </w:pPr>
            <w:r>
              <w:rPr>
                <w:rFonts w:hint="eastAsia" w:ascii="宋体" w:hAnsi="宋体" w:eastAsia="宋体" w:cs="宋体"/>
                <w:color w:val="auto"/>
                <w:kern w:val="0"/>
                <w:szCs w:val="21"/>
                <w:lang w:bidi="ar"/>
              </w:rPr>
              <w:t>规格：80KW</w:t>
            </w:r>
          </w:p>
          <w:p w14:paraId="5BB6E720">
            <w:pPr>
              <w:widowControl/>
              <w:spacing w:line="400" w:lineRule="exact"/>
              <w:jc w:val="left"/>
              <w:textAlignment w:val="center"/>
              <w:rPr>
                <w:rFonts w:hint="eastAsia" w:ascii="宋体" w:hAnsi="宋体" w:eastAsia="宋体" w:cs="宋体"/>
                <w:color w:val="auto"/>
                <w:kern w:val="0"/>
                <w:szCs w:val="21"/>
                <w:lang w:bidi="ar"/>
              </w:rPr>
            </w:pPr>
            <w:r>
              <w:rPr>
                <w:rFonts w:hint="eastAsia" w:ascii="宋体" w:hAnsi="宋体" w:eastAsia="宋体" w:cs="宋体"/>
                <w:color w:val="auto"/>
                <w:kern w:val="0"/>
                <w:szCs w:val="21"/>
                <w:lang w:bidi="ar"/>
              </w:rPr>
              <w:t>含PLC控制系统；</w:t>
            </w:r>
          </w:p>
          <w:p w14:paraId="1A521534">
            <w:pPr>
              <w:widowControl/>
              <w:spacing w:line="400" w:lineRule="exact"/>
              <w:jc w:val="left"/>
              <w:textAlignment w:val="center"/>
              <w:rPr>
                <w:rFonts w:hint="eastAsia" w:ascii="宋体" w:hAnsi="宋体" w:eastAsia="宋体" w:cs="宋体"/>
                <w:color w:val="auto"/>
                <w:kern w:val="0"/>
                <w:szCs w:val="21"/>
                <w:lang w:bidi="ar"/>
              </w:rPr>
            </w:pPr>
            <w:r>
              <w:rPr>
                <w:rFonts w:hint="eastAsia" w:ascii="宋体" w:hAnsi="宋体" w:eastAsia="宋体" w:cs="宋体"/>
                <w:color w:val="auto"/>
                <w:kern w:val="0"/>
                <w:szCs w:val="21"/>
                <w:lang w:bidi="ar"/>
              </w:rPr>
              <w:t>采用三相五线制即TN-S供电方式，配电柜输入电压为交流380V±10%，工频50HZ；</w:t>
            </w:r>
          </w:p>
          <w:p w14:paraId="6425DFD7">
            <w:pPr>
              <w:widowControl/>
              <w:spacing w:line="400" w:lineRule="exact"/>
              <w:jc w:val="left"/>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配电柜材质为冷轧钢板，外表喷塑，具备防水、防锈、防腐能力。</w:t>
            </w:r>
          </w:p>
        </w:tc>
        <w:tc>
          <w:tcPr>
            <w:tcW w:w="1161" w:type="dxa"/>
            <w:shd w:val="clear" w:color="auto" w:fill="auto"/>
            <w:noWrap/>
            <w:vAlign w:val="center"/>
          </w:tcPr>
          <w:p w14:paraId="30E1B55B">
            <w:pPr>
              <w:widowControl/>
              <w:spacing w:line="400" w:lineRule="exact"/>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1台</w:t>
            </w:r>
          </w:p>
        </w:tc>
        <w:tc>
          <w:tcPr>
            <w:tcW w:w="833" w:type="dxa"/>
            <w:shd w:val="clear" w:color="auto" w:fill="auto"/>
            <w:noWrap/>
            <w:vAlign w:val="center"/>
          </w:tcPr>
          <w:p w14:paraId="2C9E0759">
            <w:pPr>
              <w:widowControl/>
              <w:spacing w:line="400" w:lineRule="exact"/>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工业</w:t>
            </w:r>
          </w:p>
        </w:tc>
        <w:tc>
          <w:tcPr>
            <w:tcW w:w="1259" w:type="dxa"/>
            <w:shd w:val="clear" w:color="auto" w:fill="auto"/>
            <w:noWrap/>
            <w:vAlign w:val="center"/>
          </w:tcPr>
          <w:p w14:paraId="5CCA2E67">
            <w:pPr>
              <w:widowControl/>
              <w:spacing w:line="400" w:lineRule="exact"/>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否</w:t>
            </w:r>
          </w:p>
        </w:tc>
        <w:tc>
          <w:tcPr>
            <w:tcW w:w="490" w:type="dxa"/>
            <w:shd w:val="clear" w:color="auto" w:fill="auto"/>
            <w:noWrap/>
            <w:vAlign w:val="center"/>
          </w:tcPr>
          <w:p w14:paraId="33452650">
            <w:pPr>
              <w:widowControl/>
              <w:spacing w:line="400" w:lineRule="exact"/>
              <w:rPr>
                <w:rFonts w:ascii="宋体" w:hAnsi="宋体" w:eastAsia="宋体" w:cs="宋体"/>
                <w:color w:val="auto"/>
                <w:szCs w:val="21"/>
              </w:rPr>
            </w:pPr>
          </w:p>
        </w:tc>
      </w:tr>
      <w:tr w14:paraId="05314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703" w:type="dxa"/>
            <w:shd w:val="clear" w:color="auto" w:fill="auto"/>
            <w:noWrap/>
            <w:vAlign w:val="center"/>
          </w:tcPr>
          <w:p w14:paraId="604380B9">
            <w:pPr>
              <w:widowControl/>
              <w:spacing w:line="400" w:lineRule="exact"/>
              <w:jc w:val="center"/>
              <w:textAlignment w:val="center"/>
              <w:rPr>
                <w:rFonts w:hint="eastAsia" w:ascii="宋体" w:hAnsi="宋体" w:eastAsia="宋体" w:cs="宋体"/>
                <w:b/>
                <w:bCs/>
                <w:color w:val="auto"/>
                <w:kern w:val="0"/>
                <w:szCs w:val="21"/>
                <w:lang w:eastAsia="zh-CN" w:bidi="ar"/>
              </w:rPr>
            </w:pPr>
            <w:r>
              <w:rPr>
                <w:rFonts w:hint="eastAsia" w:ascii="宋体" w:hAnsi="宋体" w:eastAsia="宋体" w:cs="宋体"/>
                <w:b/>
                <w:bCs/>
                <w:color w:val="auto"/>
                <w:kern w:val="0"/>
                <w:szCs w:val="21"/>
                <w:lang w:bidi="ar"/>
              </w:rPr>
              <w:t>13</w:t>
            </w:r>
          </w:p>
        </w:tc>
        <w:tc>
          <w:tcPr>
            <w:tcW w:w="710" w:type="dxa"/>
            <w:shd w:val="clear" w:color="auto" w:fill="auto"/>
            <w:vAlign w:val="center"/>
          </w:tcPr>
          <w:p w14:paraId="1CD60D90">
            <w:pPr>
              <w:widowControl/>
              <w:spacing w:line="400" w:lineRule="exact"/>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开合帘电机</w:t>
            </w:r>
          </w:p>
        </w:tc>
        <w:tc>
          <w:tcPr>
            <w:tcW w:w="4131" w:type="dxa"/>
            <w:shd w:val="clear" w:color="auto" w:fill="auto"/>
            <w:vAlign w:val="center"/>
          </w:tcPr>
          <w:p w14:paraId="3BEE01FE">
            <w:pPr>
              <w:widowControl/>
              <w:spacing w:line="400" w:lineRule="exact"/>
              <w:jc w:val="left"/>
              <w:textAlignment w:val="center"/>
              <w:rPr>
                <w:rFonts w:hint="eastAsia" w:ascii="宋体" w:hAnsi="宋体" w:eastAsia="宋体" w:cs="宋体"/>
                <w:color w:val="auto"/>
                <w:kern w:val="0"/>
                <w:szCs w:val="21"/>
                <w:lang w:bidi="ar"/>
              </w:rPr>
            </w:pPr>
            <w:r>
              <w:rPr>
                <w:rFonts w:hint="eastAsia" w:ascii="宋体" w:hAnsi="宋体" w:eastAsia="宋体" w:cs="宋体"/>
                <w:color w:val="auto"/>
                <w:kern w:val="0"/>
                <w:szCs w:val="21"/>
                <w:lang w:bidi="ar"/>
              </w:rPr>
              <w:t>额定电压:110-240v额定扭矩:1.2N.m;</w:t>
            </w:r>
          </w:p>
          <w:p w14:paraId="49DAFC8C">
            <w:pPr>
              <w:widowControl/>
              <w:spacing w:line="400" w:lineRule="exact"/>
              <w:jc w:val="left"/>
              <w:textAlignment w:val="center"/>
              <w:rPr>
                <w:rFonts w:hint="eastAsia" w:ascii="宋体" w:hAnsi="宋体" w:eastAsia="宋体" w:cs="宋体"/>
                <w:color w:val="auto"/>
                <w:kern w:val="0"/>
                <w:szCs w:val="21"/>
                <w:lang w:bidi="ar"/>
              </w:rPr>
            </w:pPr>
            <w:r>
              <w:rPr>
                <w:rFonts w:hint="eastAsia" w:ascii="宋体" w:hAnsi="宋体" w:eastAsia="宋体" w:cs="宋体"/>
                <w:color w:val="auto"/>
                <w:kern w:val="0"/>
                <w:szCs w:val="21"/>
                <w:lang w:bidi="ar"/>
              </w:rPr>
              <w:t>最大功率:45W。</w:t>
            </w:r>
          </w:p>
          <w:p w14:paraId="1E08A8D5">
            <w:pPr>
              <w:widowControl/>
              <w:spacing w:line="400" w:lineRule="exact"/>
              <w:jc w:val="left"/>
              <w:textAlignment w:val="center"/>
              <w:rPr>
                <w:rFonts w:hint="eastAsia" w:ascii="宋体" w:hAnsi="宋体" w:eastAsia="宋体" w:cs="宋体"/>
                <w:color w:val="auto"/>
                <w:kern w:val="0"/>
                <w:szCs w:val="21"/>
                <w:lang w:bidi="ar"/>
              </w:rPr>
            </w:pPr>
            <w:r>
              <w:rPr>
                <w:rFonts w:hint="eastAsia" w:ascii="宋体" w:hAnsi="宋体" w:eastAsia="宋体" w:cs="宋体"/>
                <w:color w:val="auto"/>
                <w:kern w:val="0"/>
                <w:szCs w:val="21"/>
                <w:lang w:bidi="ar"/>
              </w:rPr>
              <w:t>运行速度:14cm/s;控制方式：433射频、485控制、干触点控制;内置接收，直流电机、停电手拉、手拉启动、缓启缓停。</w:t>
            </w:r>
          </w:p>
          <w:p w14:paraId="309D079F">
            <w:pPr>
              <w:widowControl/>
              <w:spacing w:line="400" w:lineRule="exact"/>
              <w:jc w:val="left"/>
              <w:textAlignment w:val="center"/>
              <w:rPr>
                <w:rFonts w:hint="eastAsia" w:ascii="宋体" w:hAnsi="宋体" w:eastAsia="宋体" w:cs="宋体"/>
                <w:b/>
                <w:bCs/>
                <w:color w:val="auto"/>
                <w:kern w:val="0"/>
                <w:szCs w:val="21"/>
                <w:lang w:bidi="ar"/>
              </w:rPr>
            </w:pPr>
            <w:r>
              <w:rPr>
                <w:rFonts w:hint="eastAsia" w:ascii="宋体" w:hAnsi="宋体" w:eastAsia="宋体" w:cs="宋体"/>
                <w:b/>
                <w:bCs/>
                <w:color w:val="auto"/>
                <w:kern w:val="0"/>
                <w:szCs w:val="21"/>
                <w:lang w:bidi="ar"/>
              </w:rPr>
              <w:t>▲绝缘等级A级，提供第三方测试报告；</w:t>
            </w:r>
          </w:p>
          <w:p w14:paraId="245090A9">
            <w:pPr>
              <w:widowControl/>
              <w:spacing w:line="400" w:lineRule="exact"/>
              <w:jc w:val="left"/>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具有3C强制性产品认证证书。</w:t>
            </w:r>
          </w:p>
        </w:tc>
        <w:tc>
          <w:tcPr>
            <w:tcW w:w="1161" w:type="dxa"/>
            <w:shd w:val="clear" w:color="auto" w:fill="auto"/>
            <w:noWrap/>
            <w:vAlign w:val="center"/>
          </w:tcPr>
          <w:p w14:paraId="0FEAB5E5">
            <w:pPr>
              <w:widowControl/>
              <w:spacing w:line="400" w:lineRule="exact"/>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14台</w:t>
            </w:r>
          </w:p>
        </w:tc>
        <w:tc>
          <w:tcPr>
            <w:tcW w:w="833" w:type="dxa"/>
            <w:shd w:val="clear" w:color="auto" w:fill="auto"/>
            <w:noWrap/>
            <w:vAlign w:val="center"/>
          </w:tcPr>
          <w:p w14:paraId="6355EA2A">
            <w:pPr>
              <w:widowControl/>
              <w:spacing w:line="400" w:lineRule="exact"/>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工业</w:t>
            </w:r>
          </w:p>
        </w:tc>
        <w:tc>
          <w:tcPr>
            <w:tcW w:w="1259" w:type="dxa"/>
            <w:shd w:val="clear" w:color="auto" w:fill="auto"/>
            <w:noWrap/>
            <w:vAlign w:val="center"/>
          </w:tcPr>
          <w:p w14:paraId="112DA80B">
            <w:pPr>
              <w:widowControl/>
              <w:spacing w:line="400" w:lineRule="exact"/>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否</w:t>
            </w:r>
          </w:p>
        </w:tc>
        <w:tc>
          <w:tcPr>
            <w:tcW w:w="490" w:type="dxa"/>
            <w:shd w:val="clear" w:color="auto" w:fill="auto"/>
            <w:noWrap/>
            <w:vAlign w:val="center"/>
          </w:tcPr>
          <w:p w14:paraId="3B103B64">
            <w:pPr>
              <w:widowControl/>
              <w:spacing w:line="400" w:lineRule="exact"/>
              <w:rPr>
                <w:rFonts w:ascii="宋体" w:hAnsi="宋体" w:eastAsia="宋体" w:cs="宋体"/>
                <w:color w:val="auto"/>
                <w:szCs w:val="21"/>
              </w:rPr>
            </w:pPr>
          </w:p>
        </w:tc>
      </w:tr>
      <w:tr w14:paraId="32554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703" w:type="dxa"/>
            <w:shd w:val="clear" w:color="auto" w:fill="auto"/>
            <w:noWrap/>
            <w:vAlign w:val="center"/>
          </w:tcPr>
          <w:p w14:paraId="7ADEAAB5">
            <w:pPr>
              <w:widowControl/>
              <w:spacing w:line="400" w:lineRule="exact"/>
              <w:jc w:val="center"/>
              <w:textAlignment w:val="center"/>
              <w:rPr>
                <w:rFonts w:hint="eastAsia" w:ascii="宋体" w:hAnsi="宋体" w:eastAsia="宋体" w:cs="宋体"/>
                <w:b/>
                <w:bCs/>
                <w:color w:val="auto"/>
                <w:kern w:val="0"/>
                <w:szCs w:val="21"/>
                <w:lang w:eastAsia="zh-CN" w:bidi="ar"/>
              </w:rPr>
            </w:pPr>
            <w:r>
              <w:rPr>
                <w:rFonts w:hint="eastAsia" w:ascii="宋体" w:hAnsi="宋体" w:eastAsia="宋体" w:cs="宋体"/>
                <w:b/>
                <w:bCs/>
                <w:color w:val="auto"/>
                <w:kern w:val="0"/>
                <w:szCs w:val="21"/>
                <w:lang w:bidi="ar"/>
              </w:rPr>
              <w:t>14</w:t>
            </w:r>
          </w:p>
        </w:tc>
        <w:tc>
          <w:tcPr>
            <w:tcW w:w="710" w:type="dxa"/>
            <w:shd w:val="clear" w:color="auto" w:fill="auto"/>
            <w:vAlign w:val="center"/>
          </w:tcPr>
          <w:p w14:paraId="417D532B">
            <w:pPr>
              <w:widowControl/>
              <w:spacing w:line="400" w:lineRule="exact"/>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电动开合帘轨道</w:t>
            </w:r>
          </w:p>
        </w:tc>
        <w:tc>
          <w:tcPr>
            <w:tcW w:w="4131" w:type="dxa"/>
            <w:shd w:val="clear" w:color="auto" w:fill="auto"/>
            <w:vAlign w:val="center"/>
          </w:tcPr>
          <w:p w14:paraId="38D2FFD8">
            <w:pPr>
              <w:widowControl/>
              <w:spacing w:line="400" w:lineRule="exact"/>
              <w:jc w:val="left"/>
              <w:textAlignment w:val="center"/>
              <w:rPr>
                <w:rFonts w:hint="eastAsia" w:ascii="宋体" w:hAnsi="宋体" w:eastAsia="宋体" w:cs="宋体"/>
                <w:color w:val="auto"/>
                <w:kern w:val="0"/>
                <w:szCs w:val="21"/>
                <w:lang w:bidi="ar"/>
              </w:rPr>
            </w:pPr>
            <w:r>
              <w:rPr>
                <w:rFonts w:hint="eastAsia" w:ascii="宋体" w:hAnsi="宋体" w:eastAsia="宋体" w:cs="宋体"/>
                <w:color w:val="auto"/>
                <w:kern w:val="0"/>
                <w:szCs w:val="21"/>
                <w:lang w:bidi="ar"/>
              </w:rPr>
              <w:t>材质:镁铝合金。</w:t>
            </w:r>
          </w:p>
          <w:p w14:paraId="576A3D49">
            <w:pPr>
              <w:widowControl/>
              <w:spacing w:line="400" w:lineRule="exact"/>
              <w:jc w:val="left"/>
              <w:textAlignment w:val="center"/>
              <w:rPr>
                <w:rFonts w:hint="eastAsia" w:ascii="宋体" w:hAnsi="宋体" w:eastAsia="宋体" w:cs="宋体"/>
                <w:color w:val="auto"/>
                <w:kern w:val="0"/>
                <w:szCs w:val="21"/>
                <w:lang w:bidi="ar"/>
              </w:rPr>
            </w:pPr>
            <w:r>
              <w:rPr>
                <w:rFonts w:hint="eastAsia" w:ascii="宋体" w:hAnsi="宋体" w:eastAsia="宋体" w:cs="宋体"/>
                <w:color w:val="auto"/>
                <w:kern w:val="0"/>
                <w:szCs w:val="21"/>
                <w:lang w:bidi="ar"/>
              </w:rPr>
              <w:t>壁厚:1.4mm。</w:t>
            </w:r>
          </w:p>
          <w:p w14:paraId="30BD3C3C">
            <w:pPr>
              <w:widowControl/>
              <w:spacing w:line="400" w:lineRule="exact"/>
              <w:jc w:val="left"/>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表面工艺:电泳内置含8根钢丝同步带。</w:t>
            </w:r>
          </w:p>
        </w:tc>
        <w:tc>
          <w:tcPr>
            <w:tcW w:w="1161" w:type="dxa"/>
            <w:shd w:val="clear" w:color="auto" w:fill="auto"/>
            <w:noWrap/>
            <w:vAlign w:val="center"/>
          </w:tcPr>
          <w:p w14:paraId="6B8BFB2F">
            <w:pPr>
              <w:widowControl/>
              <w:spacing w:line="400" w:lineRule="exact"/>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58.04米</w:t>
            </w:r>
          </w:p>
        </w:tc>
        <w:tc>
          <w:tcPr>
            <w:tcW w:w="833" w:type="dxa"/>
            <w:shd w:val="clear" w:color="auto" w:fill="auto"/>
            <w:noWrap/>
            <w:vAlign w:val="center"/>
          </w:tcPr>
          <w:p w14:paraId="0E68C6CE">
            <w:pPr>
              <w:widowControl/>
              <w:spacing w:line="400" w:lineRule="exact"/>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工业</w:t>
            </w:r>
          </w:p>
        </w:tc>
        <w:tc>
          <w:tcPr>
            <w:tcW w:w="1259" w:type="dxa"/>
            <w:shd w:val="clear" w:color="auto" w:fill="auto"/>
            <w:noWrap/>
            <w:vAlign w:val="center"/>
          </w:tcPr>
          <w:p w14:paraId="4A8F2EB8">
            <w:pPr>
              <w:widowControl/>
              <w:spacing w:line="400" w:lineRule="exact"/>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否</w:t>
            </w:r>
          </w:p>
        </w:tc>
        <w:tc>
          <w:tcPr>
            <w:tcW w:w="490" w:type="dxa"/>
            <w:shd w:val="clear" w:color="auto" w:fill="auto"/>
            <w:noWrap/>
            <w:vAlign w:val="center"/>
          </w:tcPr>
          <w:p w14:paraId="4EF4D0C0">
            <w:pPr>
              <w:widowControl/>
              <w:spacing w:line="400" w:lineRule="exact"/>
              <w:rPr>
                <w:rFonts w:ascii="宋体" w:hAnsi="宋体" w:eastAsia="宋体" w:cs="宋体"/>
                <w:color w:val="auto"/>
                <w:szCs w:val="21"/>
              </w:rPr>
            </w:pPr>
          </w:p>
        </w:tc>
      </w:tr>
      <w:tr w14:paraId="0C117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703" w:type="dxa"/>
            <w:shd w:val="clear" w:color="auto" w:fill="auto"/>
            <w:noWrap/>
            <w:vAlign w:val="center"/>
          </w:tcPr>
          <w:p w14:paraId="5E773829">
            <w:pPr>
              <w:widowControl/>
              <w:spacing w:line="400" w:lineRule="exact"/>
              <w:jc w:val="center"/>
              <w:textAlignment w:val="center"/>
              <w:rPr>
                <w:rFonts w:hint="eastAsia" w:ascii="宋体" w:hAnsi="宋体" w:eastAsia="宋体" w:cs="宋体"/>
                <w:b/>
                <w:bCs/>
                <w:color w:val="auto"/>
                <w:kern w:val="0"/>
                <w:szCs w:val="21"/>
                <w:lang w:eastAsia="zh-CN" w:bidi="ar"/>
              </w:rPr>
            </w:pPr>
            <w:r>
              <w:rPr>
                <w:rFonts w:hint="eastAsia" w:ascii="宋体" w:hAnsi="宋体" w:eastAsia="宋体" w:cs="宋体"/>
                <w:b/>
                <w:bCs/>
                <w:color w:val="auto"/>
                <w:kern w:val="0"/>
                <w:szCs w:val="21"/>
                <w:lang w:bidi="ar"/>
              </w:rPr>
              <w:t>15</w:t>
            </w:r>
          </w:p>
        </w:tc>
        <w:tc>
          <w:tcPr>
            <w:tcW w:w="710" w:type="dxa"/>
            <w:shd w:val="clear" w:color="auto" w:fill="auto"/>
            <w:vAlign w:val="center"/>
          </w:tcPr>
          <w:p w14:paraId="39CDE31C">
            <w:pPr>
              <w:widowControl/>
              <w:spacing w:line="400" w:lineRule="exact"/>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墙面遥控器</w:t>
            </w:r>
          </w:p>
        </w:tc>
        <w:tc>
          <w:tcPr>
            <w:tcW w:w="4131" w:type="dxa"/>
            <w:shd w:val="clear" w:color="auto" w:fill="auto"/>
            <w:vAlign w:val="center"/>
          </w:tcPr>
          <w:p w14:paraId="2AB31F49">
            <w:pPr>
              <w:widowControl/>
              <w:spacing w:line="400" w:lineRule="exact"/>
              <w:jc w:val="left"/>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15通道，可以单独控制每套窗帘，可以群控。</w:t>
            </w:r>
          </w:p>
        </w:tc>
        <w:tc>
          <w:tcPr>
            <w:tcW w:w="1161" w:type="dxa"/>
            <w:shd w:val="clear" w:color="auto" w:fill="auto"/>
            <w:noWrap/>
            <w:vAlign w:val="center"/>
          </w:tcPr>
          <w:p w14:paraId="3DE8CA65">
            <w:pPr>
              <w:widowControl/>
              <w:spacing w:line="400" w:lineRule="exact"/>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1个</w:t>
            </w:r>
          </w:p>
        </w:tc>
        <w:tc>
          <w:tcPr>
            <w:tcW w:w="833" w:type="dxa"/>
            <w:shd w:val="clear" w:color="auto" w:fill="auto"/>
            <w:noWrap/>
            <w:vAlign w:val="center"/>
          </w:tcPr>
          <w:p w14:paraId="3CFE701A">
            <w:pPr>
              <w:widowControl/>
              <w:spacing w:line="400" w:lineRule="exact"/>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工业</w:t>
            </w:r>
          </w:p>
        </w:tc>
        <w:tc>
          <w:tcPr>
            <w:tcW w:w="1259" w:type="dxa"/>
            <w:shd w:val="clear" w:color="auto" w:fill="auto"/>
            <w:noWrap/>
            <w:vAlign w:val="center"/>
          </w:tcPr>
          <w:p w14:paraId="6DF36282">
            <w:pPr>
              <w:widowControl/>
              <w:spacing w:line="400" w:lineRule="exact"/>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否</w:t>
            </w:r>
          </w:p>
        </w:tc>
        <w:tc>
          <w:tcPr>
            <w:tcW w:w="490" w:type="dxa"/>
            <w:shd w:val="clear" w:color="auto" w:fill="auto"/>
            <w:noWrap/>
            <w:vAlign w:val="center"/>
          </w:tcPr>
          <w:p w14:paraId="1F5C811A">
            <w:pPr>
              <w:widowControl/>
              <w:spacing w:line="400" w:lineRule="exact"/>
              <w:rPr>
                <w:rFonts w:ascii="宋体" w:hAnsi="宋体" w:eastAsia="宋体" w:cs="宋体"/>
                <w:color w:val="auto"/>
                <w:szCs w:val="21"/>
              </w:rPr>
            </w:pPr>
          </w:p>
        </w:tc>
      </w:tr>
      <w:tr w14:paraId="53BB1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703" w:type="dxa"/>
            <w:shd w:val="clear" w:color="auto" w:fill="auto"/>
            <w:noWrap/>
            <w:vAlign w:val="center"/>
          </w:tcPr>
          <w:p w14:paraId="484974A3">
            <w:pPr>
              <w:widowControl/>
              <w:spacing w:line="400" w:lineRule="exact"/>
              <w:jc w:val="center"/>
              <w:textAlignment w:val="center"/>
              <w:rPr>
                <w:rFonts w:hint="eastAsia" w:ascii="宋体" w:hAnsi="宋体" w:eastAsia="宋体" w:cs="宋体"/>
                <w:b/>
                <w:bCs/>
                <w:color w:val="auto"/>
                <w:kern w:val="0"/>
                <w:szCs w:val="21"/>
                <w:lang w:eastAsia="zh-CN" w:bidi="ar"/>
              </w:rPr>
            </w:pPr>
            <w:r>
              <w:rPr>
                <w:rFonts w:hint="eastAsia" w:ascii="宋体" w:hAnsi="宋体" w:eastAsia="宋体" w:cs="宋体"/>
                <w:b/>
                <w:bCs/>
                <w:color w:val="auto"/>
                <w:kern w:val="0"/>
                <w:szCs w:val="21"/>
                <w:lang w:bidi="ar"/>
              </w:rPr>
              <w:t>16</w:t>
            </w:r>
          </w:p>
        </w:tc>
        <w:tc>
          <w:tcPr>
            <w:tcW w:w="710" w:type="dxa"/>
            <w:shd w:val="clear" w:color="auto" w:fill="auto"/>
            <w:vAlign w:val="center"/>
          </w:tcPr>
          <w:p w14:paraId="0968B89F">
            <w:pPr>
              <w:widowControl/>
              <w:spacing w:line="400" w:lineRule="exact"/>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手持式遥控器</w:t>
            </w:r>
          </w:p>
        </w:tc>
        <w:tc>
          <w:tcPr>
            <w:tcW w:w="4131" w:type="dxa"/>
            <w:shd w:val="clear" w:color="auto" w:fill="auto"/>
            <w:vAlign w:val="center"/>
          </w:tcPr>
          <w:p w14:paraId="5EF8FFE2">
            <w:pPr>
              <w:widowControl/>
              <w:spacing w:line="400" w:lineRule="exact"/>
              <w:jc w:val="left"/>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15通道，可以单独控制每套窗帘，可以群控。</w:t>
            </w:r>
          </w:p>
        </w:tc>
        <w:tc>
          <w:tcPr>
            <w:tcW w:w="1161" w:type="dxa"/>
            <w:shd w:val="clear" w:color="auto" w:fill="auto"/>
            <w:noWrap/>
            <w:vAlign w:val="center"/>
          </w:tcPr>
          <w:p w14:paraId="24690937">
            <w:pPr>
              <w:widowControl/>
              <w:spacing w:line="400" w:lineRule="exact"/>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1个</w:t>
            </w:r>
          </w:p>
        </w:tc>
        <w:tc>
          <w:tcPr>
            <w:tcW w:w="833" w:type="dxa"/>
            <w:shd w:val="clear" w:color="auto" w:fill="auto"/>
            <w:noWrap/>
            <w:vAlign w:val="center"/>
          </w:tcPr>
          <w:p w14:paraId="46986BB3">
            <w:pPr>
              <w:widowControl/>
              <w:spacing w:line="400" w:lineRule="exact"/>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工业</w:t>
            </w:r>
          </w:p>
        </w:tc>
        <w:tc>
          <w:tcPr>
            <w:tcW w:w="1259" w:type="dxa"/>
            <w:shd w:val="clear" w:color="auto" w:fill="auto"/>
            <w:noWrap/>
            <w:vAlign w:val="center"/>
          </w:tcPr>
          <w:p w14:paraId="64C1A3A0">
            <w:pPr>
              <w:widowControl/>
              <w:spacing w:line="400" w:lineRule="exact"/>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否</w:t>
            </w:r>
          </w:p>
        </w:tc>
        <w:tc>
          <w:tcPr>
            <w:tcW w:w="490" w:type="dxa"/>
            <w:shd w:val="clear" w:color="auto" w:fill="auto"/>
            <w:noWrap/>
            <w:vAlign w:val="center"/>
          </w:tcPr>
          <w:p w14:paraId="528226C7">
            <w:pPr>
              <w:widowControl/>
              <w:spacing w:line="400" w:lineRule="exact"/>
              <w:rPr>
                <w:rFonts w:ascii="宋体" w:hAnsi="宋体" w:eastAsia="宋体" w:cs="宋体"/>
                <w:color w:val="auto"/>
                <w:szCs w:val="21"/>
              </w:rPr>
            </w:pPr>
          </w:p>
        </w:tc>
      </w:tr>
      <w:tr w14:paraId="0117E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703" w:type="dxa"/>
            <w:shd w:val="clear" w:color="auto" w:fill="auto"/>
            <w:noWrap/>
            <w:vAlign w:val="center"/>
          </w:tcPr>
          <w:p w14:paraId="3B9E9AA8">
            <w:pPr>
              <w:widowControl/>
              <w:spacing w:line="400" w:lineRule="exact"/>
              <w:jc w:val="center"/>
              <w:textAlignment w:val="center"/>
              <w:rPr>
                <w:rFonts w:hint="eastAsia" w:ascii="宋体" w:hAnsi="宋体" w:eastAsia="宋体" w:cs="宋体"/>
                <w:b/>
                <w:bCs/>
                <w:color w:val="auto"/>
                <w:kern w:val="0"/>
                <w:szCs w:val="21"/>
                <w:lang w:eastAsia="zh-CN" w:bidi="ar"/>
              </w:rPr>
            </w:pPr>
            <w:r>
              <w:rPr>
                <w:rFonts w:hint="eastAsia" w:ascii="宋体" w:hAnsi="宋体" w:eastAsia="宋体" w:cs="宋体"/>
                <w:b/>
                <w:bCs/>
                <w:color w:val="auto"/>
                <w:kern w:val="0"/>
                <w:szCs w:val="21"/>
                <w:lang w:bidi="ar"/>
              </w:rPr>
              <w:t>17</w:t>
            </w:r>
          </w:p>
        </w:tc>
        <w:tc>
          <w:tcPr>
            <w:tcW w:w="710" w:type="dxa"/>
            <w:shd w:val="clear" w:color="auto" w:fill="auto"/>
            <w:vAlign w:val="center"/>
          </w:tcPr>
          <w:p w14:paraId="7DD0DE6C">
            <w:pPr>
              <w:widowControl/>
              <w:spacing w:line="400" w:lineRule="exact"/>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窗帘</w:t>
            </w:r>
          </w:p>
        </w:tc>
        <w:tc>
          <w:tcPr>
            <w:tcW w:w="4131" w:type="dxa"/>
            <w:shd w:val="clear" w:color="auto" w:fill="auto"/>
            <w:vAlign w:val="center"/>
          </w:tcPr>
          <w:p w14:paraId="477C8FF8">
            <w:pPr>
              <w:widowControl/>
              <w:spacing w:line="400" w:lineRule="exact"/>
              <w:jc w:val="left"/>
              <w:textAlignment w:val="center"/>
              <w:rPr>
                <w:rFonts w:hint="eastAsia" w:ascii="宋体" w:hAnsi="宋体" w:eastAsia="宋体" w:cs="宋体"/>
                <w:color w:val="auto"/>
                <w:kern w:val="0"/>
                <w:szCs w:val="21"/>
                <w:lang w:bidi="ar"/>
              </w:rPr>
            </w:pPr>
            <w:r>
              <w:rPr>
                <w:rFonts w:hint="eastAsia" w:ascii="宋体" w:hAnsi="宋体" w:eastAsia="宋体" w:cs="宋体"/>
                <w:color w:val="auto"/>
                <w:kern w:val="0"/>
                <w:szCs w:val="21"/>
                <w:lang w:bidi="ar"/>
              </w:rPr>
              <w:t>1、遮光率需达到100%，褶皱倍数不低于2.0。</w:t>
            </w:r>
          </w:p>
          <w:p w14:paraId="14EC46BB">
            <w:pPr>
              <w:widowControl/>
              <w:spacing w:line="400" w:lineRule="exact"/>
              <w:jc w:val="left"/>
              <w:textAlignment w:val="center"/>
              <w:rPr>
                <w:rFonts w:hint="eastAsia" w:ascii="宋体" w:hAnsi="宋体" w:eastAsia="宋体" w:cs="宋体"/>
                <w:color w:val="auto"/>
                <w:kern w:val="0"/>
                <w:szCs w:val="21"/>
                <w:lang w:bidi="ar"/>
              </w:rPr>
            </w:pPr>
            <w:r>
              <w:rPr>
                <w:rFonts w:hint="eastAsia" w:ascii="宋体" w:hAnsi="宋体" w:eastAsia="宋体" w:cs="宋体"/>
                <w:color w:val="auto"/>
                <w:kern w:val="0"/>
                <w:szCs w:val="21"/>
                <w:lang w:bidi="ar"/>
              </w:rPr>
              <w:t>2、窗帘颜色、样式以现场小样，门幅：280cm。</w:t>
            </w:r>
          </w:p>
          <w:p w14:paraId="29C76BB2">
            <w:pPr>
              <w:widowControl/>
              <w:spacing w:line="400" w:lineRule="exact"/>
              <w:jc w:val="left"/>
              <w:textAlignment w:val="center"/>
              <w:rPr>
                <w:rFonts w:hint="eastAsia" w:ascii="宋体" w:hAnsi="宋体" w:eastAsia="宋体" w:cs="宋体"/>
                <w:color w:val="auto"/>
                <w:kern w:val="0"/>
                <w:szCs w:val="21"/>
                <w:lang w:bidi="ar"/>
              </w:rPr>
            </w:pPr>
            <w:r>
              <w:rPr>
                <w:rFonts w:hint="eastAsia" w:ascii="宋体" w:hAnsi="宋体" w:eastAsia="宋体" w:cs="宋体"/>
                <w:color w:val="auto"/>
                <w:kern w:val="0"/>
                <w:szCs w:val="21"/>
                <w:lang w:bidi="ar"/>
              </w:rPr>
              <w:t>3、耐久度:20年。</w:t>
            </w:r>
          </w:p>
          <w:p w14:paraId="057D7328">
            <w:pPr>
              <w:widowControl/>
              <w:spacing w:line="400" w:lineRule="exact"/>
              <w:jc w:val="left"/>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4、特性:防紫外线不变黄，防水、不缩水。</w:t>
            </w:r>
          </w:p>
        </w:tc>
        <w:tc>
          <w:tcPr>
            <w:tcW w:w="1161" w:type="dxa"/>
            <w:shd w:val="clear" w:color="auto" w:fill="auto"/>
            <w:noWrap/>
            <w:vAlign w:val="center"/>
          </w:tcPr>
          <w:p w14:paraId="0DE673FB">
            <w:pPr>
              <w:widowControl/>
              <w:spacing w:line="400" w:lineRule="exact"/>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186.4米</w:t>
            </w:r>
          </w:p>
        </w:tc>
        <w:tc>
          <w:tcPr>
            <w:tcW w:w="833" w:type="dxa"/>
            <w:shd w:val="clear" w:color="auto" w:fill="auto"/>
            <w:noWrap/>
            <w:vAlign w:val="center"/>
          </w:tcPr>
          <w:p w14:paraId="1CACCE16">
            <w:pPr>
              <w:widowControl/>
              <w:spacing w:line="400" w:lineRule="exact"/>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工业</w:t>
            </w:r>
          </w:p>
        </w:tc>
        <w:tc>
          <w:tcPr>
            <w:tcW w:w="1259" w:type="dxa"/>
            <w:shd w:val="clear" w:color="auto" w:fill="auto"/>
            <w:noWrap/>
            <w:vAlign w:val="center"/>
          </w:tcPr>
          <w:p w14:paraId="4A5C5047">
            <w:pPr>
              <w:widowControl/>
              <w:spacing w:line="400" w:lineRule="exact"/>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否</w:t>
            </w:r>
          </w:p>
        </w:tc>
        <w:tc>
          <w:tcPr>
            <w:tcW w:w="490" w:type="dxa"/>
            <w:shd w:val="clear" w:color="auto" w:fill="auto"/>
            <w:noWrap/>
            <w:vAlign w:val="center"/>
          </w:tcPr>
          <w:p w14:paraId="6536AD4A">
            <w:pPr>
              <w:widowControl/>
              <w:spacing w:line="400" w:lineRule="exact"/>
              <w:rPr>
                <w:rFonts w:ascii="宋体" w:hAnsi="宋体" w:eastAsia="宋体" w:cs="宋体"/>
                <w:color w:val="auto"/>
                <w:szCs w:val="21"/>
              </w:rPr>
            </w:pPr>
          </w:p>
        </w:tc>
      </w:tr>
      <w:tr w14:paraId="39CE5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703" w:type="dxa"/>
            <w:shd w:val="clear" w:color="auto" w:fill="auto"/>
            <w:noWrap/>
            <w:vAlign w:val="center"/>
          </w:tcPr>
          <w:p w14:paraId="63D73D06">
            <w:pPr>
              <w:widowControl/>
              <w:spacing w:line="400" w:lineRule="exact"/>
              <w:jc w:val="center"/>
              <w:textAlignment w:val="center"/>
              <w:rPr>
                <w:rFonts w:hint="eastAsia" w:ascii="宋体" w:hAnsi="宋体" w:eastAsia="宋体" w:cs="宋体"/>
                <w:b/>
                <w:bCs/>
                <w:color w:val="auto"/>
                <w:kern w:val="0"/>
                <w:szCs w:val="21"/>
                <w:lang w:eastAsia="zh-CN" w:bidi="ar"/>
              </w:rPr>
            </w:pPr>
            <w:r>
              <w:rPr>
                <w:rFonts w:hint="eastAsia" w:ascii="宋体" w:hAnsi="宋体" w:eastAsia="宋体" w:cs="宋体"/>
                <w:b/>
                <w:bCs/>
                <w:color w:val="auto"/>
                <w:kern w:val="0"/>
                <w:szCs w:val="21"/>
                <w:lang w:bidi="ar"/>
              </w:rPr>
              <w:t>18</w:t>
            </w:r>
          </w:p>
        </w:tc>
        <w:tc>
          <w:tcPr>
            <w:tcW w:w="710" w:type="dxa"/>
            <w:shd w:val="clear" w:color="auto" w:fill="auto"/>
            <w:vAlign w:val="center"/>
          </w:tcPr>
          <w:p w14:paraId="7901B921">
            <w:pPr>
              <w:widowControl/>
              <w:spacing w:line="400" w:lineRule="exact"/>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导轨式继电器</w:t>
            </w:r>
          </w:p>
        </w:tc>
        <w:tc>
          <w:tcPr>
            <w:tcW w:w="4131" w:type="dxa"/>
            <w:shd w:val="clear" w:color="auto" w:fill="auto"/>
            <w:vAlign w:val="center"/>
          </w:tcPr>
          <w:p w14:paraId="52A58F13">
            <w:pPr>
              <w:widowControl/>
              <w:spacing w:line="400" w:lineRule="exact"/>
              <w:jc w:val="left"/>
              <w:textAlignment w:val="center"/>
              <w:rPr>
                <w:rFonts w:hint="eastAsia" w:ascii="宋体" w:hAnsi="宋体" w:eastAsia="宋体" w:cs="宋体"/>
                <w:color w:val="auto"/>
                <w:kern w:val="0"/>
                <w:szCs w:val="21"/>
                <w:lang w:bidi="ar"/>
              </w:rPr>
            </w:pPr>
            <w:r>
              <w:rPr>
                <w:rFonts w:hint="eastAsia" w:ascii="宋体" w:hAnsi="宋体" w:eastAsia="宋体" w:cs="宋体"/>
                <w:color w:val="auto"/>
                <w:kern w:val="0"/>
                <w:szCs w:val="21"/>
                <w:lang w:bidi="ar"/>
              </w:rPr>
              <w:t>1. 提供8路输出，每路采用10A触点继电器，满足大功率系统供电需求。</w:t>
            </w:r>
          </w:p>
          <w:p w14:paraId="3F06A042">
            <w:pPr>
              <w:widowControl/>
              <w:spacing w:line="400" w:lineRule="exact"/>
              <w:jc w:val="left"/>
              <w:textAlignment w:val="center"/>
              <w:rPr>
                <w:rFonts w:hint="eastAsia" w:ascii="宋体" w:hAnsi="宋体" w:eastAsia="宋体" w:cs="宋体"/>
                <w:color w:val="auto"/>
                <w:kern w:val="0"/>
                <w:szCs w:val="21"/>
                <w:lang w:bidi="ar"/>
              </w:rPr>
            </w:pPr>
            <w:r>
              <w:rPr>
                <w:rFonts w:hint="eastAsia" w:ascii="宋体" w:hAnsi="宋体" w:eastAsia="宋体" w:cs="宋体"/>
                <w:color w:val="auto"/>
                <w:kern w:val="0"/>
                <w:szCs w:val="21"/>
                <w:lang w:bidi="ar"/>
              </w:rPr>
              <w:t>2. 支持设备级联使用导轨式结构，可直接安装于配电箱内，产品具备8个手动按键。</w:t>
            </w:r>
          </w:p>
          <w:p w14:paraId="72B47CB5">
            <w:pPr>
              <w:widowControl/>
              <w:spacing w:line="400" w:lineRule="exact"/>
              <w:jc w:val="left"/>
              <w:textAlignment w:val="center"/>
              <w:rPr>
                <w:rFonts w:hint="eastAsia" w:ascii="宋体" w:hAnsi="宋体" w:eastAsia="宋体" w:cs="宋体"/>
                <w:color w:val="auto"/>
                <w:kern w:val="0"/>
                <w:szCs w:val="21"/>
                <w:lang w:bidi="ar"/>
              </w:rPr>
            </w:pPr>
            <w:r>
              <w:rPr>
                <w:rFonts w:hint="eastAsia" w:ascii="宋体" w:hAnsi="宋体" w:eastAsia="宋体" w:cs="宋体"/>
                <w:color w:val="auto"/>
                <w:kern w:val="0"/>
                <w:szCs w:val="21"/>
                <w:lang w:bidi="ar"/>
              </w:rPr>
              <w:t>3. 1路RS485输入接口，1路RS485输出接口。</w:t>
            </w:r>
          </w:p>
          <w:p w14:paraId="2A3C62AD">
            <w:pPr>
              <w:widowControl/>
              <w:spacing w:line="400" w:lineRule="exact"/>
              <w:jc w:val="left"/>
              <w:textAlignment w:val="center"/>
              <w:rPr>
                <w:rFonts w:hint="eastAsia" w:ascii="宋体" w:hAnsi="宋体" w:eastAsia="宋体" w:cs="宋体"/>
                <w:color w:val="auto"/>
                <w:kern w:val="0"/>
                <w:szCs w:val="21"/>
                <w:lang w:bidi="ar"/>
              </w:rPr>
            </w:pPr>
            <w:r>
              <w:rPr>
                <w:rFonts w:hint="eastAsia" w:ascii="宋体" w:hAnsi="宋体" w:eastAsia="宋体" w:cs="宋体"/>
                <w:color w:val="auto"/>
                <w:kern w:val="0"/>
                <w:szCs w:val="21"/>
                <w:lang w:bidi="ar"/>
              </w:rPr>
              <w:t>4. 具有面板手动按键，可单独开关每路通道。</w:t>
            </w:r>
          </w:p>
          <w:p w14:paraId="637F067A">
            <w:pPr>
              <w:widowControl/>
              <w:spacing w:line="400" w:lineRule="exact"/>
              <w:jc w:val="left"/>
              <w:textAlignment w:val="center"/>
              <w:rPr>
                <w:rFonts w:hint="eastAsia" w:ascii="宋体" w:hAnsi="宋体" w:eastAsia="宋体" w:cs="宋体"/>
                <w:color w:val="auto"/>
                <w:kern w:val="0"/>
                <w:szCs w:val="21"/>
                <w:lang w:bidi="ar"/>
              </w:rPr>
            </w:pPr>
            <w:r>
              <w:rPr>
                <w:rFonts w:hint="eastAsia" w:ascii="宋体" w:hAnsi="宋体" w:eastAsia="宋体" w:cs="宋体"/>
                <w:color w:val="auto"/>
                <w:kern w:val="0"/>
                <w:szCs w:val="21"/>
                <w:lang w:bidi="ar"/>
              </w:rPr>
              <w:t>5. RS485通讯，可与第三方品牌控制系统对接。</w:t>
            </w:r>
          </w:p>
          <w:p w14:paraId="2FC44E67">
            <w:pPr>
              <w:widowControl/>
              <w:spacing w:line="400" w:lineRule="exact"/>
              <w:jc w:val="left"/>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6. 支持100-250V宽电压开关电源供电，使系统在电压不稳定地区也能稳压工作。</w:t>
            </w:r>
          </w:p>
        </w:tc>
        <w:tc>
          <w:tcPr>
            <w:tcW w:w="1161" w:type="dxa"/>
            <w:shd w:val="clear" w:color="auto" w:fill="auto"/>
            <w:noWrap/>
            <w:vAlign w:val="center"/>
          </w:tcPr>
          <w:p w14:paraId="3C95710B">
            <w:pPr>
              <w:widowControl/>
              <w:spacing w:line="400" w:lineRule="exact"/>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4台</w:t>
            </w:r>
          </w:p>
        </w:tc>
        <w:tc>
          <w:tcPr>
            <w:tcW w:w="833" w:type="dxa"/>
            <w:shd w:val="clear" w:color="auto" w:fill="auto"/>
            <w:noWrap/>
            <w:vAlign w:val="center"/>
          </w:tcPr>
          <w:p w14:paraId="3BC104F3">
            <w:pPr>
              <w:widowControl/>
              <w:spacing w:line="400" w:lineRule="exact"/>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工业</w:t>
            </w:r>
          </w:p>
        </w:tc>
        <w:tc>
          <w:tcPr>
            <w:tcW w:w="1259" w:type="dxa"/>
            <w:shd w:val="clear" w:color="auto" w:fill="auto"/>
            <w:noWrap/>
            <w:vAlign w:val="center"/>
          </w:tcPr>
          <w:p w14:paraId="48CAAB5B">
            <w:pPr>
              <w:widowControl/>
              <w:spacing w:line="400" w:lineRule="exact"/>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否</w:t>
            </w:r>
          </w:p>
        </w:tc>
        <w:tc>
          <w:tcPr>
            <w:tcW w:w="490" w:type="dxa"/>
            <w:shd w:val="clear" w:color="auto" w:fill="auto"/>
            <w:noWrap/>
            <w:vAlign w:val="center"/>
          </w:tcPr>
          <w:p w14:paraId="4ECCF642">
            <w:pPr>
              <w:widowControl/>
              <w:spacing w:line="400" w:lineRule="exact"/>
              <w:rPr>
                <w:rFonts w:ascii="宋体" w:hAnsi="宋体" w:eastAsia="宋体" w:cs="宋体"/>
                <w:color w:val="auto"/>
                <w:szCs w:val="21"/>
              </w:rPr>
            </w:pPr>
          </w:p>
        </w:tc>
      </w:tr>
      <w:tr w14:paraId="0248A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703" w:type="dxa"/>
            <w:shd w:val="clear" w:color="auto" w:fill="auto"/>
            <w:noWrap/>
            <w:vAlign w:val="center"/>
          </w:tcPr>
          <w:p w14:paraId="56AD093C">
            <w:pPr>
              <w:widowControl/>
              <w:spacing w:line="400" w:lineRule="exact"/>
              <w:jc w:val="center"/>
              <w:textAlignment w:val="center"/>
              <w:rPr>
                <w:rFonts w:hint="eastAsia" w:ascii="宋体" w:hAnsi="宋体" w:eastAsia="宋体" w:cs="宋体"/>
                <w:b/>
                <w:bCs/>
                <w:color w:val="auto"/>
                <w:kern w:val="0"/>
                <w:szCs w:val="21"/>
                <w:lang w:eastAsia="zh-CN" w:bidi="ar"/>
              </w:rPr>
            </w:pPr>
            <w:r>
              <w:rPr>
                <w:rFonts w:hint="eastAsia" w:ascii="宋体" w:hAnsi="宋体" w:eastAsia="宋体" w:cs="宋体"/>
                <w:b/>
                <w:bCs/>
                <w:color w:val="auto"/>
                <w:kern w:val="0"/>
                <w:szCs w:val="21"/>
                <w:lang w:bidi="ar"/>
              </w:rPr>
              <w:t>19</w:t>
            </w:r>
          </w:p>
        </w:tc>
        <w:tc>
          <w:tcPr>
            <w:tcW w:w="710" w:type="dxa"/>
            <w:shd w:val="clear" w:color="auto" w:fill="auto"/>
            <w:vAlign w:val="center"/>
          </w:tcPr>
          <w:p w14:paraId="6947E5FE">
            <w:pPr>
              <w:widowControl/>
              <w:spacing w:line="400" w:lineRule="exact"/>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强电控制器</w:t>
            </w:r>
          </w:p>
        </w:tc>
        <w:tc>
          <w:tcPr>
            <w:tcW w:w="4131" w:type="dxa"/>
            <w:shd w:val="clear" w:color="auto" w:fill="auto"/>
            <w:vAlign w:val="center"/>
          </w:tcPr>
          <w:p w14:paraId="04591F5F">
            <w:pPr>
              <w:widowControl/>
              <w:spacing w:line="400" w:lineRule="exact"/>
              <w:jc w:val="left"/>
              <w:textAlignment w:val="center"/>
              <w:rPr>
                <w:rFonts w:hint="eastAsia" w:ascii="宋体" w:hAnsi="宋体" w:eastAsia="宋体" w:cs="宋体"/>
                <w:color w:val="auto"/>
                <w:kern w:val="0"/>
                <w:szCs w:val="21"/>
                <w:lang w:bidi="ar"/>
              </w:rPr>
            </w:pPr>
            <w:r>
              <w:rPr>
                <w:rFonts w:hint="eastAsia" w:ascii="宋体" w:hAnsi="宋体" w:eastAsia="宋体" w:cs="宋体"/>
                <w:color w:val="auto"/>
                <w:kern w:val="0"/>
                <w:szCs w:val="21"/>
                <w:lang w:bidi="ar"/>
              </w:rPr>
              <w:t>1.提供8路输出，每路采用30A触点继电器，满足大功率系统供电需求。</w:t>
            </w:r>
          </w:p>
          <w:p w14:paraId="0A68BA2D">
            <w:pPr>
              <w:widowControl/>
              <w:spacing w:line="400" w:lineRule="exact"/>
              <w:jc w:val="left"/>
              <w:textAlignment w:val="center"/>
              <w:rPr>
                <w:rFonts w:hint="eastAsia" w:ascii="宋体" w:hAnsi="宋体" w:eastAsia="宋体" w:cs="宋体"/>
                <w:color w:val="auto"/>
                <w:kern w:val="0"/>
                <w:szCs w:val="21"/>
                <w:lang w:bidi="ar"/>
              </w:rPr>
            </w:pPr>
            <w:r>
              <w:rPr>
                <w:rFonts w:hint="eastAsia" w:ascii="宋体" w:hAnsi="宋体" w:eastAsia="宋体" w:cs="宋体"/>
                <w:color w:val="auto"/>
                <w:kern w:val="0"/>
                <w:szCs w:val="21"/>
                <w:lang w:bidi="ar"/>
              </w:rPr>
              <w:t>2.8路常开常闭触点，采用25A接线端子，适用各种强弱电控制方式。</w:t>
            </w:r>
          </w:p>
          <w:p w14:paraId="01E5DF64">
            <w:pPr>
              <w:widowControl/>
              <w:spacing w:line="400" w:lineRule="exact"/>
              <w:jc w:val="left"/>
              <w:textAlignment w:val="center"/>
              <w:rPr>
                <w:rFonts w:hint="eastAsia" w:ascii="宋体" w:hAnsi="宋体" w:eastAsia="宋体" w:cs="宋体"/>
                <w:color w:val="auto"/>
                <w:kern w:val="0"/>
                <w:szCs w:val="21"/>
                <w:lang w:bidi="ar"/>
              </w:rPr>
            </w:pPr>
            <w:r>
              <w:rPr>
                <w:rFonts w:hint="eastAsia" w:ascii="宋体" w:hAnsi="宋体" w:eastAsia="宋体" w:cs="宋体"/>
                <w:color w:val="auto"/>
                <w:kern w:val="0"/>
                <w:szCs w:val="21"/>
                <w:lang w:bidi="ar"/>
              </w:rPr>
              <w:t>3.支持RS232控制、外部开关控制、外部电平（5V-12V）控制、级联控制、TCP/IP控制。</w:t>
            </w:r>
          </w:p>
          <w:p w14:paraId="7CC3D41F">
            <w:pPr>
              <w:widowControl/>
              <w:spacing w:line="400" w:lineRule="exact"/>
              <w:jc w:val="left"/>
              <w:textAlignment w:val="center"/>
              <w:rPr>
                <w:rFonts w:hint="eastAsia" w:ascii="宋体" w:hAnsi="宋体" w:eastAsia="宋体" w:cs="宋体"/>
                <w:color w:val="auto"/>
                <w:kern w:val="0"/>
                <w:szCs w:val="21"/>
                <w:lang w:bidi="ar"/>
              </w:rPr>
            </w:pPr>
            <w:r>
              <w:rPr>
                <w:rFonts w:hint="eastAsia" w:ascii="宋体" w:hAnsi="宋体" w:eastAsia="宋体" w:cs="宋体"/>
                <w:color w:val="auto"/>
                <w:kern w:val="0"/>
                <w:szCs w:val="21"/>
                <w:lang w:bidi="ar"/>
              </w:rPr>
              <w:t>4.具有标准RS232控制功能，可设置255个ID地址，最大可支持255台设备同时使用。</w:t>
            </w:r>
          </w:p>
          <w:p w14:paraId="4E502872">
            <w:pPr>
              <w:widowControl/>
              <w:spacing w:line="400" w:lineRule="exact"/>
              <w:jc w:val="left"/>
              <w:textAlignment w:val="center"/>
              <w:rPr>
                <w:rFonts w:hint="eastAsia" w:ascii="宋体" w:hAnsi="宋体" w:eastAsia="宋体" w:cs="宋体"/>
                <w:color w:val="auto"/>
                <w:kern w:val="0"/>
                <w:szCs w:val="21"/>
                <w:lang w:bidi="ar"/>
              </w:rPr>
            </w:pPr>
            <w:r>
              <w:rPr>
                <w:rFonts w:hint="eastAsia" w:ascii="宋体" w:hAnsi="宋体" w:eastAsia="宋体" w:cs="宋体"/>
                <w:color w:val="auto"/>
                <w:kern w:val="0"/>
                <w:szCs w:val="21"/>
                <w:lang w:bidi="ar"/>
              </w:rPr>
              <w:t>5.前面板具有8个按键，可对每路进行手动控制，同时具备键盘锁（LOCK）功能，防止误操作。</w:t>
            </w:r>
          </w:p>
          <w:p w14:paraId="765293FB">
            <w:pPr>
              <w:widowControl/>
              <w:spacing w:line="400" w:lineRule="exact"/>
              <w:jc w:val="left"/>
              <w:textAlignment w:val="center"/>
              <w:rPr>
                <w:rFonts w:hint="eastAsia" w:ascii="宋体" w:hAnsi="宋体" w:eastAsia="宋体" w:cs="宋体"/>
                <w:color w:val="auto"/>
                <w:kern w:val="0"/>
                <w:szCs w:val="21"/>
                <w:lang w:bidi="ar"/>
              </w:rPr>
            </w:pPr>
            <w:r>
              <w:rPr>
                <w:rFonts w:hint="eastAsia" w:ascii="宋体" w:hAnsi="宋体" w:eastAsia="宋体" w:cs="宋体"/>
                <w:color w:val="auto"/>
                <w:kern w:val="0"/>
                <w:szCs w:val="21"/>
                <w:lang w:bidi="ar"/>
              </w:rPr>
              <w:t>6.前面板可数码LED电压显示，误差小于1V，具备超压、欠压警示功能，当电压高于245V或低于195V闪亮警示。</w:t>
            </w:r>
          </w:p>
          <w:p w14:paraId="76292B45">
            <w:pPr>
              <w:widowControl/>
              <w:spacing w:line="400" w:lineRule="exact"/>
              <w:jc w:val="left"/>
              <w:textAlignment w:val="center"/>
              <w:rPr>
                <w:rFonts w:hint="eastAsia" w:ascii="宋体" w:hAnsi="宋体" w:eastAsia="宋体" w:cs="宋体"/>
                <w:color w:val="auto"/>
                <w:kern w:val="0"/>
                <w:szCs w:val="21"/>
                <w:lang w:bidi="ar"/>
              </w:rPr>
            </w:pPr>
            <w:r>
              <w:rPr>
                <w:rFonts w:hint="eastAsia" w:ascii="宋体" w:hAnsi="宋体" w:eastAsia="宋体" w:cs="宋体"/>
                <w:color w:val="auto"/>
                <w:kern w:val="0"/>
                <w:szCs w:val="21"/>
                <w:lang w:bidi="ar"/>
              </w:rPr>
              <w:t>7.前面板具备(5V/100mA)USB供电接口，可通过按键控制USB供电。</w:t>
            </w:r>
          </w:p>
          <w:p w14:paraId="13078BBD">
            <w:pPr>
              <w:widowControl/>
              <w:spacing w:line="400" w:lineRule="exact"/>
              <w:jc w:val="left"/>
              <w:textAlignment w:val="center"/>
              <w:rPr>
                <w:rFonts w:hint="eastAsia" w:ascii="宋体" w:hAnsi="宋体" w:eastAsia="宋体" w:cs="宋体"/>
                <w:color w:val="auto"/>
                <w:kern w:val="0"/>
                <w:szCs w:val="21"/>
                <w:lang w:bidi="ar"/>
              </w:rPr>
            </w:pPr>
            <w:r>
              <w:rPr>
                <w:rFonts w:hint="eastAsia" w:ascii="宋体" w:hAnsi="宋体" w:eastAsia="宋体" w:cs="宋体"/>
                <w:color w:val="auto"/>
                <w:kern w:val="0"/>
                <w:szCs w:val="21"/>
                <w:lang w:bidi="ar"/>
              </w:rPr>
              <w:t>8.支持100-250V宽电压开关电源供电，使系统在电压不稳定地区也能稳压工作。</w:t>
            </w:r>
          </w:p>
          <w:p w14:paraId="5AF615B7">
            <w:pPr>
              <w:widowControl/>
              <w:spacing w:line="400" w:lineRule="exact"/>
              <w:jc w:val="left"/>
              <w:textAlignment w:val="center"/>
              <w:rPr>
                <w:rFonts w:hint="eastAsia" w:ascii="宋体" w:hAnsi="宋体" w:eastAsia="宋体" w:cs="宋体"/>
                <w:color w:val="auto"/>
                <w:kern w:val="0"/>
                <w:szCs w:val="21"/>
                <w:lang w:bidi="ar"/>
              </w:rPr>
            </w:pPr>
            <w:r>
              <w:rPr>
                <w:rFonts w:hint="eastAsia" w:ascii="宋体" w:hAnsi="宋体" w:eastAsia="宋体" w:cs="宋体"/>
                <w:color w:val="auto"/>
                <w:kern w:val="0"/>
                <w:szCs w:val="21"/>
                <w:lang w:bidi="ar"/>
              </w:rPr>
              <w:t>9.通过按键可将设备恢复出厂设置。</w:t>
            </w:r>
          </w:p>
          <w:p w14:paraId="7FE0FC2A">
            <w:pPr>
              <w:widowControl/>
              <w:spacing w:line="400" w:lineRule="exact"/>
              <w:jc w:val="left"/>
              <w:textAlignment w:val="center"/>
              <w:rPr>
                <w:rFonts w:hint="eastAsia" w:ascii="宋体" w:hAnsi="宋体" w:eastAsia="宋体" w:cs="宋体"/>
                <w:color w:val="auto"/>
                <w:kern w:val="0"/>
                <w:szCs w:val="21"/>
                <w:lang w:bidi="ar"/>
              </w:rPr>
            </w:pPr>
            <w:r>
              <w:rPr>
                <w:rFonts w:hint="eastAsia" w:ascii="宋体" w:hAnsi="宋体" w:eastAsia="宋体" w:cs="宋体"/>
                <w:color w:val="auto"/>
                <w:kern w:val="0"/>
                <w:szCs w:val="21"/>
                <w:lang w:bidi="ar"/>
              </w:rPr>
              <w:t>10.支持设备级联使用。</w:t>
            </w:r>
          </w:p>
          <w:p w14:paraId="3A7FA2D8">
            <w:pPr>
              <w:widowControl/>
              <w:spacing w:line="400" w:lineRule="exact"/>
              <w:jc w:val="left"/>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11.可控制通道时序开关，延时时间可设置；支持对独立通道进行开关控制。</w:t>
            </w:r>
          </w:p>
        </w:tc>
        <w:tc>
          <w:tcPr>
            <w:tcW w:w="1161" w:type="dxa"/>
            <w:shd w:val="clear" w:color="auto" w:fill="auto"/>
            <w:noWrap/>
            <w:vAlign w:val="center"/>
          </w:tcPr>
          <w:p w14:paraId="183A6DC3">
            <w:pPr>
              <w:widowControl/>
              <w:spacing w:line="400" w:lineRule="exact"/>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2台</w:t>
            </w:r>
          </w:p>
        </w:tc>
        <w:tc>
          <w:tcPr>
            <w:tcW w:w="833" w:type="dxa"/>
            <w:shd w:val="clear" w:color="auto" w:fill="auto"/>
            <w:noWrap/>
            <w:vAlign w:val="center"/>
          </w:tcPr>
          <w:p w14:paraId="0222CD13">
            <w:pPr>
              <w:widowControl/>
              <w:spacing w:line="400" w:lineRule="exact"/>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工业</w:t>
            </w:r>
          </w:p>
        </w:tc>
        <w:tc>
          <w:tcPr>
            <w:tcW w:w="1259" w:type="dxa"/>
            <w:shd w:val="clear" w:color="auto" w:fill="auto"/>
            <w:noWrap/>
            <w:vAlign w:val="center"/>
          </w:tcPr>
          <w:p w14:paraId="59C9BD9A">
            <w:pPr>
              <w:widowControl/>
              <w:spacing w:line="400" w:lineRule="exact"/>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否</w:t>
            </w:r>
          </w:p>
        </w:tc>
        <w:tc>
          <w:tcPr>
            <w:tcW w:w="490" w:type="dxa"/>
            <w:shd w:val="clear" w:color="auto" w:fill="auto"/>
            <w:noWrap/>
            <w:vAlign w:val="center"/>
          </w:tcPr>
          <w:p w14:paraId="422EE685">
            <w:pPr>
              <w:widowControl/>
              <w:spacing w:line="400" w:lineRule="exact"/>
              <w:rPr>
                <w:rFonts w:ascii="宋体" w:hAnsi="宋体" w:eastAsia="宋体" w:cs="宋体"/>
                <w:color w:val="auto"/>
                <w:szCs w:val="21"/>
              </w:rPr>
            </w:pPr>
          </w:p>
        </w:tc>
      </w:tr>
      <w:tr w14:paraId="1F3A8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703" w:type="dxa"/>
            <w:shd w:val="clear" w:color="auto" w:fill="auto"/>
            <w:noWrap/>
            <w:vAlign w:val="center"/>
          </w:tcPr>
          <w:p w14:paraId="36829024">
            <w:pPr>
              <w:widowControl/>
              <w:spacing w:line="400" w:lineRule="exact"/>
              <w:jc w:val="center"/>
              <w:textAlignment w:val="center"/>
              <w:rPr>
                <w:rFonts w:hint="default" w:ascii="宋体" w:hAnsi="宋体" w:eastAsia="宋体" w:cs="宋体"/>
                <w:b/>
                <w:bCs/>
                <w:color w:val="auto"/>
                <w:kern w:val="0"/>
                <w:szCs w:val="21"/>
                <w:lang w:val="en-US" w:eastAsia="zh-CN" w:bidi="ar"/>
              </w:rPr>
            </w:pPr>
            <w:r>
              <w:rPr>
                <w:rFonts w:hint="eastAsia" w:ascii="宋体" w:hAnsi="宋体" w:eastAsia="宋体" w:cs="宋体"/>
                <w:b/>
                <w:bCs/>
                <w:color w:val="auto"/>
                <w:kern w:val="0"/>
                <w:szCs w:val="21"/>
                <w:lang w:bidi="ar"/>
              </w:rPr>
              <w:t>20</w:t>
            </w:r>
          </w:p>
        </w:tc>
        <w:tc>
          <w:tcPr>
            <w:tcW w:w="710" w:type="dxa"/>
            <w:shd w:val="clear" w:color="auto" w:fill="auto"/>
            <w:vAlign w:val="center"/>
          </w:tcPr>
          <w:p w14:paraId="7D83F801">
            <w:pPr>
              <w:widowControl/>
              <w:spacing w:line="400" w:lineRule="exact"/>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三工位操作台</w:t>
            </w:r>
          </w:p>
        </w:tc>
        <w:tc>
          <w:tcPr>
            <w:tcW w:w="4131" w:type="dxa"/>
            <w:shd w:val="clear" w:color="auto" w:fill="auto"/>
            <w:vAlign w:val="center"/>
          </w:tcPr>
          <w:p w14:paraId="34C4F74E">
            <w:pPr>
              <w:widowControl/>
              <w:spacing w:line="400" w:lineRule="exact"/>
              <w:jc w:val="left"/>
              <w:textAlignment w:val="center"/>
              <w:rPr>
                <w:rFonts w:hint="eastAsia" w:ascii="宋体" w:hAnsi="宋体" w:eastAsia="宋体" w:cs="宋体"/>
                <w:b/>
                <w:bCs/>
                <w:color w:val="auto"/>
                <w:kern w:val="0"/>
                <w:szCs w:val="21"/>
                <w:lang w:bidi="ar"/>
              </w:rPr>
            </w:pPr>
            <w:r>
              <w:rPr>
                <w:rFonts w:hint="eastAsia" w:ascii="宋体" w:hAnsi="宋体" w:eastAsia="宋体" w:cs="宋体"/>
                <w:b/>
                <w:bCs/>
                <w:color w:val="auto"/>
                <w:kern w:val="0"/>
                <w:szCs w:val="21"/>
                <w:lang w:bidi="ar"/>
              </w:rPr>
              <w:t>1、▲控制台符合GB/T15395—1994《电子设备机柜通用技术条件》，提供有效的检验报告。</w:t>
            </w:r>
          </w:p>
          <w:p w14:paraId="21C1C8A8">
            <w:pPr>
              <w:widowControl/>
              <w:spacing w:line="400" w:lineRule="exact"/>
              <w:jc w:val="left"/>
              <w:textAlignment w:val="center"/>
              <w:rPr>
                <w:rFonts w:hint="eastAsia" w:ascii="宋体" w:hAnsi="宋体" w:eastAsia="宋体" w:cs="宋体"/>
                <w:color w:val="auto"/>
                <w:kern w:val="0"/>
                <w:szCs w:val="21"/>
                <w:lang w:bidi="ar"/>
              </w:rPr>
            </w:pPr>
            <w:r>
              <w:rPr>
                <w:rFonts w:hint="eastAsia" w:ascii="宋体" w:hAnsi="宋体" w:eastAsia="宋体" w:cs="宋体"/>
                <w:color w:val="auto"/>
                <w:kern w:val="0"/>
                <w:szCs w:val="21"/>
                <w:lang w:bidi="ar"/>
              </w:rPr>
              <w:t>2、控制台符合(GB/T 13668-2015、GB/T 3325-20</w:t>
            </w:r>
            <w:r>
              <w:rPr>
                <w:rFonts w:hint="eastAsia" w:ascii="宋体" w:hAnsi="宋体" w:eastAsia="宋体" w:cs="宋体"/>
                <w:color w:val="auto"/>
                <w:kern w:val="0"/>
                <w:szCs w:val="21"/>
                <w:lang w:val="en-US" w:eastAsia="zh-CN" w:bidi="ar"/>
              </w:rPr>
              <w:t>24</w:t>
            </w:r>
            <w:r>
              <w:rPr>
                <w:rFonts w:hint="eastAsia" w:ascii="宋体" w:hAnsi="宋体" w:eastAsia="宋体" w:cs="宋体"/>
                <w:color w:val="auto"/>
                <w:kern w:val="0"/>
                <w:szCs w:val="21"/>
                <w:lang w:bidi="ar"/>
              </w:rPr>
              <w:t>)标准，主承重结构采用不小于1.5mm厚冷轧钢板加工，一般受力配件应采用不小于1.0mm厚优质冷轧钢板钣金加工 ，面板下部有壁厚不低于1.5mm优质钢板折弯的支臂支撑，经裁剪、冲孔、折弯、电焊、打磨、校形、除油、除锈、静电喷涂、高温固化、冷却等工艺流程所有钣金配件均做R圆角处理，外表面使用静电吸塑工艺，整体结构稳固防腐，耐划伤。</w:t>
            </w:r>
          </w:p>
          <w:p w14:paraId="2C13C309">
            <w:pPr>
              <w:widowControl/>
              <w:spacing w:line="400" w:lineRule="exact"/>
              <w:jc w:val="left"/>
              <w:textAlignment w:val="center"/>
              <w:rPr>
                <w:rFonts w:hint="eastAsia" w:ascii="宋体" w:hAnsi="宋体" w:eastAsia="宋体" w:cs="宋体"/>
                <w:color w:val="auto"/>
                <w:kern w:val="0"/>
                <w:szCs w:val="21"/>
                <w:lang w:bidi="ar"/>
              </w:rPr>
            </w:pPr>
            <w:r>
              <w:rPr>
                <w:rFonts w:hint="eastAsia" w:ascii="宋体" w:hAnsi="宋体" w:eastAsia="宋体" w:cs="宋体"/>
                <w:color w:val="auto"/>
                <w:kern w:val="0"/>
                <w:szCs w:val="21"/>
                <w:lang w:bidi="ar"/>
              </w:rPr>
              <w:t>3、通过YD5083-2005《电信设备抗地震性能检测规范》标准检测，达到9级抗震烈度标准。</w:t>
            </w:r>
          </w:p>
          <w:p w14:paraId="62C45904">
            <w:pPr>
              <w:widowControl/>
              <w:spacing w:line="400" w:lineRule="exact"/>
              <w:jc w:val="left"/>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4、台面预留出现接口，供显示器及其它台面设备的电源线及信号线，电话线，鼠标线等通过。台面使用实木颗粒板采用防火板加工，HL覆盖层额定厚度不小于1.0厚度误差为土0.12mm以内(含本数);损阻抗不小于ITITS400周期，整体厚度应不低于26mm，台面边缘设计与台面一体化延伸的不大于20mm的黑色软聚氨酯封边。</w:t>
            </w:r>
          </w:p>
        </w:tc>
        <w:tc>
          <w:tcPr>
            <w:tcW w:w="1161" w:type="dxa"/>
            <w:shd w:val="clear" w:color="auto" w:fill="auto"/>
            <w:noWrap/>
            <w:vAlign w:val="center"/>
          </w:tcPr>
          <w:p w14:paraId="2BB8898A">
            <w:pPr>
              <w:widowControl/>
              <w:spacing w:line="400" w:lineRule="exact"/>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1套</w:t>
            </w:r>
          </w:p>
        </w:tc>
        <w:tc>
          <w:tcPr>
            <w:tcW w:w="833" w:type="dxa"/>
            <w:shd w:val="clear" w:color="auto" w:fill="auto"/>
            <w:noWrap/>
            <w:vAlign w:val="center"/>
          </w:tcPr>
          <w:p w14:paraId="000EF130">
            <w:pPr>
              <w:widowControl/>
              <w:spacing w:line="400" w:lineRule="exact"/>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工业</w:t>
            </w:r>
          </w:p>
        </w:tc>
        <w:tc>
          <w:tcPr>
            <w:tcW w:w="1259" w:type="dxa"/>
            <w:shd w:val="clear" w:color="auto" w:fill="auto"/>
            <w:noWrap/>
            <w:vAlign w:val="center"/>
          </w:tcPr>
          <w:p w14:paraId="05DEE211">
            <w:pPr>
              <w:widowControl/>
              <w:spacing w:line="400" w:lineRule="exact"/>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否</w:t>
            </w:r>
          </w:p>
        </w:tc>
        <w:tc>
          <w:tcPr>
            <w:tcW w:w="490" w:type="dxa"/>
            <w:shd w:val="clear" w:color="auto" w:fill="auto"/>
            <w:noWrap/>
            <w:vAlign w:val="center"/>
          </w:tcPr>
          <w:p w14:paraId="21BBCE33">
            <w:pPr>
              <w:widowControl/>
              <w:spacing w:line="400" w:lineRule="exact"/>
              <w:rPr>
                <w:rFonts w:ascii="宋体" w:hAnsi="宋体" w:eastAsia="宋体" w:cs="宋体"/>
                <w:color w:val="auto"/>
                <w:szCs w:val="21"/>
              </w:rPr>
            </w:pPr>
          </w:p>
        </w:tc>
      </w:tr>
      <w:tr w14:paraId="70F21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703" w:type="dxa"/>
            <w:shd w:val="clear" w:color="auto" w:fill="auto"/>
            <w:noWrap/>
            <w:vAlign w:val="center"/>
          </w:tcPr>
          <w:p w14:paraId="31626BB7">
            <w:pPr>
              <w:widowControl/>
              <w:spacing w:line="400" w:lineRule="exact"/>
              <w:jc w:val="center"/>
              <w:textAlignment w:val="center"/>
              <w:rPr>
                <w:rFonts w:hint="default" w:ascii="宋体" w:hAnsi="宋体" w:eastAsia="宋体" w:cs="宋体"/>
                <w:b/>
                <w:bCs/>
                <w:color w:val="auto"/>
                <w:kern w:val="0"/>
                <w:szCs w:val="21"/>
                <w:lang w:val="en-US" w:eastAsia="zh-CN" w:bidi="ar"/>
              </w:rPr>
            </w:pPr>
            <w:r>
              <w:rPr>
                <w:rFonts w:hint="eastAsia" w:ascii="宋体" w:hAnsi="宋体" w:eastAsia="宋体" w:cs="宋体"/>
                <w:b/>
                <w:bCs/>
                <w:color w:val="auto"/>
                <w:kern w:val="0"/>
                <w:szCs w:val="21"/>
                <w:lang w:bidi="ar"/>
              </w:rPr>
              <w:t>21</w:t>
            </w:r>
          </w:p>
        </w:tc>
        <w:tc>
          <w:tcPr>
            <w:tcW w:w="710" w:type="dxa"/>
            <w:shd w:val="clear" w:color="auto" w:fill="auto"/>
            <w:vAlign w:val="center"/>
          </w:tcPr>
          <w:p w14:paraId="3BB4F873">
            <w:pPr>
              <w:widowControl/>
              <w:spacing w:line="400" w:lineRule="exact"/>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监听音响</w:t>
            </w:r>
          </w:p>
        </w:tc>
        <w:tc>
          <w:tcPr>
            <w:tcW w:w="4131" w:type="dxa"/>
            <w:shd w:val="clear" w:color="auto" w:fill="auto"/>
            <w:vAlign w:val="center"/>
          </w:tcPr>
          <w:p w14:paraId="1C5C8907">
            <w:pPr>
              <w:widowControl/>
              <w:spacing w:line="400" w:lineRule="exact"/>
              <w:jc w:val="left"/>
              <w:textAlignment w:val="center"/>
              <w:rPr>
                <w:rFonts w:hint="eastAsia" w:ascii="宋体" w:hAnsi="宋体" w:eastAsia="宋体" w:cs="宋体"/>
                <w:color w:val="auto"/>
                <w:kern w:val="0"/>
                <w:szCs w:val="21"/>
                <w:lang w:bidi="ar"/>
              </w:rPr>
            </w:pPr>
            <w:r>
              <w:rPr>
                <w:rFonts w:hint="eastAsia" w:ascii="宋体" w:hAnsi="宋体" w:eastAsia="宋体" w:cs="宋体"/>
                <w:color w:val="auto"/>
                <w:kern w:val="0"/>
                <w:szCs w:val="21"/>
                <w:lang w:bidi="ar"/>
              </w:rPr>
              <w:t>1.额定输出功率：≥2×25W(含主箱和副箱)。</w:t>
            </w:r>
          </w:p>
          <w:p w14:paraId="79FF81A3">
            <w:pPr>
              <w:widowControl/>
              <w:spacing w:line="400" w:lineRule="exact"/>
              <w:jc w:val="left"/>
              <w:textAlignment w:val="center"/>
              <w:rPr>
                <w:rFonts w:hint="eastAsia" w:ascii="宋体" w:hAnsi="宋体" w:eastAsia="宋体" w:cs="宋体"/>
                <w:color w:val="auto"/>
                <w:kern w:val="0"/>
                <w:szCs w:val="21"/>
                <w:lang w:bidi="ar"/>
              </w:rPr>
            </w:pPr>
            <w:r>
              <w:rPr>
                <w:rFonts w:hint="eastAsia" w:ascii="宋体" w:hAnsi="宋体" w:eastAsia="宋体" w:cs="宋体"/>
                <w:color w:val="auto"/>
                <w:kern w:val="0"/>
                <w:szCs w:val="21"/>
                <w:lang w:bidi="ar"/>
              </w:rPr>
              <w:t>2.输出阻抗：4-8Ω；频率响应：40Hz~20KHz(≤±2dB)。</w:t>
            </w:r>
          </w:p>
          <w:p w14:paraId="232BB3FF">
            <w:pPr>
              <w:widowControl/>
              <w:spacing w:line="400" w:lineRule="exact"/>
              <w:jc w:val="left"/>
              <w:textAlignment w:val="center"/>
              <w:rPr>
                <w:rFonts w:hint="eastAsia" w:ascii="宋体" w:hAnsi="宋体" w:eastAsia="宋体" w:cs="宋体"/>
                <w:color w:val="auto"/>
                <w:kern w:val="0"/>
                <w:szCs w:val="21"/>
                <w:lang w:bidi="ar"/>
              </w:rPr>
            </w:pPr>
            <w:r>
              <w:rPr>
                <w:rFonts w:hint="eastAsia" w:ascii="宋体" w:hAnsi="宋体" w:eastAsia="宋体" w:cs="宋体"/>
                <w:color w:val="auto"/>
                <w:kern w:val="0"/>
                <w:szCs w:val="21"/>
                <w:lang w:bidi="ar"/>
              </w:rPr>
              <w:t>3.自带1个MIC 音量调节，1个AUX音量调节。</w:t>
            </w:r>
          </w:p>
          <w:p w14:paraId="20C3B1AB">
            <w:pPr>
              <w:widowControl/>
              <w:spacing w:line="400" w:lineRule="exact"/>
              <w:jc w:val="left"/>
              <w:textAlignment w:val="center"/>
              <w:rPr>
                <w:rFonts w:hint="eastAsia" w:ascii="宋体" w:hAnsi="宋体" w:eastAsia="宋体" w:cs="宋体"/>
                <w:color w:val="auto"/>
                <w:kern w:val="0"/>
                <w:szCs w:val="21"/>
                <w:lang w:bidi="ar"/>
              </w:rPr>
            </w:pPr>
            <w:r>
              <w:rPr>
                <w:rFonts w:hint="eastAsia" w:ascii="宋体" w:hAnsi="宋体" w:eastAsia="宋体" w:cs="宋体"/>
                <w:color w:val="auto"/>
                <w:kern w:val="0"/>
                <w:szCs w:val="21"/>
                <w:lang w:bidi="ar"/>
              </w:rPr>
              <w:t>4.输入灵敏度：AUX  IN ：350Mv±20MV/10KΩ；MIC ：5MV±0.5MV。</w:t>
            </w:r>
          </w:p>
          <w:p w14:paraId="56927A6F">
            <w:pPr>
              <w:widowControl/>
              <w:spacing w:line="400" w:lineRule="exact"/>
              <w:jc w:val="left"/>
              <w:textAlignment w:val="center"/>
              <w:rPr>
                <w:rFonts w:hint="eastAsia" w:ascii="宋体" w:hAnsi="宋体" w:eastAsia="宋体" w:cs="宋体"/>
                <w:color w:val="auto"/>
                <w:kern w:val="0"/>
                <w:szCs w:val="21"/>
                <w:lang w:bidi="ar"/>
              </w:rPr>
            </w:pPr>
            <w:r>
              <w:rPr>
                <w:rFonts w:hint="eastAsia" w:ascii="宋体" w:hAnsi="宋体" w:eastAsia="宋体" w:cs="宋体"/>
                <w:color w:val="auto"/>
                <w:kern w:val="0"/>
                <w:szCs w:val="21"/>
                <w:lang w:bidi="ar"/>
              </w:rPr>
              <w:t>5.信噪比：≥70dB；线路输出：≥1V。</w:t>
            </w:r>
          </w:p>
          <w:p w14:paraId="3C22BDBE">
            <w:pPr>
              <w:widowControl/>
              <w:spacing w:line="400" w:lineRule="exact"/>
              <w:jc w:val="left"/>
              <w:textAlignment w:val="center"/>
              <w:rPr>
                <w:rFonts w:hint="eastAsia" w:ascii="宋体" w:hAnsi="宋体" w:eastAsia="宋体" w:cs="宋体"/>
                <w:color w:val="auto"/>
                <w:kern w:val="0"/>
                <w:szCs w:val="21"/>
                <w:lang w:bidi="ar"/>
              </w:rPr>
            </w:pPr>
            <w:r>
              <w:rPr>
                <w:rFonts w:hint="eastAsia" w:ascii="宋体" w:hAnsi="宋体" w:eastAsia="宋体" w:cs="宋体"/>
                <w:color w:val="auto"/>
                <w:kern w:val="0"/>
                <w:szCs w:val="21"/>
                <w:lang w:bidi="ar"/>
              </w:rPr>
              <w:t>6.谐波失真：≤1%。</w:t>
            </w:r>
          </w:p>
          <w:p w14:paraId="3FC72E4B">
            <w:pPr>
              <w:widowControl/>
              <w:spacing w:line="400" w:lineRule="exact"/>
              <w:jc w:val="left"/>
              <w:textAlignment w:val="center"/>
              <w:rPr>
                <w:rFonts w:hint="eastAsia" w:ascii="宋体" w:hAnsi="宋体" w:eastAsia="宋体" w:cs="宋体"/>
                <w:color w:val="auto"/>
                <w:kern w:val="0"/>
                <w:szCs w:val="21"/>
                <w:lang w:bidi="ar"/>
              </w:rPr>
            </w:pPr>
            <w:r>
              <w:rPr>
                <w:rFonts w:hint="eastAsia" w:ascii="宋体" w:hAnsi="宋体" w:eastAsia="宋体" w:cs="宋体"/>
                <w:color w:val="auto"/>
                <w:kern w:val="0"/>
                <w:szCs w:val="21"/>
                <w:lang w:bidi="ar"/>
              </w:rPr>
              <w:t>7.工作温度：5℃～40℃；工作湿度：20%～80%相对湿度，无结露。</w:t>
            </w:r>
          </w:p>
          <w:p w14:paraId="74C03784">
            <w:pPr>
              <w:widowControl/>
              <w:spacing w:line="400" w:lineRule="exact"/>
              <w:jc w:val="left"/>
              <w:textAlignment w:val="center"/>
              <w:rPr>
                <w:rFonts w:hint="eastAsia" w:ascii="宋体" w:hAnsi="宋体" w:eastAsia="宋体" w:cs="宋体"/>
                <w:color w:val="auto"/>
                <w:kern w:val="0"/>
                <w:szCs w:val="21"/>
                <w:lang w:bidi="ar"/>
              </w:rPr>
            </w:pPr>
            <w:r>
              <w:rPr>
                <w:rFonts w:hint="eastAsia" w:ascii="宋体" w:hAnsi="宋体" w:eastAsia="宋体" w:cs="宋体"/>
                <w:color w:val="auto"/>
                <w:kern w:val="0"/>
                <w:szCs w:val="21"/>
                <w:lang w:bidi="ar"/>
              </w:rPr>
              <w:t>8.电源功耗：≤60W，供电电压：~ 220V 50Hz。</w:t>
            </w:r>
          </w:p>
          <w:p w14:paraId="08D4110C">
            <w:pPr>
              <w:widowControl/>
              <w:spacing w:line="400" w:lineRule="exact"/>
              <w:jc w:val="left"/>
              <w:textAlignment w:val="center"/>
              <w:rPr>
                <w:rFonts w:hint="eastAsia" w:ascii="宋体" w:hAnsi="宋体" w:eastAsia="宋体" w:cs="宋体"/>
                <w:color w:val="auto"/>
                <w:kern w:val="0"/>
                <w:szCs w:val="21"/>
                <w:lang w:bidi="ar"/>
              </w:rPr>
            </w:pPr>
            <w:r>
              <w:rPr>
                <w:rFonts w:hint="eastAsia" w:ascii="宋体" w:hAnsi="宋体" w:eastAsia="宋体" w:cs="宋体"/>
                <w:color w:val="auto"/>
                <w:kern w:val="0"/>
                <w:szCs w:val="21"/>
                <w:lang w:bidi="ar"/>
              </w:rPr>
              <w:t>9.尺寸（W×H×D）mm：162×240×225。</w:t>
            </w:r>
          </w:p>
          <w:p w14:paraId="48B0D296">
            <w:pPr>
              <w:widowControl/>
              <w:spacing w:line="400" w:lineRule="exact"/>
              <w:jc w:val="left"/>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10.重量：7.5kg。</w:t>
            </w:r>
          </w:p>
        </w:tc>
        <w:tc>
          <w:tcPr>
            <w:tcW w:w="1161" w:type="dxa"/>
            <w:shd w:val="clear" w:color="auto" w:fill="auto"/>
            <w:noWrap/>
            <w:vAlign w:val="center"/>
          </w:tcPr>
          <w:p w14:paraId="28A63FDB">
            <w:pPr>
              <w:widowControl/>
              <w:spacing w:line="400" w:lineRule="exact"/>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1台</w:t>
            </w:r>
          </w:p>
        </w:tc>
        <w:tc>
          <w:tcPr>
            <w:tcW w:w="833" w:type="dxa"/>
            <w:shd w:val="clear" w:color="auto" w:fill="auto"/>
            <w:noWrap/>
            <w:vAlign w:val="center"/>
          </w:tcPr>
          <w:p w14:paraId="7E105914">
            <w:pPr>
              <w:widowControl/>
              <w:spacing w:line="400" w:lineRule="exact"/>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工业</w:t>
            </w:r>
          </w:p>
        </w:tc>
        <w:tc>
          <w:tcPr>
            <w:tcW w:w="1259" w:type="dxa"/>
            <w:shd w:val="clear" w:color="auto" w:fill="auto"/>
            <w:noWrap/>
            <w:vAlign w:val="center"/>
          </w:tcPr>
          <w:p w14:paraId="44DF8BCE">
            <w:pPr>
              <w:widowControl/>
              <w:spacing w:line="400" w:lineRule="exact"/>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否</w:t>
            </w:r>
          </w:p>
        </w:tc>
        <w:tc>
          <w:tcPr>
            <w:tcW w:w="490" w:type="dxa"/>
            <w:shd w:val="clear" w:color="auto" w:fill="auto"/>
            <w:noWrap/>
            <w:vAlign w:val="center"/>
          </w:tcPr>
          <w:p w14:paraId="0CD7CD9D">
            <w:pPr>
              <w:widowControl/>
              <w:spacing w:line="400" w:lineRule="exact"/>
              <w:rPr>
                <w:rFonts w:ascii="宋体" w:hAnsi="宋体" w:eastAsia="宋体" w:cs="宋体"/>
                <w:color w:val="auto"/>
                <w:szCs w:val="21"/>
              </w:rPr>
            </w:pPr>
          </w:p>
        </w:tc>
      </w:tr>
      <w:tr w14:paraId="67280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703" w:type="dxa"/>
            <w:shd w:val="clear" w:color="auto" w:fill="auto"/>
            <w:noWrap/>
            <w:vAlign w:val="center"/>
          </w:tcPr>
          <w:p w14:paraId="7FF4391D">
            <w:pPr>
              <w:widowControl/>
              <w:spacing w:line="400" w:lineRule="exact"/>
              <w:jc w:val="center"/>
              <w:textAlignment w:val="center"/>
              <w:rPr>
                <w:rFonts w:hint="eastAsia" w:ascii="宋体" w:hAnsi="宋体" w:eastAsia="宋体" w:cs="宋体"/>
                <w:b/>
                <w:bCs/>
                <w:color w:val="auto"/>
                <w:kern w:val="0"/>
                <w:szCs w:val="21"/>
                <w:lang w:eastAsia="zh-CN" w:bidi="ar"/>
              </w:rPr>
            </w:pPr>
            <w:r>
              <w:rPr>
                <w:rFonts w:hint="eastAsia" w:ascii="宋体" w:hAnsi="宋体" w:eastAsia="宋体" w:cs="宋体"/>
                <w:b/>
                <w:bCs/>
                <w:color w:val="auto"/>
                <w:kern w:val="0"/>
                <w:szCs w:val="21"/>
                <w:lang w:bidi="ar"/>
              </w:rPr>
              <w:t>22</w:t>
            </w:r>
          </w:p>
        </w:tc>
        <w:tc>
          <w:tcPr>
            <w:tcW w:w="710" w:type="dxa"/>
            <w:shd w:val="clear" w:color="auto" w:fill="auto"/>
            <w:vAlign w:val="center"/>
          </w:tcPr>
          <w:p w14:paraId="1E4BB66C">
            <w:pPr>
              <w:widowControl/>
              <w:spacing w:line="400" w:lineRule="exact"/>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显示器</w:t>
            </w:r>
          </w:p>
        </w:tc>
        <w:tc>
          <w:tcPr>
            <w:tcW w:w="4131" w:type="dxa"/>
            <w:shd w:val="clear" w:color="auto" w:fill="auto"/>
            <w:vAlign w:val="center"/>
          </w:tcPr>
          <w:p w14:paraId="37C29877">
            <w:pPr>
              <w:widowControl/>
              <w:spacing w:line="400" w:lineRule="exact"/>
              <w:jc w:val="left"/>
              <w:textAlignment w:val="center"/>
              <w:rPr>
                <w:rFonts w:hint="eastAsia" w:ascii="宋体" w:hAnsi="宋体" w:eastAsia="宋体" w:cs="宋体"/>
                <w:color w:val="auto"/>
                <w:kern w:val="0"/>
                <w:szCs w:val="21"/>
                <w:lang w:eastAsia="zh-CN" w:bidi="ar"/>
              </w:rPr>
            </w:pPr>
            <w:r>
              <w:rPr>
                <w:rFonts w:hint="eastAsia" w:ascii="宋体" w:hAnsi="宋体" w:eastAsia="宋体" w:cs="宋体"/>
                <w:color w:val="auto"/>
                <w:kern w:val="0"/>
                <w:szCs w:val="21"/>
                <w:lang w:bidi="ar"/>
              </w:rPr>
              <w:t>≥23.8寸显示器</w:t>
            </w:r>
            <w:r>
              <w:rPr>
                <w:rFonts w:hint="eastAsia" w:ascii="宋体" w:hAnsi="宋体" w:eastAsia="宋体" w:cs="宋体"/>
                <w:color w:val="auto"/>
                <w:kern w:val="0"/>
                <w:szCs w:val="21"/>
                <w:lang w:eastAsia="zh-CN" w:bidi="ar"/>
              </w:rPr>
              <w:t>；分辨率不低于1920</w:t>
            </w:r>
            <w:r>
              <w:rPr>
                <w:rFonts w:hint="eastAsia" w:ascii="宋体" w:hAnsi="宋体" w:eastAsia="宋体" w:cs="宋体"/>
                <w:color w:val="auto"/>
                <w:kern w:val="0"/>
                <w:szCs w:val="21"/>
                <w:lang w:val="en-US" w:eastAsia="zh-CN" w:bidi="ar"/>
              </w:rPr>
              <w:t>×</w:t>
            </w:r>
          </w:p>
          <w:p w14:paraId="35E1DAD4">
            <w:pPr>
              <w:widowControl/>
              <w:spacing w:line="400" w:lineRule="exact"/>
              <w:jc w:val="left"/>
              <w:textAlignment w:val="center"/>
              <w:rPr>
                <w:rFonts w:hint="eastAsia" w:ascii="宋体" w:hAnsi="宋体" w:eastAsia="宋体" w:cs="宋体"/>
                <w:color w:val="auto"/>
                <w:kern w:val="0"/>
                <w:szCs w:val="21"/>
                <w:lang w:eastAsia="zh-CN" w:bidi="ar"/>
              </w:rPr>
            </w:pPr>
            <w:r>
              <w:rPr>
                <w:rFonts w:hint="eastAsia" w:ascii="宋体" w:hAnsi="宋体" w:eastAsia="宋体" w:cs="宋体"/>
                <w:color w:val="auto"/>
                <w:kern w:val="0"/>
                <w:szCs w:val="21"/>
                <w:lang w:eastAsia="zh-CN" w:bidi="ar"/>
              </w:rPr>
              <w:t>1080</w:t>
            </w:r>
          </w:p>
        </w:tc>
        <w:tc>
          <w:tcPr>
            <w:tcW w:w="1161" w:type="dxa"/>
            <w:shd w:val="clear" w:color="auto" w:fill="auto"/>
            <w:noWrap/>
            <w:vAlign w:val="center"/>
          </w:tcPr>
          <w:p w14:paraId="33A0526F">
            <w:pPr>
              <w:widowControl/>
              <w:spacing w:line="400" w:lineRule="exact"/>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1台</w:t>
            </w:r>
          </w:p>
        </w:tc>
        <w:tc>
          <w:tcPr>
            <w:tcW w:w="833" w:type="dxa"/>
            <w:shd w:val="clear" w:color="auto" w:fill="auto"/>
            <w:noWrap/>
            <w:vAlign w:val="center"/>
          </w:tcPr>
          <w:p w14:paraId="3BA4F475">
            <w:pPr>
              <w:widowControl/>
              <w:spacing w:line="400" w:lineRule="exact"/>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工业</w:t>
            </w:r>
          </w:p>
        </w:tc>
        <w:tc>
          <w:tcPr>
            <w:tcW w:w="1259" w:type="dxa"/>
            <w:shd w:val="clear" w:color="auto" w:fill="auto"/>
            <w:noWrap/>
            <w:vAlign w:val="center"/>
          </w:tcPr>
          <w:p w14:paraId="14BC8A89">
            <w:pPr>
              <w:widowControl/>
              <w:spacing w:line="400" w:lineRule="exact"/>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否</w:t>
            </w:r>
          </w:p>
        </w:tc>
        <w:tc>
          <w:tcPr>
            <w:tcW w:w="490" w:type="dxa"/>
            <w:shd w:val="clear" w:color="auto" w:fill="auto"/>
            <w:noWrap/>
            <w:vAlign w:val="center"/>
          </w:tcPr>
          <w:p w14:paraId="036C98CC">
            <w:pPr>
              <w:widowControl/>
              <w:spacing w:line="400" w:lineRule="exact"/>
              <w:rPr>
                <w:rFonts w:ascii="宋体" w:hAnsi="宋体" w:eastAsia="宋体" w:cs="宋体"/>
                <w:color w:val="auto"/>
                <w:szCs w:val="21"/>
              </w:rPr>
            </w:pPr>
            <w:r>
              <w:rPr>
                <w:rFonts w:hint="eastAsia" w:ascii="宋体" w:hAnsi="宋体" w:eastAsia="宋体" w:cs="宋体"/>
                <w:color w:val="auto"/>
                <w:szCs w:val="21"/>
              </w:rPr>
              <w:t>政府强制采购的节能产品</w:t>
            </w:r>
          </w:p>
        </w:tc>
      </w:tr>
      <w:tr w14:paraId="2FD80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703" w:type="dxa"/>
            <w:shd w:val="clear" w:color="auto" w:fill="auto"/>
            <w:noWrap/>
            <w:vAlign w:val="center"/>
          </w:tcPr>
          <w:p w14:paraId="75352573">
            <w:pPr>
              <w:widowControl/>
              <w:spacing w:line="400" w:lineRule="exact"/>
              <w:jc w:val="center"/>
              <w:textAlignment w:val="center"/>
              <w:rPr>
                <w:rFonts w:hint="eastAsia" w:ascii="宋体" w:hAnsi="宋体" w:eastAsia="宋体" w:cs="宋体"/>
                <w:b/>
                <w:bCs/>
                <w:color w:val="auto"/>
                <w:kern w:val="0"/>
                <w:szCs w:val="21"/>
                <w:lang w:eastAsia="zh-CN" w:bidi="ar"/>
              </w:rPr>
            </w:pPr>
            <w:r>
              <w:rPr>
                <w:rFonts w:hint="eastAsia" w:ascii="宋体" w:hAnsi="宋体" w:eastAsia="宋体" w:cs="宋体"/>
                <w:b/>
                <w:bCs/>
                <w:color w:val="auto"/>
                <w:kern w:val="0"/>
                <w:szCs w:val="21"/>
                <w:lang w:bidi="ar"/>
              </w:rPr>
              <w:t>23</w:t>
            </w:r>
          </w:p>
        </w:tc>
        <w:tc>
          <w:tcPr>
            <w:tcW w:w="710" w:type="dxa"/>
            <w:shd w:val="clear" w:color="auto" w:fill="auto"/>
            <w:vAlign w:val="center"/>
          </w:tcPr>
          <w:p w14:paraId="3953EB2B">
            <w:pPr>
              <w:widowControl/>
              <w:spacing w:line="400" w:lineRule="exact"/>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半球摄像机</w:t>
            </w:r>
          </w:p>
        </w:tc>
        <w:tc>
          <w:tcPr>
            <w:tcW w:w="4131" w:type="dxa"/>
            <w:shd w:val="clear" w:color="auto" w:fill="auto"/>
            <w:vAlign w:val="center"/>
          </w:tcPr>
          <w:p w14:paraId="32785184">
            <w:pPr>
              <w:widowControl/>
              <w:spacing w:line="400" w:lineRule="exact"/>
              <w:jc w:val="left"/>
              <w:textAlignment w:val="center"/>
              <w:rPr>
                <w:rFonts w:hint="eastAsia" w:ascii="宋体" w:hAnsi="宋体" w:eastAsia="宋体" w:cs="宋体"/>
                <w:color w:val="auto"/>
                <w:kern w:val="0"/>
                <w:szCs w:val="21"/>
                <w:lang w:bidi="ar"/>
              </w:rPr>
            </w:pPr>
            <w:r>
              <w:rPr>
                <w:rFonts w:hint="eastAsia" w:ascii="宋体" w:hAnsi="宋体" w:eastAsia="宋体" w:cs="宋体"/>
                <w:color w:val="auto"/>
                <w:kern w:val="0"/>
                <w:szCs w:val="21"/>
                <w:lang w:bidi="ar"/>
              </w:rPr>
              <w:t>1、400万白光全彩海螺型网络摄像机。</w:t>
            </w:r>
          </w:p>
          <w:p w14:paraId="2116833A">
            <w:pPr>
              <w:widowControl/>
              <w:spacing w:line="400" w:lineRule="exact"/>
              <w:jc w:val="left"/>
              <w:textAlignment w:val="center"/>
              <w:rPr>
                <w:rFonts w:hint="eastAsia" w:ascii="宋体" w:hAnsi="宋体" w:eastAsia="宋体" w:cs="宋体"/>
                <w:color w:val="auto"/>
                <w:kern w:val="0"/>
                <w:szCs w:val="21"/>
                <w:lang w:bidi="ar"/>
              </w:rPr>
            </w:pPr>
            <w:r>
              <w:rPr>
                <w:rFonts w:hint="eastAsia" w:ascii="宋体" w:hAnsi="宋体" w:eastAsia="宋体" w:cs="宋体"/>
                <w:color w:val="auto"/>
                <w:kern w:val="0"/>
                <w:szCs w:val="21"/>
                <w:lang w:bidi="ar"/>
              </w:rPr>
              <w:t>2、白光全彩海螺型网络摄像机，最高分辨率可达400万像素，并在此分辨率下可输出25 fps实时图像。</w:t>
            </w:r>
          </w:p>
          <w:p w14:paraId="06ADA1C3">
            <w:pPr>
              <w:widowControl/>
              <w:spacing w:line="400" w:lineRule="exact"/>
              <w:jc w:val="left"/>
              <w:textAlignment w:val="center"/>
              <w:rPr>
                <w:rFonts w:hint="eastAsia" w:ascii="宋体" w:hAnsi="宋体" w:eastAsia="宋体" w:cs="宋体"/>
                <w:color w:val="auto"/>
                <w:kern w:val="0"/>
                <w:szCs w:val="21"/>
                <w:lang w:bidi="ar"/>
              </w:rPr>
            </w:pPr>
            <w:r>
              <w:rPr>
                <w:rFonts w:hint="eastAsia" w:ascii="宋体" w:hAnsi="宋体" w:eastAsia="宋体" w:cs="宋体"/>
                <w:color w:val="auto"/>
                <w:kern w:val="0"/>
                <w:szCs w:val="21"/>
                <w:lang w:bidi="ar"/>
              </w:rPr>
              <w:t>3、支持1个RJ45 10 M/100 M自适应以太网口，1个内置麦克风。</w:t>
            </w:r>
          </w:p>
          <w:p w14:paraId="54DFDCA8">
            <w:pPr>
              <w:widowControl/>
              <w:spacing w:line="400" w:lineRule="exact"/>
              <w:jc w:val="left"/>
              <w:textAlignment w:val="center"/>
              <w:rPr>
                <w:rFonts w:hint="eastAsia" w:ascii="宋体" w:hAnsi="宋体" w:eastAsia="宋体" w:cs="宋体"/>
                <w:color w:val="auto"/>
                <w:kern w:val="0"/>
                <w:szCs w:val="21"/>
                <w:lang w:bidi="ar"/>
              </w:rPr>
            </w:pPr>
            <w:r>
              <w:rPr>
                <w:rFonts w:hint="eastAsia" w:ascii="宋体" w:hAnsi="宋体" w:eastAsia="宋体" w:cs="宋体"/>
                <w:color w:val="auto"/>
                <w:kern w:val="0"/>
                <w:szCs w:val="21"/>
                <w:lang w:bidi="ar"/>
              </w:rPr>
              <w:t>4、移动侦测（支持人形检测）与异常侦测；</w:t>
            </w:r>
          </w:p>
          <w:p w14:paraId="37182059">
            <w:pPr>
              <w:widowControl/>
              <w:spacing w:line="400" w:lineRule="exact"/>
              <w:jc w:val="left"/>
              <w:textAlignment w:val="center"/>
              <w:rPr>
                <w:rFonts w:hint="eastAsia" w:ascii="宋体" w:hAnsi="宋体" w:eastAsia="宋体" w:cs="宋体"/>
                <w:color w:val="auto"/>
                <w:kern w:val="0"/>
                <w:szCs w:val="21"/>
                <w:lang w:bidi="ar"/>
              </w:rPr>
            </w:pPr>
            <w:r>
              <w:rPr>
                <w:rFonts w:hint="eastAsia" w:ascii="宋体" w:hAnsi="宋体" w:eastAsia="宋体" w:cs="宋体"/>
                <w:color w:val="auto"/>
                <w:kern w:val="0"/>
                <w:szCs w:val="21"/>
                <w:lang w:bidi="ar"/>
              </w:rPr>
              <w:t>适用于道路、仓库、地下停车场、酒吧、管道、园区等光线较暗或无光照环境且要求高清画质的场所。</w:t>
            </w:r>
          </w:p>
          <w:p w14:paraId="3CDC2EE4">
            <w:pPr>
              <w:widowControl/>
              <w:spacing w:line="400" w:lineRule="exact"/>
              <w:jc w:val="left"/>
              <w:textAlignment w:val="center"/>
              <w:rPr>
                <w:rFonts w:hint="eastAsia" w:ascii="宋体" w:hAnsi="宋体" w:eastAsia="宋体" w:cs="宋体"/>
                <w:color w:val="auto"/>
                <w:kern w:val="0"/>
                <w:szCs w:val="21"/>
                <w:lang w:bidi="ar"/>
              </w:rPr>
            </w:pPr>
            <w:r>
              <w:rPr>
                <w:rFonts w:hint="eastAsia" w:ascii="宋体" w:hAnsi="宋体" w:eastAsia="宋体" w:cs="宋体"/>
                <w:color w:val="auto"/>
                <w:kern w:val="0"/>
                <w:szCs w:val="21"/>
                <w:lang w:bidi="ar"/>
              </w:rPr>
              <w:t>5、支持背光补偿，强光抑制，3D数字降噪，数字宽动态，适应不同环境；</w:t>
            </w:r>
          </w:p>
          <w:p w14:paraId="666D2813">
            <w:pPr>
              <w:widowControl/>
              <w:spacing w:line="400" w:lineRule="exact"/>
              <w:jc w:val="left"/>
              <w:textAlignment w:val="center"/>
              <w:rPr>
                <w:rFonts w:hint="eastAsia" w:ascii="宋体" w:hAnsi="宋体" w:eastAsia="宋体" w:cs="宋体"/>
                <w:color w:val="auto"/>
                <w:kern w:val="0"/>
                <w:szCs w:val="21"/>
                <w:lang w:bidi="ar"/>
              </w:rPr>
            </w:pPr>
            <w:r>
              <w:rPr>
                <w:rFonts w:hint="eastAsia" w:ascii="宋体" w:hAnsi="宋体" w:eastAsia="宋体" w:cs="宋体"/>
                <w:color w:val="auto"/>
                <w:kern w:val="0"/>
                <w:szCs w:val="21"/>
                <w:lang w:bidi="ar"/>
              </w:rPr>
              <w:t>6、支持萤石平台，互联接入；</w:t>
            </w:r>
          </w:p>
          <w:p w14:paraId="30B303F0">
            <w:pPr>
              <w:widowControl/>
              <w:spacing w:line="400" w:lineRule="exact"/>
              <w:jc w:val="left"/>
              <w:textAlignment w:val="center"/>
              <w:rPr>
                <w:rFonts w:hint="eastAsia" w:ascii="宋体" w:hAnsi="宋体" w:eastAsia="宋体" w:cs="宋体"/>
                <w:color w:val="auto"/>
                <w:kern w:val="0"/>
                <w:szCs w:val="21"/>
                <w:lang w:bidi="ar"/>
              </w:rPr>
            </w:pPr>
            <w:r>
              <w:rPr>
                <w:rFonts w:hint="eastAsia" w:ascii="宋体" w:hAnsi="宋体" w:eastAsia="宋体" w:cs="宋体"/>
                <w:color w:val="auto"/>
                <w:kern w:val="0"/>
                <w:szCs w:val="21"/>
                <w:lang w:bidi="ar"/>
              </w:rPr>
              <w:t>7、支持ROI感兴趣区域增强编码；</w:t>
            </w:r>
          </w:p>
          <w:p w14:paraId="66F69631">
            <w:pPr>
              <w:widowControl/>
              <w:spacing w:line="400" w:lineRule="exact"/>
              <w:jc w:val="left"/>
              <w:textAlignment w:val="center"/>
              <w:rPr>
                <w:rFonts w:hint="eastAsia" w:ascii="宋体" w:hAnsi="宋体" w:eastAsia="宋体" w:cs="宋体"/>
                <w:color w:val="auto"/>
                <w:kern w:val="0"/>
                <w:szCs w:val="21"/>
                <w:lang w:bidi="ar"/>
              </w:rPr>
            </w:pPr>
            <w:r>
              <w:rPr>
                <w:rFonts w:hint="eastAsia" w:ascii="宋体" w:hAnsi="宋体" w:eastAsia="宋体" w:cs="宋体"/>
                <w:color w:val="auto"/>
                <w:kern w:val="0"/>
                <w:szCs w:val="21"/>
                <w:lang w:bidi="ar"/>
              </w:rPr>
              <w:t>8、支持智能补光，实现彩色记录报警事件，可在白光补光/红外补光模式之间切换，白光最远可达20米，红外光最远可达30米；</w:t>
            </w:r>
          </w:p>
          <w:p w14:paraId="41EC8D6F">
            <w:pPr>
              <w:widowControl/>
              <w:spacing w:line="400" w:lineRule="exact"/>
              <w:jc w:val="left"/>
              <w:textAlignment w:val="center"/>
              <w:rPr>
                <w:rFonts w:hint="eastAsia" w:ascii="宋体" w:hAnsi="宋体" w:eastAsia="宋体" w:cs="宋体"/>
                <w:color w:val="auto"/>
                <w:kern w:val="0"/>
                <w:szCs w:val="21"/>
                <w:lang w:bidi="ar"/>
              </w:rPr>
            </w:pPr>
            <w:r>
              <w:rPr>
                <w:rFonts w:hint="eastAsia" w:ascii="宋体" w:hAnsi="宋体" w:eastAsia="宋体" w:cs="宋体"/>
                <w:color w:val="auto"/>
                <w:kern w:val="0"/>
                <w:szCs w:val="21"/>
                <w:lang w:bidi="ar"/>
              </w:rPr>
              <w:t>符合IP66防尘防水设计，可靠性高；</w:t>
            </w:r>
          </w:p>
          <w:p w14:paraId="1126557D">
            <w:pPr>
              <w:widowControl/>
              <w:spacing w:line="400" w:lineRule="exact"/>
              <w:jc w:val="left"/>
              <w:textAlignment w:val="center"/>
              <w:rPr>
                <w:rFonts w:hint="eastAsia" w:ascii="宋体" w:hAnsi="宋体" w:eastAsia="宋体" w:cs="宋体"/>
                <w:color w:val="auto"/>
                <w:kern w:val="0"/>
                <w:szCs w:val="21"/>
                <w:lang w:bidi="ar"/>
              </w:rPr>
            </w:pPr>
            <w:r>
              <w:rPr>
                <w:rFonts w:hint="eastAsia" w:ascii="宋体" w:hAnsi="宋体" w:eastAsia="宋体" w:cs="宋体"/>
                <w:color w:val="auto"/>
                <w:kern w:val="0"/>
                <w:szCs w:val="21"/>
                <w:lang w:bidi="ar"/>
              </w:rPr>
              <w:t>9、传感器类型：1/2.7" Progressive Scan CMOS；</w:t>
            </w:r>
          </w:p>
          <w:p w14:paraId="3C95BC64">
            <w:pPr>
              <w:widowControl/>
              <w:spacing w:line="400" w:lineRule="exact"/>
              <w:jc w:val="left"/>
              <w:textAlignment w:val="center"/>
              <w:rPr>
                <w:rFonts w:hint="eastAsia" w:ascii="宋体" w:hAnsi="宋体" w:eastAsia="宋体" w:cs="宋体"/>
                <w:color w:val="auto"/>
                <w:kern w:val="0"/>
                <w:szCs w:val="21"/>
                <w:lang w:bidi="ar"/>
              </w:rPr>
            </w:pPr>
            <w:r>
              <w:rPr>
                <w:rFonts w:hint="eastAsia" w:ascii="宋体" w:hAnsi="宋体" w:eastAsia="宋体" w:cs="宋体"/>
                <w:color w:val="auto"/>
                <w:kern w:val="0"/>
                <w:szCs w:val="21"/>
                <w:lang w:bidi="ar"/>
              </w:rPr>
              <w:t>10、最低照度：彩色：0.01 Lux @（F1.2，AGC ON），0 Lux with IR；</w:t>
            </w:r>
          </w:p>
          <w:p w14:paraId="407D6BF8">
            <w:pPr>
              <w:widowControl/>
              <w:spacing w:line="400" w:lineRule="exact"/>
              <w:jc w:val="left"/>
              <w:textAlignment w:val="center"/>
              <w:rPr>
                <w:rFonts w:hint="eastAsia" w:ascii="宋体" w:hAnsi="宋体" w:eastAsia="宋体" w:cs="宋体"/>
                <w:color w:val="auto"/>
                <w:kern w:val="0"/>
                <w:szCs w:val="21"/>
                <w:lang w:bidi="ar"/>
              </w:rPr>
            </w:pPr>
            <w:r>
              <w:rPr>
                <w:rFonts w:hint="eastAsia" w:ascii="宋体" w:hAnsi="宋体" w:eastAsia="宋体" w:cs="宋体"/>
                <w:color w:val="auto"/>
                <w:kern w:val="0"/>
                <w:szCs w:val="21"/>
                <w:lang w:bidi="ar"/>
              </w:rPr>
              <w:t>11、宽动态：数字宽动态；</w:t>
            </w:r>
          </w:p>
          <w:p w14:paraId="2CDC673B">
            <w:pPr>
              <w:widowControl/>
              <w:spacing w:line="400" w:lineRule="exact"/>
              <w:jc w:val="left"/>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12、调节角度：水平：0°~360°，垂直：0°~75°，旋转：0°~360° 。</w:t>
            </w:r>
          </w:p>
        </w:tc>
        <w:tc>
          <w:tcPr>
            <w:tcW w:w="1161" w:type="dxa"/>
            <w:shd w:val="clear" w:color="auto" w:fill="auto"/>
            <w:noWrap/>
            <w:vAlign w:val="center"/>
          </w:tcPr>
          <w:p w14:paraId="1EDBB00A">
            <w:pPr>
              <w:widowControl/>
              <w:spacing w:line="400" w:lineRule="exact"/>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2台</w:t>
            </w:r>
          </w:p>
        </w:tc>
        <w:tc>
          <w:tcPr>
            <w:tcW w:w="833" w:type="dxa"/>
            <w:shd w:val="clear" w:color="auto" w:fill="auto"/>
            <w:noWrap/>
            <w:vAlign w:val="center"/>
          </w:tcPr>
          <w:p w14:paraId="606118CC">
            <w:pPr>
              <w:widowControl/>
              <w:spacing w:line="400" w:lineRule="exact"/>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工业</w:t>
            </w:r>
          </w:p>
        </w:tc>
        <w:tc>
          <w:tcPr>
            <w:tcW w:w="1259" w:type="dxa"/>
            <w:shd w:val="clear" w:color="auto" w:fill="auto"/>
            <w:noWrap/>
            <w:vAlign w:val="center"/>
          </w:tcPr>
          <w:p w14:paraId="4FF70575">
            <w:pPr>
              <w:widowControl/>
              <w:spacing w:line="400" w:lineRule="exact"/>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否</w:t>
            </w:r>
          </w:p>
        </w:tc>
        <w:tc>
          <w:tcPr>
            <w:tcW w:w="490" w:type="dxa"/>
            <w:shd w:val="clear" w:color="auto" w:fill="auto"/>
            <w:noWrap/>
            <w:vAlign w:val="center"/>
          </w:tcPr>
          <w:p w14:paraId="47C5EBD0">
            <w:pPr>
              <w:widowControl/>
              <w:spacing w:line="400" w:lineRule="exact"/>
              <w:rPr>
                <w:rFonts w:ascii="宋体" w:hAnsi="宋体" w:eastAsia="宋体" w:cs="宋体"/>
                <w:color w:val="auto"/>
                <w:szCs w:val="21"/>
              </w:rPr>
            </w:pPr>
          </w:p>
        </w:tc>
      </w:tr>
      <w:tr w14:paraId="6D7B6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703" w:type="dxa"/>
            <w:shd w:val="clear" w:color="auto" w:fill="auto"/>
            <w:noWrap/>
            <w:vAlign w:val="center"/>
          </w:tcPr>
          <w:p w14:paraId="3E40682A">
            <w:pPr>
              <w:widowControl/>
              <w:spacing w:line="400" w:lineRule="exact"/>
              <w:jc w:val="center"/>
              <w:textAlignment w:val="center"/>
              <w:rPr>
                <w:rFonts w:hint="eastAsia" w:ascii="宋体" w:hAnsi="宋体" w:eastAsia="宋体" w:cs="宋体"/>
                <w:b/>
                <w:bCs/>
                <w:color w:val="auto"/>
                <w:kern w:val="0"/>
                <w:szCs w:val="21"/>
                <w:lang w:eastAsia="zh-CN" w:bidi="ar"/>
              </w:rPr>
            </w:pPr>
            <w:r>
              <w:rPr>
                <w:rFonts w:hint="eastAsia" w:ascii="宋体" w:hAnsi="宋体" w:eastAsia="宋体" w:cs="宋体"/>
                <w:b/>
                <w:bCs/>
                <w:color w:val="auto"/>
                <w:kern w:val="0"/>
                <w:szCs w:val="21"/>
                <w:lang w:bidi="ar"/>
              </w:rPr>
              <w:t>24</w:t>
            </w:r>
          </w:p>
        </w:tc>
        <w:tc>
          <w:tcPr>
            <w:tcW w:w="710" w:type="dxa"/>
            <w:shd w:val="clear" w:color="auto" w:fill="auto"/>
            <w:vAlign w:val="center"/>
          </w:tcPr>
          <w:p w14:paraId="3911F196">
            <w:pPr>
              <w:widowControl/>
              <w:spacing w:line="400" w:lineRule="exact"/>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硬盘录像机</w:t>
            </w:r>
          </w:p>
        </w:tc>
        <w:tc>
          <w:tcPr>
            <w:tcW w:w="4131" w:type="dxa"/>
            <w:shd w:val="clear" w:color="auto" w:fill="auto"/>
            <w:vAlign w:val="center"/>
          </w:tcPr>
          <w:p w14:paraId="76FA961A">
            <w:pPr>
              <w:widowControl/>
              <w:spacing w:line="400" w:lineRule="exact"/>
              <w:jc w:val="left"/>
              <w:textAlignment w:val="center"/>
              <w:rPr>
                <w:rFonts w:hint="eastAsia" w:ascii="宋体" w:hAnsi="宋体" w:eastAsia="宋体" w:cs="宋体"/>
                <w:color w:val="auto"/>
                <w:kern w:val="0"/>
                <w:szCs w:val="21"/>
                <w:lang w:bidi="ar"/>
              </w:rPr>
            </w:pPr>
            <w:r>
              <w:rPr>
                <w:rFonts w:hint="eastAsia" w:ascii="宋体" w:hAnsi="宋体" w:eastAsia="宋体" w:cs="宋体"/>
                <w:color w:val="auto"/>
                <w:kern w:val="0"/>
                <w:szCs w:val="21"/>
                <w:lang w:bidi="ar"/>
              </w:rPr>
              <w:t>1盘位嵌入式网络硬盘录像机；</w:t>
            </w:r>
          </w:p>
          <w:p w14:paraId="6A1E9407">
            <w:pPr>
              <w:widowControl/>
              <w:spacing w:line="400" w:lineRule="exact"/>
              <w:jc w:val="left"/>
              <w:textAlignment w:val="center"/>
              <w:rPr>
                <w:rFonts w:hint="eastAsia" w:ascii="宋体" w:hAnsi="宋体" w:eastAsia="宋体" w:cs="宋体"/>
                <w:color w:val="auto"/>
                <w:kern w:val="0"/>
                <w:szCs w:val="21"/>
                <w:lang w:bidi="ar"/>
              </w:rPr>
            </w:pPr>
            <w:r>
              <w:rPr>
                <w:rFonts w:hint="eastAsia" w:ascii="宋体" w:hAnsi="宋体" w:eastAsia="宋体" w:cs="宋体"/>
                <w:color w:val="auto"/>
                <w:kern w:val="0"/>
                <w:szCs w:val="21"/>
                <w:lang w:bidi="ar"/>
              </w:rPr>
              <w:t>1、存储接口：1个SATA接口，可满配6TB硬盘；</w:t>
            </w:r>
          </w:p>
          <w:p w14:paraId="0DB5DC3A">
            <w:pPr>
              <w:widowControl/>
              <w:spacing w:line="400" w:lineRule="exact"/>
              <w:jc w:val="left"/>
              <w:textAlignment w:val="center"/>
              <w:rPr>
                <w:rFonts w:hint="eastAsia" w:ascii="宋体" w:hAnsi="宋体" w:eastAsia="宋体" w:cs="宋体"/>
                <w:color w:val="auto"/>
                <w:kern w:val="0"/>
                <w:szCs w:val="21"/>
                <w:lang w:bidi="ar"/>
              </w:rPr>
            </w:pPr>
            <w:r>
              <w:rPr>
                <w:rFonts w:hint="eastAsia" w:ascii="宋体" w:hAnsi="宋体" w:eastAsia="宋体" w:cs="宋体"/>
                <w:color w:val="auto"/>
                <w:kern w:val="0"/>
                <w:szCs w:val="21"/>
                <w:lang w:bidi="ar"/>
              </w:rPr>
              <w:t>2、视频接口：1×HDMI，1×VGA；</w:t>
            </w:r>
          </w:p>
          <w:p w14:paraId="63F450A7">
            <w:pPr>
              <w:widowControl/>
              <w:spacing w:line="400" w:lineRule="exact"/>
              <w:jc w:val="left"/>
              <w:textAlignment w:val="center"/>
              <w:rPr>
                <w:rFonts w:hint="eastAsia" w:ascii="宋体" w:hAnsi="宋体" w:eastAsia="宋体" w:cs="宋体"/>
                <w:color w:val="auto"/>
                <w:kern w:val="0"/>
                <w:szCs w:val="21"/>
                <w:lang w:bidi="ar"/>
              </w:rPr>
            </w:pPr>
            <w:r>
              <w:rPr>
                <w:rFonts w:hint="eastAsia" w:ascii="宋体" w:hAnsi="宋体" w:eastAsia="宋体" w:cs="宋体"/>
                <w:color w:val="auto"/>
                <w:kern w:val="0"/>
                <w:szCs w:val="21"/>
                <w:lang w:bidi="ar"/>
              </w:rPr>
              <w:t>3、网络接口：1×RJ45 10/100Mbps自适应以太网口；</w:t>
            </w:r>
          </w:p>
          <w:p w14:paraId="0C5213BE">
            <w:pPr>
              <w:widowControl/>
              <w:spacing w:line="400" w:lineRule="exact"/>
              <w:jc w:val="left"/>
              <w:textAlignment w:val="center"/>
              <w:rPr>
                <w:rFonts w:hint="eastAsia" w:ascii="宋体" w:hAnsi="宋体" w:eastAsia="宋体" w:cs="宋体"/>
                <w:color w:val="auto"/>
                <w:kern w:val="0"/>
                <w:szCs w:val="21"/>
                <w:lang w:bidi="ar"/>
              </w:rPr>
            </w:pPr>
            <w:r>
              <w:rPr>
                <w:rFonts w:hint="eastAsia" w:ascii="宋体" w:hAnsi="宋体" w:eastAsia="宋体" w:cs="宋体"/>
                <w:color w:val="auto"/>
                <w:kern w:val="0"/>
                <w:szCs w:val="21"/>
                <w:lang w:bidi="ar"/>
              </w:rPr>
              <w:t>4、USB接口：2×USB 2.0；</w:t>
            </w:r>
          </w:p>
          <w:p w14:paraId="41949ECA">
            <w:pPr>
              <w:widowControl/>
              <w:spacing w:line="400" w:lineRule="exact"/>
              <w:jc w:val="left"/>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5、含一块2T硬盘；</w:t>
            </w:r>
          </w:p>
        </w:tc>
        <w:tc>
          <w:tcPr>
            <w:tcW w:w="1161" w:type="dxa"/>
            <w:shd w:val="clear" w:color="auto" w:fill="auto"/>
            <w:noWrap/>
            <w:vAlign w:val="center"/>
          </w:tcPr>
          <w:p w14:paraId="5F4405C2">
            <w:pPr>
              <w:widowControl/>
              <w:spacing w:line="400" w:lineRule="exact"/>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1台</w:t>
            </w:r>
          </w:p>
        </w:tc>
        <w:tc>
          <w:tcPr>
            <w:tcW w:w="833" w:type="dxa"/>
            <w:shd w:val="clear" w:color="auto" w:fill="auto"/>
            <w:noWrap/>
            <w:vAlign w:val="center"/>
          </w:tcPr>
          <w:p w14:paraId="30CA946E">
            <w:pPr>
              <w:widowControl/>
              <w:spacing w:line="400" w:lineRule="exact"/>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工业</w:t>
            </w:r>
          </w:p>
        </w:tc>
        <w:tc>
          <w:tcPr>
            <w:tcW w:w="1259" w:type="dxa"/>
            <w:shd w:val="clear" w:color="auto" w:fill="auto"/>
            <w:noWrap/>
            <w:vAlign w:val="center"/>
          </w:tcPr>
          <w:p w14:paraId="2C8E1542">
            <w:pPr>
              <w:widowControl/>
              <w:spacing w:line="400" w:lineRule="exact"/>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否</w:t>
            </w:r>
          </w:p>
        </w:tc>
        <w:tc>
          <w:tcPr>
            <w:tcW w:w="490" w:type="dxa"/>
            <w:shd w:val="clear" w:color="auto" w:fill="auto"/>
            <w:noWrap/>
            <w:vAlign w:val="center"/>
          </w:tcPr>
          <w:p w14:paraId="0A00BC0A">
            <w:pPr>
              <w:widowControl/>
              <w:spacing w:line="400" w:lineRule="exact"/>
              <w:rPr>
                <w:rFonts w:ascii="宋体" w:hAnsi="宋体" w:eastAsia="宋体" w:cs="宋体"/>
                <w:color w:val="auto"/>
                <w:szCs w:val="21"/>
              </w:rPr>
            </w:pPr>
          </w:p>
        </w:tc>
      </w:tr>
      <w:tr w14:paraId="07B00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703" w:type="dxa"/>
            <w:shd w:val="clear" w:color="auto" w:fill="auto"/>
            <w:noWrap/>
            <w:vAlign w:val="center"/>
          </w:tcPr>
          <w:p w14:paraId="4415873E">
            <w:pPr>
              <w:widowControl/>
              <w:spacing w:line="400" w:lineRule="exact"/>
              <w:jc w:val="center"/>
              <w:textAlignment w:val="center"/>
              <w:rPr>
                <w:rFonts w:hint="eastAsia" w:ascii="宋体" w:hAnsi="宋体" w:eastAsia="宋体" w:cs="宋体"/>
                <w:b/>
                <w:bCs/>
                <w:color w:val="auto"/>
                <w:kern w:val="0"/>
                <w:szCs w:val="21"/>
                <w:lang w:eastAsia="zh-CN" w:bidi="ar"/>
              </w:rPr>
            </w:pPr>
            <w:r>
              <w:rPr>
                <w:rFonts w:hint="eastAsia" w:ascii="宋体" w:hAnsi="宋体" w:eastAsia="宋体" w:cs="宋体"/>
                <w:b/>
                <w:bCs/>
                <w:color w:val="auto"/>
                <w:kern w:val="0"/>
                <w:szCs w:val="21"/>
                <w:lang w:bidi="ar"/>
              </w:rPr>
              <w:t>25</w:t>
            </w:r>
          </w:p>
        </w:tc>
        <w:tc>
          <w:tcPr>
            <w:tcW w:w="710" w:type="dxa"/>
            <w:shd w:val="clear" w:color="auto" w:fill="auto"/>
            <w:vAlign w:val="center"/>
          </w:tcPr>
          <w:p w14:paraId="0BEE8847">
            <w:pPr>
              <w:widowControl/>
              <w:spacing w:line="400" w:lineRule="exact"/>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耳挂对讲器</w:t>
            </w:r>
          </w:p>
        </w:tc>
        <w:tc>
          <w:tcPr>
            <w:tcW w:w="4131" w:type="dxa"/>
            <w:shd w:val="clear" w:color="auto" w:fill="auto"/>
            <w:vAlign w:val="center"/>
          </w:tcPr>
          <w:p w14:paraId="28EEA63B">
            <w:pPr>
              <w:widowControl/>
              <w:spacing w:line="400" w:lineRule="exact"/>
              <w:jc w:val="left"/>
              <w:textAlignment w:val="center"/>
              <w:rPr>
                <w:rFonts w:hint="eastAsia" w:ascii="宋体" w:hAnsi="宋体" w:eastAsia="宋体" w:cs="宋体"/>
                <w:color w:val="auto"/>
                <w:kern w:val="0"/>
                <w:szCs w:val="21"/>
                <w:lang w:bidi="ar"/>
              </w:rPr>
            </w:pPr>
            <w:r>
              <w:rPr>
                <w:rFonts w:hint="eastAsia" w:ascii="宋体" w:hAnsi="宋体" w:eastAsia="宋体" w:cs="宋体"/>
                <w:color w:val="auto"/>
                <w:kern w:val="0"/>
                <w:szCs w:val="21"/>
                <w:lang w:bidi="ar"/>
              </w:rPr>
              <w:t>1、频道数：25（出厂原设定）为22个信道）；</w:t>
            </w:r>
          </w:p>
          <w:p w14:paraId="55CC253C">
            <w:pPr>
              <w:widowControl/>
              <w:spacing w:line="400" w:lineRule="exact"/>
              <w:jc w:val="left"/>
              <w:textAlignment w:val="center"/>
              <w:rPr>
                <w:rFonts w:hint="eastAsia" w:ascii="宋体" w:hAnsi="宋体" w:eastAsia="宋体" w:cs="宋体"/>
                <w:color w:val="auto"/>
                <w:kern w:val="0"/>
                <w:szCs w:val="21"/>
                <w:lang w:bidi="ar"/>
              </w:rPr>
            </w:pPr>
            <w:r>
              <w:rPr>
                <w:rFonts w:hint="eastAsia" w:ascii="宋体" w:hAnsi="宋体" w:eastAsia="宋体" w:cs="宋体"/>
                <w:color w:val="auto"/>
                <w:kern w:val="0"/>
                <w:szCs w:val="21"/>
                <w:lang w:bidi="ar"/>
              </w:rPr>
              <w:t>2、工作温度范围：-20℃~60℃；</w:t>
            </w:r>
          </w:p>
          <w:p w14:paraId="08B703D4">
            <w:pPr>
              <w:widowControl/>
              <w:spacing w:line="400" w:lineRule="exact"/>
              <w:jc w:val="left"/>
              <w:textAlignment w:val="center"/>
              <w:rPr>
                <w:rFonts w:hint="eastAsia" w:ascii="宋体" w:hAnsi="宋体" w:eastAsia="宋体" w:cs="宋体"/>
                <w:color w:val="auto"/>
                <w:kern w:val="0"/>
                <w:szCs w:val="21"/>
                <w:lang w:bidi="ar"/>
              </w:rPr>
            </w:pPr>
            <w:r>
              <w:rPr>
                <w:rFonts w:hint="eastAsia" w:ascii="宋体" w:hAnsi="宋体" w:eastAsia="宋体" w:cs="宋体"/>
                <w:color w:val="auto"/>
                <w:kern w:val="0"/>
                <w:szCs w:val="21"/>
                <w:lang w:bidi="ar"/>
              </w:rPr>
              <w:t>3、额定电压：DS3.7V；</w:t>
            </w:r>
          </w:p>
          <w:p w14:paraId="2EFBADE8">
            <w:pPr>
              <w:widowControl/>
              <w:spacing w:line="400" w:lineRule="exact"/>
              <w:jc w:val="left"/>
              <w:textAlignment w:val="center"/>
              <w:rPr>
                <w:rFonts w:hint="eastAsia" w:ascii="宋体" w:hAnsi="宋体" w:eastAsia="宋体" w:cs="宋体"/>
                <w:color w:val="auto"/>
                <w:kern w:val="0"/>
                <w:szCs w:val="21"/>
                <w:lang w:bidi="ar"/>
              </w:rPr>
            </w:pPr>
            <w:r>
              <w:rPr>
                <w:rFonts w:hint="eastAsia" w:ascii="宋体" w:hAnsi="宋体" w:eastAsia="宋体" w:cs="宋体"/>
                <w:color w:val="auto"/>
                <w:kern w:val="0"/>
                <w:szCs w:val="21"/>
                <w:lang w:bidi="ar"/>
              </w:rPr>
              <w:t>4、电池容量：280mAh；</w:t>
            </w:r>
          </w:p>
          <w:p w14:paraId="567E74AF">
            <w:pPr>
              <w:widowControl/>
              <w:spacing w:line="400" w:lineRule="exact"/>
              <w:jc w:val="left"/>
              <w:textAlignment w:val="center"/>
              <w:rPr>
                <w:rFonts w:hint="eastAsia" w:ascii="宋体" w:hAnsi="宋体" w:eastAsia="宋体" w:cs="宋体"/>
                <w:color w:val="auto"/>
                <w:kern w:val="0"/>
                <w:szCs w:val="21"/>
                <w:lang w:bidi="ar"/>
              </w:rPr>
            </w:pPr>
            <w:r>
              <w:rPr>
                <w:rFonts w:hint="eastAsia" w:ascii="宋体" w:hAnsi="宋体" w:eastAsia="宋体" w:cs="宋体"/>
                <w:color w:val="auto"/>
                <w:kern w:val="0"/>
                <w:szCs w:val="21"/>
                <w:lang w:bidi="ar"/>
              </w:rPr>
              <w:t>5、信道间隔：12.5K/25KHz；</w:t>
            </w:r>
          </w:p>
          <w:p w14:paraId="320F34E4">
            <w:pPr>
              <w:widowControl/>
              <w:spacing w:line="400" w:lineRule="exact"/>
              <w:jc w:val="left"/>
              <w:textAlignment w:val="center"/>
              <w:rPr>
                <w:rFonts w:hint="eastAsia" w:ascii="宋体" w:hAnsi="宋体" w:eastAsia="宋体" w:cs="宋体"/>
                <w:color w:val="auto"/>
                <w:kern w:val="0"/>
                <w:szCs w:val="21"/>
                <w:lang w:bidi="ar"/>
              </w:rPr>
            </w:pPr>
            <w:r>
              <w:rPr>
                <w:rFonts w:hint="eastAsia" w:ascii="宋体" w:hAnsi="宋体" w:eastAsia="宋体" w:cs="宋体"/>
                <w:color w:val="auto"/>
                <w:kern w:val="0"/>
                <w:szCs w:val="21"/>
                <w:lang w:bidi="ar"/>
              </w:rPr>
              <w:t>6、外形尺寸（不含背扣）：53*21.5*15mm；</w:t>
            </w:r>
          </w:p>
          <w:p w14:paraId="1698A64F">
            <w:pPr>
              <w:widowControl/>
              <w:spacing w:line="400" w:lineRule="exact"/>
              <w:jc w:val="left"/>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7、天线阻抗：50Ω。</w:t>
            </w:r>
          </w:p>
        </w:tc>
        <w:tc>
          <w:tcPr>
            <w:tcW w:w="1161" w:type="dxa"/>
            <w:shd w:val="clear" w:color="auto" w:fill="auto"/>
            <w:noWrap/>
            <w:vAlign w:val="center"/>
          </w:tcPr>
          <w:p w14:paraId="1A167087">
            <w:pPr>
              <w:widowControl/>
              <w:spacing w:line="400" w:lineRule="exact"/>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3台</w:t>
            </w:r>
          </w:p>
        </w:tc>
        <w:tc>
          <w:tcPr>
            <w:tcW w:w="833" w:type="dxa"/>
            <w:shd w:val="clear" w:color="auto" w:fill="auto"/>
            <w:noWrap/>
            <w:vAlign w:val="center"/>
          </w:tcPr>
          <w:p w14:paraId="5A77DC62">
            <w:pPr>
              <w:widowControl/>
              <w:spacing w:line="400" w:lineRule="exact"/>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工业</w:t>
            </w:r>
          </w:p>
        </w:tc>
        <w:tc>
          <w:tcPr>
            <w:tcW w:w="1259" w:type="dxa"/>
            <w:shd w:val="clear" w:color="auto" w:fill="auto"/>
            <w:noWrap/>
            <w:vAlign w:val="center"/>
          </w:tcPr>
          <w:p w14:paraId="730AEE4C">
            <w:pPr>
              <w:widowControl/>
              <w:spacing w:line="400" w:lineRule="exact"/>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否</w:t>
            </w:r>
          </w:p>
        </w:tc>
        <w:tc>
          <w:tcPr>
            <w:tcW w:w="490" w:type="dxa"/>
            <w:shd w:val="clear" w:color="auto" w:fill="auto"/>
            <w:noWrap/>
            <w:vAlign w:val="center"/>
          </w:tcPr>
          <w:p w14:paraId="47A2326C">
            <w:pPr>
              <w:widowControl/>
              <w:spacing w:line="400" w:lineRule="exact"/>
              <w:rPr>
                <w:rFonts w:ascii="宋体" w:hAnsi="宋体" w:eastAsia="宋体" w:cs="宋体"/>
                <w:color w:val="auto"/>
                <w:szCs w:val="21"/>
              </w:rPr>
            </w:pPr>
          </w:p>
        </w:tc>
      </w:tr>
      <w:tr w14:paraId="3263A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703" w:type="dxa"/>
            <w:shd w:val="clear" w:color="auto" w:fill="auto"/>
            <w:noWrap/>
            <w:vAlign w:val="center"/>
          </w:tcPr>
          <w:p w14:paraId="4900F818">
            <w:pPr>
              <w:widowControl/>
              <w:spacing w:line="400" w:lineRule="exact"/>
              <w:jc w:val="center"/>
              <w:textAlignment w:val="center"/>
              <w:rPr>
                <w:rFonts w:hint="eastAsia" w:ascii="宋体" w:hAnsi="宋体" w:eastAsia="宋体" w:cs="宋体"/>
                <w:b/>
                <w:bCs/>
                <w:color w:val="auto"/>
                <w:kern w:val="0"/>
                <w:szCs w:val="21"/>
                <w:lang w:eastAsia="zh-CN" w:bidi="ar"/>
              </w:rPr>
            </w:pPr>
            <w:r>
              <w:rPr>
                <w:rFonts w:hint="eastAsia" w:ascii="宋体" w:hAnsi="宋体" w:eastAsia="宋体" w:cs="宋体"/>
                <w:b/>
                <w:bCs/>
                <w:color w:val="auto"/>
                <w:kern w:val="0"/>
                <w:szCs w:val="21"/>
                <w:lang w:bidi="ar"/>
              </w:rPr>
              <w:t>26</w:t>
            </w:r>
          </w:p>
        </w:tc>
        <w:tc>
          <w:tcPr>
            <w:tcW w:w="710" w:type="dxa"/>
            <w:shd w:val="clear" w:color="auto" w:fill="auto"/>
            <w:vAlign w:val="center"/>
          </w:tcPr>
          <w:p w14:paraId="46893DED">
            <w:pPr>
              <w:widowControl/>
              <w:spacing w:line="400" w:lineRule="exact"/>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控制线缆</w:t>
            </w:r>
          </w:p>
        </w:tc>
        <w:tc>
          <w:tcPr>
            <w:tcW w:w="4131" w:type="dxa"/>
            <w:shd w:val="clear" w:color="auto" w:fill="auto"/>
            <w:vAlign w:val="center"/>
          </w:tcPr>
          <w:p w14:paraId="511A14C5">
            <w:pPr>
              <w:widowControl/>
              <w:spacing w:line="400" w:lineRule="exact"/>
              <w:jc w:val="left"/>
              <w:textAlignment w:val="center"/>
              <w:rPr>
                <w:rFonts w:hint="eastAsia" w:ascii="宋体" w:hAnsi="宋体" w:eastAsia="宋体" w:cs="宋体"/>
                <w:color w:val="auto"/>
                <w:kern w:val="0"/>
                <w:szCs w:val="21"/>
                <w:lang w:bidi="ar"/>
              </w:rPr>
            </w:pPr>
            <w:r>
              <w:rPr>
                <w:rFonts w:hint="eastAsia" w:ascii="宋体" w:hAnsi="宋体" w:eastAsia="宋体" w:cs="宋体"/>
                <w:color w:val="auto"/>
                <w:kern w:val="0"/>
                <w:szCs w:val="21"/>
                <w:lang w:bidi="ar"/>
              </w:rPr>
              <w:t>1、名称：通讯线。</w:t>
            </w:r>
          </w:p>
          <w:p w14:paraId="65D314F7">
            <w:pPr>
              <w:widowControl/>
              <w:spacing w:line="400" w:lineRule="exact"/>
              <w:jc w:val="left"/>
              <w:textAlignment w:val="center"/>
              <w:rPr>
                <w:rFonts w:hint="eastAsia" w:ascii="宋体" w:hAnsi="宋体" w:eastAsia="宋体" w:cs="宋体"/>
                <w:color w:val="auto"/>
                <w:kern w:val="0"/>
                <w:szCs w:val="21"/>
                <w:lang w:bidi="ar"/>
              </w:rPr>
            </w:pPr>
            <w:r>
              <w:rPr>
                <w:rFonts w:hint="eastAsia" w:ascii="宋体" w:hAnsi="宋体" w:eastAsia="宋体" w:cs="宋体"/>
                <w:color w:val="auto"/>
                <w:kern w:val="0"/>
                <w:szCs w:val="21"/>
                <w:lang w:bidi="ar"/>
              </w:rPr>
              <w:t>2、配线形式：管内或桥架敷设。</w:t>
            </w:r>
          </w:p>
          <w:p w14:paraId="0A0DB39B">
            <w:pPr>
              <w:widowControl/>
              <w:spacing w:line="400" w:lineRule="exact"/>
              <w:jc w:val="left"/>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3、规格：RVVP2*1.5mm2 。</w:t>
            </w:r>
          </w:p>
        </w:tc>
        <w:tc>
          <w:tcPr>
            <w:tcW w:w="1161" w:type="dxa"/>
            <w:shd w:val="clear" w:color="auto" w:fill="auto"/>
            <w:noWrap/>
            <w:vAlign w:val="center"/>
          </w:tcPr>
          <w:p w14:paraId="5EF2F4DD">
            <w:pPr>
              <w:widowControl/>
              <w:spacing w:line="400" w:lineRule="exact"/>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250米</w:t>
            </w:r>
          </w:p>
        </w:tc>
        <w:tc>
          <w:tcPr>
            <w:tcW w:w="833" w:type="dxa"/>
            <w:shd w:val="clear" w:color="auto" w:fill="auto"/>
            <w:noWrap/>
            <w:vAlign w:val="center"/>
          </w:tcPr>
          <w:p w14:paraId="0DCF7328">
            <w:pPr>
              <w:widowControl/>
              <w:spacing w:line="400" w:lineRule="exact"/>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工业</w:t>
            </w:r>
          </w:p>
        </w:tc>
        <w:tc>
          <w:tcPr>
            <w:tcW w:w="1259" w:type="dxa"/>
            <w:shd w:val="clear" w:color="auto" w:fill="auto"/>
            <w:noWrap/>
            <w:vAlign w:val="center"/>
          </w:tcPr>
          <w:p w14:paraId="073BAC6A">
            <w:pPr>
              <w:widowControl/>
              <w:spacing w:line="400" w:lineRule="exact"/>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否</w:t>
            </w:r>
          </w:p>
        </w:tc>
        <w:tc>
          <w:tcPr>
            <w:tcW w:w="490" w:type="dxa"/>
            <w:shd w:val="clear" w:color="auto" w:fill="auto"/>
            <w:noWrap/>
            <w:vAlign w:val="center"/>
          </w:tcPr>
          <w:p w14:paraId="7E01C01D">
            <w:pPr>
              <w:widowControl/>
              <w:spacing w:line="400" w:lineRule="exact"/>
              <w:rPr>
                <w:rFonts w:ascii="宋体" w:hAnsi="宋体" w:eastAsia="宋体" w:cs="宋体"/>
                <w:color w:val="auto"/>
                <w:szCs w:val="21"/>
              </w:rPr>
            </w:pPr>
          </w:p>
        </w:tc>
      </w:tr>
      <w:tr w14:paraId="214D3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703" w:type="dxa"/>
            <w:shd w:val="clear" w:color="auto" w:fill="auto"/>
            <w:noWrap/>
            <w:vAlign w:val="center"/>
          </w:tcPr>
          <w:p w14:paraId="7974A161">
            <w:pPr>
              <w:widowControl/>
              <w:spacing w:line="400" w:lineRule="exact"/>
              <w:jc w:val="center"/>
              <w:textAlignment w:val="center"/>
              <w:rPr>
                <w:rFonts w:hint="eastAsia" w:ascii="宋体" w:hAnsi="宋体" w:eastAsia="宋体" w:cs="宋体"/>
                <w:b/>
                <w:bCs/>
                <w:color w:val="auto"/>
                <w:kern w:val="0"/>
                <w:szCs w:val="21"/>
                <w:lang w:eastAsia="zh-CN" w:bidi="ar"/>
              </w:rPr>
            </w:pPr>
            <w:r>
              <w:rPr>
                <w:rFonts w:hint="eastAsia" w:ascii="宋体" w:hAnsi="宋体" w:eastAsia="宋体" w:cs="宋体"/>
                <w:b/>
                <w:bCs/>
                <w:color w:val="auto"/>
                <w:kern w:val="0"/>
                <w:szCs w:val="21"/>
                <w:lang w:bidi="ar"/>
              </w:rPr>
              <w:t>27</w:t>
            </w:r>
          </w:p>
        </w:tc>
        <w:tc>
          <w:tcPr>
            <w:tcW w:w="710" w:type="dxa"/>
            <w:shd w:val="clear" w:color="auto" w:fill="auto"/>
            <w:vAlign w:val="center"/>
          </w:tcPr>
          <w:p w14:paraId="065CDED5">
            <w:pPr>
              <w:widowControl/>
              <w:spacing w:line="400" w:lineRule="exact"/>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网线</w:t>
            </w:r>
          </w:p>
        </w:tc>
        <w:tc>
          <w:tcPr>
            <w:tcW w:w="4131" w:type="dxa"/>
            <w:shd w:val="clear" w:color="auto" w:fill="auto"/>
            <w:vAlign w:val="center"/>
          </w:tcPr>
          <w:p w14:paraId="76101BB8">
            <w:pPr>
              <w:widowControl/>
              <w:spacing w:line="400" w:lineRule="exact"/>
              <w:jc w:val="left"/>
              <w:textAlignment w:val="center"/>
              <w:rPr>
                <w:rFonts w:hint="eastAsia" w:ascii="宋体" w:hAnsi="宋体" w:eastAsia="宋体" w:cs="宋体"/>
                <w:color w:val="auto"/>
                <w:kern w:val="0"/>
                <w:szCs w:val="21"/>
                <w:lang w:bidi="ar"/>
              </w:rPr>
            </w:pPr>
            <w:r>
              <w:rPr>
                <w:rFonts w:hint="eastAsia" w:ascii="宋体" w:hAnsi="宋体" w:eastAsia="宋体" w:cs="宋体"/>
                <w:color w:val="auto"/>
                <w:kern w:val="0"/>
                <w:szCs w:val="21"/>
                <w:lang w:bidi="ar"/>
              </w:rPr>
              <w:t>1、护套材质：LSZH,护套颜色：灰色,电缆外径：6.2±0.3mm,护套厚度：0.55±0.05mm。</w:t>
            </w:r>
          </w:p>
          <w:p w14:paraId="03529DA4">
            <w:pPr>
              <w:widowControl/>
              <w:spacing w:line="400" w:lineRule="exact"/>
              <w:jc w:val="left"/>
              <w:textAlignment w:val="center"/>
              <w:rPr>
                <w:rFonts w:hint="eastAsia" w:ascii="宋体" w:hAnsi="宋体" w:eastAsia="宋体" w:cs="宋体"/>
                <w:color w:val="auto"/>
                <w:kern w:val="0"/>
                <w:szCs w:val="21"/>
                <w:lang w:bidi="ar"/>
              </w:rPr>
            </w:pPr>
            <w:r>
              <w:rPr>
                <w:rFonts w:hint="eastAsia" w:ascii="宋体" w:hAnsi="宋体" w:eastAsia="宋体" w:cs="宋体"/>
                <w:color w:val="auto"/>
                <w:kern w:val="0"/>
                <w:szCs w:val="21"/>
                <w:lang w:bidi="ar"/>
              </w:rPr>
              <w:t>2、导体材质：无氧圆铜,导体直径：23AWG,导体绝缘外径：1.04±0.05mm,绝缘材料 HDPE（实心聚烯烃）带撕裂绳,芯数：4对8芯。</w:t>
            </w:r>
          </w:p>
          <w:p w14:paraId="0C391B63">
            <w:pPr>
              <w:widowControl/>
              <w:spacing w:line="400" w:lineRule="exact"/>
              <w:jc w:val="left"/>
              <w:textAlignment w:val="center"/>
              <w:rPr>
                <w:rFonts w:hint="eastAsia" w:ascii="宋体" w:hAnsi="宋体" w:eastAsia="宋体" w:cs="宋体"/>
                <w:color w:val="auto"/>
                <w:kern w:val="0"/>
                <w:szCs w:val="21"/>
                <w:lang w:bidi="ar"/>
              </w:rPr>
            </w:pPr>
            <w:r>
              <w:rPr>
                <w:rFonts w:hint="eastAsia" w:ascii="宋体" w:hAnsi="宋体" w:eastAsia="宋体" w:cs="宋体"/>
                <w:color w:val="auto"/>
                <w:kern w:val="0"/>
                <w:szCs w:val="21"/>
                <w:lang w:bidi="ar"/>
              </w:rPr>
              <w:t>3、单根导体最大电阻≤7.6Ω/100m,特性阻抗 100±15Ω,绝缘电阻 ≧5000MΩ/km,线对直流电阻不平衡 ≤2.5% ,工作电容 ≤5.6nF/100m。</w:t>
            </w:r>
          </w:p>
          <w:p w14:paraId="43F32FA8">
            <w:pPr>
              <w:widowControl/>
              <w:spacing w:line="400" w:lineRule="exact"/>
              <w:jc w:val="left"/>
              <w:textAlignment w:val="center"/>
              <w:rPr>
                <w:rFonts w:hint="eastAsia" w:ascii="宋体" w:hAnsi="宋体" w:eastAsia="宋体" w:cs="宋体"/>
                <w:color w:val="auto"/>
                <w:kern w:val="0"/>
                <w:szCs w:val="21"/>
                <w:lang w:bidi="ar"/>
              </w:rPr>
            </w:pPr>
            <w:r>
              <w:rPr>
                <w:rFonts w:hint="eastAsia" w:ascii="宋体" w:hAnsi="宋体" w:eastAsia="宋体" w:cs="宋体"/>
                <w:color w:val="auto"/>
                <w:kern w:val="0"/>
                <w:szCs w:val="21"/>
                <w:lang w:bidi="ar"/>
              </w:rPr>
              <w:t>4、烟密度，最小透光率（IEC 61034-2)：≥60%,卤酸气体总量（IEC 60754-1)：≤5mg/g,护套PH值（IEC 60754-2)：≥4.3,护套电导率（IEC 60754-2）：≤10μs/mm。</w:t>
            </w:r>
          </w:p>
          <w:p w14:paraId="439A0D23">
            <w:pPr>
              <w:widowControl/>
              <w:spacing w:line="400" w:lineRule="exact"/>
              <w:jc w:val="left"/>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5、敷设弯曲半径：建议敷设弯曲半径&gt;8倍线缆外径,敷设拉力：建议敷设时短期拉力&lt;110N ；使用拉力：建议使用时长期拉力&lt;20N 。</w:t>
            </w:r>
          </w:p>
        </w:tc>
        <w:tc>
          <w:tcPr>
            <w:tcW w:w="1161" w:type="dxa"/>
            <w:shd w:val="clear" w:color="auto" w:fill="auto"/>
            <w:noWrap/>
            <w:vAlign w:val="center"/>
          </w:tcPr>
          <w:p w14:paraId="0DF45922">
            <w:pPr>
              <w:widowControl/>
              <w:spacing w:line="400" w:lineRule="exact"/>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1900米</w:t>
            </w:r>
          </w:p>
        </w:tc>
        <w:tc>
          <w:tcPr>
            <w:tcW w:w="833" w:type="dxa"/>
            <w:shd w:val="clear" w:color="auto" w:fill="auto"/>
            <w:noWrap/>
            <w:vAlign w:val="center"/>
          </w:tcPr>
          <w:p w14:paraId="55569409">
            <w:pPr>
              <w:widowControl/>
              <w:spacing w:line="400" w:lineRule="exact"/>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工业</w:t>
            </w:r>
          </w:p>
        </w:tc>
        <w:tc>
          <w:tcPr>
            <w:tcW w:w="1259" w:type="dxa"/>
            <w:shd w:val="clear" w:color="auto" w:fill="auto"/>
            <w:noWrap/>
            <w:vAlign w:val="center"/>
          </w:tcPr>
          <w:p w14:paraId="4A3FBF0A">
            <w:pPr>
              <w:widowControl/>
              <w:spacing w:line="400" w:lineRule="exact"/>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否</w:t>
            </w:r>
          </w:p>
        </w:tc>
        <w:tc>
          <w:tcPr>
            <w:tcW w:w="490" w:type="dxa"/>
            <w:shd w:val="clear" w:color="auto" w:fill="auto"/>
            <w:noWrap/>
            <w:vAlign w:val="center"/>
          </w:tcPr>
          <w:p w14:paraId="7D63E0A2">
            <w:pPr>
              <w:widowControl/>
              <w:spacing w:line="400" w:lineRule="exact"/>
              <w:rPr>
                <w:rFonts w:ascii="宋体" w:hAnsi="宋体" w:eastAsia="宋体" w:cs="宋体"/>
                <w:color w:val="auto"/>
                <w:szCs w:val="21"/>
              </w:rPr>
            </w:pPr>
          </w:p>
        </w:tc>
      </w:tr>
      <w:tr w14:paraId="78A50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703" w:type="dxa"/>
            <w:shd w:val="clear" w:color="auto" w:fill="auto"/>
            <w:noWrap/>
            <w:vAlign w:val="center"/>
          </w:tcPr>
          <w:p w14:paraId="49C88E33">
            <w:pPr>
              <w:widowControl/>
              <w:spacing w:line="400" w:lineRule="exact"/>
              <w:jc w:val="center"/>
              <w:textAlignment w:val="center"/>
              <w:rPr>
                <w:rFonts w:hint="eastAsia" w:ascii="宋体" w:hAnsi="宋体" w:eastAsia="宋体" w:cs="宋体"/>
                <w:b/>
                <w:bCs/>
                <w:color w:val="auto"/>
                <w:kern w:val="0"/>
                <w:szCs w:val="21"/>
                <w:lang w:eastAsia="zh-CN" w:bidi="ar"/>
              </w:rPr>
            </w:pPr>
            <w:r>
              <w:rPr>
                <w:rFonts w:hint="eastAsia" w:ascii="宋体" w:hAnsi="宋体" w:eastAsia="宋体" w:cs="宋体"/>
                <w:b/>
                <w:bCs/>
                <w:color w:val="auto"/>
                <w:kern w:val="0"/>
                <w:szCs w:val="21"/>
                <w:lang w:bidi="ar"/>
              </w:rPr>
              <w:t>28</w:t>
            </w:r>
          </w:p>
        </w:tc>
        <w:tc>
          <w:tcPr>
            <w:tcW w:w="710" w:type="dxa"/>
            <w:shd w:val="clear" w:color="auto" w:fill="auto"/>
            <w:vAlign w:val="center"/>
          </w:tcPr>
          <w:p w14:paraId="4274B611">
            <w:pPr>
              <w:widowControl/>
              <w:spacing w:line="400" w:lineRule="exact"/>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音频线</w:t>
            </w:r>
          </w:p>
        </w:tc>
        <w:tc>
          <w:tcPr>
            <w:tcW w:w="4131" w:type="dxa"/>
            <w:shd w:val="clear" w:color="auto" w:fill="auto"/>
            <w:vAlign w:val="center"/>
          </w:tcPr>
          <w:p w14:paraId="53092E47">
            <w:pPr>
              <w:widowControl/>
              <w:spacing w:line="400" w:lineRule="exact"/>
              <w:jc w:val="left"/>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RVPE2*0.5</w:t>
            </w:r>
          </w:p>
        </w:tc>
        <w:tc>
          <w:tcPr>
            <w:tcW w:w="1161" w:type="dxa"/>
            <w:shd w:val="clear" w:color="auto" w:fill="auto"/>
            <w:noWrap/>
            <w:vAlign w:val="center"/>
          </w:tcPr>
          <w:p w14:paraId="4CA035FE">
            <w:pPr>
              <w:widowControl/>
              <w:spacing w:line="400" w:lineRule="exact"/>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2000米</w:t>
            </w:r>
          </w:p>
        </w:tc>
        <w:tc>
          <w:tcPr>
            <w:tcW w:w="833" w:type="dxa"/>
            <w:shd w:val="clear" w:color="auto" w:fill="auto"/>
            <w:noWrap/>
            <w:vAlign w:val="center"/>
          </w:tcPr>
          <w:p w14:paraId="52FD1522">
            <w:pPr>
              <w:widowControl/>
              <w:spacing w:line="400" w:lineRule="exact"/>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工业</w:t>
            </w:r>
          </w:p>
        </w:tc>
        <w:tc>
          <w:tcPr>
            <w:tcW w:w="1259" w:type="dxa"/>
            <w:shd w:val="clear" w:color="auto" w:fill="auto"/>
            <w:noWrap/>
            <w:vAlign w:val="center"/>
          </w:tcPr>
          <w:p w14:paraId="7B6B08E3">
            <w:pPr>
              <w:widowControl/>
              <w:spacing w:line="400" w:lineRule="exact"/>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否</w:t>
            </w:r>
          </w:p>
        </w:tc>
        <w:tc>
          <w:tcPr>
            <w:tcW w:w="490" w:type="dxa"/>
            <w:shd w:val="clear" w:color="auto" w:fill="auto"/>
            <w:noWrap/>
            <w:vAlign w:val="center"/>
          </w:tcPr>
          <w:p w14:paraId="70429B47">
            <w:pPr>
              <w:widowControl/>
              <w:spacing w:line="400" w:lineRule="exact"/>
              <w:rPr>
                <w:rFonts w:ascii="宋体" w:hAnsi="宋体" w:eastAsia="宋体" w:cs="宋体"/>
                <w:color w:val="auto"/>
                <w:szCs w:val="21"/>
              </w:rPr>
            </w:pPr>
          </w:p>
        </w:tc>
      </w:tr>
      <w:tr w14:paraId="7002A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703" w:type="dxa"/>
            <w:shd w:val="clear" w:color="auto" w:fill="auto"/>
            <w:noWrap/>
            <w:vAlign w:val="center"/>
          </w:tcPr>
          <w:p w14:paraId="77ACFBFE">
            <w:pPr>
              <w:widowControl/>
              <w:spacing w:line="400" w:lineRule="exact"/>
              <w:jc w:val="center"/>
              <w:textAlignment w:val="center"/>
              <w:rPr>
                <w:rFonts w:hint="eastAsia" w:ascii="宋体" w:hAnsi="宋体" w:eastAsia="宋体" w:cs="宋体"/>
                <w:b/>
                <w:bCs/>
                <w:color w:val="auto"/>
                <w:kern w:val="0"/>
                <w:szCs w:val="21"/>
                <w:lang w:eastAsia="zh-CN" w:bidi="ar"/>
              </w:rPr>
            </w:pPr>
            <w:r>
              <w:rPr>
                <w:rFonts w:hint="eastAsia" w:ascii="宋体" w:hAnsi="宋体" w:eastAsia="宋体" w:cs="宋体"/>
                <w:b/>
                <w:bCs/>
                <w:color w:val="auto"/>
                <w:kern w:val="0"/>
                <w:szCs w:val="21"/>
                <w:lang w:bidi="ar"/>
              </w:rPr>
              <w:t>29</w:t>
            </w:r>
          </w:p>
        </w:tc>
        <w:tc>
          <w:tcPr>
            <w:tcW w:w="710" w:type="dxa"/>
            <w:shd w:val="clear" w:color="auto" w:fill="auto"/>
            <w:vAlign w:val="center"/>
          </w:tcPr>
          <w:p w14:paraId="2C5AD5CC">
            <w:pPr>
              <w:widowControl/>
              <w:spacing w:line="400" w:lineRule="exact"/>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光纤HDMI线</w:t>
            </w:r>
          </w:p>
        </w:tc>
        <w:tc>
          <w:tcPr>
            <w:tcW w:w="4131" w:type="dxa"/>
            <w:shd w:val="clear" w:color="auto" w:fill="auto"/>
            <w:vAlign w:val="center"/>
          </w:tcPr>
          <w:p w14:paraId="54E2FBF9">
            <w:pPr>
              <w:widowControl/>
              <w:spacing w:line="400" w:lineRule="exact"/>
              <w:jc w:val="left"/>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光纤放大线8K 2.1版本</w:t>
            </w:r>
          </w:p>
        </w:tc>
        <w:tc>
          <w:tcPr>
            <w:tcW w:w="1161" w:type="dxa"/>
            <w:shd w:val="clear" w:color="auto" w:fill="auto"/>
            <w:noWrap/>
            <w:vAlign w:val="center"/>
          </w:tcPr>
          <w:p w14:paraId="60BCAF92">
            <w:pPr>
              <w:widowControl/>
              <w:spacing w:line="400" w:lineRule="exact"/>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6根</w:t>
            </w:r>
          </w:p>
        </w:tc>
        <w:tc>
          <w:tcPr>
            <w:tcW w:w="833" w:type="dxa"/>
            <w:shd w:val="clear" w:color="auto" w:fill="auto"/>
            <w:noWrap/>
            <w:vAlign w:val="center"/>
          </w:tcPr>
          <w:p w14:paraId="5FAB7F12">
            <w:pPr>
              <w:widowControl/>
              <w:spacing w:line="400" w:lineRule="exact"/>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工业</w:t>
            </w:r>
          </w:p>
        </w:tc>
        <w:tc>
          <w:tcPr>
            <w:tcW w:w="1259" w:type="dxa"/>
            <w:shd w:val="clear" w:color="auto" w:fill="auto"/>
            <w:noWrap/>
            <w:vAlign w:val="center"/>
          </w:tcPr>
          <w:p w14:paraId="133EDA34">
            <w:pPr>
              <w:widowControl/>
              <w:spacing w:line="400" w:lineRule="exact"/>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否</w:t>
            </w:r>
          </w:p>
        </w:tc>
        <w:tc>
          <w:tcPr>
            <w:tcW w:w="490" w:type="dxa"/>
            <w:shd w:val="clear" w:color="auto" w:fill="auto"/>
            <w:noWrap/>
            <w:vAlign w:val="center"/>
          </w:tcPr>
          <w:p w14:paraId="74678A60">
            <w:pPr>
              <w:widowControl/>
              <w:spacing w:line="400" w:lineRule="exact"/>
              <w:rPr>
                <w:rFonts w:ascii="宋体" w:hAnsi="宋体" w:eastAsia="宋体" w:cs="宋体"/>
                <w:color w:val="auto"/>
                <w:szCs w:val="21"/>
              </w:rPr>
            </w:pPr>
          </w:p>
        </w:tc>
      </w:tr>
      <w:tr w14:paraId="29806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703" w:type="dxa"/>
            <w:shd w:val="clear" w:color="auto" w:fill="auto"/>
            <w:noWrap/>
            <w:vAlign w:val="center"/>
          </w:tcPr>
          <w:p w14:paraId="2E0683CB">
            <w:pPr>
              <w:widowControl/>
              <w:spacing w:line="400" w:lineRule="exact"/>
              <w:jc w:val="center"/>
              <w:textAlignment w:val="center"/>
              <w:rPr>
                <w:rFonts w:hint="default" w:ascii="宋体" w:hAnsi="宋体" w:eastAsia="宋体" w:cs="宋体"/>
                <w:b/>
                <w:bCs/>
                <w:color w:val="auto"/>
                <w:kern w:val="0"/>
                <w:szCs w:val="21"/>
                <w:lang w:val="en-US" w:eastAsia="zh-CN" w:bidi="ar"/>
              </w:rPr>
            </w:pPr>
            <w:r>
              <w:rPr>
                <w:rFonts w:hint="eastAsia" w:ascii="宋体" w:hAnsi="宋体" w:eastAsia="宋体" w:cs="宋体"/>
                <w:b/>
                <w:bCs/>
                <w:color w:val="auto"/>
                <w:kern w:val="0"/>
                <w:szCs w:val="21"/>
                <w:lang w:bidi="ar"/>
              </w:rPr>
              <w:t>30</w:t>
            </w:r>
          </w:p>
        </w:tc>
        <w:tc>
          <w:tcPr>
            <w:tcW w:w="710" w:type="dxa"/>
            <w:shd w:val="clear" w:color="auto" w:fill="auto"/>
            <w:vAlign w:val="center"/>
          </w:tcPr>
          <w:p w14:paraId="7A005464">
            <w:pPr>
              <w:widowControl/>
              <w:spacing w:line="400" w:lineRule="exact"/>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HDMI线</w:t>
            </w:r>
          </w:p>
        </w:tc>
        <w:tc>
          <w:tcPr>
            <w:tcW w:w="4131" w:type="dxa"/>
            <w:shd w:val="clear" w:color="auto" w:fill="auto"/>
            <w:vAlign w:val="center"/>
          </w:tcPr>
          <w:p w14:paraId="31C2DFAF">
            <w:pPr>
              <w:widowControl/>
              <w:spacing w:line="400" w:lineRule="exact"/>
              <w:jc w:val="left"/>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10米HDMI线</w:t>
            </w:r>
          </w:p>
        </w:tc>
        <w:tc>
          <w:tcPr>
            <w:tcW w:w="1161" w:type="dxa"/>
            <w:shd w:val="clear" w:color="auto" w:fill="auto"/>
            <w:noWrap/>
            <w:vAlign w:val="center"/>
          </w:tcPr>
          <w:p w14:paraId="08AFF0B4">
            <w:pPr>
              <w:widowControl/>
              <w:spacing w:line="400" w:lineRule="exact"/>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3根</w:t>
            </w:r>
          </w:p>
        </w:tc>
        <w:tc>
          <w:tcPr>
            <w:tcW w:w="833" w:type="dxa"/>
            <w:shd w:val="clear" w:color="auto" w:fill="auto"/>
            <w:noWrap/>
            <w:vAlign w:val="center"/>
          </w:tcPr>
          <w:p w14:paraId="08CAA3D5">
            <w:pPr>
              <w:widowControl/>
              <w:spacing w:line="400" w:lineRule="exact"/>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工业</w:t>
            </w:r>
          </w:p>
        </w:tc>
        <w:tc>
          <w:tcPr>
            <w:tcW w:w="1259" w:type="dxa"/>
            <w:shd w:val="clear" w:color="auto" w:fill="auto"/>
            <w:noWrap/>
            <w:vAlign w:val="center"/>
          </w:tcPr>
          <w:p w14:paraId="46A01FA4">
            <w:pPr>
              <w:widowControl/>
              <w:spacing w:line="400" w:lineRule="exact"/>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否</w:t>
            </w:r>
          </w:p>
        </w:tc>
        <w:tc>
          <w:tcPr>
            <w:tcW w:w="490" w:type="dxa"/>
            <w:shd w:val="clear" w:color="auto" w:fill="auto"/>
            <w:noWrap/>
            <w:vAlign w:val="center"/>
          </w:tcPr>
          <w:p w14:paraId="7F5BD24D">
            <w:pPr>
              <w:widowControl/>
              <w:spacing w:line="400" w:lineRule="exact"/>
              <w:rPr>
                <w:rFonts w:ascii="宋体" w:hAnsi="宋体" w:eastAsia="宋体" w:cs="宋体"/>
                <w:color w:val="auto"/>
                <w:szCs w:val="21"/>
              </w:rPr>
            </w:pPr>
          </w:p>
        </w:tc>
      </w:tr>
      <w:tr w14:paraId="65F1F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703" w:type="dxa"/>
            <w:shd w:val="clear" w:color="auto" w:fill="auto"/>
            <w:noWrap/>
            <w:vAlign w:val="center"/>
          </w:tcPr>
          <w:p w14:paraId="47AA0D55">
            <w:pPr>
              <w:widowControl/>
              <w:spacing w:line="400" w:lineRule="exact"/>
              <w:jc w:val="center"/>
              <w:textAlignment w:val="center"/>
              <w:rPr>
                <w:rFonts w:hint="default" w:ascii="宋体" w:hAnsi="宋体" w:eastAsia="宋体" w:cs="宋体"/>
                <w:b/>
                <w:bCs/>
                <w:color w:val="auto"/>
                <w:kern w:val="0"/>
                <w:szCs w:val="21"/>
                <w:lang w:val="en-US" w:eastAsia="zh-CN" w:bidi="ar"/>
              </w:rPr>
            </w:pPr>
            <w:r>
              <w:rPr>
                <w:rFonts w:hint="eastAsia" w:ascii="宋体" w:hAnsi="宋体" w:eastAsia="宋体" w:cs="宋体"/>
                <w:b/>
                <w:bCs/>
                <w:color w:val="auto"/>
                <w:kern w:val="0"/>
                <w:szCs w:val="21"/>
                <w:lang w:bidi="ar"/>
              </w:rPr>
              <w:t>31</w:t>
            </w:r>
          </w:p>
        </w:tc>
        <w:tc>
          <w:tcPr>
            <w:tcW w:w="710" w:type="dxa"/>
            <w:shd w:val="clear" w:color="auto" w:fill="auto"/>
            <w:vAlign w:val="center"/>
          </w:tcPr>
          <w:p w14:paraId="3F7512F8">
            <w:pPr>
              <w:widowControl/>
              <w:spacing w:line="400" w:lineRule="exact"/>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卡侬头-3.5音频头</w:t>
            </w:r>
          </w:p>
        </w:tc>
        <w:tc>
          <w:tcPr>
            <w:tcW w:w="4131" w:type="dxa"/>
            <w:shd w:val="clear" w:color="auto" w:fill="auto"/>
            <w:vAlign w:val="center"/>
          </w:tcPr>
          <w:p w14:paraId="3635C537">
            <w:pPr>
              <w:widowControl/>
              <w:spacing w:line="400" w:lineRule="exact"/>
              <w:jc w:val="left"/>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3.5双声-卡侬公</w:t>
            </w:r>
          </w:p>
        </w:tc>
        <w:tc>
          <w:tcPr>
            <w:tcW w:w="1161" w:type="dxa"/>
            <w:shd w:val="clear" w:color="auto" w:fill="auto"/>
            <w:noWrap/>
            <w:vAlign w:val="center"/>
          </w:tcPr>
          <w:p w14:paraId="0E59C7DF">
            <w:pPr>
              <w:widowControl/>
              <w:spacing w:line="400" w:lineRule="exact"/>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1根</w:t>
            </w:r>
          </w:p>
        </w:tc>
        <w:tc>
          <w:tcPr>
            <w:tcW w:w="833" w:type="dxa"/>
            <w:shd w:val="clear" w:color="auto" w:fill="auto"/>
            <w:noWrap/>
            <w:vAlign w:val="center"/>
          </w:tcPr>
          <w:p w14:paraId="230113F1">
            <w:pPr>
              <w:widowControl/>
              <w:spacing w:line="400" w:lineRule="exact"/>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工业</w:t>
            </w:r>
          </w:p>
        </w:tc>
        <w:tc>
          <w:tcPr>
            <w:tcW w:w="1259" w:type="dxa"/>
            <w:shd w:val="clear" w:color="auto" w:fill="auto"/>
            <w:noWrap/>
            <w:vAlign w:val="center"/>
          </w:tcPr>
          <w:p w14:paraId="2C5E84C4">
            <w:pPr>
              <w:widowControl/>
              <w:spacing w:line="400" w:lineRule="exact"/>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否</w:t>
            </w:r>
          </w:p>
        </w:tc>
        <w:tc>
          <w:tcPr>
            <w:tcW w:w="490" w:type="dxa"/>
            <w:shd w:val="clear" w:color="auto" w:fill="auto"/>
            <w:noWrap/>
            <w:vAlign w:val="center"/>
          </w:tcPr>
          <w:p w14:paraId="5A3839D3">
            <w:pPr>
              <w:widowControl/>
              <w:spacing w:line="400" w:lineRule="exact"/>
              <w:rPr>
                <w:rFonts w:ascii="宋体" w:hAnsi="宋体" w:eastAsia="宋体" w:cs="宋体"/>
                <w:color w:val="auto"/>
                <w:szCs w:val="21"/>
              </w:rPr>
            </w:pPr>
          </w:p>
        </w:tc>
      </w:tr>
      <w:tr w14:paraId="10623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703" w:type="dxa"/>
            <w:shd w:val="clear" w:color="auto" w:fill="auto"/>
            <w:noWrap/>
            <w:vAlign w:val="center"/>
          </w:tcPr>
          <w:p w14:paraId="04BB9DFF">
            <w:pPr>
              <w:widowControl/>
              <w:spacing w:line="400" w:lineRule="exact"/>
              <w:jc w:val="center"/>
              <w:textAlignment w:val="center"/>
              <w:rPr>
                <w:rFonts w:hint="default" w:ascii="宋体" w:hAnsi="宋体" w:eastAsia="宋体" w:cs="宋体"/>
                <w:b/>
                <w:bCs/>
                <w:color w:val="auto"/>
                <w:kern w:val="0"/>
                <w:szCs w:val="21"/>
                <w:lang w:val="en-US" w:eastAsia="zh-CN" w:bidi="ar"/>
              </w:rPr>
            </w:pPr>
            <w:r>
              <w:rPr>
                <w:rFonts w:hint="eastAsia" w:ascii="宋体" w:hAnsi="宋体" w:eastAsia="宋体" w:cs="宋体"/>
                <w:b/>
                <w:bCs/>
                <w:color w:val="auto"/>
                <w:kern w:val="0"/>
                <w:szCs w:val="21"/>
                <w:lang w:bidi="ar"/>
              </w:rPr>
              <w:t>32</w:t>
            </w:r>
          </w:p>
        </w:tc>
        <w:tc>
          <w:tcPr>
            <w:tcW w:w="710" w:type="dxa"/>
            <w:shd w:val="clear" w:color="auto" w:fill="auto"/>
            <w:vAlign w:val="center"/>
          </w:tcPr>
          <w:p w14:paraId="146FA0F4">
            <w:pPr>
              <w:widowControl/>
              <w:spacing w:line="400" w:lineRule="exact"/>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卡侬头-*双6.35音频头</w:t>
            </w:r>
          </w:p>
        </w:tc>
        <w:tc>
          <w:tcPr>
            <w:tcW w:w="4131" w:type="dxa"/>
            <w:shd w:val="clear" w:color="auto" w:fill="auto"/>
            <w:vAlign w:val="center"/>
          </w:tcPr>
          <w:p w14:paraId="21083E82">
            <w:pPr>
              <w:widowControl/>
              <w:spacing w:line="400" w:lineRule="exact"/>
              <w:jc w:val="left"/>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卡农公-双6.35；定制1.5米</w:t>
            </w:r>
          </w:p>
        </w:tc>
        <w:tc>
          <w:tcPr>
            <w:tcW w:w="1161" w:type="dxa"/>
            <w:shd w:val="clear" w:color="auto" w:fill="auto"/>
            <w:noWrap/>
            <w:vAlign w:val="center"/>
          </w:tcPr>
          <w:p w14:paraId="0E81563D">
            <w:pPr>
              <w:widowControl/>
              <w:spacing w:line="400" w:lineRule="exact"/>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2根</w:t>
            </w:r>
          </w:p>
        </w:tc>
        <w:tc>
          <w:tcPr>
            <w:tcW w:w="833" w:type="dxa"/>
            <w:shd w:val="clear" w:color="auto" w:fill="auto"/>
            <w:noWrap/>
            <w:vAlign w:val="center"/>
          </w:tcPr>
          <w:p w14:paraId="0F0A3AD0">
            <w:pPr>
              <w:widowControl/>
              <w:spacing w:line="400" w:lineRule="exact"/>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工业</w:t>
            </w:r>
          </w:p>
        </w:tc>
        <w:tc>
          <w:tcPr>
            <w:tcW w:w="1259" w:type="dxa"/>
            <w:shd w:val="clear" w:color="auto" w:fill="auto"/>
            <w:noWrap/>
            <w:vAlign w:val="center"/>
          </w:tcPr>
          <w:p w14:paraId="08EBC7F5">
            <w:pPr>
              <w:widowControl/>
              <w:spacing w:line="400" w:lineRule="exact"/>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否</w:t>
            </w:r>
          </w:p>
        </w:tc>
        <w:tc>
          <w:tcPr>
            <w:tcW w:w="490" w:type="dxa"/>
            <w:shd w:val="clear" w:color="auto" w:fill="auto"/>
            <w:noWrap/>
            <w:vAlign w:val="center"/>
          </w:tcPr>
          <w:p w14:paraId="0DAE3A9E">
            <w:pPr>
              <w:widowControl/>
              <w:spacing w:line="400" w:lineRule="exact"/>
              <w:rPr>
                <w:rFonts w:ascii="宋体" w:hAnsi="宋体" w:eastAsia="宋体" w:cs="宋体"/>
                <w:color w:val="auto"/>
                <w:szCs w:val="21"/>
              </w:rPr>
            </w:pPr>
          </w:p>
        </w:tc>
      </w:tr>
      <w:tr w14:paraId="1E7D8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703" w:type="dxa"/>
            <w:shd w:val="clear" w:color="auto" w:fill="auto"/>
            <w:noWrap/>
            <w:vAlign w:val="center"/>
          </w:tcPr>
          <w:p w14:paraId="16812781">
            <w:pPr>
              <w:widowControl/>
              <w:spacing w:line="400" w:lineRule="exact"/>
              <w:jc w:val="center"/>
              <w:textAlignment w:val="center"/>
              <w:rPr>
                <w:rFonts w:hint="default" w:ascii="宋体" w:hAnsi="宋体" w:eastAsia="宋体" w:cs="宋体"/>
                <w:b/>
                <w:bCs/>
                <w:color w:val="auto"/>
                <w:kern w:val="0"/>
                <w:szCs w:val="21"/>
                <w:lang w:val="en-US" w:eastAsia="zh-CN" w:bidi="ar"/>
              </w:rPr>
            </w:pPr>
            <w:r>
              <w:rPr>
                <w:rFonts w:hint="eastAsia" w:ascii="宋体" w:hAnsi="宋体" w:eastAsia="宋体" w:cs="宋体"/>
                <w:b/>
                <w:bCs/>
                <w:color w:val="auto"/>
                <w:kern w:val="0"/>
                <w:szCs w:val="21"/>
                <w:lang w:bidi="ar"/>
              </w:rPr>
              <w:t>33</w:t>
            </w:r>
          </w:p>
        </w:tc>
        <w:tc>
          <w:tcPr>
            <w:tcW w:w="710" w:type="dxa"/>
            <w:shd w:val="clear" w:color="auto" w:fill="auto"/>
            <w:vAlign w:val="center"/>
          </w:tcPr>
          <w:p w14:paraId="2063B85C">
            <w:pPr>
              <w:widowControl/>
              <w:spacing w:line="400" w:lineRule="exact"/>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卡侬头-6.35音频头</w:t>
            </w:r>
          </w:p>
        </w:tc>
        <w:tc>
          <w:tcPr>
            <w:tcW w:w="4131" w:type="dxa"/>
            <w:shd w:val="clear" w:color="auto" w:fill="auto"/>
            <w:vAlign w:val="center"/>
          </w:tcPr>
          <w:p w14:paraId="29CDD4FE">
            <w:pPr>
              <w:widowControl/>
              <w:spacing w:line="400" w:lineRule="exact"/>
              <w:jc w:val="left"/>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6.35单声-卡侬公</w:t>
            </w:r>
          </w:p>
        </w:tc>
        <w:tc>
          <w:tcPr>
            <w:tcW w:w="1161" w:type="dxa"/>
            <w:shd w:val="clear" w:color="auto" w:fill="auto"/>
            <w:noWrap/>
            <w:vAlign w:val="center"/>
          </w:tcPr>
          <w:p w14:paraId="64DA1895">
            <w:pPr>
              <w:widowControl/>
              <w:spacing w:line="400" w:lineRule="exact"/>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4根</w:t>
            </w:r>
          </w:p>
        </w:tc>
        <w:tc>
          <w:tcPr>
            <w:tcW w:w="833" w:type="dxa"/>
            <w:shd w:val="clear" w:color="auto" w:fill="auto"/>
            <w:noWrap/>
            <w:vAlign w:val="center"/>
          </w:tcPr>
          <w:p w14:paraId="0DC0B1A3">
            <w:pPr>
              <w:widowControl/>
              <w:spacing w:line="400" w:lineRule="exact"/>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工业</w:t>
            </w:r>
          </w:p>
        </w:tc>
        <w:tc>
          <w:tcPr>
            <w:tcW w:w="1259" w:type="dxa"/>
            <w:shd w:val="clear" w:color="auto" w:fill="auto"/>
            <w:noWrap/>
            <w:vAlign w:val="center"/>
          </w:tcPr>
          <w:p w14:paraId="2F6BBB1B">
            <w:pPr>
              <w:widowControl/>
              <w:spacing w:line="400" w:lineRule="exact"/>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否</w:t>
            </w:r>
          </w:p>
        </w:tc>
        <w:tc>
          <w:tcPr>
            <w:tcW w:w="490" w:type="dxa"/>
            <w:shd w:val="clear" w:color="auto" w:fill="auto"/>
            <w:noWrap/>
            <w:vAlign w:val="center"/>
          </w:tcPr>
          <w:p w14:paraId="50FDF6F3">
            <w:pPr>
              <w:widowControl/>
              <w:spacing w:line="400" w:lineRule="exact"/>
              <w:rPr>
                <w:rFonts w:ascii="宋体" w:hAnsi="宋体" w:eastAsia="宋体" w:cs="宋体"/>
                <w:color w:val="auto"/>
                <w:szCs w:val="21"/>
              </w:rPr>
            </w:pPr>
          </w:p>
        </w:tc>
      </w:tr>
      <w:tr w14:paraId="0B78F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703" w:type="dxa"/>
            <w:shd w:val="clear" w:color="auto" w:fill="auto"/>
            <w:noWrap/>
            <w:vAlign w:val="center"/>
          </w:tcPr>
          <w:p w14:paraId="38F3CC68">
            <w:pPr>
              <w:widowControl/>
              <w:spacing w:line="400" w:lineRule="exact"/>
              <w:jc w:val="center"/>
              <w:textAlignment w:val="center"/>
              <w:rPr>
                <w:rFonts w:hint="default" w:ascii="宋体" w:hAnsi="宋体" w:eastAsia="宋体" w:cs="宋体"/>
                <w:b/>
                <w:bCs/>
                <w:color w:val="auto"/>
                <w:kern w:val="0"/>
                <w:szCs w:val="21"/>
                <w:lang w:val="en-US" w:eastAsia="zh-CN" w:bidi="ar"/>
              </w:rPr>
            </w:pPr>
            <w:r>
              <w:rPr>
                <w:rFonts w:hint="eastAsia" w:ascii="宋体" w:hAnsi="宋体" w:eastAsia="宋体" w:cs="宋体"/>
                <w:b/>
                <w:bCs/>
                <w:color w:val="auto"/>
                <w:kern w:val="0"/>
                <w:szCs w:val="21"/>
                <w:lang w:bidi="ar"/>
              </w:rPr>
              <w:t>34</w:t>
            </w:r>
          </w:p>
        </w:tc>
        <w:tc>
          <w:tcPr>
            <w:tcW w:w="710" w:type="dxa"/>
            <w:shd w:val="clear" w:color="auto" w:fill="auto"/>
            <w:vAlign w:val="center"/>
          </w:tcPr>
          <w:p w14:paraId="440B7B4D">
            <w:pPr>
              <w:widowControl/>
              <w:spacing w:line="400" w:lineRule="exact"/>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卡侬头</w:t>
            </w:r>
          </w:p>
        </w:tc>
        <w:tc>
          <w:tcPr>
            <w:tcW w:w="4131" w:type="dxa"/>
            <w:shd w:val="clear" w:color="auto" w:fill="auto"/>
            <w:vAlign w:val="center"/>
          </w:tcPr>
          <w:p w14:paraId="4EB0F1EF">
            <w:pPr>
              <w:widowControl/>
              <w:spacing w:line="400" w:lineRule="exact"/>
              <w:jc w:val="left"/>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卡农头</w:t>
            </w:r>
          </w:p>
        </w:tc>
        <w:tc>
          <w:tcPr>
            <w:tcW w:w="1161" w:type="dxa"/>
            <w:shd w:val="clear" w:color="auto" w:fill="auto"/>
            <w:noWrap/>
            <w:vAlign w:val="center"/>
          </w:tcPr>
          <w:p w14:paraId="0CF6B79E">
            <w:pPr>
              <w:widowControl/>
              <w:spacing w:line="400" w:lineRule="exact"/>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40对</w:t>
            </w:r>
          </w:p>
        </w:tc>
        <w:tc>
          <w:tcPr>
            <w:tcW w:w="833" w:type="dxa"/>
            <w:shd w:val="clear" w:color="auto" w:fill="auto"/>
            <w:noWrap/>
            <w:vAlign w:val="center"/>
          </w:tcPr>
          <w:p w14:paraId="0AD0D685">
            <w:pPr>
              <w:widowControl/>
              <w:spacing w:line="400" w:lineRule="exact"/>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工业</w:t>
            </w:r>
          </w:p>
        </w:tc>
        <w:tc>
          <w:tcPr>
            <w:tcW w:w="1259" w:type="dxa"/>
            <w:shd w:val="clear" w:color="auto" w:fill="auto"/>
            <w:noWrap/>
            <w:vAlign w:val="center"/>
          </w:tcPr>
          <w:p w14:paraId="15B7FA15">
            <w:pPr>
              <w:widowControl/>
              <w:spacing w:line="400" w:lineRule="exact"/>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否</w:t>
            </w:r>
          </w:p>
        </w:tc>
        <w:tc>
          <w:tcPr>
            <w:tcW w:w="490" w:type="dxa"/>
            <w:shd w:val="clear" w:color="auto" w:fill="auto"/>
            <w:noWrap/>
            <w:vAlign w:val="center"/>
          </w:tcPr>
          <w:p w14:paraId="48735DCC">
            <w:pPr>
              <w:widowControl/>
              <w:spacing w:line="400" w:lineRule="exact"/>
              <w:rPr>
                <w:rFonts w:ascii="宋体" w:hAnsi="宋体" w:eastAsia="宋体" w:cs="宋体"/>
                <w:color w:val="auto"/>
                <w:szCs w:val="21"/>
              </w:rPr>
            </w:pPr>
          </w:p>
        </w:tc>
      </w:tr>
      <w:tr w14:paraId="4E8E9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703" w:type="dxa"/>
            <w:shd w:val="clear" w:color="auto" w:fill="auto"/>
            <w:noWrap/>
            <w:vAlign w:val="center"/>
          </w:tcPr>
          <w:p w14:paraId="550CB55B">
            <w:pPr>
              <w:widowControl/>
              <w:spacing w:line="400" w:lineRule="exact"/>
              <w:jc w:val="center"/>
              <w:textAlignment w:val="center"/>
              <w:rPr>
                <w:rFonts w:hint="default" w:ascii="宋体" w:hAnsi="宋体" w:eastAsia="宋体" w:cs="宋体"/>
                <w:b/>
                <w:bCs/>
                <w:color w:val="auto"/>
                <w:kern w:val="0"/>
                <w:szCs w:val="21"/>
                <w:lang w:val="en-US" w:eastAsia="zh-CN" w:bidi="ar"/>
              </w:rPr>
            </w:pPr>
            <w:r>
              <w:rPr>
                <w:rFonts w:hint="eastAsia" w:ascii="宋体" w:hAnsi="宋体" w:eastAsia="宋体" w:cs="宋体"/>
                <w:b/>
                <w:bCs/>
                <w:color w:val="auto"/>
                <w:kern w:val="0"/>
                <w:szCs w:val="21"/>
                <w:lang w:bidi="ar"/>
              </w:rPr>
              <w:t>35</w:t>
            </w:r>
          </w:p>
        </w:tc>
        <w:tc>
          <w:tcPr>
            <w:tcW w:w="710" w:type="dxa"/>
            <w:shd w:val="clear" w:color="auto" w:fill="auto"/>
            <w:vAlign w:val="center"/>
          </w:tcPr>
          <w:p w14:paraId="686DEA9E">
            <w:pPr>
              <w:widowControl/>
              <w:spacing w:line="400" w:lineRule="exact"/>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五孔插座</w:t>
            </w:r>
          </w:p>
        </w:tc>
        <w:tc>
          <w:tcPr>
            <w:tcW w:w="4131" w:type="dxa"/>
            <w:shd w:val="clear" w:color="auto" w:fill="auto"/>
            <w:vAlign w:val="center"/>
          </w:tcPr>
          <w:p w14:paraId="6717063F">
            <w:pPr>
              <w:widowControl/>
              <w:spacing w:line="400" w:lineRule="exact"/>
              <w:jc w:val="left"/>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五孔明装插座</w:t>
            </w:r>
          </w:p>
        </w:tc>
        <w:tc>
          <w:tcPr>
            <w:tcW w:w="1161" w:type="dxa"/>
            <w:shd w:val="clear" w:color="auto" w:fill="auto"/>
            <w:noWrap/>
            <w:vAlign w:val="center"/>
          </w:tcPr>
          <w:p w14:paraId="1F9F65C7">
            <w:pPr>
              <w:widowControl/>
              <w:spacing w:line="400" w:lineRule="exact"/>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16个</w:t>
            </w:r>
          </w:p>
        </w:tc>
        <w:tc>
          <w:tcPr>
            <w:tcW w:w="833" w:type="dxa"/>
            <w:shd w:val="clear" w:color="auto" w:fill="auto"/>
            <w:noWrap/>
            <w:vAlign w:val="center"/>
          </w:tcPr>
          <w:p w14:paraId="68C1FB6F">
            <w:pPr>
              <w:widowControl/>
              <w:spacing w:line="400" w:lineRule="exact"/>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工业</w:t>
            </w:r>
          </w:p>
        </w:tc>
        <w:tc>
          <w:tcPr>
            <w:tcW w:w="1259" w:type="dxa"/>
            <w:shd w:val="clear" w:color="auto" w:fill="auto"/>
            <w:noWrap/>
            <w:vAlign w:val="center"/>
          </w:tcPr>
          <w:p w14:paraId="70EFDD6D">
            <w:pPr>
              <w:widowControl/>
              <w:spacing w:line="400" w:lineRule="exact"/>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否</w:t>
            </w:r>
          </w:p>
        </w:tc>
        <w:tc>
          <w:tcPr>
            <w:tcW w:w="490" w:type="dxa"/>
            <w:shd w:val="clear" w:color="auto" w:fill="auto"/>
            <w:noWrap/>
            <w:vAlign w:val="center"/>
          </w:tcPr>
          <w:p w14:paraId="6CB1135A">
            <w:pPr>
              <w:widowControl/>
              <w:spacing w:line="400" w:lineRule="exact"/>
              <w:rPr>
                <w:rFonts w:ascii="宋体" w:hAnsi="宋体" w:eastAsia="宋体" w:cs="宋体"/>
                <w:color w:val="auto"/>
                <w:szCs w:val="21"/>
              </w:rPr>
            </w:pPr>
          </w:p>
        </w:tc>
      </w:tr>
      <w:tr w14:paraId="10279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703" w:type="dxa"/>
            <w:shd w:val="clear" w:color="auto" w:fill="auto"/>
            <w:noWrap/>
            <w:vAlign w:val="center"/>
          </w:tcPr>
          <w:p w14:paraId="610DF001">
            <w:pPr>
              <w:widowControl/>
              <w:spacing w:line="400" w:lineRule="exact"/>
              <w:jc w:val="center"/>
              <w:textAlignment w:val="center"/>
              <w:rPr>
                <w:rFonts w:hint="eastAsia" w:ascii="宋体" w:hAnsi="宋体" w:eastAsia="宋体" w:cs="宋体"/>
                <w:b/>
                <w:bCs/>
                <w:color w:val="auto"/>
                <w:kern w:val="0"/>
                <w:szCs w:val="21"/>
                <w:lang w:eastAsia="zh-CN" w:bidi="ar"/>
              </w:rPr>
            </w:pPr>
            <w:r>
              <w:rPr>
                <w:rFonts w:hint="eastAsia" w:ascii="宋体" w:hAnsi="宋体" w:eastAsia="宋体" w:cs="宋体"/>
                <w:b/>
                <w:bCs/>
                <w:color w:val="auto"/>
                <w:kern w:val="0"/>
                <w:szCs w:val="21"/>
                <w:lang w:bidi="ar"/>
              </w:rPr>
              <w:t>36</w:t>
            </w:r>
          </w:p>
        </w:tc>
        <w:tc>
          <w:tcPr>
            <w:tcW w:w="710" w:type="dxa"/>
            <w:shd w:val="clear" w:color="auto" w:fill="auto"/>
            <w:vAlign w:val="center"/>
          </w:tcPr>
          <w:p w14:paraId="3564B5BE">
            <w:pPr>
              <w:widowControl/>
              <w:spacing w:line="400" w:lineRule="exact"/>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舞台机械通讯线</w:t>
            </w:r>
          </w:p>
        </w:tc>
        <w:tc>
          <w:tcPr>
            <w:tcW w:w="4131" w:type="dxa"/>
            <w:shd w:val="clear" w:color="auto" w:fill="auto"/>
            <w:vAlign w:val="center"/>
          </w:tcPr>
          <w:p w14:paraId="0BCAFF9D">
            <w:pPr>
              <w:widowControl/>
              <w:spacing w:line="400" w:lineRule="exact"/>
              <w:jc w:val="left"/>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AVVR+RVVP12x0.3+3X0.3</w:t>
            </w:r>
          </w:p>
        </w:tc>
        <w:tc>
          <w:tcPr>
            <w:tcW w:w="1161" w:type="dxa"/>
            <w:shd w:val="clear" w:color="auto" w:fill="auto"/>
            <w:noWrap/>
            <w:vAlign w:val="center"/>
          </w:tcPr>
          <w:p w14:paraId="7AB4A3C8">
            <w:pPr>
              <w:widowControl/>
              <w:spacing w:line="400" w:lineRule="exact"/>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1项</w:t>
            </w:r>
          </w:p>
        </w:tc>
        <w:tc>
          <w:tcPr>
            <w:tcW w:w="833" w:type="dxa"/>
            <w:shd w:val="clear" w:color="auto" w:fill="auto"/>
            <w:noWrap/>
            <w:vAlign w:val="center"/>
          </w:tcPr>
          <w:p w14:paraId="1572FE05">
            <w:pPr>
              <w:widowControl/>
              <w:spacing w:line="400" w:lineRule="exact"/>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工业</w:t>
            </w:r>
          </w:p>
        </w:tc>
        <w:tc>
          <w:tcPr>
            <w:tcW w:w="1259" w:type="dxa"/>
            <w:shd w:val="clear" w:color="auto" w:fill="auto"/>
            <w:noWrap/>
            <w:vAlign w:val="center"/>
          </w:tcPr>
          <w:p w14:paraId="489F87B9">
            <w:pPr>
              <w:widowControl/>
              <w:spacing w:line="400" w:lineRule="exact"/>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否</w:t>
            </w:r>
          </w:p>
        </w:tc>
        <w:tc>
          <w:tcPr>
            <w:tcW w:w="490" w:type="dxa"/>
            <w:shd w:val="clear" w:color="auto" w:fill="auto"/>
            <w:noWrap/>
            <w:vAlign w:val="center"/>
          </w:tcPr>
          <w:p w14:paraId="41BE697B">
            <w:pPr>
              <w:widowControl/>
              <w:spacing w:line="400" w:lineRule="exact"/>
              <w:rPr>
                <w:rFonts w:ascii="宋体" w:hAnsi="宋体" w:eastAsia="宋体" w:cs="宋体"/>
                <w:color w:val="auto"/>
                <w:szCs w:val="21"/>
              </w:rPr>
            </w:pPr>
          </w:p>
        </w:tc>
      </w:tr>
      <w:tr w14:paraId="40A21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703" w:type="dxa"/>
            <w:shd w:val="clear" w:color="auto" w:fill="auto"/>
            <w:noWrap/>
            <w:vAlign w:val="center"/>
          </w:tcPr>
          <w:p w14:paraId="13182BBA">
            <w:pPr>
              <w:widowControl/>
              <w:spacing w:line="400" w:lineRule="exact"/>
              <w:jc w:val="center"/>
              <w:textAlignment w:val="center"/>
              <w:rPr>
                <w:rFonts w:hint="default" w:ascii="宋体" w:hAnsi="宋体" w:eastAsia="宋体" w:cs="宋体"/>
                <w:b/>
                <w:bCs/>
                <w:color w:val="auto"/>
                <w:kern w:val="0"/>
                <w:szCs w:val="21"/>
                <w:lang w:val="en-US" w:eastAsia="zh-CN" w:bidi="ar"/>
              </w:rPr>
            </w:pPr>
            <w:r>
              <w:rPr>
                <w:rFonts w:hint="eastAsia" w:ascii="宋体" w:hAnsi="宋体" w:eastAsia="宋体" w:cs="宋体"/>
                <w:b/>
                <w:bCs/>
                <w:color w:val="auto"/>
                <w:kern w:val="0"/>
                <w:szCs w:val="21"/>
                <w:lang w:bidi="ar"/>
              </w:rPr>
              <w:t>37</w:t>
            </w:r>
          </w:p>
        </w:tc>
        <w:tc>
          <w:tcPr>
            <w:tcW w:w="710" w:type="dxa"/>
            <w:shd w:val="clear" w:color="auto" w:fill="auto"/>
            <w:vAlign w:val="center"/>
          </w:tcPr>
          <w:p w14:paraId="6B041742">
            <w:pPr>
              <w:widowControl/>
              <w:spacing w:line="400" w:lineRule="exact"/>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货架</w:t>
            </w:r>
          </w:p>
        </w:tc>
        <w:tc>
          <w:tcPr>
            <w:tcW w:w="4131" w:type="dxa"/>
            <w:shd w:val="clear" w:color="auto" w:fill="auto"/>
            <w:vAlign w:val="center"/>
          </w:tcPr>
          <w:p w14:paraId="230F0C76">
            <w:pPr>
              <w:widowControl/>
              <w:spacing w:line="400" w:lineRule="exact"/>
              <w:jc w:val="left"/>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长1.5米，宽0.6米，高1.5米，金属货架。</w:t>
            </w:r>
          </w:p>
        </w:tc>
        <w:tc>
          <w:tcPr>
            <w:tcW w:w="1161" w:type="dxa"/>
            <w:shd w:val="clear" w:color="auto" w:fill="auto"/>
            <w:noWrap/>
            <w:vAlign w:val="center"/>
          </w:tcPr>
          <w:p w14:paraId="1B4CACCC">
            <w:pPr>
              <w:widowControl/>
              <w:spacing w:line="400" w:lineRule="exact"/>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1套</w:t>
            </w:r>
          </w:p>
        </w:tc>
        <w:tc>
          <w:tcPr>
            <w:tcW w:w="833" w:type="dxa"/>
            <w:shd w:val="clear" w:color="auto" w:fill="auto"/>
            <w:noWrap/>
            <w:vAlign w:val="center"/>
          </w:tcPr>
          <w:p w14:paraId="6B7D065D">
            <w:pPr>
              <w:widowControl/>
              <w:spacing w:line="400" w:lineRule="exact"/>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工业</w:t>
            </w:r>
          </w:p>
        </w:tc>
        <w:tc>
          <w:tcPr>
            <w:tcW w:w="1259" w:type="dxa"/>
            <w:shd w:val="clear" w:color="auto" w:fill="auto"/>
            <w:noWrap/>
            <w:vAlign w:val="center"/>
          </w:tcPr>
          <w:p w14:paraId="19265BEC">
            <w:pPr>
              <w:widowControl/>
              <w:spacing w:line="400" w:lineRule="exact"/>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否</w:t>
            </w:r>
          </w:p>
        </w:tc>
        <w:tc>
          <w:tcPr>
            <w:tcW w:w="490" w:type="dxa"/>
            <w:shd w:val="clear" w:color="auto" w:fill="auto"/>
            <w:noWrap/>
            <w:vAlign w:val="center"/>
          </w:tcPr>
          <w:p w14:paraId="56BD11B5">
            <w:pPr>
              <w:widowControl/>
              <w:spacing w:line="400" w:lineRule="exact"/>
              <w:rPr>
                <w:rFonts w:ascii="宋体" w:hAnsi="宋体" w:eastAsia="宋体" w:cs="宋体"/>
                <w:color w:val="auto"/>
                <w:szCs w:val="21"/>
              </w:rPr>
            </w:pPr>
          </w:p>
        </w:tc>
      </w:tr>
      <w:tr w14:paraId="300F5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703" w:type="dxa"/>
            <w:shd w:val="clear" w:color="auto" w:fill="auto"/>
            <w:noWrap/>
            <w:vAlign w:val="center"/>
          </w:tcPr>
          <w:p w14:paraId="2CF36052">
            <w:pPr>
              <w:widowControl/>
              <w:spacing w:line="400" w:lineRule="exact"/>
              <w:jc w:val="center"/>
              <w:textAlignment w:val="center"/>
              <w:rPr>
                <w:rFonts w:hint="default" w:ascii="宋体" w:hAnsi="宋体" w:eastAsia="宋体" w:cs="宋体"/>
                <w:b/>
                <w:bCs/>
                <w:color w:val="auto"/>
                <w:kern w:val="0"/>
                <w:szCs w:val="21"/>
                <w:lang w:val="en-US" w:eastAsia="zh-CN" w:bidi="ar"/>
              </w:rPr>
            </w:pPr>
            <w:r>
              <w:rPr>
                <w:rFonts w:hint="eastAsia" w:ascii="宋体" w:hAnsi="宋体" w:eastAsia="宋体" w:cs="宋体"/>
                <w:b/>
                <w:bCs/>
                <w:color w:val="auto"/>
                <w:kern w:val="0"/>
                <w:szCs w:val="21"/>
                <w:lang w:bidi="ar"/>
              </w:rPr>
              <w:t>38</w:t>
            </w:r>
          </w:p>
        </w:tc>
        <w:tc>
          <w:tcPr>
            <w:tcW w:w="710" w:type="dxa"/>
            <w:shd w:val="clear" w:color="auto" w:fill="auto"/>
            <w:vAlign w:val="center"/>
          </w:tcPr>
          <w:p w14:paraId="3F2C58E5">
            <w:pPr>
              <w:widowControl/>
              <w:spacing w:line="400" w:lineRule="exact"/>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电力电缆</w:t>
            </w:r>
          </w:p>
        </w:tc>
        <w:tc>
          <w:tcPr>
            <w:tcW w:w="4131" w:type="dxa"/>
            <w:shd w:val="clear" w:color="auto" w:fill="auto"/>
            <w:vAlign w:val="center"/>
          </w:tcPr>
          <w:p w14:paraId="245C9E33">
            <w:pPr>
              <w:widowControl/>
              <w:spacing w:line="400" w:lineRule="exact"/>
              <w:jc w:val="left"/>
              <w:textAlignment w:val="center"/>
              <w:rPr>
                <w:rFonts w:hint="eastAsia" w:ascii="宋体" w:hAnsi="宋体" w:eastAsia="宋体" w:cs="宋体"/>
                <w:color w:val="auto"/>
                <w:kern w:val="0"/>
                <w:szCs w:val="21"/>
                <w:lang w:bidi="ar"/>
              </w:rPr>
            </w:pPr>
            <w:r>
              <w:rPr>
                <w:rFonts w:hint="eastAsia" w:ascii="宋体" w:hAnsi="宋体" w:eastAsia="宋体" w:cs="宋体"/>
                <w:color w:val="auto"/>
                <w:kern w:val="0"/>
                <w:szCs w:val="21"/>
                <w:lang w:bidi="ar"/>
              </w:rPr>
              <w:t>1、规格：ZC-YJV3*2.5mm2 。</w:t>
            </w:r>
          </w:p>
          <w:p w14:paraId="3637B14B">
            <w:pPr>
              <w:widowControl/>
              <w:spacing w:line="400" w:lineRule="exact"/>
              <w:jc w:val="left"/>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2、敷设方式、部位：管内或桥架敷设 。</w:t>
            </w:r>
          </w:p>
        </w:tc>
        <w:tc>
          <w:tcPr>
            <w:tcW w:w="1161" w:type="dxa"/>
            <w:shd w:val="clear" w:color="auto" w:fill="auto"/>
            <w:noWrap/>
            <w:vAlign w:val="center"/>
          </w:tcPr>
          <w:p w14:paraId="3AFFD328">
            <w:pPr>
              <w:widowControl/>
              <w:spacing w:line="400" w:lineRule="exact"/>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850米</w:t>
            </w:r>
          </w:p>
        </w:tc>
        <w:tc>
          <w:tcPr>
            <w:tcW w:w="833" w:type="dxa"/>
            <w:shd w:val="clear" w:color="auto" w:fill="auto"/>
            <w:noWrap/>
            <w:vAlign w:val="center"/>
          </w:tcPr>
          <w:p w14:paraId="322C4FD9">
            <w:pPr>
              <w:widowControl/>
              <w:spacing w:line="400" w:lineRule="exact"/>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工业</w:t>
            </w:r>
          </w:p>
        </w:tc>
        <w:tc>
          <w:tcPr>
            <w:tcW w:w="1259" w:type="dxa"/>
            <w:shd w:val="clear" w:color="auto" w:fill="auto"/>
            <w:noWrap/>
            <w:vAlign w:val="center"/>
          </w:tcPr>
          <w:p w14:paraId="6D045395">
            <w:pPr>
              <w:widowControl/>
              <w:spacing w:line="400" w:lineRule="exact"/>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否</w:t>
            </w:r>
          </w:p>
        </w:tc>
        <w:tc>
          <w:tcPr>
            <w:tcW w:w="490" w:type="dxa"/>
            <w:shd w:val="clear" w:color="auto" w:fill="auto"/>
            <w:noWrap/>
            <w:vAlign w:val="center"/>
          </w:tcPr>
          <w:p w14:paraId="500C8620">
            <w:pPr>
              <w:widowControl/>
              <w:spacing w:line="400" w:lineRule="exact"/>
              <w:rPr>
                <w:rFonts w:ascii="宋体" w:hAnsi="宋体" w:eastAsia="宋体" w:cs="宋体"/>
                <w:color w:val="auto"/>
                <w:szCs w:val="21"/>
              </w:rPr>
            </w:pPr>
          </w:p>
        </w:tc>
      </w:tr>
      <w:tr w14:paraId="28F34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703" w:type="dxa"/>
            <w:shd w:val="clear" w:color="auto" w:fill="auto"/>
            <w:noWrap/>
            <w:vAlign w:val="center"/>
          </w:tcPr>
          <w:p w14:paraId="5084975D">
            <w:pPr>
              <w:widowControl/>
              <w:spacing w:line="400" w:lineRule="exact"/>
              <w:jc w:val="center"/>
              <w:textAlignment w:val="center"/>
              <w:rPr>
                <w:rFonts w:hint="eastAsia" w:ascii="宋体" w:hAnsi="宋体" w:eastAsia="宋体" w:cs="宋体"/>
                <w:b/>
                <w:bCs/>
                <w:color w:val="auto"/>
                <w:kern w:val="0"/>
                <w:szCs w:val="21"/>
                <w:lang w:eastAsia="zh-CN" w:bidi="ar"/>
              </w:rPr>
            </w:pPr>
            <w:r>
              <w:rPr>
                <w:rFonts w:hint="eastAsia" w:ascii="宋体" w:hAnsi="宋体" w:eastAsia="宋体" w:cs="宋体"/>
                <w:b/>
                <w:bCs/>
                <w:color w:val="auto"/>
                <w:kern w:val="0"/>
                <w:szCs w:val="21"/>
                <w:lang w:bidi="ar"/>
              </w:rPr>
              <w:t>39</w:t>
            </w:r>
          </w:p>
        </w:tc>
        <w:tc>
          <w:tcPr>
            <w:tcW w:w="710" w:type="dxa"/>
            <w:shd w:val="clear" w:color="auto" w:fill="auto"/>
            <w:vAlign w:val="center"/>
          </w:tcPr>
          <w:p w14:paraId="082DE2C5">
            <w:pPr>
              <w:widowControl/>
              <w:spacing w:line="400" w:lineRule="exact"/>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电力电缆</w:t>
            </w:r>
          </w:p>
        </w:tc>
        <w:tc>
          <w:tcPr>
            <w:tcW w:w="4131" w:type="dxa"/>
            <w:shd w:val="clear" w:color="auto" w:fill="auto"/>
            <w:vAlign w:val="center"/>
          </w:tcPr>
          <w:p w14:paraId="2AAC1866">
            <w:pPr>
              <w:widowControl/>
              <w:spacing w:line="400" w:lineRule="exact"/>
              <w:jc w:val="left"/>
              <w:textAlignment w:val="center"/>
              <w:rPr>
                <w:rFonts w:hint="eastAsia" w:ascii="宋体" w:hAnsi="宋体" w:eastAsia="宋体" w:cs="宋体"/>
                <w:color w:val="auto"/>
                <w:kern w:val="0"/>
                <w:szCs w:val="21"/>
                <w:lang w:bidi="ar"/>
              </w:rPr>
            </w:pPr>
            <w:r>
              <w:rPr>
                <w:rFonts w:hint="eastAsia" w:ascii="宋体" w:hAnsi="宋体" w:eastAsia="宋体" w:cs="宋体"/>
                <w:color w:val="auto"/>
                <w:kern w:val="0"/>
                <w:szCs w:val="21"/>
                <w:lang w:bidi="ar"/>
              </w:rPr>
              <w:t>1、规格：ZC-YJV4*50+1*25mm2 。</w:t>
            </w:r>
          </w:p>
          <w:p w14:paraId="79F2BB9C">
            <w:pPr>
              <w:widowControl/>
              <w:spacing w:line="400" w:lineRule="exact"/>
              <w:jc w:val="left"/>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2、敷设方式、部位：管内或桥架敷设 。</w:t>
            </w:r>
          </w:p>
        </w:tc>
        <w:tc>
          <w:tcPr>
            <w:tcW w:w="1161" w:type="dxa"/>
            <w:shd w:val="clear" w:color="auto" w:fill="auto"/>
            <w:noWrap/>
            <w:vAlign w:val="center"/>
          </w:tcPr>
          <w:p w14:paraId="3B1D36CF">
            <w:pPr>
              <w:widowControl/>
              <w:spacing w:line="400" w:lineRule="exact"/>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45米</w:t>
            </w:r>
          </w:p>
        </w:tc>
        <w:tc>
          <w:tcPr>
            <w:tcW w:w="833" w:type="dxa"/>
            <w:shd w:val="clear" w:color="auto" w:fill="auto"/>
            <w:noWrap/>
            <w:vAlign w:val="center"/>
          </w:tcPr>
          <w:p w14:paraId="74B7FAC8">
            <w:pPr>
              <w:widowControl/>
              <w:spacing w:line="400" w:lineRule="exact"/>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工业</w:t>
            </w:r>
          </w:p>
        </w:tc>
        <w:tc>
          <w:tcPr>
            <w:tcW w:w="1259" w:type="dxa"/>
            <w:shd w:val="clear" w:color="auto" w:fill="auto"/>
            <w:noWrap/>
            <w:vAlign w:val="center"/>
          </w:tcPr>
          <w:p w14:paraId="0A5532E2">
            <w:pPr>
              <w:widowControl/>
              <w:spacing w:line="400" w:lineRule="exact"/>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否</w:t>
            </w:r>
          </w:p>
        </w:tc>
        <w:tc>
          <w:tcPr>
            <w:tcW w:w="490" w:type="dxa"/>
            <w:shd w:val="clear" w:color="auto" w:fill="auto"/>
            <w:noWrap/>
            <w:vAlign w:val="center"/>
          </w:tcPr>
          <w:p w14:paraId="3846028D">
            <w:pPr>
              <w:widowControl/>
              <w:spacing w:line="400" w:lineRule="exact"/>
              <w:rPr>
                <w:rFonts w:ascii="宋体" w:hAnsi="宋体" w:eastAsia="宋体" w:cs="宋体"/>
                <w:color w:val="auto"/>
                <w:szCs w:val="21"/>
              </w:rPr>
            </w:pPr>
          </w:p>
        </w:tc>
      </w:tr>
      <w:tr w14:paraId="30370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703" w:type="dxa"/>
            <w:shd w:val="clear" w:color="auto" w:fill="auto"/>
            <w:noWrap/>
            <w:vAlign w:val="center"/>
          </w:tcPr>
          <w:p w14:paraId="46154ED9">
            <w:pPr>
              <w:widowControl/>
              <w:spacing w:line="400" w:lineRule="exact"/>
              <w:jc w:val="center"/>
              <w:textAlignment w:val="center"/>
              <w:rPr>
                <w:rFonts w:hint="default" w:ascii="宋体" w:hAnsi="宋体" w:eastAsia="宋体" w:cs="宋体"/>
                <w:b/>
                <w:bCs/>
                <w:color w:val="auto"/>
                <w:kern w:val="0"/>
                <w:szCs w:val="21"/>
                <w:lang w:val="en-US" w:eastAsia="zh-CN" w:bidi="ar"/>
              </w:rPr>
            </w:pPr>
            <w:r>
              <w:rPr>
                <w:rFonts w:hint="eastAsia" w:ascii="宋体" w:hAnsi="宋体" w:eastAsia="宋体" w:cs="宋体"/>
                <w:b/>
                <w:bCs/>
                <w:color w:val="auto"/>
                <w:kern w:val="0"/>
                <w:szCs w:val="21"/>
                <w:lang w:bidi="ar"/>
              </w:rPr>
              <w:t>40</w:t>
            </w:r>
          </w:p>
        </w:tc>
        <w:tc>
          <w:tcPr>
            <w:tcW w:w="710" w:type="dxa"/>
            <w:shd w:val="clear" w:color="auto" w:fill="auto"/>
            <w:vAlign w:val="center"/>
          </w:tcPr>
          <w:p w14:paraId="2F71DA01">
            <w:pPr>
              <w:widowControl/>
              <w:spacing w:line="400" w:lineRule="exact"/>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管材</w:t>
            </w:r>
          </w:p>
        </w:tc>
        <w:tc>
          <w:tcPr>
            <w:tcW w:w="4131" w:type="dxa"/>
            <w:shd w:val="clear" w:color="auto" w:fill="auto"/>
            <w:vAlign w:val="center"/>
          </w:tcPr>
          <w:p w14:paraId="13C38341">
            <w:pPr>
              <w:widowControl/>
              <w:spacing w:line="400" w:lineRule="exact"/>
              <w:jc w:val="left"/>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pvc25</w:t>
            </w:r>
          </w:p>
        </w:tc>
        <w:tc>
          <w:tcPr>
            <w:tcW w:w="1161" w:type="dxa"/>
            <w:shd w:val="clear" w:color="auto" w:fill="auto"/>
            <w:noWrap/>
            <w:vAlign w:val="center"/>
          </w:tcPr>
          <w:p w14:paraId="5C75AFC4">
            <w:pPr>
              <w:widowControl/>
              <w:spacing w:line="400" w:lineRule="exact"/>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380米</w:t>
            </w:r>
          </w:p>
        </w:tc>
        <w:tc>
          <w:tcPr>
            <w:tcW w:w="833" w:type="dxa"/>
            <w:shd w:val="clear" w:color="auto" w:fill="auto"/>
            <w:noWrap/>
            <w:vAlign w:val="center"/>
          </w:tcPr>
          <w:p w14:paraId="303E59E6">
            <w:pPr>
              <w:widowControl/>
              <w:spacing w:line="400" w:lineRule="exact"/>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工业</w:t>
            </w:r>
          </w:p>
        </w:tc>
        <w:tc>
          <w:tcPr>
            <w:tcW w:w="1259" w:type="dxa"/>
            <w:shd w:val="clear" w:color="auto" w:fill="auto"/>
            <w:noWrap/>
            <w:vAlign w:val="center"/>
          </w:tcPr>
          <w:p w14:paraId="1CA761AC">
            <w:pPr>
              <w:widowControl/>
              <w:spacing w:line="400" w:lineRule="exact"/>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否</w:t>
            </w:r>
          </w:p>
        </w:tc>
        <w:tc>
          <w:tcPr>
            <w:tcW w:w="490" w:type="dxa"/>
            <w:shd w:val="clear" w:color="auto" w:fill="auto"/>
            <w:noWrap/>
            <w:vAlign w:val="center"/>
          </w:tcPr>
          <w:p w14:paraId="6FE66AB9">
            <w:pPr>
              <w:widowControl/>
              <w:spacing w:line="400" w:lineRule="exact"/>
              <w:rPr>
                <w:rFonts w:ascii="宋体" w:hAnsi="宋体" w:eastAsia="宋体" w:cs="宋体"/>
                <w:color w:val="auto"/>
                <w:szCs w:val="21"/>
              </w:rPr>
            </w:pPr>
          </w:p>
        </w:tc>
      </w:tr>
      <w:tr w14:paraId="7B7F7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703" w:type="dxa"/>
            <w:shd w:val="clear" w:color="auto" w:fill="auto"/>
            <w:noWrap/>
            <w:vAlign w:val="center"/>
          </w:tcPr>
          <w:p w14:paraId="13B97820">
            <w:pPr>
              <w:widowControl/>
              <w:spacing w:line="400" w:lineRule="exact"/>
              <w:jc w:val="center"/>
              <w:textAlignment w:val="center"/>
              <w:rPr>
                <w:rFonts w:hint="default" w:ascii="宋体" w:hAnsi="宋体" w:eastAsia="宋体" w:cs="宋体"/>
                <w:b/>
                <w:bCs/>
                <w:color w:val="auto"/>
                <w:kern w:val="0"/>
                <w:szCs w:val="21"/>
                <w:lang w:val="en-US" w:eastAsia="zh-CN" w:bidi="ar"/>
              </w:rPr>
            </w:pPr>
            <w:r>
              <w:rPr>
                <w:rFonts w:hint="eastAsia" w:ascii="宋体" w:hAnsi="宋体" w:eastAsia="宋体" w:cs="宋体"/>
                <w:b/>
                <w:bCs/>
                <w:color w:val="auto"/>
                <w:kern w:val="0"/>
                <w:szCs w:val="21"/>
                <w:lang w:bidi="ar"/>
              </w:rPr>
              <w:t>41</w:t>
            </w:r>
          </w:p>
        </w:tc>
        <w:tc>
          <w:tcPr>
            <w:tcW w:w="710" w:type="dxa"/>
            <w:shd w:val="clear" w:color="auto" w:fill="auto"/>
            <w:vAlign w:val="center"/>
          </w:tcPr>
          <w:p w14:paraId="29CAC6CB">
            <w:pPr>
              <w:widowControl/>
              <w:spacing w:line="400" w:lineRule="exact"/>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桥架</w:t>
            </w:r>
          </w:p>
        </w:tc>
        <w:tc>
          <w:tcPr>
            <w:tcW w:w="4131" w:type="dxa"/>
            <w:shd w:val="clear" w:color="auto" w:fill="auto"/>
            <w:vAlign w:val="center"/>
          </w:tcPr>
          <w:p w14:paraId="21B5FD24">
            <w:pPr>
              <w:widowControl/>
              <w:spacing w:line="400" w:lineRule="exact"/>
              <w:jc w:val="left"/>
              <w:textAlignment w:val="center"/>
              <w:rPr>
                <w:rFonts w:hint="eastAsia" w:ascii="宋体" w:hAnsi="宋体" w:eastAsia="宋体" w:cs="宋体"/>
                <w:color w:val="auto"/>
                <w:kern w:val="0"/>
                <w:szCs w:val="21"/>
                <w:lang w:bidi="ar"/>
              </w:rPr>
            </w:pPr>
            <w:r>
              <w:rPr>
                <w:rFonts w:hint="eastAsia" w:ascii="宋体" w:hAnsi="宋体" w:eastAsia="宋体" w:cs="宋体"/>
                <w:color w:val="auto"/>
                <w:kern w:val="0"/>
                <w:szCs w:val="21"/>
                <w:lang w:bidi="ar"/>
              </w:rPr>
              <w:t>1、名称：弱电桥架</w:t>
            </w:r>
          </w:p>
          <w:p w14:paraId="0E35FDEC">
            <w:pPr>
              <w:widowControl/>
              <w:spacing w:line="400" w:lineRule="exact"/>
              <w:jc w:val="left"/>
              <w:textAlignment w:val="center"/>
              <w:rPr>
                <w:rFonts w:hint="eastAsia" w:ascii="宋体" w:hAnsi="宋体" w:eastAsia="宋体" w:cs="宋体"/>
                <w:color w:val="auto"/>
                <w:kern w:val="0"/>
                <w:szCs w:val="21"/>
                <w:lang w:bidi="ar"/>
              </w:rPr>
            </w:pPr>
            <w:r>
              <w:rPr>
                <w:rFonts w:hint="eastAsia" w:ascii="宋体" w:hAnsi="宋体" w:eastAsia="宋体" w:cs="宋体"/>
                <w:color w:val="auto"/>
                <w:kern w:val="0"/>
                <w:szCs w:val="21"/>
                <w:lang w:bidi="ar"/>
              </w:rPr>
              <w:t>2、规格：200*100mm</w:t>
            </w:r>
          </w:p>
          <w:p w14:paraId="3DB43E69">
            <w:pPr>
              <w:widowControl/>
              <w:spacing w:line="400" w:lineRule="exact"/>
              <w:jc w:val="left"/>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3、中间加隔板</w:t>
            </w:r>
          </w:p>
        </w:tc>
        <w:tc>
          <w:tcPr>
            <w:tcW w:w="1161" w:type="dxa"/>
            <w:shd w:val="clear" w:color="auto" w:fill="auto"/>
            <w:noWrap/>
            <w:vAlign w:val="center"/>
          </w:tcPr>
          <w:p w14:paraId="632A7C28">
            <w:pPr>
              <w:widowControl/>
              <w:spacing w:line="400" w:lineRule="exact"/>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80米</w:t>
            </w:r>
          </w:p>
        </w:tc>
        <w:tc>
          <w:tcPr>
            <w:tcW w:w="833" w:type="dxa"/>
            <w:shd w:val="clear" w:color="auto" w:fill="auto"/>
            <w:noWrap/>
            <w:vAlign w:val="center"/>
          </w:tcPr>
          <w:p w14:paraId="0C2CCF60">
            <w:pPr>
              <w:widowControl/>
              <w:spacing w:line="400" w:lineRule="exact"/>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工业</w:t>
            </w:r>
          </w:p>
        </w:tc>
        <w:tc>
          <w:tcPr>
            <w:tcW w:w="1259" w:type="dxa"/>
            <w:shd w:val="clear" w:color="auto" w:fill="auto"/>
            <w:noWrap/>
            <w:vAlign w:val="center"/>
          </w:tcPr>
          <w:p w14:paraId="7D8463D8">
            <w:pPr>
              <w:widowControl/>
              <w:spacing w:line="400" w:lineRule="exact"/>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否</w:t>
            </w:r>
          </w:p>
        </w:tc>
        <w:tc>
          <w:tcPr>
            <w:tcW w:w="490" w:type="dxa"/>
            <w:shd w:val="clear" w:color="auto" w:fill="auto"/>
            <w:noWrap/>
            <w:vAlign w:val="center"/>
          </w:tcPr>
          <w:p w14:paraId="20A1D74D">
            <w:pPr>
              <w:widowControl/>
              <w:spacing w:line="400" w:lineRule="exact"/>
              <w:rPr>
                <w:rFonts w:ascii="宋体" w:hAnsi="宋体" w:eastAsia="宋体" w:cs="宋体"/>
                <w:color w:val="auto"/>
                <w:szCs w:val="21"/>
              </w:rPr>
            </w:pPr>
          </w:p>
        </w:tc>
      </w:tr>
      <w:tr w14:paraId="43FA3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703" w:type="dxa"/>
            <w:shd w:val="clear" w:color="auto" w:fill="auto"/>
            <w:noWrap/>
            <w:vAlign w:val="center"/>
          </w:tcPr>
          <w:p w14:paraId="27D65CC2">
            <w:pPr>
              <w:widowControl/>
              <w:spacing w:line="400" w:lineRule="exact"/>
              <w:jc w:val="center"/>
              <w:textAlignment w:val="center"/>
              <w:rPr>
                <w:rFonts w:hint="default" w:ascii="宋体" w:hAnsi="宋体" w:eastAsia="宋体" w:cs="宋体"/>
                <w:b/>
                <w:bCs/>
                <w:color w:val="auto"/>
                <w:kern w:val="0"/>
                <w:szCs w:val="21"/>
                <w:lang w:val="en-US" w:eastAsia="zh-CN" w:bidi="ar"/>
              </w:rPr>
            </w:pPr>
            <w:r>
              <w:rPr>
                <w:rFonts w:hint="eastAsia" w:ascii="宋体" w:hAnsi="宋体" w:eastAsia="宋体" w:cs="宋体"/>
                <w:b/>
                <w:bCs/>
                <w:color w:val="auto"/>
                <w:kern w:val="0"/>
                <w:szCs w:val="21"/>
                <w:lang w:bidi="ar"/>
              </w:rPr>
              <w:t>42</w:t>
            </w:r>
          </w:p>
        </w:tc>
        <w:tc>
          <w:tcPr>
            <w:tcW w:w="710" w:type="dxa"/>
            <w:shd w:val="clear" w:color="auto" w:fill="auto"/>
            <w:vAlign w:val="center"/>
          </w:tcPr>
          <w:p w14:paraId="2CF6C55E">
            <w:pPr>
              <w:widowControl/>
              <w:spacing w:line="400" w:lineRule="exact"/>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系统对接</w:t>
            </w:r>
          </w:p>
        </w:tc>
        <w:tc>
          <w:tcPr>
            <w:tcW w:w="4131" w:type="dxa"/>
            <w:shd w:val="clear" w:color="auto" w:fill="auto"/>
            <w:vAlign w:val="center"/>
          </w:tcPr>
          <w:p w14:paraId="2D219480">
            <w:pPr>
              <w:widowControl/>
              <w:spacing w:line="400" w:lineRule="exact"/>
              <w:jc w:val="left"/>
              <w:textAlignment w:val="center"/>
              <w:rPr>
                <w:rFonts w:hint="eastAsia" w:ascii="宋体" w:hAnsi="宋体" w:eastAsia="宋体" w:cs="宋体"/>
                <w:color w:val="auto"/>
                <w:kern w:val="0"/>
                <w:szCs w:val="21"/>
                <w:lang w:bidi="ar"/>
              </w:rPr>
            </w:pPr>
            <w:r>
              <w:rPr>
                <w:rFonts w:hint="eastAsia" w:ascii="宋体" w:hAnsi="宋体" w:eastAsia="宋体" w:cs="宋体"/>
                <w:color w:val="auto"/>
                <w:kern w:val="0"/>
                <w:szCs w:val="21"/>
                <w:lang w:bidi="ar"/>
              </w:rPr>
              <w:t>★1、要求提供一套集成舞台大屏系统、窗帘及现有音响、灯光等设备的一体化集成控制系统，能便捷控制舞台灯光、音响和大屏等设备，控制方式多样，操作简便，具备丰富灯光效果预设。</w:t>
            </w:r>
          </w:p>
          <w:p w14:paraId="7FD812AC">
            <w:pPr>
              <w:widowControl/>
              <w:spacing w:line="400" w:lineRule="exact"/>
              <w:jc w:val="left"/>
              <w:textAlignment w:val="center"/>
              <w:rPr>
                <w:rFonts w:hint="eastAsia" w:ascii="宋体" w:hAnsi="宋体" w:eastAsia="宋体" w:cs="宋体"/>
                <w:color w:val="auto"/>
                <w:kern w:val="0"/>
                <w:szCs w:val="21"/>
                <w:lang w:bidi="ar"/>
              </w:rPr>
            </w:pPr>
            <w:r>
              <w:rPr>
                <w:rFonts w:hint="eastAsia" w:ascii="宋体" w:hAnsi="宋体" w:eastAsia="宋体" w:cs="宋体"/>
                <w:color w:val="auto"/>
                <w:kern w:val="0"/>
                <w:szCs w:val="21"/>
                <w:lang w:bidi="ar"/>
              </w:rPr>
              <w:t>★2、利旧原有网络型可编程中央控制主机对新增加大屏系统（主屏+侧屏）、电动动窗帘系统赋予远程控制功能，并对原有缺失的礼堂普通照明及舞台灯光供电完善控制方式，实现平板远程控制，集中统一管理。</w:t>
            </w:r>
          </w:p>
          <w:p w14:paraId="4F07ADD8">
            <w:pPr>
              <w:widowControl/>
              <w:spacing w:line="400" w:lineRule="exact"/>
              <w:jc w:val="left"/>
              <w:textAlignment w:val="center"/>
              <w:rPr>
                <w:rFonts w:hint="eastAsia" w:ascii="宋体" w:hAnsi="宋体" w:eastAsia="宋体" w:cs="宋体"/>
                <w:color w:val="auto"/>
                <w:kern w:val="0"/>
                <w:szCs w:val="21"/>
                <w:lang w:bidi="ar"/>
              </w:rPr>
            </w:pPr>
            <w:r>
              <w:rPr>
                <w:rFonts w:hint="eastAsia" w:ascii="宋体" w:hAnsi="宋体" w:eastAsia="宋体" w:cs="宋体"/>
                <w:color w:val="auto"/>
                <w:kern w:val="0"/>
                <w:szCs w:val="21"/>
                <w:lang w:bidi="ar"/>
              </w:rPr>
              <w:t>★3、系统集中灯光、机械、视音频控制手段于一体，为使用者提供简单、直接的控制界面，方便地掌握整个空间环境各设备的状态及功能。</w:t>
            </w:r>
          </w:p>
          <w:p w14:paraId="70D61948">
            <w:pPr>
              <w:widowControl/>
              <w:spacing w:line="400" w:lineRule="exact"/>
              <w:jc w:val="left"/>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★4、中央集中控制系统的构成包括但不限于用户操作平台(人机界面）、控制系统主机（控制信息处理中心）和传递控制信息的接口设备等。</w:t>
            </w:r>
          </w:p>
        </w:tc>
        <w:tc>
          <w:tcPr>
            <w:tcW w:w="1161" w:type="dxa"/>
            <w:shd w:val="clear" w:color="auto" w:fill="auto"/>
            <w:noWrap/>
            <w:vAlign w:val="center"/>
          </w:tcPr>
          <w:p w14:paraId="7B875E1C">
            <w:pPr>
              <w:widowControl/>
              <w:spacing w:line="400" w:lineRule="exact"/>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1套</w:t>
            </w:r>
          </w:p>
        </w:tc>
        <w:tc>
          <w:tcPr>
            <w:tcW w:w="833" w:type="dxa"/>
            <w:shd w:val="clear" w:color="auto" w:fill="auto"/>
            <w:noWrap/>
            <w:vAlign w:val="center"/>
          </w:tcPr>
          <w:p w14:paraId="77349566">
            <w:pPr>
              <w:widowControl/>
              <w:spacing w:line="400" w:lineRule="exact"/>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软件和信息技术服务业</w:t>
            </w:r>
          </w:p>
        </w:tc>
        <w:tc>
          <w:tcPr>
            <w:tcW w:w="1259" w:type="dxa"/>
            <w:shd w:val="clear" w:color="auto" w:fill="auto"/>
            <w:noWrap/>
            <w:vAlign w:val="center"/>
          </w:tcPr>
          <w:p w14:paraId="58EBEFB7">
            <w:pPr>
              <w:widowControl/>
              <w:spacing w:line="400" w:lineRule="exact"/>
              <w:jc w:val="center"/>
              <w:textAlignment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否</w:t>
            </w:r>
          </w:p>
        </w:tc>
        <w:tc>
          <w:tcPr>
            <w:tcW w:w="490" w:type="dxa"/>
            <w:shd w:val="clear" w:color="auto" w:fill="auto"/>
            <w:noWrap/>
            <w:vAlign w:val="center"/>
          </w:tcPr>
          <w:p w14:paraId="1B023AEE">
            <w:pPr>
              <w:widowControl/>
              <w:spacing w:line="400" w:lineRule="exact"/>
              <w:rPr>
                <w:rFonts w:ascii="宋体" w:hAnsi="宋体" w:eastAsia="宋体" w:cs="宋体"/>
                <w:color w:val="auto"/>
                <w:szCs w:val="21"/>
              </w:rPr>
            </w:pPr>
          </w:p>
        </w:tc>
      </w:tr>
      <w:tr w14:paraId="071F0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703" w:type="dxa"/>
            <w:shd w:val="clear" w:color="auto" w:fill="auto"/>
            <w:noWrap/>
            <w:vAlign w:val="center"/>
          </w:tcPr>
          <w:p w14:paraId="2C268FF1">
            <w:pPr>
              <w:widowControl/>
              <w:spacing w:line="400" w:lineRule="exact"/>
              <w:jc w:val="center"/>
              <w:textAlignment w:val="center"/>
              <w:rPr>
                <w:rFonts w:hint="default" w:ascii="宋体" w:hAnsi="宋体" w:eastAsia="宋体" w:cs="宋体"/>
                <w:b/>
                <w:bCs/>
                <w:color w:val="auto"/>
                <w:kern w:val="0"/>
                <w:szCs w:val="21"/>
                <w:lang w:val="en-US" w:eastAsia="zh-CN" w:bidi="ar"/>
              </w:rPr>
            </w:pPr>
            <w:r>
              <w:rPr>
                <w:rFonts w:hint="eastAsia" w:ascii="宋体" w:hAnsi="宋体" w:eastAsia="宋体" w:cs="宋体"/>
                <w:b/>
                <w:bCs/>
                <w:color w:val="auto"/>
                <w:kern w:val="0"/>
                <w:szCs w:val="21"/>
                <w:lang w:bidi="ar"/>
              </w:rPr>
              <w:t>43</w:t>
            </w:r>
          </w:p>
        </w:tc>
        <w:tc>
          <w:tcPr>
            <w:tcW w:w="710" w:type="dxa"/>
            <w:shd w:val="clear" w:color="auto" w:fill="auto"/>
            <w:vAlign w:val="center"/>
          </w:tcPr>
          <w:p w14:paraId="4FB998D0">
            <w:pPr>
              <w:widowControl/>
              <w:spacing w:line="400" w:lineRule="exact"/>
              <w:jc w:val="center"/>
              <w:textAlignment w:val="center"/>
              <w:rPr>
                <w:rFonts w:hint="default" w:ascii="宋体" w:hAnsi="宋体" w:eastAsia="宋体" w:cs="宋体"/>
                <w:color w:val="auto"/>
                <w:kern w:val="0"/>
                <w:szCs w:val="21"/>
                <w:lang w:val="en-US" w:eastAsia="zh-CN" w:bidi="ar"/>
              </w:rPr>
            </w:pPr>
            <w:r>
              <w:rPr>
                <w:rFonts w:hint="eastAsia" w:ascii="宋体" w:hAnsi="宋体" w:eastAsia="宋体" w:cs="宋体"/>
                <w:color w:val="auto"/>
                <w:kern w:val="0"/>
                <w:szCs w:val="21"/>
                <w:lang w:bidi="ar"/>
              </w:rPr>
              <w:t>脚手架搭拆</w:t>
            </w:r>
          </w:p>
        </w:tc>
        <w:tc>
          <w:tcPr>
            <w:tcW w:w="4131" w:type="dxa"/>
            <w:shd w:val="clear" w:color="auto" w:fill="auto"/>
            <w:vAlign w:val="center"/>
          </w:tcPr>
          <w:p w14:paraId="4DE38BEB">
            <w:pPr>
              <w:widowControl/>
              <w:spacing w:line="400" w:lineRule="exact"/>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脚手架搭拆</w:t>
            </w:r>
          </w:p>
        </w:tc>
        <w:tc>
          <w:tcPr>
            <w:tcW w:w="1161" w:type="dxa"/>
            <w:shd w:val="clear" w:color="auto" w:fill="auto"/>
            <w:noWrap/>
            <w:vAlign w:val="center"/>
          </w:tcPr>
          <w:p w14:paraId="1B1F1639">
            <w:pPr>
              <w:widowControl/>
              <w:spacing w:line="400" w:lineRule="exact"/>
              <w:jc w:val="center"/>
              <w:textAlignment w:val="center"/>
              <w:rPr>
                <w:rFonts w:hint="default" w:ascii="宋体" w:hAnsi="宋体" w:eastAsia="宋体" w:cs="宋体"/>
                <w:color w:val="auto"/>
                <w:kern w:val="0"/>
                <w:szCs w:val="21"/>
                <w:highlight w:val="none"/>
                <w:lang w:val="en-US" w:eastAsia="zh-CN" w:bidi="ar"/>
              </w:rPr>
            </w:pPr>
            <w:r>
              <w:rPr>
                <w:rFonts w:hint="eastAsia" w:ascii="宋体" w:hAnsi="宋体" w:eastAsia="宋体" w:cs="宋体"/>
                <w:color w:val="auto"/>
                <w:kern w:val="0"/>
                <w:szCs w:val="21"/>
                <w:highlight w:val="none"/>
                <w:lang w:bidi="ar"/>
              </w:rPr>
              <w:t>1项</w:t>
            </w:r>
          </w:p>
        </w:tc>
        <w:tc>
          <w:tcPr>
            <w:tcW w:w="833" w:type="dxa"/>
            <w:shd w:val="clear" w:color="auto" w:fill="auto"/>
            <w:noWrap/>
            <w:vAlign w:val="center"/>
          </w:tcPr>
          <w:p w14:paraId="165F6046">
            <w:pPr>
              <w:widowControl/>
              <w:spacing w:line="400" w:lineRule="exact"/>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Cs w:val="21"/>
                <w:highlight w:val="none"/>
                <w:lang w:val="en-US" w:eastAsia="zh-CN" w:bidi="ar"/>
              </w:rPr>
              <w:t>建筑业</w:t>
            </w:r>
          </w:p>
        </w:tc>
        <w:tc>
          <w:tcPr>
            <w:tcW w:w="1259" w:type="dxa"/>
            <w:shd w:val="clear" w:color="auto" w:fill="auto"/>
            <w:noWrap/>
            <w:vAlign w:val="center"/>
          </w:tcPr>
          <w:p w14:paraId="71A1C7F7">
            <w:pPr>
              <w:widowControl/>
              <w:spacing w:line="400" w:lineRule="exact"/>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Cs w:val="21"/>
                <w:highlight w:val="none"/>
                <w:lang w:bidi="ar"/>
              </w:rPr>
              <w:t>否</w:t>
            </w:r>
          </w:p>
        </w:tc>
        <w:tc>
          <w:tcPr>
            <w:tcW w:w="490" w:type="dxa"/>
            <w:shd w:val="clear" w:color="auto" w:fill="auto"/>
            <w:noWrap/>
            <w:vAlign w:val="center"/>
          </w:tcPr>
          <w:p w14:paraId="15E42C62">
            <w:pPr>
              <w:widowControl/>
              <w:spacing w:line="400" w:lineRule="exact"/>
              <w:rPr>
                <w:rFonts w:ascii="宋体" w:hAnsi="宋体" w:eastAsia="宋体" w:cs="宋体"/>
                <w:color w:val="auto"/>
                <w:szCs w:val="21"/>
              </w:rPr>
            </w:pPr>
          </w:p>
        </w:tc>
      </w:tr>
      <w:tr w14:paraId="0F2CE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703" w:type="dxa"/>
            <w:shd w:val="clear" w:color="auto" w:fill="auto"/>
            <w:noWrap/>
            <w:vAlign w:val="center"/>
          </w:tcPr>
          <w:p w14:paraId="373D2F67">
            <w:pPr>
              <w:widowControl/>
              <w:spacing w:line="400" w:lineRule="exact"/>
              <w:jc w:val="center"/>
              <w:textAlignment w:val="center"/>
              <w:rPr>
                <w:rFonts w:hint="default" w:ascii="宋体" w:hAnsi="宋体" w:eastAsia="宋体" w:cs="宋体"/>
                <w:b/>
                <w:bCs/>
                <w:color w:val="auto"/>
                <w:kern w:val="0"/>
                <w:szCs w:val="21"/>
                <w:lang w:val="en-US" w:eastAsia="zh-CN" w:bidi="ar"/>
              </w:rPr>
            </w:pPr>
            <w:r>
              <w:rPr>
                <w:rFonts w:hint="eastAsia" w:ascii="宋体" w:hAnsi="宋体" w:eastAsia="宋体" w:cs="宋体"/>
                <w:b/>
                <w:bCs/>
                <w:color w:val="auto"/>
                <w:kern w:val="0"/>
                <w:szCs w:val="21"/>
                <w:lang w:bidi="ar"/>
              </w:rPr>
              <w:t>44</w:t>
            </w:r>
          </w:p>
        </w:tc>
        <w:tc>
          <w:tcPr>
            <w:tcW w:w="710" w:type="dxa"/>
            <w:shd w:val="clear" w:color="auto" w:fill="auto"/>
            <w:vAlign w:val="center"/>
          </w:tcPr>
          <w:p w14:paraId="555A4FCB">
            <w:pPr>
              <w:widowControl/>
              <w:spacing w:line="400" w:lineRule="exact"/>
              <w:jc w:val="center"/>
              <w:textAlignment w:val="center"/>
              <w:rPr>
                <w:rFonts w:hint="eastAsia" w:ascii="宋体" w:hAnsi="宋体" w:eastAsia="宋体" w:cs="宋体"/>
                <w:color w:val="auto"/>
                <w:kern w:val="0"/>
                <w:szCs w:val="21"/>
                <w:lang w:bidi="ar"/>
              </w:rPr>
            </w:pPr>
            <w:r>
              <w:rPr>
                <w:rFonts w:hint="eastAsia" w:ascii="宋体" w:hAnsi="宋体" w:eastAsia="宋体" w:cs="宋体"/>
                <w:color w:val="auto"/>
                <w:kern w:val="0"/>
                <w:szCs w:val="21"/>
                <w:lang w:bidi="ar"/>
              </w:rPr>
              <w:t>装饰墙面拆除</w:t>
            </w:r>
          </w:p>
        </w:tc>
        <w:tc>
          <w:tcPr>
            <w:tcW w:w="4131" w:type="dxa"/>
            <w:shd w:val="clear" w:color="auto" w:fill="auto"/>
            <w:vAlign w:val="center"/>
          </w:tcPr>
          <w:p w14:paraId="0A59E028">
            <w:pPr>
              <w:widowControl/>
              <w:spacing w:line="400" w:lineRule="exact"/>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定制</w:t>
            </w:r>
          </w:p>
        </w:tc>
        <w:tc>
          <w:tcPr>
            <w:tcW w:w="1161" w:type="dxa"/>
            <w:shd w:val="clear" w:color="auto" w:fill="auto"/>
            <w:noWrap/>
            <w:vAlign w:val="center"/>
          </w:tcPr>
          <w:p w14:paraId="023929C6">
            <w:pPr>
              <w:widowControl/>
              <w:spacing w:line="400" w:lineRule="exact"/>
              <w:jc w:val="center"/>
              <w:textAlignment w:val="center"/>
              <w:rPr>
                <w:rFonts w:hint="default"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Cs w:val="21"/>
                <w:highlight w:val="none"/>
                <w:lang w:bidi="ar"/>
              </w:rPr>
              <w:t>1项</w:t>
            </w:r>
          </w:p>
        </w:tc>
        <w:tc>
          <w:tcPr>
            <w:tcW w:w="833" w:type="dxa"/>
            <w:shd w:val="clear" w:color="auto" w:fill="auto"/>
            <w:noWrap/>
            <w:vAlign w:val="center"/>
          </w:tcPr>
          <w:p w14:paraId="0CA4F2F8">
            <w:pPr>
              <w:widowControl/>
              <w:spacing w:line="400" w:lineRule="exact"/>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Cs w:val="21"/>
                <w:highlight w:val="none"/>
                <w:lang w:val="en-US" w:eastAsia="zh-CN" w:bidi="ar"/>
              </w:rPr>
              <w:t>建筑业</w:t>
            </w:r>
          </w:p>
        </w:tc>
        <w:tc>
          <w:tcPr>
            <w:tcW w:w="1259" w:type="dxa"/>
            <w:shd w:val="clear" w:color="auto" w:fill="auto"/>
            <w:noWrap/>
            <w:vAlign w:val="center"/>
          </w:tcPr>
          <w:p w14:paraId="6C01497C">
            <w:pPr>
              <w:widowControl/>
              <w:spacing w:line="400" w:lineRule="exact"/>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Cs w:val="21"/>
                <w:highlight w:val="none"/>
                <w:lang w:bidi="ar"/>
              </w:rPr>
              <w:t>否</w:t>
            </w:r>
          </w:p>
        </w:tc>
        <w:tc>
          <w:tcPr>
            <w:tcW w:w="490" w:type="dxa"/>
            <w:shd w:val="clear" w:color="auto" w:fill="auto"/>
            <w:noWrap/>
            <w:vAlign w:val="center"/>
          </w:tcPr>
          <w:p w14:paraId="26EA9A3D">
            <w:pPr>
              <w:widowControl/>
              <w:spacing w:line="400" w:lineRule="exact"/>
              <w:rPr>
                <w:rFonts w:ascii="宋体" w:hAnsi="宋体" w:eastAsia="宋体" w:cs="宋体"/>
                <w:color w:val="auto"/>
                <w:szCs w:val="21"/>
              </w:rPr>
            </w:pPr>
          </w:p>
        </w:tc>
      </w:tr>
    </w:tbl>
    <w:p w14:paraId="75DF73B9">
      <w:pPr>
        <w:spacing w:line="360" w:lineRule="auto"/>
        <w:ind w:firstLine="435"/>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注：1.投标人自行勘察本项目实施现场，核对现场可能影响货物后期安装的全部因素，确保所投货物满足现场实际安装要求；因未勘察现场而引起的一切责任由投标人自行承担。</w:t>
      </w:r>
    </w:p>
    <w:p w14:paraId="136F812A">
      <w:pPr>
        <w:spacing w:line="360" w:lineRule="auto"/>
        <w:ind w:firstLine="435"/>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2.清单中非定制货物、设备尺寸允许有细微偏差，但如果在后期安装过程中出现不符合现场实际安装情况，中标人则需无条件更换货物、设备。</w:t>
      </w:r>
    </w:p>
    <w:p w14:paraId="3DC4414E">
      <w:pPr>
        <w:spacing w:line="360" w:lineRule="auto"/>
        <w:ind w:firstLine="435"/>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3.产品验收前必须保证合格；按招标人要求送检，招标人有权委托第三方进行产品质量、规格要求等检测，检测不合格的更换所有产品并承担违约责任及损失。</w:t>
      </w:r>
    </w:p>
    <w:p w14:paraId="3CD6A953">
      <w:pPr>
        <w:spacing w:line="360" w:lineRule="auto"/>
        <w:ind w:firstLine="435"/>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4.上述所有设备均须提供专业安装。</w:t>
      </w:r>
    </w:p>
    <w:p w14:paraId="1AB88668">
      <w:pPr>
        <w:spacing w:line="360" w:lineRule="auto"/>
        <w:ind w:firstLine="435"/>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三、报价要求</w:t>
      </w:r>
    </w:p>
    <w:p w14:paraId="78309AF4">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报价包括对应本项目需求的全部货物及所需附件购置费、包装费、运输费、人工费、保险费、安装调试费、各种税费、资料费、售后服务费及完成项目应有的全部费用。采购人后期不予追加任何费用，请投标人综合考虑各种风险，谨慎报价。</w:t>
      </w:r>
    </w:p>
    <w:p w14:paraId="4A85E8D8">
      <w:pPr>
        <w:spacing w:line="360" w:lineRule="auto"/>
        <w:ind w:firstLine="435"/>
        <w:rPr>
          <w:rFonts w:hint="eastAsia" w:ascii="宋体" w:hAnsi="宋体" w:eastAsia="宋体" w:cs="宋体"/>
          <w:b/>
          <w:bCs/>
          <w:color w:val="auto"/>
          <w:sz w:val="24"/>
          <w:szCs w:val="24"/>
          <w:highlight w:val="none"/>
        </w:rPr>
      </w:pPr>
      <w:bookmarkStart w:id="30" w:name="_Toc14698"/>
      <w:bookmarkStart w:id="31" w:name="_Toc15293"/>
      <w:r>
        <w:rPr>
          <w:rFonts w:hint="eastAsia" w:ascii="宋体" w:hAnsi="宋体" w:eastAsia="宋体" w:cs="宋体"/>
          <w:b/>
          <w:bCs/>
          <w:color w:val="auto"/>
          <w:sz w:val="24"/>
          <w:szCs w:val="24"/>
          <w:highlight w:val="none"/>
        </w:rPr>
        <w:t>四、其他要求</w:t>
      </w:r>
      <w:bookmarkEnd w:id="30"/>
      <w:bookmarkEnd w:id="31"/>
    </w:p>
    <w:p w14:paraId="3AC0AF58">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（一）货物的生产、安装、维修、检验、验收等按照以下原则执行：有国家标准的执行国家标准；无国家标准的执行行业标准；无行业标准的执行地方标准；无地方标准的执行企业标准。</w:t>
      </w:r>
    </w:p>
    <w:p w14:paraId="75A85C69">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如果在技术参数或配置中标明了品牌或产地，则仅供参考，并非指定，但投标人提供的货物必须满足主要技术参数及配置要求，投标人可以选用替代的方案，但这种替代整体上要优于或相当于招标文件的相关要求。</w:t>
      </w:r>
    </w:p>
    <w:p w14:paraId="2EB4AFE5">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供货时所有货物（包括零部件）须为全新的、未使用过的原装正品，并完全符合国家质量标准，提供厂家出具的合格证书、有国家强制性认证要求的产品须提供相应证书，货物的技术参数及配置情况必须由投标人提供国家相关检测机构出具的检验报告、生产厂家公开发布的印刷资料等技术资料予以支持。没有技术资料支持的技术参数及配置不能视为响应。 (厂家出具的合格证书供货时提供)</w:t>
      </w:r>
    </w:p>
    <w:p w14:paraId="04E3B339">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（四）技术支持</w:t>
      </w:r>
    </w:p>
    <w:p w14:paraId="07C9EEB9">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1.中标人应向采购人提供全方位、及时而有效的技术支持和服务。</w:t>
      </w:r>
    </w:p>
    <w:p w14:paraId="7FE38B45">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2.中标人负责供货、安装、调试。</w:t>
      </w:r>
    </w:p>
    <w:p w14:paraId="780EBFC7">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中标人负责将货物的全部有关技术文件（外文应提供中文翻译资料，下同）、施工图纸、资料、测试、验收报告等汇集成册交付采购人，涉及进口的产品或部件配件软件等须提供中国海关进口货物报关单、完税证明及商检证明等材料。</w:t>
      </w:r>
    </w:p>
    <w:p w14:paraId="61CF5317">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（五）质保及售后服务：</w:t>
      </w:r>
    </w:p>
    <w:p w14:paraId="6DF8792B">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1.中标人须提供至少</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年的免费质保服务，</w:t>
      </w:r>
      <w:r>
        <w:rPr>
          <w:rFonts w:hint="eastAsia" w:ascii="宋体" w:hAnsi="宋体" w:eastAsia="宋体" w:cs="宋体"/>
          <w:color w:val="auto"/>
          <w:sz w:val="24"/>
          <w:szCs w:val="24"/>
          <w:highlight w:val="none"/>
          <w:lang w:val="en-US" w:eastAsia="zh-CN"/>
        </w:rPr>
        <w:t>中标人至少提供8年免费会议保障，根据采购人要求派驻人员到场进行会议保障。</w:t>
      </w:r>
      <w:r>
        <w:rPr>
          <w:rFonts w:hint="eastAsia" w:ascii="宋体" w:hAnsi="宋体" w:eastAsia="宋体" w:cs="宋体"/>
          <w:color w:val="auto"/>
          <w:sz w:val="24"/>
          <w:szCs w:val="24"/>
          <w:highlight w:val="none"/>
        </w:rPr>
        <w:t>所有质保费用均已包含在投标报价中，质保期满后，应提供优先的有偿售后服务及按不高于投标文件中主要配件、易损件清单所报价格供应原厂零配件等。软件终身免费升级服务。</w:t>
      </w:r>
    </w:p>
    <w:p w14:paraId="754215DC">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2.中标人须设有维修服务电话，负责解答用户在货物使用中遇到的问题，及时提出解决问题的建议和操作方法。</w:t>
      </w:r>
    </w:p>
    <w:p w14:paraId="6952C2D6">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3.售后服务响应时间：如货物出现故障，电话响应无法解决，中标人必须在接报修电话24小时内到现场并解决问题。</w:t>
      </w:r>
    </w:p>
    <w:p w14:paraId="3C56CBEC">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（六）培训：中标人负责为采购人操作人员提供操作及维护培训，直至其能熟练独立操作及日常维护与保养，简单故障诊断与排除。</w:t>
      </w:r>
    </w:p>
    <w:p w14:paraId="186AB7BC">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（七）交货地点：采购人指定地点。</w:t>
      </w:r>
    </w:p>
    <w:p w14:paraId="7BC2F81A">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（八）验收：</w:t>
      </w:r>
    </w:p>
    <w:p w14:paraId="6B3C1A74">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和相关部门按照国家规定标准验收，没有国家标准的按行业标准验收，无行业标准的按地方或企业标准验收，中标人予以配合。涉及食药监、安全、消防、环保等其他需要由质检或行业主管部门验收的项目，采购人须约请相关部门和专家参加项目验收。</w:t>
      </w:r>
    </w:p>
    <w:p w14:paraId="0E2172F1">
      <w:pPr>
        <w:spacing w:line="360" w:lineRule="auto"/>
        <w:ind w:firstLine="435"/>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2.货物在验收时，投标人应提供发票、制造厂家出具的产品合格证书、装箱清单等, 涉及进口的产品、部件、配件等须提供中国海关进口货物报关单、完税证明及商检证明等材料；提供有关货物的操作规程和使用说明书，维护手册、保养修理所需的各种随机工具及相关设计、制造、检验、安装、技术性指导等文件和应由投标人提供的必要文件。</w:t>
      </w:r>
    </w:p>
    <w:p w14:paraId="15D04563">
      <w:pPr>
        <w:spacing w:line="360" w:lineRule="auto"/>
        <w:ind w:firstLine="480" w:firstLineChars="20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279C25AF">
      <w:pPr>
        <w:spacing w:line="360" w:lineRule="auto"/>
        <w:jc w:val="center"/>
        <w:outlineLvl w:val="0"/>
        <w:rPr>
          <w:rFonts w:asciiTheme="minorEastAsia" w:hAnsiTheme="minorEastAsia" w:eastAsiaTheme="minorEastAsia"/>
          <w:b/>
          <w:color w:val="auto"/>
          <w:sz w:val="28"/>
          <w:highlight w:val="none"/>
        </w:rPr>
      </w:pPr>
      <w:bookmarkStart w:id="32" w:name="_Toc15604"/>
      <w:r>
        <w:rPr>
          <w:rFonts w:hint="eastAsia" w:asciiTheme="minorEastAsia" w:hAnsiTheme="minorEastAsia" w:eastAsiaTheme="minorEastAsia"/>
          <w:b/>
          <w:color w:val="auto"/>
          <w:sz w:val="28"/>
          <w:highlight w:val="none"/>
        </w:rPr>
        <w:t>第四章  评标方法和标准（综合评分法）</w:t>
      </w:r>
      <w:bookmarkEnd w:id="32"/>
    </w:p>
    <w:p w14:paraId="36FB348D">
      <w:pPr>
        <w:spacing w:line="360" w:lineRule="auto"/>
        <w:ind w:firstLine="437"/>
        <w:outlineLvl w:val="1"/>
        <w:rPr>
          <w:rFonts w:asciiTheme="minorEastAsia" w:hAnsiTheme="minorEastAsia" w:eastAsiaTheme="minorEastAsia"/>
          <w:b/>
          <w:color w:val="auto"/>
          <w:sz w:val="24"/>
          <w:highlight w:val="none"/>
        </w:rPr>
      </w:pPr>
      <w:bookmarkStart w:id="33" w:name="_Toc1246"/>
      <w:bookmarkStart w:id="34" w:name="_Toc11823"/>
      <w:bookmarkStart w:id="35" w:name="_Toc18154"/>
      <w:r>
        <w:rPr>
          <w:rFonts w:hint="eastAsia" w:asciiTheme="minorEastAsia" w:hAnsiTheme="minorEastAsia" w:eastAsiaTheme="minorEastAsia"/>
          <w:b/>
          <w:color w:val="auto"/>
          <w:sz w:val="24"/>
          <w:highlight w:val="none"/>
        </w:rPr>
        <w:t>一、总则</w:t>
      </w:r>
      <w:bookmarkEnd w:id="33"/>
      <w:bookmarkEnd w:id="34"/>
      <w:bookmarkEnd w:id="35"/>
    </w:p>
    <w:p w14:paraId="19F1BC4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本项目将按照招标文件第二章 投标人须知的相关要求</w:t>
      </w:r>
      <w:r>
        <w:rPr>
          <w:rFonts w:asciiTheme="minorEastAsia" w:hAnsiTheme="minorEastAsia" w:eastAsiaTheme="minorEastAsia"/>
          <w:color w:val="auto"/>
          <w:sz w:val="24"/>
          <w:highlight w:val="none"/>
        </w:rPr>
        <w:t>及本章的规定评标。</w:t>
      </w:r>
    </w:p>
    <w:p w14:paraId="7527F94B">
      <w:pPr>
        <w:spacing w:line="360" w:lineRule="auto"/>
        <w:ind w:firstLine="437"/>
        <w:outlineLvl w:val="1"/>
        <w:rPr>
          <w:rFonts w:asciiTheme="minorEastAsia" w:hAnsiTheme="minorEastAsia" w:eastAsiaTheme="minorEastAsia"/>
          <w:b/>
          <w:color w:val="auto"/>
          <w:sz w:val="24"/>
          <w:highlight w:val="none"/>
        </w:rPr>
      </w:pPr>
      <w:bookmarkStart w:id="36" w:name="_Toc31871"/>
      <w:bookmarkStart w:id="37" w:name="_Toc20760"/>
      <w:bookmarkStart w:id="38" w:name="_Toc13117"/>
      <w:r>
        <w:rPr>
          <w:rFonts w:hint="eastAsia" w:asciiTheme="minorEastAsia" w:hAnsiTheme="minorEastAsia" w:eastAsiaTheme="minorEastAsia"/>
          <w:b/>
          <w:color w:val="auto"/>
          <w:sz w:val="24"/>
          <w:highlight w:val="none"/>
        </w:rPr>
        <w:t>二、评标方法</w:t>
      </w:r>
      <w:bookmarkEnd w:id="36"/>
      <w:bookmarkEnd w:id="37"/>
      <w:bookmarkEnd w:id="38"/>
    </w:p>
    <w:p w14:paraId="40AD420F">
      <w:pPr>
        <w:spacing w:line="360" w:lineRule="auto"/>
        <w:ind w:firstLine="437"/>
        <w:outlineLvl w:val="2"/>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2.1资格审查</w:t>
      </w:r>
    </w:p>
    <w:tbl>
      <w:tblPr>
        <w:tblStyle w:val="25"/>
        <w:tblW w:w="514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9"/>
        <w:gridCol w:w="1799"/>
        <w:gridCol w:w="4971"/>
        <w:gridCol w:w="2059"/>
      </w:tblGrid>
      <w:tr w14:paraId="7F0E8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5000" w:type="pct"/>
            <w:gridSpan w:val="4"/>
            <w:tcBorders>
              <w:bottom w:val="single" w:color="auto" w:sz="4" w:space="0"/>
            </w:tcBorders>
            <w:vAlign w:val="center"/>
          </w:tcPr>
          <w:p w14:paraId="6AE99113">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b/>
                <w:color w:val="auto"/>
                <w:sz w:val="24"/>
                <w:szCs w:val="22"/>
                <w:highlight w:val="none"/>
              </w:rPr>
              <w:t>资格审查表</w:t>
            </w:r>
          </w:p>
        </w:tc>
      </w:tr>
      <w:tr w14:paraId="5EDA5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7" w:type="pct"/>
            <w:tcBorders>
              <w:bottom w:val="single" w:color="auto" w:sz="4" w:space="0"/>
            </w:tcBorders>
            <w:vAlign w:val="center"/>
          </w:tcPr>
          <w:p w14:paraId="6EF5068C">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序号</w:t>
            </w:r>
          </w:p>
        </w:tc>
        <w:tc>
          <w:tcPr>
            <w:tcW w:w="942" w:type="pct"/>
            <w:tcBorders>
              <w:bottom w:val="single" w:color="auto" w:sz="4" w:space="0"/>
            </w:tcBorders>
            <w:vAlign w:val="center"/>
          </w:tcPr>
          <w:p w14:paraId="11869532">
            <w:pPr>
              <w:pStyle w:val="44"/>
              <w:pBdr>
                <w:bottom w:val="none" w:color="auto" w:sz="0" w:space="0"/>
              </w:pBdr>
              <w:tabs>
                <w:tab w:val="clear" w:pos="4153"/>
                <w:tab w:val="clear" w:pos="8306"/>
              </w:tabs>
              <w:snapToGrid w:val="0"/>
              <w:spacing w:line="360" w:lineRule="auto"/>
              <w:ind w:right="-10"/>
              <w:textAlignment w:val="auto"/>
              <w:rPr>
                <w:rFonts w:hint="default" w:ascii="宋体" w:hAnsi="宋体" w:eastAsia="宋体"/>
                <w:color w:val="auto"/>
                <w:kern w:val="2"/>
                <w:szCs w:val="24"/>
                <w:highlight w:val="none"/>
                <w:lang w:val="en-US"/>
              </w:rPr>
            </w:pPr>
            <w:r>
              <w:rPr>
                <w:rFonts w:hint="eastAsia" w:ascii="宋体" w:hAnsi="宋体" w:eastAsia="宋体"/>
                <w:color w:val="auto"/>
                <w:kern w:val="2"/>
                <w:szCs w:val="24"/>
                <w:highlight w:val="none"/>
                <w:lang w:val="en-US" w:eastAsia="zh-CN"/>
              </w:rPr>
              <w:t>审查因素</w:t>
            </w:r>
          </w:p>
        </w:tc>
        <w:tc>
          <w:tcPr>
            <w:tcW w:w="2603" w:type="pct"/>
            <w:tcBorders>
              <w:bottom w:val="single" w:color="auto" w:sz="4" w:space="0"/>
            </w:tcBorders>
            <w:vAlign w:val="center"/>
          </w:tcPr>
          <w:p w14:paraId="42B470F8">
            <w:pPr>
              <w:adjustRightInd w:val="0"/>
              <w:snapToGrid w:val="0"/>
              <w:spacing w:line="360" w:lineRule="auto"/>
              <w:ind w:right="-10"/>
              <w:jc w:val="center"/>
              <w:rPr>
                <w:rFonts w:hint="default"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审查内容</w:t>
            </w:r>
          </w:p>
        </w:tc>
        <w:tc>
          <w:tcPr>
            <w:tcW w:w="1076" w:type="pct"/>
            <w:tcBorders>
              <w:bottom w:val="single" w:color="auto" w:sz="4" w:space="0"/>
            </w:tcBorders>
            <w:vAlign w:val="center"/>
          </w:tcPr>
          <w:p w14:paraId="55DEE12A">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格式要求</w:t>
            </w:r>
          </w:p>
        </w:tc>
      </w:tr>
      <w:tr w14:paraId="629BB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377" w:type="pct"/>
            <w:tcBorders>
              <w:bottom w:val="single" w:color="auto" w:sz="4" w:space="0"/>
            </w:tcBorders>
            <w:vAlign w:val="center"/>
          </w:tcPr>
          <w:p w14:paraId="694D4209">
            <w:pPr>
              <w:adjustRightInd w:val="0"/>
              <w:snapToGrid w:val="0"/>
              <w:spacing w:line="360" w:lineRule="auto"/>
              <w:ind w:right="-10" w:rightChars="0"/>
              <w:jc w:val="center"/>
              <w:rPr>
                <w:rFonts w:ascii="宋体" w:hAnsi="宋体" w:eastAsia="宋体" w:cs="@仿宋_GB2312"/>
                <w:color w:val="auto"/>
                <w:kern w:val="2"/>
                <w:sz w:val="24"/>
                <w:highlight w:val="none"/>
                <w:lang w:val="en-US" w:eastAsia="zh-CN" w:bidi="ar-SA"/>
              </w:rPr>
            </w:pPr>
            <w:r>
              <w:rPr>
                <w:rFonts w:hint="eastAsia" w:ascii="宋体" w:hAnsi="宋体" w:eastAsia="宋体"/>
                <w:color w:val="auto"/>
                <w:sz w:val="24"/>
                <w:highlight w:val="none"/>
              </w:rPr>
              <w:t>1</w:t>
            </w:r>
          </w:p>
        </w:tc>
        <w:tc>
          <w:tcPr>
            <w:tcW w:w="942" w:type="pct"/>
            <w:tcBorders>
              <w:bottom w:val="single" w:color="auto" w:sz="4" w:space="0"/>
            </w:tcBorders>
            <w:vAlign w:val="center"/>
          </w:tcPr>
          <w:p w14:paraId="07E3D5CB">
            <w:pPr>
              <w:spacing w:after="50" w:line="360" w:lineRule="auto"/>
              <w:ind w:right="-10" w:rightChars="0"/>
              <w:jc w:val="center"/>
              <w:rPr>
                <w:rFonts w:ascii="宋体" w:hAnsi="宋体" w:eastAsia="宋体" w:cs="@仿宋_GB2312"/>
                <w:color w:val="auto"/>
                <w:kern w:val="2"/>
                <w:sz w:val="24"/>
                <w:szCs w:val="28"/>
                <w:highlight w:val="none"/>
                <w:lang w:val="en-US" w:eastAsia="zh-CN" w:bidi="ar-SA"/>
              </w:rPr>
            </w:pPr>
            <w:r>
              <w:rPr>
                <w:rFonts w:ascii="宋体" w:hAnsi="宋体" w:eastAsia="宋体" w:cs="宋体"/>
                <w:spacing w:val="9"/>
                <w:sz w:val="24"/>
                <w:szCs w:val="24"/>
                <w:highlight w:val="none"/>
              </w:rPr>
              <w:t>营业执照等证明</w:t>
            </w:r>
            <w:r>
              <w:rPr>
                <w:rFonts w:ascii="宋体" w:hAnsi="宋体" w:eastAsia="宋体" w:cs="宋体"/>
                <w:spacing w:val="-3"/>
                <w:sz w:val="24"/>
                <w:szCs w:val="24"/>
                <w:highlight w:val="none"/>
              </w:rPr>
              <w:t>文件</w:t>
            </w:r>
          </w:p>
        </w:tc>
        <w:tc>
          <w:tcPr>
            <w:tcW w:w="2603" w:type="pct"/>
            <w:tcBorders>
              <w:bottom w:val="single" w:color="auto" w:sz="4" w:space="0"/>
            </w:tcBorders>
            <w:vAlign w:val="center"/>
          </w:tcPr>
          <w:p w14:paraId="2D206A20">
            <w:pPr>
              <w:spacing w:after="50" w:line="360" w:lineRule="auto"/>
              <w:ind w:right="-10" w:rightChars="0"/>
              <w:jc w:val="left"/>
              <w:rPr>
                <w:rFonts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w:t>
            </w:r>
            <w:r>
              <w:rPr>
                <w:rFonts w:ascii="宋体" w:hAnsi="宋体" w:eastAsia="宋体" w:cs="宋体"/>
                <w:sz w:val="24"/>
                <w:szCs w:val="24"/>
                <w:highlight w:val="none"/>
              </w:rPr>
              <w:t>投标人为企业（包括合伙企业）的，应</w:t>
            </w:r>
            <w:r>
              <w:rPr>
                <w:rFonts w:hint="eastAsia" w:ascii="宋体" w:hAnsi="宋体" w:eastAsia="宋体" w:cs="宋体"/>
                <w:sz w:val="24"/>
                <w:szCs w:val="24"/>
                <w:highlight w:val="none"/>
                <w:lang w:val="en-US" w:eastAsia="zh-CN"/>
              </w:rPr>
              <w:t>提</w:t>
            </w:r>
            <w:r>
              <w:rPr>
                <w:rFonts w:ascii="宋体" w:hAnsi="宋体" w:eastAsia="宋体" w:cs="宋体"/>
                <w:sz w:val="24"/>
                <w:szCs w:val="24"/>
                <w:highlight w:val="none"/>
              </w:rPr>
              <w:t>供有效的营业执照；</w:t>
            </w:r>
          </w:p>
          <w:p w14:paraId="1AD42113">
            <w:pPr>
              <w:spacing w:after="50" w:line="360" w:lineRule="auto"/>
              <w:ind w:right="-10" w:rightChars="0"/>
              <w:jc w:val="left"/>
              <w:rPr>
                <w:rFonts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w:t>
            </w:r>
            <w:r>
              <w:rPr>
                <w:rFonts w:ascii="宋体" w:hAnsi="宋体" w:eastAsia="宋体" w:cs="宋体"/>
                <w:sz w:val="24"/>
                <w:szCs w:val="24"/>
                <w:highlight w:val="none"/>
              </w:rPr>
              <w:t>投标人为事业单位的，应</w:t>
            </w:r>
            <w:r>
              <w:rPr>
                <w:rFonts w:hint="eastAsia" w:ascii="宋体" w:hAnsi="宋体" w:eastAsia="宋体" w:cs="宋体"/>
                <w:sz w:val="24"/>
                <w:szCs w:val="24"/>
                <w:highlight w:val="none"/>
                <w:lang w:val="en-US" w:eastAsia="zh-CN"/>
              </w:rPr>
              <w:t>提</w:t>
            </w:r>
            <w:r>
              <w:rPr>
                <w:rFonts w:ascii="宋体" w:hAnsi="宋体" w:eastAsia="宋体" w:cs="宋体"/>
                <w:sz w:val="24"/>
                <w:szCs w:val="24"/>
                <w:highlight w:val="none"/>
              </w:rPr>
              <w:t>供有效的事业单位法人证书；</w:t>
            </w:r>
          </w:p>
          <w:p w14:paraId="6E619164">
            <w:pPr>
              <w:spacing w:after="50" w:line="360" w:lineRule="auto"/>
              <w:ind w:right="-10" w:rightChars="0"/>
              <w:jc w:val="left"/>
              <w:rPr>
                <w:rFonts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w:t>
            </w:r>
            <w:r>
              <w:rPr>
                <w:rFonts w:ascii="宋体" w:hAnsi="宋体" w:eastAsia="宋体" w:cs="宋体"/>
                <w:sz w:val="24"/>
                <w:szCs w:val="24"/>
                <w:highlight w:val="none"/>
              </w:rPr>
              <w:t>投标人是非企业机构的，应</w:t>
            </w:r>
            <w:r>
              <w:rPr>
                <w:rFonts w:hint="eastAsia" w:ascii="宋体" w:hAnsi="宋体" w:eastAsia="宋体" w:cs="宋体"/>
                <w:sz w:val="24"/>
                <w:szCs w:val="24"/>
                <w:highlight w:val="none"/>
                <w:lang w:val="en-US" w:eastAsia="zh-CN"/>
              </w:rPr>
              <w:t>提</w:t>
            </w:r>
            <w:r>
              <w:rPr>
                <w:rFonts w:ascii="宋体" w:hAnsi="宋体" w:eastAsia="宋体" w:cs="宋体"/>
                <w:sz w:val="24"/>
                <w:szCs w:val="24"/>
                <w:highlight w:val="none"/>
              </w:rPr>
              <w:t>供有效的执业许可证</w:t>
            </w:r>
            <w:r>
              <w:rPr>
                <w:rFonts w:hint="eastAsia" w:ascii="宋体" w:hAnsi="宋体" w:eastAsia="宋体" w:cs="宋体"/>
                <w:sz w:val="24"/>
                <w:szCs w:val="24"/>
                <w:highlight w:val="none"/>
                <w:lang w:val="en-US" w:eastAsia="zh-CN"/>
              </w:rPr>
              <w:t>或</w:t>
            </w:r>
            <w:r>
              <w:rPr>
                <w:rFonts w:ascii="宋体" w:hAnsi="宋体" w:eastAsia="宋体" w:cs="宋体"/>
                <w:sz w:val="24"/>
                <w:szCs w:val="24"/>
                <w:highlight w:val="none"/>
              </w:rPr>
              <w:t>登记证书等证明文件；</w:t>
            </w:r>
          </w:p>
          <w:p w14:paraId="11D3135A">
            <w:pPr>
              <w:spacing w:after="50" w:line="360" w:lineRule="auto"/>
              <w:ind w:right="-10" w:rightChars="0"/>
              <w:jc w:val="left"/>
              <w:rPr>
                <w:rFonts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lang w:eastAsia="zh-CN"/>
              </w:rPr>
              <w:t>）</w:t>
            </w:r>
            <w:r>
              <w:rPr>
                <w:rFonts w:ascii="宋体" w:hAnsi="宋体" w:eastAsia="宋体" w:cs="宋体"/>
                <w:sz w:val="24"/>
                <w:szCs w:val="24"/>
                <w:highlight w:val="none"/>
              </w:rPr>
              <w:t>投标人是个体工商户的，应</w:t>
            </w:r>
            <w:r>
              <w:rPr>
                <w:rFonts w:hint="eastAsia" w:ascii="宋体" w:hAnsi="宋体" w:eastAsia="宋体" w:cs="宋体"/>
                <w:sz w:val="24"/>
                <w:szCs w:val="24"/>
                <w:highlight w:val="none"/>
                <w:lang w:val="en-US" w:eastAsia="zh-CN"/>
              </w:rPr>
              <w:t>提</w:t>
            </w:r>
            <w:r>
              <w:rPr>
                <w:rFonts w:ascii="宋体" w:hAnsi="宋体" w:eastAsia="宋体" w:cs="宋体"/>
                <w:sz w:val="24"/>
                <w:szCs w:val="24"/>
                <w:highlight w:val="none"/>
              </w:rPr>
              <w:t>供有效的个体工商户营业执照；</w:t>
            </w:r>
          </w:p>
          <w:p w14:paraId="29D30936">
            <w:pPr>
              <w:spacing w:after="50" w:line="360" w:lineRule="auto"/>
              <w:ind w:right="-10" w:rightChars="0"/>
              <w:jc w:val="left"/>
              <w:rPr>
                <w:rFonts w:ascii="宋体" w:hAnsi="宋体" w:eastAsia="宋体" w:cs="@仿宋_GB2312"/>
                <w:color w:val="auto"/>
                <w:kern w:val="2"/>
                <w:sz w:val="24"/>
                <w:szCs w:val="28"/>
                <w:highlight w:val="none"/>
                <w:lang w:val="en-US" w:eastAsia="zh-CN" w:bidi="ar-SA"/>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lang w:eastAsia="zh-CN"/>
              </w:rPr>
              <w:t>）</w:t>
            </w:r>
            <w:r>
              <w:rPr>
                <w:rFonts w:ascii="宋体" w:hAnsi="宋体" w:eastAsia="宋体" w:cs="宋体"/>
                <w:sz w:val="24"/>
                <w:szCs w:val="24"/>
                <w:highlight w:val="none"/>
              </w:rPr>
              <w:t>投标人是自然人的，应</w:t>
            </w:r>
            <w:r>
              <w:rPr>
                <w:rFonts w:hint="eastAsia" w:ascii="宋体" w:hAnsi="宋体" w:eastAsia="宋体" w:cs="宋体"/>
                <w:sz w:val="24"/>
                <w:szCs w:val="24"/>
                <w:highlight w:val="none"/>
                <w:lang w:val="en-US" w:eastAsia="zh-CN"/>
              </w:rPr>
              <w:t>提</w:t>
            </w:r>
            <w:r>
              <w:rPr>
                <w:rFonts w:ascii="宋体" w:hAnsi="宋体" w:eastAsia="宋体" w:cs="宋体"/>
                <w:sz w:val="24"/>
                <w:szCs w:val="24"/>
                <w:highlight w:val="none"/>
              </w:rPr>
              <w:t>供有效的自然人身份证明。</w:t>
            </w:r>
          </w:p>
        </w:tc>
        <w:tc>
          <w:tcPr>
            <w:tcW w:w="1076" w:type="pct"/>
            <w:vAlign w:val="center"/>
          </w:tcPr>
          <w:p w14:paraId="6B7C513F">
            <w:pPr>
              <w:spacing w:line="360" w:lineRule="auto"/>
              <w:jc w:val="left"/>
              <w:rPr>
                <w:rFonts w:ascii="宋体" w:hAnsi="宋体" w:eastAsia="宋体" w:cs="@仿宋_GB2312"/>
                <w:color w:val="auto"/>
                <w:kern w:val="2"/>
                <w:sz w:val="24"/>
                <w:highlight w:val="none"/>
                <w:lang w:val="en-US" w:eastAsia="zh-CN" w:bidi="ar-SA"/>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rPr>
              <w:t>扫描件</w:t>
            </w:r>
            <w:r>
              <w:rPr>
                <w:rFonts w:hint="eastAsia" w:ascii="宋体" w:hAnsi="宋体" w:eastAsia="宋体" w:cs="宋体"/>
                <w:b w:val="0"/>
                <w:bCs w:val="0"/>
                <w:color w:val="auto"/>
                <w:sz w:val="24"/>
                <w:szCs w:val="24"/>
                <w:highlight w:val="none"/>
                <w:lang w:val="en-US" w:eastAsia="zh-CN"/>
              </w:rPr>
              <w:t>或电子证照</w:t>
            </w:r>
            <w:r>
              <w:rPr>
                <w:rFonts w:hint="eastAsia" w:ascii="宋体" w:hAnsi="宋体" w:eastAsia="宋体" w:cs="宋体"/>
                <w:b w:val="0"/>
                <w:bCs w:val="0"/>
                <w:color w:val="auto"/>
                <w:sz w:val="24"/>
                <w:szCs w:val="24"/>
                <w:highlight w:val="none"/>
              </w:rPr>
              <w:t>，应完整的体现出</w:t>
            </w:r>
            <w:r>
              <w:rPr>
                <w:rFonts w:hint="eastAsia" w:ascii="宋体" w:hAnsi="宋体" w:eastAsia="宋体" w:cs="宋体"/>
                <w:b w:val="0"/>
                <w:bCs w:val="0"/>
                <w:color w:val="auto"/>
                <w:sz w:val="24"/>
                <w:szCs w:val="24"/>
                <w:highlight w:val="none"/>
                <w:lang w:val="en-US" w:eastAsia="zh-CN"/>
              </w:rPr>
              <w:t>材料或电子证照</w:t>
            </w:r>
            <w:r>
              <w:rPr>
                <w:rFonts w:hint="eastAsia" w:ascii="宋体" w:hAnsi="宋体" w:eastAsia="宋体" w:cs="宋体"/>
                <w:b w:val="0"/>
                <w:bCs w:val="0"/>
                <w:color w:val="auto"/>
                <w:sz w:val="24"/>
                <w:szCs w:val="24"/>
                <w:highlight w:val="none"/>
              </w:rPr>
              <w:t>全部内容。</w:t>
            </w:r>
          </w:p>
        </w:tc>
      </w:tr>
      <w:tr w14:paraId="5B239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377" w:type="pct"/>
            <w:tcBorders>
              <w:bottom w:val="single" w:color="auto" w:sz="4" w:space="0"/>
            </w:tcBorders>
            <w:vAlign w:val="center"/>
          </w:tcPr>
          <w:p w14:paraId="02DEF098">
            <w:pPr>
              <w:adjustRightInd w:val="0"/>
              <w:snapToGrid w:val="0"/>
              <w:spacing w:line="360" w:lineRule="auto"/>
              <w:ind w:right="-10" w:rightChars="0"/>
              <w:jc w:val="center"/>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2</w:t>
            </w:r>
          </w:p>
        </w:tc>
        <w:tc>
          <w:tcPr>
            <w:tcW w:w="942" w:type="pct"/>
            <w:tcBorders>
              <w:bottom w:val="single" w:color="auto" w:sz="4" w:space="0"/>
            </w:tcBorders>
            <w:vAlign w:val="center"/>
          </w:tcPr>
          <w:p w14:paraId="4FE2BB42">
            <w:pPr>
              <w:spacing w:after="50" w:line="360" w:lineRule="auto"/>
              <w:ind w:right="-10" w:rightChars="0"/>
              <w:jc w:val="center"/>
              <w:rPr>
                <w:rFonts w:hint="default" w:ascii="宋体" w:hAnsi="宋体" w:eastAsia="宋体"/>
                <w:color w:val="auto"/>
                <w:sz w:val="24"/>
                <w:szCs w:val="28"/>
                <w:highlight w:val="none"/>
                <w:lang w:val="en-US"/>
              </w:rPr>
            </w:pPr>
            <w:r>
              <w:rPr>
                <w:rFonts w:hint="eastAsia" w:ascii="宋体" w:hAnsi="宋体" w:eastAsia="宋体"/>
                <w:color w:val="auto"/>
                <w:sz w:val="24"/>
                <w:szCs w:val="18"/>
                <w:highlight w:val="none"/>
                <w:lang w:val="en-US" w:eastAsia="zh-CN"/>
              </w:rPr>
              <w:t>投标人资格声明书</w:t>
            </w:r>
          </w:p>
        </w:tc>
        <w:tc>
          <w:tcPr>
            <w:tcW w:w="2603" w:type="pct"/>
            <w:tcBorders>
              <w:bottom w:val="single" w:color="auto" w:sz="4" w:space="0"/>
            </w:tcBorders>
            <w:vAlign w:val="center"/>
          </w:tcPr>
          <w:p w14:paraId="696248A5">
            <w:pPr>
              <w:spacing w:after="50" w:line="360" w:lineRule="auto"/>
              <w:ind w:right="-10" w:rightChars="0"/>
              <w:jc w:val="left"/>
              <w:rPr>
                <w:rFonts w:hint="eastAsia" w:ascii="宋体" w:hAnsi="宋体" w:eastAsia="宋体"/>
                <w:color w:val="auto"/>
                <w:sz w:val="24"/>
                <w:szCs w:val="28"/>
                <w:highlight w:val="none"/>
              </w:rPr>
            </w:pPr>
            <w:r>
              <w:rPr>
                <w:rFonts w:hint="eastAsia" w:ascii="宋体" w:hAnsi="宋体" w:eastAsia="宋体" w:cs="宋体"/>
                <w:sz w:val="24"/>
                <w:szCs w:val="24"/>
                <w:highlight w:val="none"/>
                <w:lang w:val="en-US" w:eastAsia="zh-CN"/>
              </w:rPr>
              <w:t>提</w:t>
            </w:r>
            <w:r>
              <w:rPr>
                <w:rFonts w:ascii="宋体" w:hAnsi="宋体" w:eastAsia="宋体" w:cs="宋体"/>
                <w:sz w:val="24"/>
                <w:szCs w:val="24"/>
                <w:highlight w:val="none"/>
              </w:rPr>
              <w:t>供符合招标文件要求的《投标人资格声明书》</w:t>
            </w:r>
            <w:r>
              <w:rPr>
                <w:rFonts w:hint="eastAsia" w:ascii="宋体" w:hAnsi="宋体" w:eastAsia="宋体" w:cs="宋体"/>
                <w:sz w:val="24"/>
                <w:szCs w:val="24"/>
                <w:highlight w:val="none"/>
                <w:lang w:eastAsia="zh-CN"/>
              </w:rPr>
              <w:t>。</w:t>
            </w:r>
          </w:p>
        </w:tc>
        <w:tc>
          <w:tcPr>
            <w:tcW w:w="1076" w:type="pct"/>
            <w:vAlign w:val="center"/>
          </w:tcPr>
          <w:p w14:paraId="75138E7F">
            <w:pPr>
              <w:spacing w:line="360" w:lineRule="auto"/>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olor w:val="auto"/>
                <w:sz w:val="24"/>
                <w:highlight w:val="none"/>
              </w:rPr>
              <w:t>详见第六章投标文件格式</w:t>
            </w:r>
            <w:r>
              <w:rPr>
                <w:rFonts w:hint="eastAsia" w:ascii="宋体" w:hAnsi="宋体" w:eastAsia="宋体"/>
                <w:color w:val="auto"/>
                <w:sz w:val="24"/>
                <w:highlight w:val="none"/>
                <w:lang w:eastAsia="zh-CN"/>
              </w:rPr>
              <w:t>。</w:t>
            </w:r>
          </w:p>
        </w:tc>
      </w:tr>
      <w:tr w14:paraId="773D7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7" w:type="pct"/>
            <w:tcBorders>
              <w:bottom w:val="single" w:color="auto" w:sz="4" w:space="0"/>
            </w:tcBorders>
            <w:vAlign w:val="center"/>
          </w:tcPr>
          <w:p w14:paraId="7FF1CBD9">
            <w:pPr>
              <w:adjustRightInd w:val="0"/>
              <w:snapToGrid w:val="0"/>
              <w:spacing w:line="360" w:lineRule="auto"/>
              <w:ind w:right="-10"/>
              <w:jc w:val="center"/>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3</w:t>
            </w:r>
          </w:p>
        </w:tc>
        <w:tc>
          <w:tcPr>
            <w:tcW w:w="942" w:type="pct"/>
            <w:tcBorders>
              <w:bottom w:val="single" w:color="auto" w:sz="4" w:space="0"/>
            </w:tcBorders>
            <w:vAlign w:val="center"/>
          </w:tcPr>
          <w:p w14:paraId="0E70A6B6">
            <w:pPr>
              <w:spacing w:after="50" w:line="360" w:lineRule="auto"/>
              <w:ind w:right="-10"/>
              <w:jc w:val="center"/>
              <w:rPr>
                <w:rFonts w:ascii="宋体" w:hAnsi="宋体" w:eastAsia="宋体"/>
                <w:color w:val="auto"/>
                <w:sz w:val="24"/>
                <w:szCs w:val="28"/>
                <w:highlight w:val="none"/>
              </w:rPr>
            </w:pPr>
            <w:r>
              <w:rPr>
                <w:rFonts w:hint="eastAsia" w:ascii="宋体" w:hAnsi="宋体" w:eastAsia="宋体" w:cs="宋体"/>
                <w:color w:val="auto"/>
                <w:sz w:val="24"/>
                <w:szCs w:val="24"/>
                <w:highlight w:val="none"/>
              </w:rPr>
              <w:t>投标人信用记录</w:t>
            </w:r>
          </w:p>
        </w:tc>
        <w:tc>
          <w:tcPr>
            <w:tcW w:w="2603" w:type="pct"/>
            <w:tcBorders>
              <w:bottom w:val="single" w:color="auto" w:sz="4" w:space="0"/>
            </w:tcBorders>
            <w:vAlign w:val="center"/>
          </w:tcPr>
          <w:p w14:paraId="090CE335">
            <w:pPr>
              <w:spacing w:after="50" w:line="360" w:lineRule="auto"/>
              <w:ind w:right="-10" w:rightChars="0"/>
              <w:jc w:val="left"/>
              <w:rPr>
                <w:highlight w:val="none"/>
              </w:rPr>
            </w:pPr>
            <w:r>
              <w:rPr>
                <w:rFonts w:hint="eastAsia" w:ascii="宋体" w:hAnsi="宋体" w:eastAsia="宋体" w:cs="宋体"/>
                <w:sz w:val="24"/>
                <w:szCs w:val="24"/>
                <w:highlight w:val="none"/>
                <w:lang w:val="zh-CN" w:eastAsia="zh-CN"/>
              </w:rPr>
              <w:t>投标人不得存在</w:t>
            </w: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投标邀请</w:t>
            </w: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中信誉要求和</w:t>
            </w:r>
            <w:r>
              <w:rPr>
                <w:rFonts w:hint="eastAsia" w:ascii="宋体" w:hAnsi="宋体" w:eastAsia="宋体" w:cs="宋体"/>
                <w:sz w:val="24"/>
                <w:szCs w:val="24"/>
                <w:highlight w:val="none"/>
                <w:lang w:val="zh-CN" w:eastAsia="zh-CN"/>
              </w:rPr>
              <w:t>投标人须知正文第1</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lang w:val="zh-CN" w:eastAsia="zh-CN"/>
              </w:rPr>
              <w:t>.2</w:t>
            </w:r>
            <w:r>
              <w:rPr>
                <w:rFonts w:hint="eastAsia" w:ascii="宋体" w:hAnsi="宋体" w:eastAsia="宋体" w:cs="宋体"/>
                <w:sz w:val="24"/>
                <w:szCs w:val="24"/>
                <w:highlight w:val="none"/>
                <w:lang w:val="en-US" w:eastAsia="zh-CN"/>
              </w:rPr>
              <w:t>条中</w:t>
            </w:r>
            <w:r>
              <w:rPr>
                <w:rFonts w:hint="eastAsia" w:ascii="宋体" w:hAnsi="宋体" w:eastAsia="宋体"/>
                <w:color w:val="auto"/>
                <w:sz w:val="24"/>
                <w:szCs w:val="28"/>
                <w:highlight w:val="none"/>
              </w:rPr>
              <w:t>的</w:t>
            </w:r>
            <w:r>
              <w:rPr>
                <w:rFonts w:hint="eastAsia" w:ascii="宋体" w:hAnsi="宋体" w:eastAsia="宋体"/>
                <w:color w:val="auto"/>
                <w:sz w:val="24"/>
                <w:szCs w:val="18"/>
                <w:highlight w:val="none"/>
              </w:rPr>
              <w:t>不良信用记录情形</w:t>
            </w:r>
          </w:p>
        </w:tc>
        <w:tc>
          <w:tcPr>
            <w:tcW w:w="1076" w:type="pct"/>
            <w:tcBorders>
              <w:bottom w:val="single" w:color="auto" w:sz="4" w:space="0"/>
            </w:tcBorders>
            <w:vAlign w:val="center"/>
          </w:tcPr>
          <w:p w14:paraId="5CD1505C">
            <w:pPr>
              <w:spacing w:line="360" w:lineRule="auto"/>
              <w:jc w:val="left"/>
              <w:rPr>
                <w:rFonts w:ascii="@仿宋_GB2312" w:hAnsi="@仿宋_GB2312" w:eastAsia="@仿宋_GB2312" w:cs="@仿宋_GB2312"/>
                <w:color w:val="auto"/>
                <w:kern w:val="2"/>
                <w:sz w:val="21"/>
                <w:highlight w:val="none"/>
                <w:lang w:val="en-US" w:eastAsia="zh-CN" w:bidi="ar-SA"/>
              </w:rPr>
            </w:pPr>
            <w:r>
              <w:rPr>
                <w:rFonts w:hint="eastAsia" w:ascii="宋体" w:hAnsi="宋体" w:eastAsia="宋体" w:cs="宋体"/>
                <w:sz w:val="24"/>
                <w:szCs w:val="24"/>
                <w:highlight w:val="none"/>
              </w:rPr>
              <w:t>无须投标人</w:t>
            </w:r>
            <w:r>
              <w:rPr>
                <w:rFonts w:hint="eastAsia" w:ascii="宋体" w:hAnsi="宋体" w:eastAsia="宋体" w:cs="宋体"/>
                <w:sz w:val="24"/>
                <w:szCs w:val="24"/>
                <w:highlight w:val="none"/>
                <w:lang w:val="en-US" w:eastAsia="zh-CN"/>
              </w:rPr>
              <w:t>提</w:t>
            </w:r>
            <w:r>
              <w:rPr>
                <w:rFonts w:hint="eastAsia" w:ascii="宋体" w:hAnsi="宋体" w:eastAsia="宋体" w:cs="宋体"/>
                <w:sz w:val="24"/>
                <w:szCs w:val="24"/>
                <w:highlight w:val="none"/>
              </w:rPr>
              <w:t>供，由采购人或采购代理机构查询。</w:t>
            </w:r>
          </w:p>
        </w:tc>
      </w:tr>
      <w:tr w14:paraId="6F1FF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7" w:type="pct"/>
            <w:vAlign w:val="center"/>
          </w:tcPr>
          <w:p w14:paraId="1E140DA6">
            <w:pPr>
              <w:adjustRightInd w:val="0"/>
              <w:snapToGrid w:val="0"/>
              <w:spacing w:line="360" w:lineRule="auto"/>
              <w:ind w:right="-10" w:rightChars="0"/>
              <w:jc w:val="center"/>
              <w:rPr>
                <w:rFonts w:hint="eastAsia" w:ascii="宋体" w:hAnsi="宋体" w:eastAsia="宋体" w:cs="@仿宋_GB2312"/>
                <w:color w:val="auto"/>
                <w:kern w:val="2"/>
                <w:sz w:val="24"/>
                <w:highlight w:val="none"/>
                <w:lang w:val="en-US" w:eastAsia="zh-CN" w:bidi="ar-SA"/>
              </w:rPr>
            </w:pPr>
            <w:r>
              <w:rPr>
                <w:rFonts w:hint="eastAsia" w:ascii="宋体" w:hAnsi="宋体" w:eastAsia="宋体"/>
                <w:color w:val="auto"/>
                <w:sz w:val="24"/>
                <w:highlight w:val="none"/>
                <w:lang w:val="en-US" w:eastAsia="zh-CN"/>
              </w:rPr>
              <w:t>4</w:t>
            </w:r>
          </w:p>
        </w:tc>
        <w:tc>
          <w:tcPr>
            <w:tcW w:w="942" w:type="pct"/>
            <w:vAlign w:val="center"/>
          </w:tcPr>
          <w:p w14:paraId="34D8973F">
            <w:pPr>
              <w:spacing w:after="50" w:line="360" w:lineRule="auto"/>
              <w:ind w:right="-10"/>
              <w:jc w:val="center"/>
              <w:rPr>
                <w:rFonts w:ascii="宋体" w:hAnsi="宋体" w:eastAsia="宋体" w:cs="宋体"/>
                <w:spacing w:val="10"/>
                <w:sz w:val="24"/>
                <w:szCs w:val="24"/>
                <w:highlight w:val="none"/>
                <w:lang w:val="en-US" w:eastAsia="zh-CN"/>
              </w:rPr>
            </w:pPr>
            <w:r>
              <w:rPr>
                <w:rFonts w:ascii="宋体" w:hAnsi="宋体" w:eastAsia="宋体" w:cs="宋体"/>
                <w:spacing w:val="10"/>
                <w:sz w:val="24"/>
                <w:szCs w:val="24"/>
                <w:highlight w:val="none"/>
              </w:rPr>
              <w:t>本项目的特定资格要求</w:t>
            </w:r>
          </w:p>
        </w:tc>
        <w:tc>
          <w:tcPr>
            <w:tcW w:w="2603" w:type="pct"/>
            <w:vAlign w:val="center"/>
          </w:tcPr>
          <w:p w14:paraId="6E4DCC4D">
            <w:pPr>
              <w:spacing w:after="50" w:line="360" w:lineRule="auto"/>
              <w:ind w:right="-10"/>
              <w:jc w:val="both"/>
              <w:rPr>
                <w:rFonts w:ascii="宋体" w:hAnsi="宋体" w:eastAsia="宋体" w:cs="宋体"/>
                <w:spacing w:val="10"/>
                <w:sz w:val="24"/>
                <w:szCs w:val="24"/>
                <w:highlight w:val="none"/>
              </w:rPr>
            </w:pPr>
            <w:r>
              <w:rPr>
                <w:rFonts w:ascii="宋体" w:hAnsi="宋体" w:eastAsia="宋体" w:cs="宋体"/>
                <w:spacing w:val="10"/>
                <w:sz w:val="24"/>
                <w:szCs w:val="24"/>
                <w:highlight w:val="none"/>
              </w:rPr>
              <w:t>如有，见第一章《投标邀请》</w:t>
            </w:r>
          </w:p>
        </w:tc>
        <w:tc>
          <w:tcPr>
            <w:tcW w:w="1076" w:type="pct"/>
            <w:vAlign w:val="center"/>
          </w:tcPr>
          <w:p w14:paraId="7EAB58B4">
            <w:pPr>
              <w:spacing w:after="50" w:line="360" w:lineRule="auto"/>
              <w:ind w:right="-10"/>
              <w:jc w:val="both"/>
              <w:rPr>
                <w:rFonts w:ascii="宋体" w:hAnsi="宋体" w:eastAsia="宋体" w:cs="宋体"/>
                <w:spacing w:val="10"/>
                <w:sz w:val="24"/>
                <w:szCs w:val="24"/>
                <w:highlight w:val="none"/>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rPr>
              <w:t>扫描件</w:t>
            </w:r>
            <w:r>
              <w:rPr>
                <w:rFonts w:hint="eastAsia" w:ascii="宋体" w:hAnsi="宋体" w:eastAsia="宋体" w:cs="宋体"/>
                <w:b w:val="0"/>
                <w:bCs w:val="0"/>
                <w:color w:val="auto"/>
                <w:sz w:val="24"/>
                <w:szCs w:val="24"/>
                <w:highlight w:val="none"/>
                <w:lang w:val="en-US" w:eastAsia="zh-CN"/>
              </w:rPr>
              <w:t>或电子证照</w:t>
            </w:r>
            <w:r>
              <w:rPr>
                <w:rFonts w:hint="eastAsia" w:ascii="宋体" w:hAnsi="宋体" w:eastAsia="宋体" w:cs="宋体"/>
                <w:b w:val="0"/>
                <w:bCs w:val="0"/>
                <w:color w:val="auto"/>
                <w:sz w:val="24"/>
                <w:szCs w:val="24"/>
                <w:highlight w:val="none"/>
              </w:rPr>
              <w:t>，应完整的体现出</w:t>
            </w:r>
            <w:r>
              <w:rPr>
                <w:rFonts w:hint="eastAsia" w:ascii="宋体" w:hAnsi="宋体" w:eastAsia="宋体" w:cs="宋体"/>
                <w:b w:val="0"/>
                <w:bCs w:val="0"/>
                <w:color w:val="auto"/>
                <w:sz w:val="24"/>
                <w:szCs w:val="24"/>
                <w:highlight w:val="none"/>
                <w:lang w:val="en-US" w:eastAsia="zh-CN"/>
              </w:rPr>
              <w:t>材料或电子证照</w:t>
            </w:r>
            <w:r>
              <w:rPr>
                <w:rFonts w:hint="eastAsia" w:ascii="宋体" w:hAnsi="宋体" w:eastAsia="宋体" w:cs="宋体"/>
                <w:b w:val="0"/>
                <w:bCs w:val="0"/>
                <w:color w:val="auto"/>
                <w:sz w:val="24"/>
                <w:szCs w:val="24"/>
                <w:highlight w:val="none"/>
              </w:rPr>
              <w:t>全部内容。</w:t>
            </w:r>
          </w:p>
        </w:tc>
      </w:tr>
      <w:tr w14:paraId="58FF8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7" w:type="pct"/>
            <w:vAlign w:val="center"/>
          </w:tcPr>
          <w:p w14:paraId="72495B8A">
            <w:pPr>
              <w:adjustRightInd w:val="0"/>
              <w:snapToGrid w:val="0"/>
              <w:spacing w:line="360" w:lineRule="auto"/>
              <w:ind w:right="-10" w:rightChars="0"/>
              <w:jc w:val="center"/>
              <w:rPr>
                <w:rFonts w:hint="default"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5</w:t>
            </w:r>
          </w:p>
        </w:tc>
        <w:tc>
          <w:tcPr>
            <w:tcW w:w="942" w:type="pct"/>
            <w:vAlign w:val="center"/>
          </w:tcPr>
          <w:p w14:paraId="0ADA7F9A">
            <w:pPr>
              <w:spacing w:after="50" w:line="360" w:lineRule="auto"/>
              <w:ind w:right="-10"/>
              <w:jc w:val="center"/>
              <w:rPr>
                <w:rFonts w:ascii="宋体" w:hAnsi="宋体" w:eastAsia="宋体" w:cs="宋体"/>
                <w:spacing w:val="10"/>
                <w:sz w:val="24"/>
                <w:szCs w:val="24"/>
                <w:highlight w:val="none"/>
              </w:rPr>
            </w:pPr>
            <w:r>
              <w:rPr>
                <w:rFonts w:hint="eastAsia" w:ascii="宋体" w:hAnsi="宋体" w:eastAsia="宋体" w:cs="宋体"/>
                <w:spacing w:val="10"/>
                <w:sz w:val="24"/>
                <w:szCs w:val="24"/>
                <w:highlight w:val="none"/>
                <w:lang w:val="en-US" w:eastAsia="zh-CN"/>
              </w:rPr>
              <w:t>诚信投标承诺书</w:t>
            </w:r>
          </w:p>
        </w:tc>
        <w:tc>
          <w:tcPr>
            <w:tcW w:w="4561" w:type="dxa"/>
            <w:vAlign w:val="center"/>
          </w:tcPr>
          <w:p w14:paraId="4DDD0DE3">
            <w:pPr>
              <w:spacing w:after="50" w:line="360" w:lineRule="auto"/>
              <w:ind w:right="-10" w:rightChars="0"/>
              <w:jc w:val="left"/>
              <w:rPr>
                <w:rFonts w:ascii="宋体" w:hAnsi="宋体" w:eastAsia="宋体" w:cs="宋体"/>
                <w:spacing w:val="10"/>
                <w:sz w:val="24"/>
                <w:szCs w:val="24"/>
                <w:highlight w:val="none"/>
              </w:rPr>
            </w:pPr>
            <w:r>
              <w:rPr>
                <w:rFonts w:hint="eastAsia" w:asciiTheme="minorEastAsia" w:hAnsiTheme="minorEastAsia" w:eastAsiaTheme="minorEastAsia"/>
                <w:sz w:val="24"/>
                <w:szCs w:val="28"/>
                <w:highlight w:val="none"/>
              </w:rPr>
              <w:t>格式、填写要求符合</w:t>
            </w:r>
            <w:r>
              <w:rPr>
                <w:rFonts w:hint="eastAsia" w:asciiTheme="minorEastAsia" w:hAnsiTheme="minorEastAsia" w:eastAsiaTheme="minorEastAsia"/>
                <w:sz w:val="24"/>
                <w:szCs w:val="28"/>
                <w:highlight w:val="none"/>
                <w:lang w:val="en-US" w:eastAsia="zh-CN"/>
              </w:rPr>
              <w:t>招标</w:t>
            </w:r>
            <w:r>
              <w:rPr>
                <w:rFonts w:hint="eastAsia" w:asciiTheme="minorEastAsia" w:hAnsiTheme="minorEastAsia" w:eastAsiaTheme="minorEastAsia"/>
                <w:sz w:val="24"/>
                <w:szCs w:val="28"/>
                <w:highlight w:val="none"/>
              </w:rPr>
              <w:t>文件规定并加盖</w:t>
            </w:r>
            <w:r>
              <w:rPr>
                <w:rFonts w:hint="eastAsia" w:asciiTheme="minorEastAsia" w:hAnsiTheme="minorEastAsia" w:eastAsiaTheme="minorEastAsia"/>
                <w:sz w:val="24"/>
                <w:szCs w:val="28"/>
                <w:highlight w:val="none"/>
                <w:lang w:val="en-US" w:eastAsia="zh-CN"/>
              </w:rPr>
              <w:t>投标人</w:t>
            </w:r>
            <w:r>
              <w:rPr>
                <w:rFonts w:hint="eastAsia" w:asciiTheme="minorEastAsia" w:hAnsiTheme="minorEastAsia" w:eastAsiaTheme="minorEastAsia"/>
                <w:sz w:val="24"/>
                <w:szCs w:val="28"/>
                <w:highlight w:val="none"/>
              </w:rPr>
              <w:t>电子签章</w:t>
            </w:r>
          </w:p>
        </w:tc>
        <w:tc>
          <w:tcPr>
            <w:tcW w:w="1887" w:type="dxa"/>
            <w:vAlign w:val="center"/>
          </w:tcPr>
          <w:p w14:paraId="70486572">
            <w:pPr>
              <w:spacing w:after="50" w:line="360" w:lineRule="auto"/>
              <w:ind w:right="-10" w:rightChars="0"/>
              <w:jc w:val="center"/>
              <w:rPr>
                <w:rFonts w:hint="eastAsia" w:ascii="宋体" w:hAnsi="宋体" w:eastAsia="宋体" w:cs="宋体"/>
                <w:b w:val="0"/>
                <w:bCs w:val="0"/>
                <w:color w:val="auto"/>
                <w:sz w:val="24"/>
                <w:szCs w:val="24"/>
                <w:highlight w:val="none"/>
              </w:rPr>
            </w:pPr>
            <w:r>
              <w:rPr>
                <w:rFonts w:hint="eastAsia" w:asciiTheme="minorEastAsia" w:hAnsiTheme="minorEastAsia" w:eastAsiaTheme="minorEastAsia"/>
                <w:sz w:val="24"/>
                <w:szCs w:val="28"/>
                <w:highlight w:val="none"/>
              </w:rPr>
              <w:t>详见第六章</w:t>
            </w:r>
            <w:r>
              <w:rPr>
                <w:rFonts w:hint="eastAsia" w:ascii="宋体" w:hAnsi="宋体" w:eastAsia="宋体"/>
                <w:color w:val="auto"/>
                <w:sz w:val="24"/>
                <w:highlight w:val="none"/>
              </w:rPr>
              <w:t>投标文件格式</w:t>
            </w:r>
            <w:r>
              <w:rPr>
                <w:rFonts w:hint="eastAsia" w:ascii="宋体" w:hAnsi="宋体" w:eastAsia="宋体"/>
                <w:color w:val="auto"/>
                <w:sz w:val="24"/>
                <w:highlight w:val="none"/>
                <w:lang w:eastAsia="zh-CN"/>
              </w:rPr>
              <w:t>。</w:t>
            </w:r>
          </w:p>
        </w:tc>
      </w:tr>
    </w:tbl>
    <w:p w14:paraId="5C0F0F0D">
      <w:pPr>
        <w:spacing w:line="360" w:lineRule="auto"/>
        <w:ind w:firstLine="435"/>
        <w:rPr>
          <w:rFonts w:asciiTheme="minorEastAsia" w:hAnsiTheme="minorEastAsia" w:eastAsiaTheme="minorEastAsia"/>
          <w:color w:val="auto"/>
          <w:sz w:val="24"/>
          <w:highlight w:val="none"/>
        </w:rPr>
      </w:pPr>
      <w:r>
        <w:rPr>
          <w:rFonts w:hint="eastAsia" w:ascii="宋体" w:hAnsi="宋体" w:eastAsia="宋体"/>
          <w:b/>
          <w:bCs/>
          <w:color w:val="auto"/>
          <w:sz w:val="24"/>
          <w:highlight w:val="none"/>
        </w:rPr>
        <w:t>资格审查指标通过标准：</w:t>
      </w:r>
      <w:r>
        <w:rPr>
          <w:rFonts w:hint="eastAsia" w:ascii="宋体" w:hAnsi="宋体" w:eastAsia="宋体"/>
          <w:color w:val="auto"/>
          <w:sz w:val="24"/>
          <w:highlight w:val="none"/>
        </w:rPr>
        <w:t>投标人必须通过资格审查表中的全部评审指标。</w:t>
      </w:r>
    </w:p>
    <w:p w14:paraId="2D1D94D0">
      <w:pPr>
        <w:spacing w:line="360" w:lineRule="auto"/>
        <w:ind w:firstLine="437"/>
        <w:outlineLvl w:val="2"/>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2.2符合性审查</w:t>
      </w:r>
    </w:p>
    <w:p w14:paraId="129ACA9C">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评标委员会对通过资格审查的投标人的投标文件进行符合性审查，以确定其是否满足招标文件的实质性要求。符合性审查表如下：</w:t>
      </w:r>
    </w:p>
    <w:tbl>
      <w:tblPr>
        <w:tblStyle w:val="2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6"/>
        <w:gridCol w:w="2307"/>
        <w:gridCol w:w="3409"/>
        <w:gridCol w:w="2736"/>
      </w:tblGrid>
      <w:tr w14:paraId="7A2DD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5000" w:type="pct"/>
            <w:gridSpan w:val="4"/>
            <w:tcBorders>
              <w:bottom w:val="single" w:color="auto" w:sz="4" w:space="0"/>
            </w:tcBorders>
            <w:vAlign w:val="center"/>
          </w:tcPr>
          <w:p w14:paraId="725C2C4F">
            <w:pPr>
              <w:adjustRightInd w:val="0"/>
              <w:snapToGrid w:val="0"/>
              <w:spacing w:line="360" w:lineRule="auto"/>
              <w:ind w:right="-10"/>
              <w:jc w:val="center"/>
              <w:rPr>
                <w:rFonts w:ascii="宋体" w:hAnsi="宋体" w:eastAsia="宋体"/>
                <w:b/>
                <w:bCs/>
                <w:color w:val="auto"/>
                <w:sz w:val="24"/>
                <w:highlight w:val="none"/>
              </w:rPr>
            </w:pPr>
            <w:r>
              <w:rPr>
                <w:rFonts w:hint="eastAsia" w:ascii="宋体" w:hAnsi="宋体" w:eastAsia="宋体"/>
                <w:b/>
                <w:bCs/>
                <w:color w:val="auto"/>
                <w:sz w:val="24"/>
                <w:highlight w:val="none"/>
              </w:rPr>
              <w:t>符合性审查表</w:t>
            </w:r>
          </w:p>
        </w:tc>
      </w:tr>
      <w:tr w14:paraId="04A32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450" w:type="pct"/>
            <w:tcBorders>
              <w:bottom w:val="single" w:color="auto" w:sz="4" w:space="0"/>
            </w:tcBorders>
            <w:vAlign w:val="center"/>
          </w:tcPr>
          <w:p w14:paraId="37E0F440">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序号</w:t>
            </w:r>
          </w:p>
        </w:tc>
        <w:tc>
          <w:tcPr>
            <w:tcW w:w="1242" w:type="pct"/>
            <w:tcBorders>
              <w:bottom w:val="single" w:color="auto" w:sz="4" w:space="0"/>
            </w:tcBorders>
            <w:vAlign w:val="center"/>
          </w:tcPr>
          <w:p w14:paraId="7EEA7CDE">
            <w:pPr>
              <w:pStyle w:val="44"/>
              <w:pBdr>
                <w:bottom w:val="none" w:color="auto" w:sz="0" w:space="0"/>
              </w:pBdr>
              <w:tabs>
                <w:tab w:val="clear" w:pos="4153"/>
                <w:tab w:val="clear" w:pos="8306"/>
              </w:tabs>
              <w:snapToGrid w:val="0"/>
              <w:spacing w:line="360" w:lineRule="auto"/>
              <w:ind w:right="-10"/>
              <w:textAlignment w:val="auto"/>
              <w:rPr>
                <w:rFonts w:hint="eastAsia" w:ascii="宋体" w:hAnsi="宋体" w:eastAsia="宋体" w:cs="@仿宋_GB2312"/>
                <w:color w:val="auto"/>
                <w:kern w:val="2"/>
                <w:sz w:val="24"/>
                <w:szCs w:val="20"/>
                <w:highlight w:val="none"/>
                <w:lang w:val="en-US" w:eastAsia="zh-CN" w:bidi="ar-SA"/>
              </w:rPr>
            </w:pPr>
            <w:r>
              <w:rPr>
                <w:rFonts w:hint="eastAsia" w:ascii="宋体" w:hAnsi="宋体" w:eastAsia="宋体" w:cs="@仿宋_GB2312"/>
                <w:color w:val="auto"/>
                <w:kern w:val="2"/>
                <w:sz w:val="24"/>
                <w:szCs w:val="20"/>
                <w:highlight w:val="none"/>
                <w:lang w:val="en-US" w:eastAsia="zh-CN" w:bidi="ar-SA"/>
              </w:rPr>
              <w:t>审查指标</w:t>
            </w:r>
          </w:p>
        </w:tc>
        <w:tc>
          <w:tcPr>
            <w:tcW w:w="1835" w:type="pct"/>
            <w:tcBorders>
              <w:bottom w:val="single" w:color="auto" w:sz="4" w:space="0"/>
            </w:tcBorders>
            <w:vAlign w:val="center"/>
          </w:tcPr>
          <w:p w14:paraId="66528796">
            <w:pPr>
              <w:adjustRightInd w:val="0"/>
              <w:snapToGrid w:val="0"/>
              <w:spacing w:line="360" w:lineRule="auto"/>
              <w:ind w:right="-10"/>
              <w:jc w:val="center"/>
              <w:rPr>
                <w:rFonts w:hint="eastAsia" w:ascii="宋体" w:hAnsi="宋体" w:eastAsia="宋体" w:cs="@仿宋_GB2312"/>
                <w:color w:val="auto"/>
                <w:kern w:val="2"/>
                <w:sz w:val="24"/>
                <w:szCs w:val="20"/>
                <w:highlight w:val="none"/>
                <w:lang w:val="en-US" w:eastAsia="zh-CN" w:bidi="ar-SA"/>
              </w:rPr>
            </w:pPr>
            <w:r>
              <w:rPr>
                <w:rFonts w:hint="eastAsia" w:ascii="宋体" w:hAnsi="宋体" w:eastAsia="宋体" w:cs="@仿宋_GB2312"/>
                <w:color w:val="auto"/>
                <w:kern w:val="2"/>
                <w:sz w:val="24"/>
                <w:szCs w:val="20"/>
                <w:highlight w:val="none"/>
                <w:lang w:val="en-US" w:eastAsia="zh-CN" w:bidi="ar-SA"/>
              </w:rPr>
              <w:t>审查标准</w:t>
            </w:r>
          </w:p>
        </w:tc>
        <w:tc>
          <w:tcPr>
            <w:tcW w:w="1472" w:type="pct"/>
            <w:tcBorders>
              <w:bottom w:val="single" w:color="auto" w:sz="4" w:space="0"/>
            </w:tcBorders>
            <w:vAlign w:val="center"/>
          </w:tcPr>
          <w:p w14:paraId="275F9489">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格式要求</w:t>
            </w:r>
          </w:p>
        </w:tc>
      </w:tr>
      <w:tr w14:paraId="05CA4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3D38D85B">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p>
        </w:tc>
        <w:tc>
          <w:tcPr>
            <w:tcW w:w="1242" w:type="pct"/>
            <w:vAlign w:val="center"/>
          </w:tcPr>
          <w:p w14:paraId="1AD2D963">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highlight w:val="none"/>
              </w:rPr>
              <w:t>开标一览表</w:t>
            </w:r>
          </w:p>
        </w:tc>
        <w:tc>
          <w:tcPr>
            <w:tcW w:w="1835" w:type="pct"/>
            <w:vAlign w:val="center"/>
          </w:tcPr>
          <w:p w14:paraId="5FFB2C96">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格式、填写要求符合招标文件规定并加盖投标人电子签章</w:t>
            </w:r>
          </w:p>
        </w:tc>
        <w:tc>
          <w:tcPr>
            <w:tcW w:w="1472" w:type="pct"/>
            <w:vAlign w:val="center"/>
          </w:tcPr>
          <w:p w14:paraId="2F9F3473">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详见第六章投标文件格式</w:t>
            </w:r>
            <w:r>
              <w:rPr>
                <w:rFonts w:hint="eastAsia" w:asciiTheme="minorEastAsia" w:hAnsiTheme="minorEastAsia" w:eastAsiaTheme="minorEastAsia"/>
                <w:color w:val="auto"/>
                <w:sz w:val="24"/>
                <w:highlight w:val="none"/>
                <w:lang w:eastAsia="zh-CN"/>
              </w:rPr>
              <w:t>。</w:t>
            </w:r>
          </w:p>
        </w:tc>
      </w:tr>
      <w:tr w14:paraId="5B691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2CBA361A">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1242" w:type="pct"/>
            <w:vAlign w:val="center"/>
          </w:tcPr>
          <w:p w14:paraId="4E436A99">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投标函</w:t>
            </w:r>
          </w:p>
        </w:tc>
        <w:tc>
          <w:tcPr>
            <w:tcW w:w="1835" w:type="pct"/>
            <w:vAlign w:val="center"/>
          </w:tcPr>
          <w:p w14:paraId="71B88ED2">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格式、填写要求符合招标文件规定并加盖投标人电子签章</w:t>
            </w:r>
          </w:p>
        </w:tc>
        <w:tc>
          <w:tcPr>
            <w:tcW w:w="1472" w:type="pct"/>
            <w:vAlign w:val="center"/>
          </w:tcPr>
          <w:p w14:paraId="4FA487B3">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详见第六章投标文件格式</w:t>
            </w:r>
            <w:r>
              <w:rPr>
                <w:rFonts w:hint="eastAsia" w:asciiTheme="minorEastAsia" w:hAnsiTheme="minorEastAsia" w:eastAsiaTheme="minorEastAsia"/>
                <w:color w:val="auto"/>
                <w:sz w:val="24"/>
                <w:highlight w:val="none"/>
                <w:lang w:eastAsia="zh-CN"/>
              </w:rPr>
              <w:t>。</w:t>
            </w:r>
          </w:p>
        </w:tc>
      </w:tr>
      <w:tr w14:paraId="42B1B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058DB2FC">
            <w:pPr>
              <w:adjustRightInd w:val="0"/>
              <w:snapToGrid w:val="0"/>
              <w:spacing w:line="360" w:lineRule="auto"/>
              <w:ind w:right="-10"/>
              <w:jc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3</w:t>
            </w:r>
          </w:p>
        </w:tc>
        <w:tc>
          <w:tcPr>
            <w:tcW w:w="1242" w:type="pct"/>
            <w:vAlign w:val="center"/>
          </w:tcPr>
          <w:p w14:paraId="7495C389">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授权书</w:t>
            </w:r>
          </w:p>
        </w:tc>
        <w:tc>
          <w:tcPr>
            <w:tcW w:w="1835" w:type="pct"/>
            <w:vAlign w:val="center"/>
          </w:tcPr>
          <w:p w14:paraId="12C2E3FA">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格式、填写要求符合招标文件规定并加盖投标人电子签章</w:t>
            </w:r>
          </w:p>
        </w:tc>
        <w:tc>
          <w:tcPr>
            <w:tcW w:w="1472" w:type="pct"/>
            <w:vAlign w:val="center"/>
          </w:tcPr>
          <w:p w14:paraId="2D906B26">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法定代表人参加投标的无需此件，提供身份证明即可。详见第六章投标文件格式</w:t>
            </w:r>
            <w:r>
              <w:rPr>
                <w:rFonts w:hint="eastAsia" w:asciiTheme="minorEastAsia" w:hAnsiTheme="minorEastAsia" w:eastAsiaTheme="minorEastAsia"/>
                <w:color w:val="auto"/>
                <w:sz w:val="24"/>
                <w:highlight w:val="none"/>
                <w:lang w:eastAsia="zh-CN"/>
              </w:rPr>
              <w:t>。</w:t>
            </w:r>
          </w:p>
        </w:tc>
      </w:tr>
      <w:tr w14:paraId="3EF13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49BE6863">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p>
        </w:tc>
        <w:tc>
          <w:tcPr>
            <w:tcW w:w="1242" w:type="pct"/>
            <w:vAlign w:val="center"/>
          </w:tcPr>
          <w:p w14:paraId="7DAECA49">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投标报价</w:t>
            </w:r>
          </w:p>
        </w:tc>
        <w:tc>
          <w:tcPr>
            <w:tcW w:w="1835" w:type="pct"/>
            <w:vAlign w:val="center"/>
          </w:tcPr>
          <w:p w14:paraId="12C4EB26">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w:t>
            </w:r>
            <w:r>
              <w:rPr>
                <w:rFonts w:hint="eastAsia" w:asciiTheme="minorEastAsia" w:hAnsiTheme="minorEastAsia" w:eastAsiaTheme="minorEastAsia"/>
                <w:color w:val="auto"/>
                <w:sz w:val="24"/>
                <w:highlight w:val="none"/>
              </w:rPr>
              <w:t>招标文件投标人须知正文第</w:t>
            </w:r>
            <w:r>
              <w:rPr>
                <w:rFonts w:hint="eastAsia" w:asciiTheme="minorEastAsia" w:hAnsiTheme="minorEastAsia" w:eastAsiaTheme="minorEastAsia"/>
                <w:color w:val="auto"/>
                <w:sz w:val="24"/>
                <w:highlight w:val="none"/>
                <w:lang w:val="en-US" w:eastAsia="zh-CN"/>
              </w:rPr>
              <w:t>9</w:t>
            </w:r>
            <w:r>
              <w:rPr>
                <w:rFonts w:hint="eastAsia" w:asciiTheme="minorEastAsia" w:hAnsiTheme="minorEastAsia" w:eastAsiaTheme="minorEastAsia"/>
                <w:color w:val="auto"/>
                <w:sz w:val="24"/>
                <w:highlight w:val="none"/>
              </w:rPr>
              <w:t>条要求</w:t>
            </w:r>
          </w:p>
        </w:tc>
        <w:tc>
          <w:tcPr>
            <w:tcW w:w="1472" w:type="pct"/>
            <w:vAlign w:val="center"/>
          </w:tcPr>
          <w:p w14:paraId="20712899">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详见第六章投标文件格式</w:t>
            </w:r>
            <w:r>
              <w:rPr>
                <w:rFonts w:hint="eastAsia" w:asciiTheme="minorEastAsia" w:hAnsiTheme="minorEastAsia" w:eastAsiaTheme="minorEastAsia"/>
                <w:color w:val="auto"/>
                <w:sz w:val="24"/>
                <w:highlight w:val="none"/>
                <w:lang w:eastAsia="zh-CN"/>
              </w:rPr>
              <w:t>。</w:t>
            </w:r>
          </w:p>
        </w:tc>
      </w:tr>
      <w:tr w14:paraId="5ECD4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0255A013">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val="en-US" w:eastAsia="zh-CN"/>
              </w:rPr>
              <w:t>5</w:t>
            </w:r>
          </w:p>
        </w:tc>
        <w:tc>
          <w:tcPr>
            <w:tcW w:w="1242" w:type="pct"/>
            <w:vAlign w:val="center"/>
          </w:tcPr>
          <w:p w14:paraId="4D1992A2">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商务响应情况</w:t>
            </w:r>
          </w:p>
        </w:tc>
        <w:tc>
          <w:tcPr>
            <w:tcW w:w="3430" w:type="dxa"/>
            <w:vAlign w:val="center"/>
          </w:tcPr>
          <w:p w14:paraId="6CD21DB3">
            <w:pPr>
              <w:spacing w:after="50" w:line="360" w:lineRule="auto"/>
              <w:ind w:right="-10" w:rightChars="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符合招标文件采购需求中对付款方式、供货及安装期限、供货及安装地点、免费质保期</w:t>
            </w:r>
            <w:r>
              <w:rPr>
                <w:rFonts w:hint="eastAsia" w:asciiTheme="minorEastAsia" w:hAnsiTheme="minorEastAsia" w:eastAsiaTheme="minorEastAsia"/>
                <w:color w:val="auto"/>
                <w:sz w:val="24"/>
                <w:szCs w:val="28"/>
                <w:highlight w:val="none"/>
                <w:lang w:val="en-US" w:eastAsia="zh-CN"/>
              </w:rPr>
              <w:t>等实质性</w:t>
            </w:r>
            <w:r>
              <w:rPr>
                <w:rFonts w:hint="eastAsia" w:asciiTheme="minorEastAsia" w:hAnsiTheme="minorEastAsia" w:eastAsiaTheme="minorEastAsia"/>
                <w:color w:val="auto"/>
                <w:sz w:val="24"/>
                <w:szCs w:val="28"/>
                <w:highlight w:val="none"/>
              </w:rPr>
              <w:t>要求</w:t>
            </w:r>
          </w:p>
        </w:tc>
        <w:tc>
          <w:tcPr>
            <w:tcW w:w="1472" w:type="pct"/>
            <w:vAlign w:val="center"/>
          </w:tcPr>
          <w:p w14:paraId="002ED430">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详见第六章投标文件格式</w:t>
            </w:r>
            <w:r>
              <w:rPr>
                <w:rFonts w:hint="eastAsia" w:asciiTheme="minorEastAsia" w:hAnsiTheme="minorEastAsia" w:eastAsiaTheme="minorEastAsia"/>
                <w:color w:val="auto"/>
                <w:sz w:val="24"/>
                <w:highlight w:val="none"/>
                <w:lang w:eastAsia="zh-CN"/>
              </w:rPr>
              <w:t>。</w:t>
            </w:r>
          </w:p>
        </w:tc>
      </w:tr>
      <w:tr w14:paraId="3F876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35C6D096">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val="en-US" w:eastAsia="zh-CN"/>
              </w:rPr>
              <w:t>6</w:t>
            </w:r>
          </w:p>
        </w:tc>
        <w:tc>
          <w:tcPr>
            <w:tcW w:w="2117" w:type="dxa"/>
            <w:vAlign w:val="center"/>
          </w:tcPr>
          <w:p w14:paraId="5A915EFD">
            <w:pPr>
              <w:keepNext w:val="0"/>
              <w:keepLines w:val="0"/>
              <w:suppressLineNumbers w:val="0"/>
              <w:spacing w:before="0" w:beforeAutospacing="0" w:after="50" w:afterAutospacing="0" w:line="360" w:lineRule="auto"/>
              <w:ind w:left="0" w:leftChars="0" w:right="-10" w:rightChars="0"/>
              <w:jc w:val="center"/>
              <w:rPr>
                <w:rFonts w:asciiTheme="minorEastAsia" w:hAnsiTheme="minorEastAsia" w:eastAsiaTheme="minorEastAsia"/>
                <w:color w:val="auto"/>
                <w:sz w:val="24"/>
                <w:szCs w:val="28"/>
                <w:highlight w:val="none"/>
              </w:rPr>
            </w:pPr>
            <w:r>
              <w:rPr>
                <w:rFonts w:hint="eastAsia" w:ascii="宋体" w:hAnsi="宋体" w:eastAsia="宋体" w:cs="宋体"/>
                <w:color w:val="auto"/>
                <w:sz w:val="24"/>
                <w:szCs w:val="28"/>
                <w:highlight w:val="none"/>
              </w:rPr>
              <w:t>技术响应情况</w:t>
            </w:r>
          </w:p>
        </w:tc>
        <w:tc>
          <w:tcPr>
            <w:tcW w:w="3430" w:type="dxa"/>
            <w:vAlign w:val="center"/>
          </w:tcPr>
          <w:p w14:paraId="0D480125">
            <w:pPr>
              <w:keepNext w:val="0"/>
              <w:keepLines w:val="0"/>
              <w:suppressLineNumbers w:val="0"/>
              <w:spacing w:before="0" w:beforeAutospacing="0" w:after="50" w:afterAutospacing="0" w:line="360" w:lineRule="auto"/>
              <w:ind w:left="0" w:right="-10" w:rightChars="0"/>
              <w:jc w:val="center"/>
              <w:rPr>
                <w:rFonts w:hint="eastAsia" w:ascii="宋体" w:hAnsi="宋体" w:eastAsia="宋体" w:cs="宋体"/>
                <w:color w:val="auto"/>
                <w:sz w:val="24"/>
                <w:szCs w:val="28"/>
                <w:highlight w:val="none"/>
                <w:lang w:val="en-US" w:eastAsia="zh-CN"/>
              </w:rPr>
            </w:pPr>
            <w:r>
              <w:rPr>
                <w:rFonts w:hint="eastAsia" w:ascii="宋体" w:hAnsi="宋体" w:eastAsia="宋体" w:cs="宋体"/>
                <w:color w:val="auto"/>
                <w:sz w:val="24"/>
                <w:szCs w:val="28"/>
                <w:highlight w:val="none"/>
              </w:rPr>
              <w:t>符合招标文件采购需求中货物技术参数</w:t>
            </w:r>
            <w:r>
              <w:rPr>
                <w:rFonts w:hint="eastAsia" w:ascii="宋体" w:hAnsi="宋体" w:eastAsia="宋体" w:cs="宋体"/>
                <w:color w:val="auto"/>
                <w:sz w:val="24"/>
                <w:szCs w:val="28"/>
                <w:highlight w:val="none"/>
                <w:lang w:val="en-US" w:eastAsia="zh-CN"/>
              </w:rPr>
              <w:t>等实质性要求</w:t>
            </w:r>
          </w:p>
          <w:p w14:paraId="4A27749E">
            <w:pPr>
              <w:keepNext w:val="0"/>
              <w:keepLines w:val="0"/>
              <w:suppressLineNumbers w:val="0"/>
              <w:spacing w:before="0" w:beforeAutospacing="0" w:after="50" w:afterAutospacing="0" w:line="360" w:lineRule="auto"/>
              <w:ind w:left="0" w:leftChars="0" w:right="-10" w:rightChars="0"/>
              <w:jc w:val="center"/>
              <w:rPr>
                <w:rFonts w:asciiTheme="minorEastAsia" w:hAnsiTheme="minorEastAsia" w:eastAsiaTheme="minorEastAsia"/>
                <w:color w:val="auto"/>
                <w:sz w:val="24"/>
                <w:szCs w:val="28"/>
                <w:highlight w:val="none"/>
              </w:rPr>
            </w:pPr>
            <w:r>
              <w:rPr>
                <w:rFonts w:hint="eastAsia" w:ascii="宋体" w:hAnsi="宋体" w:eastAsia="宋体" w:cs="宋体"/>
                <w:color w:val="auto"/>
                <w:sz w:val="24"/>
                <w:szCs w:val="28"/>
                <w:highlight w:val="none"/>
                <w:lang w:val="en-US" w:eastAsia="zh-CN"/>
              </w:rPr>
              <w:t>（按评分标准执行）</w:t>
            </w:r>
          </w:p>
        </w:tc>
        <w:tc>
          <w:tcPr>
            <w:tcW w:w="1472" w:type="pct"/>
            <w:vAlign w:val="center"/>
          </w:tcPr>
          <w:p w14:paraId="4DF86823">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详见第六章投标文件格式</w:t>
            </w:r>
            <w:r>
              <w:rPr>
                <w:rFonts w:hint="eastAsia" w:asciiTheme="minorEastAsia" w:hAnsiTheme="minorEastAsia" w:eastAsiaTheme="minorEastAsia"/>
                <w:color w:val="auto"/>
                <w:sz w:val="24"/>
                <w:highlight w:val="none"/>
                <w:lang w:eastAsia="zh-CN"/>
              </w:rPr>
              <w:t>。</w:t>
            </w:r>
          </w:p>
        </w:tc>
      </w:tr>
      <w:tr w14:paraId="4CAB6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00796BB1">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val="en-US" w:eastAsia="zh-CN"/>
              </w:rPr>
              <w:t>7</w:t>
            </w:r>
          </w:p>
        </w:tc>
        <w:tc>
          <w:tcPr>
            <w:tcW w:w="1242" w:type="pct"/>
            <w:vAlign w:val="center"/>
          </w:tcPr>
          <w:p w14:paraId="3AAE0128">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其他要求</w:t>
            </w:r>
          </w:p>
        </w:tc>
        <w:tc>
          <w:tcPr>
            <w:tcW w:w="3430" w:type="dxa"/>
            <w:vAlign w:val="center"/>
          </w:tcPr>
          <w:p w14:paraId="21D46057">
            <w:pPr>
              <w:spacing w:after="50" w:line="360" w:lineRule="auto"/>
              <w:ind w:right="-10" w:rightChars="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符合法律、行政法规规定的其他条件或招标文件列明的其他</w:t>
            </w:r>
            <w:r>
              <w:rPr>
                <w:rFonts w:hint="eastAsia" w:asciiTheme="minorEastAsia" w:hAnsiTheme="minorEastAsia" w:eastAsiaTheme="minorEastAsia"/>
                <w:color w:val="auto"/>
                <w:sz w:val="24"/>
                <w:szCs w:val="28"/>
                <w:highlight w:val="none"/>
                <w:lang w:val="en-US" w:eastAsia="zh-CN"/>
              </w:rPr>
              <w:t>实质性要求</w:t>
            </w:r>
          </w:p>
        </w:tc>
        <w:tc>
          <w:tcPr>
            <w:tcW w:w="1472" w:type="pct"/>
            <w:vAlign w:val="center"/>
          </w:tcPr>
          <w:p w14:paraId="63368BCE">
            <w:pPr>
              <w:adjustRightInd w:val="0"/>
              <w:snapToGrid w:val="0"/>
              <w:spacing w:line="360" w:lineRule="auto"/>
              <w:ind w:right="-10"/>
              <w:jc w:val="center"/>
              <w:rPr>
                <w:rFonts w:asciiTheme="minorEastAsia" w:hAnsiTheme="minorEastAsia" w:eastAsiaTheme="minorEastAsia"/>
                <w:color w:val="auto"/>
                <w:sz w:val="24"/>
                <w:highlight w:val="none"/>
              </w:rPr>
            </w:pPr>
          </w:p>
        </w:tc>
      </w:tr>
    </w:tbl>
    <w:p w14:paraId="37A7818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b/>
          <w:bCs/>
          <w:color w:val="auto"/>
          <w:sz w:val="24"/>
          <w:highlight w:val="none"/>
        </w:rPr>
        <w:t>符合性审查指标通过标准：</w:t>
      </w:r>
      <w:r>
        <w:rPr>
          <w:rFonts w:hint="eastAsia" w:asciiTheme="minorEastAsia" w:hAnsiTheme="minorEastAsia" w:eastAsiaTheme="minorEastAsia"/>
          <w:color w:val="auto"/>
          <w:sz w:val="24"/>
          <w:highlight w:val="none"/>
        </w:rPr>
        <w:t>投标人必须通过符合性审查表中的全部评审指标。</w:t>
      </w:r>
    </w:p>
    <w:p w14:paraId="37A2601D">
      <w:pPr>
        <w:spacing w:line="360" w:lineRule="auto"/>
        <w:ind w:firstLine="435"/>
        <w:outlineLvl w:val="2"/>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lang w:val="en-US" w:eastAsia="zh-CN"/>
        </w:rPr>
        <w:t>2.3</w:t>
      </w:r>
      <w:r>
        <w:rPr>
          <w:rFonts w:hint="eastAsia" w:asciiTheme="minorEastAsia" w:hAnsiTheme="minorEastAsia" w:eastAsiaTheme="minorEastAsia"/>
          <w:sz w:val="24"/>
          <w:highlight w:val="none"/>
        </w:rPr>
        <w:t>异常低价</w:t>
      </w:r>
      <w:r>
        <w:rPr>
          <w:rFonts w:hint="eastAsia" w:asciiTheme="minorEastAsia" w:hAnsiTheme="minorEastAsia" w:eastAsiaTheme="minorEastAsia"/>
          <w:sz w:val="24"/>
          <w:highlight w:val="none"/>
          <w:lang w:val="en-US" w:eastAsia="zh-CN"/>
        </w:rPr>
        <w:t>投标</w:t>
      </w:r>
      <w:r>
        <w:rPr>
          <w:rFonts w:hint="eastAsia" w:asciiTheme="minorEastAsia" w:hAnsiTheme="minorEastAsia" w:eastAsiaTheme="minorEastAsia"/>
          <w:sz w:val="24"/>
          <w:highlight w:val="none"/>
        </w:rPr>
        <w:t>审查</w:t>
      </w:r>
    </w:p>
    <w:tbl>
      <w:tblPr>
        <w:tblStyle w:val="25"/>
        <w:tblW w:w="525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7"/>
        <w:gridCol w:w="1580"/>
        <w:gridCol w:w="4837"/>
        <w:gridCol w:w="2462"/>
      </w:tblGrid>
      <w:tr w14:paraId="38B52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954" w:type="dxa"/>
            <w:gridSpan w:val="4"/>
            <w:tcBorders>
              <w:bottom w:val="single" w:color="auto" w:sz="4" w:space="0"/>
            </w:tcBorders>
            <w:vAlign w:val="center"/>
          </w:tcPr>
          <w:p w14:paraId="0490FDDC">
            <w:pPr>
              <w:adjustRightInd w:val="0"/>
              <w:snapToGrid w:val="0"/>
              <w:spacing w:line="360" w:lineRule="auto"/>
              <w:ind w:right="-10" w:rightChars="0"/>
              <w:jc w:val="center"/>
              <w:rPr>
                <w:rFonts w:ascii="宋体" w:hAnsi="宋体" w:eastAsia="宋体"/>
                <w:sz w:val="24"/>
                <w:highlight w:val="none"/>
              </w:rPr>
            </w:pPr>
            <w:r>
              <w:rPr>
                <w:rFonts w:hint="eastAsia" w:ascii="宋体" w:hAnsi="宋体" w:eastAsia="宋体" w:cs="Times New Roman"/>
                <w:b/>
                <w:bCs/>
                <w:sz w:val="24"/>
                <w:highlight w:val="none"/>
                <w:lang w:val="en-US" w:eastAsia="zh-CN"/>
              </w:rPr>
              <w:t>异常低价投标审查表</w:t>
            </w:r>
          </w:p>
        </w:tc>
      </w:tr>
      <w:tr w14:paraId="0B914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5" w:type="dxa"/>
            <w:tcBorders>
              <w:bottom w:val="single" w:color="auto" w:sz="4" w:space="0"/>
            </w:tcBorders>
            <w:vAlign w:val="center"/>
          </w:tcPr>
          <w:p w14:paraId="3D11B06C">
            <w:pPr>
              <w:spacing w:line="360" w:lineRule="auto"/>
              <w:jc w:val="center"/>
              <w:rPr>
                <w:rFonts w:ascii="宋体" w:hAnsi="宋体" w:eastAsia="宋体"/>
                <w:sz w:val="24"/>
                <w:highlight w:val="none"/>
              </w:rPr>
            </w:pPr>
            <w:r>
              <w:rPr>
                <w:rFonts w:hint="eastAsia" w:ascii="宋体" w:hAnsi="宋体" w:eastAsia="宋体" w:cs="Times New Roman"/>
                <w:sz w:val="24"/>
                <w:highlight w:val="none"/>
                <w:lang w:val="en-US" w:eastAsia="zh-CN"/>
              </w:rPr>
              <w:t>序号</w:t>
            </w:r>
          </w:p>
        </w:tc>
        <w:tc>
          <w:tcPr>
            <w:tcW w:w="1450" w:type="dxa"/>
            <w:tcBorders>
              <w:bottom w:val="single" w:color="auto" w:sz="4" w:space="0"/>
            </w:tcBorders>
            <w:vAlign w:val="center"/>
          </w:tcPr>
          <w:p w14:paraId="1685EC71">
            <w:pPr>
              <w:spacing w:line="360" w:lineRule="auto"/>
              <w:ind w:firstLine="240" w:firstLineChars="100"/>
              <w:jc w:val="center"/>
              <w:rPr>
                <w:rFonts w:ascii="宋体" w:hAnsi="宋体" w:eastAsia="宋体"/>
                <w:kern w:val="2"/>
                <w:szCs w:val="24"/>
                <w:highlight w:val="none"/>
              </w:rPr>
            </w:pPr>
            <w:r>
              <w:rPr>
                <w:rFonts w:hint="eastAsia" w:ascii="宋体" w:hAnsi="宋体" w:eastAsia="宋体" w:cs="Times New Roman"/>
                <w:sz w:val="24"/>
                <w:highlight w:val="none"/>
                <w:lang w:val="en-US" w:eastAsia="zh-CN"/>
              </w:rPr>
              <w:t>评审指标</w:t>
            </w:r>
          </w:p>
        </w:tc>
        <w:tc>
          <w:tcPr>
            <w:tcW w:w="4439" w:type="dxa"/>
            <w:tcBorders>
              <w:bottom w:val="single" w:color="auto" w:sz="4" w:space="0"/>
            </w:tcBorders>
            <w:vAlign w:val="center"/>
          </w:tcPr>
          <w:p w14:paraId="48227F1E">
            <w:pPr>
              <w:spacing w:line="360" w:lineRule="auto"/>
              <w:ind w:firstLine="240" w:firstLineChars="100"/>
              <w:jc w:val="center"/>
              <w:rPr>
                <w:rFonts w:ascii="宋体" w:hAnsi="宋体" w:eastAsia="宋体"/>
                <w:sz w:val="24"/>
                <w:highlight w:val="none"/>
              </w:rPr>
            </w:pPr>
            <w:r>
              <w:rPr>
                <w:rFonts w:hint="eastAsia" w:ascii="宋体" w:hAnsi="宋体" w:eastAsia="宋体" w:cs="Times New Roman"/>
                <w:sz w:val="24"/>
                <w:highlight w:val="none"/>
                <w:lang w:val="en-US" w:eastAsia="zh-CN"/>
              </w:rPr>
              <w:t>评审标准</w:t>
            </w:r>
          </w:p>
        </w:tc>
        <w:tc>
          <w:tcPr>
            <w:tcW w:w="2260" w:type="dxa"/>
            <w:tcBorders>
              <w:bottom w:val="single" w:color="auto" w:sz="4" w:space="0"/>
            </w:tcBorders>
            <w:vAlign w:val="center"/>
          </w:tcPr>
          <w:p w14:paraId="75A52B50">
            <w:pPr>
              <w:spacing w:line="360" w:lineRule="auto"/>
              <w:jc w:val="center"/>
              <w:rPr>
                <w:rFonts w:ascii="宋体" w:hAnsi="宋体" w:eastAsia="宋体"/>
                <w:sz w:val="24"/>
                <w:highlight w:val="none"/>
              </w:rPr>
            </w:pPr>
            <w:r>
              <w:rPr>
                <w:rFonts w:hint="eastAsia" w:ascii="宋体" w:hAnsi="宋体" w:eastAsia="宋体" w:cs="Times New Roman"/>
                <w:sz w:val="24"/>
                <w:highlight w:val="none"/>
                <w:lang w:val="en-US" w:eastAsia="zh-CN"/>
              </w:rPr>
              <w:t>格式及材料要求</w:t>
            </w:r>
          </w:p>
        </w:tc>
      </w:tr>
      <w:tr w14:paraId="398B6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805" w:type="dxa"/>
            <w:tcBorders>
              <w:bottom w:val="single" w:color="auto" w:sz="4" w:space="0"/>
            </w:tcBorders>
            <w:vAlign w:val="center"/>
          </w:tcPr>
          <w:p w14:paraId="03712B20">
            <w:pPr>
              <w:spacing w:line="360" w:lineRule="auto"/>
              <w:ind w:firstLine="240" w:firstLineChars="100"/>
              <w:rPr>
                <w:rFonts w:hint="eastAsia" w:ascii="宋体" w:hAnsi="宋体" w:eastAsia="宋体" w:cs="宋体"/>
                <w:sz w:val="24"/>
                <w:highlight w:val="none"/>
              </w:rPr>
            </w:pPr>
            <w:r>
              <w:rPr>
                <w:rFonts w:hint="eastAsia" w:ascii="宋体" w:hAnsi="宋体" w:eastAsia="宋体" w:cs="宋体"/>
                <w:sz w:val="24"/>
                <w:highlight w:val="none"/>
                <w:lang w:val="en-US" w:eastAsia="zh-CN"/>
              </w:rPr>
              <w:t>1</w:t>
            </w:r>
          </w:p>
        </w:tc>
        <w:tc>
          <w:tcPr>
            <w:tcW w:w="1450" w:type="dxa"/>
            <w:tcBorders>
              <w:bottom w:val="single" w:color="auto" w:sz="4" w:space="0"/>
            </w:tcBorders>
            <w:vAlign w:val="center"/>
          </w:tcPr>
          <w:p w14:paraId="6544B483">
            <w:pPr>
              <w:spacing w:line="360" w:lineRule="auto"/>
              <w:rPr>
                <w:rFonts w:hint="eastAsia" w:ascii="宋体" w:hAnsi="宋体" w:eastAsia="宋体" w:cs="宋体"/>
                <w:sz w:val="24"/>
                <w:szCs w:val="28"/>
                <w:highlight w:val="none"/>
              </w:rPr>
            </w:pPr>
            <w:r>
              <w:rPr>
                <w:rFonts w:hint="eastAsia" w:ascii="宋体" w:hAnsi="宋体" w:eastAsia="宋体" w:cs="宋体"/>
                <w:sz w:val="24"/>
                <w:highlight w:val="none"/>
                <w:lang w:val="en-US" w:eastAsia="zh-CN"/>
              </w:rPr>
              <w:t>异常低价投标审查</w:t>
            </w:r>
          </w:p>
        </w:tc>
        <w:tc>
          <w:tcPr>
            <w:tcW w:w="4439" w:type="dxa"/>
            <w:tcBorders>
              <w:bottom w:val="single" w:color="auto" w:sz="4" w:space="0"/>
            </w:tcBorders>
            <w:vAlign w:val="center"/>
          </w:tcPr>
          <w:p w14:paraId="2B9A75F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color w:val="auto"/>
                <w:sz w:val="24"/>
                <w:szCs w:val="24"/>
                <w:highlight w:val="none"/>
                <w:u w:val="none"/>
                <w:lang w:val="en-US" w:eastAsia="zh-CN"/>
              </w:rPr>
            </w:pPr>
            <w:r>
              <w:rPr>
                <w:rFonts w:hint="eastAsia" w:ascii="宋体" w:hAnsi="宋体" w:eastAsia="宋体" w:cs="宋体"/>
                <w:b w:val="0"/>
                <w:bCs w:val="0"/>
                <w:i w:val="0"/>
                <w:iCs w:val="0"/>
                <w:sz w:val="24"/>
                <w:szCs w:val="24"/>
                <w:highlight w:val="none"/>
                <w:u w:val="none"/>
                <w:lang w:val="en-US" w:eastAsia="zh-CN"/>
              </w:rPr>
              <w:t>（1）投标报</w:t>
            </w:r>
            <w:r>
              <w:rPr>
                <w:rFonts w:hint="eastAsia" w:ascii="宋体" w:hAnsi="宋体" w:eastAsia="宋体" w:cs="宋体"/>
                <w:b w:val="0"/>
                <w:bCs w:val="0"/>
                <w:i w:val="0"/>
                <w:iCs w:val="0"/>
                <w:color w:val="auto"/>
                <w:sz w:val="24"/>
                <w:szCs w:val="24"/>
                <w:highlight w:val="none"/>
                <w:u w:val="none"/>
                <w:lang w:val="en-US" w:eastAsia="zh-CN"/>
              </w:rPr>
              <w:t>价＜全部通过符合性审查投标人投标报价平均值×</w:t>
            </w:r>
            <w:r>
              <w:rPr>
                <w:rFonts w:hint="eastAsia" w:ascii="宋体" w:hAnsi="宋体" w:eastAsia="宋体" w:cs="宋体"/>
                <w:b w:val="0"/>
                <w:bCs w:val="0"/>
                <w:i w:val="0"/>
                <w:iCs w:val="0"/>
                <w:color w:val="auto"/>
                <w:sz w:val="24"/>
                <w:szCs w:val="24"/>
                <w:highlight w:val="none"/>
                <w:u w:val="single"/>
                <w:lang w:val="en-US" w:eastAsia="zh-CN"/>
              </w:rPr>
              <w:t>50%</w:t>
            </w:r>
            <w:r>
              <w:rPr>
                <w:rFonts w:hint="eastAsia" w:ascii="宋体" w:hAnsi="宋体" w:eastAsia="宋体" w:cs="宋体"/>
                <w:b w:val="0"/>
                <w:bCs w:val="0"/>
                <w:i w:val="0"/>
                <w:iCs w:val="0"/>
                <w:color w:val="auto"/>
                <w:sz w:val="24"/>
                <w:szCs w:val="24"/>
                <w:highlight w:val="none"/>
                <w:u w:val="none"/>
                <w:lang w:val="en-US" w:eastAsia="zh-CN"/>
              </w:rPr>
              <w:t>；</w:t>
            </w:r>
          </w:p>
          <w:p w14:paraId="388BFE3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color w:val="auto"/>
                <w:sz w:val="24"/>
                <w:szCs w:val="24"/>
                <w:highlight w:val="none"/>
                <w:u w:val="none"/>
                <w:lang w:val="en-US" w:eastAsia="zh-CN"/>
              </w:rPr>
            </w:pPr>
            <w:r>
              <w:rPr>
                <w:rFonts w:hint="eastAsia" w:ascii="宋体" w:hAnsi="宋体" w:eastAsia="宋体" w:cs="宋体"/>
                <w:b w:val="0"/>
                <w:bCs w:val="0"/>
                <w:i w:val="0"/>
                <w:iCs w:val="0"/>
                <w:color w:val="auto"/>
                <w:sz w:val="24"/>
                <w:szCs w:val="24"/>
                <w:highlight w:val="none"/>
                <w:u w:val="none"/>
                <w:lang w:val="en-US" w:eastAsia="zh-CN"/>
              </w:rPr>
              <w:t>（2）投标报价＜通过符合性审查的次低报价投标人投标报价×</w:t>
            </w:r>
            <w:r>
              <w:rPr>
                <w:rFonts w:hint="eastAsia" w:ascii="宋体" w:hAnsi="宋体" w:eastAsia="宋体" w:cs="宋体"/>
                <w:b w:val="0"/>
                <w:bCs w:val="0"/>
                <w:i w:val="0"/>
                <w:iCs w:val="0"/>
                <w:color w:val="auto"/>
                <w:sz w:val="24"/>
                <w:szCs w:val="24"/>
                <w:highlight w:val="none"/>
                <w:u w:val="single"/>
                <w:lang w:val="en-US" w:eastAsia="zh-CN"/>
              </w:rPr>
              <w:t>50%</w:t>
            </w:r>
            <w:r>
              <w:rPr>
                <w:rFonts w:hint="eastAsia" w:ascii="宋体" w:hAnsi="宋体" w:eastAsia="宋体" w:cs="宋体"/>
                <w:b w:val="0"/>
                <w:bCs w:val="0"/>
                <w:i w:val="0"/>
                <w:iCs w:val="0"/>
                <w:color w:val="auto"/>
                <w:sz w:val="24"/>
                <w:szCs w:val="24"/>
                <w:highlight w:val="none"/>
                <w:u w:val="none"/>
                <w:lang w:val="en-US" w:eastAsia="zh-CN"/>
              </w:rPr>
              <w:t>；</w:t>
            </w:r>
          </w:p>
          <w:p w14:paraId="6A29628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color w:val="auto"/>
                <w:sz w:val="24"/>
                <w:szCs w:val="24"/>
                <w:highlight w:val="none"/>
                <w:u w:val="none"/>
                <w:lang w:val="en-US" w:eastAsia="zh-CN"/>
              </w:rPr>
            </w:pPr>
            <w:r>
              <w:rPr>
                <w:rFonts w:hint="eastAsia" w:ascii="宋体" w:hAnsi="宋体" w:eastAsia="宋体" w:cs="宋体"/>
                <w:b w:val="0"/>
                <w:bCs w:val="0"/>
                <w:i w:val="0"/>
                <w:iCs w:val="0"/>
                <w:color w:val="auto"/>
                <w:sz w:val="24"/>
                <w:szCs w:val="24"/>
                <w:highlight w:val="none"/>
                <w:u w:val="none"/>
                <w:lang w:val="en-US" w:eastAsia="zh-CN"/>
              </w:rPr>
              <w:t>（3）投标报价＜采购项目最高限价（</w:t>
            </w:r>
            <w:r>
              <w:rPr>
                <w:rFonts w:hint="eastAsia" w:ascii="宋体" w:hAnsi="宋体" w:eastAsia="宋体" w:cs="宋体"/>
                <w:b w:val="0"/>
                <w:bCs w:val="0"/>
                <w:color w:val="auto"/>
                <w:sz w:val="24"/>
                <w:highlight w:val="none"/>
                <w:lang w:val="en-US" w:eastAsia="zh-CN"/>
              </w:rPr>
              <w:t>如采购项目未设定最高限价的，以采购项目预算金额作为最高限价</w:t>
            </w:r>
            <w:r>
              <w:rPr>
                <w:rFonts w:hint="eastAsia" w:ascii="宋体" w:hAnsi="宋体" w:eastAsia="宋体" w:cs="宋体"/>
                <w:b w:val="0"/>
                <w:bCs w:val="0"/>
                <w:i w:val="0"/>
                <w:iCs w:val="0"/>
                <w:color w:val="auto"/>
                <w:sz w:val="24"/>
                <w:szCs w:val="24"/>
                <w:highlight w:val="none"/>
                <w:u w:val="none"/>
                <w:lang w:val="en-US" w:eastAsia="zh-CN"/>
              </w:rPr>
              <w:t>）×</w:t>
            </w:r>
            <w:r>
              <w:rPr>
                <w:rFonts w:hint="eastAsia" w:ascii="宋体" w:hAnsi="宋体" w:eastAsia="宋体" w:cs="宋体"/>
                <w:b w:val="0"/>
                <w:bCs w:val="0"/>
                <w:i w:val="0"/>
                <w:iCs w:val="0"/>
                <w:color w:val="auto"/>
                <w:sz w:val="24"/>
                <w:szCs w:val="24"/>
                <w:highlight w:val="none"/>
                <w:u w:val="single"/>
                <w:lang w:val="en-US" w:eastAsia="zh-CN"/>
              </w:rPr>
              <w:t>45%</w:t>
            </w:r>
            <w:r>
              <w:rPr>
                <w:rFonts w:hint="eastAsia" w:ascii="宋体" w:hAnsi="宋体" w:eastAsia="宋体" w:cs="宋体"/>
                <w:b w:val="0"/>
                <w:bCs w:val="0"/>
                <w:i w:val="0"/>
                <w:iCs w:val="0"/>
                <w:color w:val="auto"/>
                <w:sz w:val="24"/>
                <w:szCs w:val="24"/>
                <w:highlight w:val="none"/>
                <w:u w:val="none"/>
                <w:lang w:val="en-US" w:eastAsia="zh-CN"/>
              </w:rPr>
              <w:t>；</w:t>
            </w:r>
          </w:p>
          <w:p w14:paraId="2AF026C8">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（4）评标委员会基于专业判断，认为投标人报价过低，有可能影响产品质量或者不能诚信履约的其他情形。</w:t>
            </w:r>
          </w:p>
          <w:p w14:paraId="23C179B8">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highlight w:val="none"/>
                <w:lang w:val="en-US" w:eastAsia="zh-CN"/>
              </w:rPr>
            </w:pPr>
            <w:r>
              <w:rPr>
                <w:rFonts w:hint="eastAsia" w:ascii="宋体" w:hAnsi="宋体" w:eastAsia="宋体" w:cs="宋体"/>
                <w:b/>
                <w:bCs/>
                <w:sz w:val="24"/>
                <w:highlight w:val="none"/>
                <w:lang w:val="en-US" w:eastAsia="zh-CN"/>
              </w:rPr>
              <w:t>提醒：</w:t>
            </w:r>
          </w:p>
          <w:p w14:paraId="0B014BAB">
            <w:pPr>
              <w:pStyle w:val="8"/>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上述</w:t>
            </w:r>
            <w:r>
              <w:rPr>
                <w:rFonts w:hint="eastAsia" w:ascii="宋体" w:hAnsi="宋体" w:eastAsia="宋体" w:cs="Arial"/>
                <w:sz w:val="24"/>
                <w:highlight w:val="none"/>
                <w:lang w:val="en-US" w:eastAsia="zh-CN"/>
              </w:rPr>
              <w:t>第（1）项数值计算：涉及总价、单价的</w:t>
            </w:r>
            <w:r>
              <w:rPr>
                <w:rFonts w:hint="eastAsia" w:ascii="宋体" w:hAnsi="宋体" w:eastAsia="宋体"/>
                <w:sz w:val="24"/>
                <w:highlight w:val="none"/>
                <w:lang w:val="en-US" w:eastAsia="zh-CN"/>
              </w:rPr>
              <w:t>精确到“分”并四舍五入，涉及费率的精确到小数点后两位，第三位四舍五入（例：如平均值为123.456元，即为123.46元；如平均值为80.126%，即为80.13%）。</w:t>
            </w:r>
          </w:p>
        </w:tc>
        <w:tc>
          <w:tcPr>
            <w:tcW w:w="2260" w:type="dxa"/>
            <w:vAlign w:val="center"/>
          </w:tcPr>
          <w:p w14:paraId="483833C3">
            <w:pPr>
              <w:spacing w:line="360" w:lineRule="auto"/>
              <w:ind w:firstLine="240" w:firstLineChars="100"/>
              <w:rPr>
                <w:rFonts w:hint="eastAsia" w:ascii="宋体" w:hAnsi="宋体" w:eastAsia="宋体" w:cs="宋体"/>
                <w:sz w:val="24"/>
                <w:highlight w:val="none"/>
              </w:rPr>
            </w:pPr>
            <w:r>
              <w:rPr>
                <w:rFonts w:hint="eastAsia" w:ascii="宋体" w:hAnsi="宋体" w:eastAsia="宋体" w:cs="宋体"/>
                <w:sz w:val="24"/>
                <w:highlight w:val="none"/>
                <w:lang w:val="en-US" w:eastAsia="zh-CN"/>
              </w:rPr>
              <w:t>投标人在评审现场合理的时间内对投标价格作出解释，提供项目具体成本测算等与报价合理性相关的书面说明及必要的证明材料，包括但不限于原材料成本、人工成本、制造费用等。</w:t>
            </w:r>
          </w:p>
        </w:tc>
      </w:tr>
    </w:tbl>
    <w:p w14:paraId="4F028160">
      <w:pPr>
        <w:spacing w:line="360" w:lineRule="auto"/>
        <w:rPr>
          <w:rFonts w:hint="eastAsia" w:ascii="宋体" w:hAnsi="宋体" w:eastAsia="宋体" w:cs="Arial"/>
          <w:sz w:val="24"/>
          <w:highlight w:val="none"/>
          <w:lang w:val="en-US" w:eastAsia="zh-CN"/>
        </w:rPr>
      </w:pPr>
      <w:r>
        <w:rPr>
          <w:rFonts w:hint="eastAsia" w:ascii="宋体" w:hAnsi="宋体" w:eastAsia="宋体" w:cs="Times New Roman"/>
          <w:sz w:val="24"/>
          <w:highlight w:val="none"/>
          <w:lang w:val="en-US" w:eastAsia="zh-CN"/>
        </w:rPr>
        <w:t>注：</w:t>
      </w:r>
    </w:p>
    <w:p w14:paraId="1A071BDD">
      <w:pPr>
        <w:spacing w:line="360" w:lineRule="auto"/>
        <w:ind w:firstLine="480" w:firstLineChars="200"/>
        <w:rPr>
          <w:rFonts w:hint="eastAsia" w:ascii="宋体" w:hAnsi="宋体" w:eastAsia="宋体" w:cs="Arial"/>
          <w:sz w:val="24"/>
          <w:highlight w:val="none"/>
          <w:lang w:val="en-US" w:eastAsia="zh-CN"/>
        </w:rPr>
      </w:pPr>
      <w:r>
        <w:rPr>
          <w:rFonts w:hint="eastAsia" w:ascii="宋体" w:hAnsi="宋体" w:eastAsia="宋体" w:cs="Arial"/>
          <w:sz w:val="24"/>
          <w:highlight w:val="none"/>
          <w:lang w:val="en-US" w:eastAsia="zh-CN"/>
        </w:rPr>
        <w:t>评标委员会启动异常低价投标审查后，属于评审标准中第（1）项至第（4）项情形的，应当要求相关投标人在评审现场合理的时间内（不少于30分钟）对投标价格作出解释，提供项目具体成本测算等与报价合理性相关的书面说明及必要的证明材料，包括但不限于原材料成本、人工成本、制造费用等。其中，属于第</w:t>
      </w:r>
      <w:r>
        <w:rPr>
          <w:rFonts w:hint="eastAsia" w:ascii="宋体" w:hAnsi="宋体" w:cs="Arial"/>
          <w:sz w:val="24"/>
          <w:highlight w:val="none"/>
          <w:lang w:val="en-US" w:eastAsia="zh-CN"/>
        </w:rPr>
        <w:t>（3）</w:t>
      </w:r>
      <w:r>
        <w:rPr>
          <w:rFonts w:hint="eastAsia" w:ascii="宋体" w:hAnsi="宋体" w:eastAsia="宋体" w:cs="Arial"/>
          <w:sz w:val="24"/>
          <w:highlight w:val="none"/>
          <w:lang w:val="en-US" w:eastAsia="zh-CN"/>
        </w:rPr>
        <w:t>项情形，投标人已随投标文件一并提交相关书面说明及必要的证明材料的，在评审现场可不再重复提交。</w:t>
      </w:r>
    </w:p>
    <w:p w14:paraId="1CABF238">
      <w:pPr>
        <w:pStyle w:val="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Arial"/>
          <w:sz w:val="24"/>
          <w:highlight w:val="none"/>
          <w:lang w:val="en-US" w:eastAsia="zh-CN"/>
        </w:rPr>
      </w:pPr>
      <w:r>
        <w:rPr>
          <w:rFonts w:hint="eastAsia" w:ascii="宋体" w:hAnsi="宋体" w:eastAsia="宋体" w:cs="Arial"/>
          <w:sz w:val="24"/>
          <w:highlight w:val="none"/>
          <w:lang w:val="en-US" w:eastAsia="zh-CN"/>
        </w:rPr>
        <w:t>评标委员会依据专业经验，参考同类项目中标（成交）价格、类似产品市场价格水平、行业人工费用标准、国家有关部门指导行业协会发布的行业平均成本等情况，对报价合理性进行判断。投标人不能提供书面说明、证明材料，或者提供的书面说明、证明材料不能证明其报价合理性的，评标委员会应当将其作为</w:t>
      </w:r>
      <w:r>
        <w:rPr>
          <w:rFonts w:hint="eastAsia" w:ascii="宋体" w:hAnsi="宋体" w:eastAsia="宋体" w:cs="Arial"/>
          <w:b/>
          <w:bCs/>
          <w:sz w:val="24"/>
          <w:highlight w:val="none"/>
          <w:lang w:val="en-US" w:eastAsia="zh-CN"/>
        </w:rPr>
        <w:t>无效投标</w:t>
      </w:r>
      <w:r>
        <w:rPr>
          <w:rFonts w:hint="eastAsia" w:ascii="宋体" w:hAnsi="宋体" w:eastAsia="宋体" w:cs="Arial"/>
          <w:sz w:val="24"/>
          <w:highlight w:val="none"/>
          <w:lang w:val="en-US" w:eastAsia="zh-CN"/>
        </w:rPr>
        <w:t>处理。</w:t>
      </w:r>
    </w:p>
    <w:p w14:paraId="262C0784">
      <w:pPr>
        <w:pStyle w:val="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sz w:val="24"/>
          <w:highlight w:val="none"/>
          <w:lang w:val="en-US" w:eastAsia="zh-CN"/>
        </w:rPr>
      </w:pPr>
      <w:r>
        <w:rPr>
          <w:rFonts w:hint="eastAsia" w:ascii="宋体" w:hAnsi="宋体" w:eastAsia="宋体" w:cs="Arial"/>
          <w:sz w:val="24"/>
          <w:highlight w:val="none"/>
          <w:lang w:val="en-US" w:eastAsia="zh-CN"/>
        </w:rPr>
        <w:t>评标委员会</w:t>
      </w:r>
      <w:r>
        <w:rPr>
          <w:rFonts w:hint="eastAsia" w:ascii="宋体" w:hAnsi="宋体" w:eastAsia="宋体"/>
          <w:sz w:val="24"/>
          <w:highlight w:val="none"/>
        </w:rPr>
        <w:t>借助互联网等渠道查询相关信息的，应当严格遵守评审工作纪律，不得实施影响评审公正的行为</w:t>
      </w:r>
      <w:r>
        <w:rPr>
          <w:rFonts w:hint="eastAsia" w:ascii="宋体" w:hAnsi="宋体" w:eastAsia="宋体"/>
          <w:sz w:val="24"/>
          <w:highlight w:val="none"/>
          <w:lang w:eastAsia="zh-CN"/>
        </w:rPr>
        <w:t>。</w:t>
      </w:r>
      <w:r>
        <w:rPr>
          <w:rFonts w:hint="eastAsia" w:ascii="宋体" w:hAnsi="宋体" w:eastAsia="宋体"/>
          <w:sz w:val="24"/>
          <w:highlight w:val="none"/>
        </w:rPr>
        <w:t>异常低价响应审查的启动原因、审查意见和审查结果应当在评审报告中记录，并随</w:t>
      </w:r>
      <w:r>
        <w:rPr>
          <w:rFonts w:hint="eastAsia" w:ascii="宋体" w:hAnsi="宋体" w:eastAsia="宋体"/>
          <w:sz w:val="24"/>
          <w:highlight w:val="none"/>
          <w:lang w:val="en-US" w:eastAsia="zh-CN"/>
        </w:rPr>
        <w:t>投标人</w:t>
      </w:r>
      <w:r>
        <w:rPr>
          <w:rFonts w:hint="eastAsia" w:ascii="宋体" w:hAnsi="宋体" w:eastAsia="宋体"/>
          <w:sz w:val="24"/>
          <w:highlight w:val="none"/>
        </w:rPr>
        <w:t>提供的相关书面说明及证明材料，以及</w:t>
      </w:r>
      <w:r>
        <w:rPr>
          <w:rFonts w:hint="eastAsia" w:ascii="宋体" w:hAnsi="宋体" w:eastAsia="宋体" w:cs="Arial"/>
          <w:sz w:val="24"/>
          <w:highlight w:val="none"/>
          <w:lang w:val="en-US" w:eastAsia="zh-CN"/>
        </w:rPr>
        <w:t>评标委员会</w:t>
      </w:r>
      <w:r>
        <w:rPr>
          <w:rFonts w:hint="eastAsia" w:ascii="宋体" w:hAnsi="宋体" w:eastAsia="宋体"/>
          <w:sz w:val="24"/>
          <w:highlight w:val="none"/>
        </w:rPr>
        <w:t>有关互联网浏览、查询历史一并归档。</w:t>
      </w:r>
    </w:p>
    <w:p w14:paraId="49D55E2D">
      <w:pPr>
        <w:spacing w:line="360" w:lineRule="auto"/>
        <w:ind w:firstLine="437"/>
        <w:outlineLvl w:val="2"/>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详细审查</w:t>
      </w:r>
    </w:p>
    <w:p w14:paraId="285FBC7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评标委员会按照下表对投标文件进行详细审查和评分。</w:t>
      </w:r>
    </w:p>
    <w:p w14:paraId="784909A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本项目综合评分满分为1</w:t>
      </w:r>
      <w:r>
        <w:rPr>
          <w:rFonts w:asciiTheme="minorEastAsia" w:hAnsiTheme="minorEastAsia" w:eastAsiaTheme="minorEastAsia"/>
          <w:color w:val="auto"/>
          <w:sz w:val="24"/>
          <w:highlight w:val="none"/>
        </w:rPr>
        <w:t>00</w:t>
      </w:r>
      <w:r>
        <w:rPr>
          <w:rFonts w:hint="eastAsia" w:asciiTheme="minorEastAsia" w:hAnsiTheme="minorEastAsia" w:eastAsiaTheme="minorEastAsia"/>
          <w:color w:val="auto"/>
          <w:sz w:val="24"/>
          <w:highlight w:val="none"/>
        </w:rPr>
        <w:t>分，其中：资信分值占总分值的权重为</w:t>
      </w:r>
      <w:r>
        <w:rPr>
          <w:rFonts w:hint="eastAsia" w:asciiTheme="minorEastAsia" w:hAnsiTheme="minorEastAsia" w:eastAsiaTheme="minorEastAsia"/>
          <w:color w:val="auto"/>
          <w:sz w:val="24"/>
          <w:highlight w:val="none"/>
          <w:u w:val="single"/>
          <w:lang w:val="en-US" w:eastAsia="zh-CN"/>
        </w:rPr>
        <w:t>13</w:t>
      </w:r>
      <w:r>
        <w:rPr>
          <w:rFonts w:hint="eastAsia" w:asciiTheme="minorEastAsia" w:hAnsiTheme="minorEastAsia" w:eastAsiaTheme="minorEastAsia"/>
          <w:color w:val="auto"/>
          <w:sz w:val="24"/>
          <w:highlight w:val="none"/>
          <w:u w:val="none"/>
          <w:lang w:val="en-US" w:eastAsia="zh-CN"/>
        </w:rPr>
        <w:t>%</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技术分</w:t>
      </w:r>
      <w:r>
        <w:rPr>
          <w:rFonts w:asciiTheme="minorEastAsia" w:hAnsiTheme="minorEastAsia" w:eastAsiaTheme="minorEastAsia"/>
          <w:color w:val="auto"/>
          <w:sz w:val="24"/>
          <w:highlight w:val="none"/>
        </w:rPr>
        <w:t>值占总分值的权重为</w:t>
      </w:r>
      <w:r>
        <w:rPr>
          <w:rFonts w:hint="eastAsia" w:asciiTheme="minorEastAsia" w:hAnsiTheme="minorEastAsia" w:eastAsiaTheme="minorEastAsia"/>
          <w:color w:val="auto"/>
          <w:sz w:val="24"/>
          <w:highlight w:val="none"/>
          <w:u w:val="single"/>
          <w:lang w:val="en-US" w:eastAsia="zh-CN"/>
        </w:rPr>
        <w:t>57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eastAsia="zh-CN"/>
        </w:rPr>
        <w:t>，</w:t>
      </w:r>
      <w:r>
        <w:rPr>
          <w:rFonts w:asciiTheme="minorEastAsia" w:hAnsiTheme="minorEastAsia" w:eastAsiaTheme="minorEastAsia"/>
          <w:color w:val="auto"/>
          <w:sz w:val="24"/>
          <w:highlight w:val="none"/>
        </w:rPr>
        <w:t>价格分值占总分值的权重为</w:t>
      </w:r>
      <w:r>
        <w:rPr>
          <w:rFonts w:hint="eastAsia" w:asciiTheme="minorEastAsia" w:hAnsiTheme="minorEastAsia" w:eastAsiaTheme="minorEastAsia"/>
          <w:color w:val="auto"/>
          <w:sz w:val="24"/>
          <w:highlight w:val="none"/>
          <w:u w:val="single"/>
          <w:lang w:val="en-US" w:eastAsia="zh-CN"/>
        </w:rPr>
        <w:t>30</w:t>
      </w:r>
      <w:r>
        <w:rPr>
          <w:rFonts w:asciiTheme="minorEastAsia" w:hAnsiTheme="minorEastAsia" w:eastAsiaTheme="minorEastAsia"/>
          <w:color w:val="auto"/>
          <w:sz w:val="24"/>
          <w:highlight w:val="none"/>
        </w:rPr>
        <w:t>%。具体评分细则如下：</w:t>
      </w:r>
    </w:p>
    <w:tbl>
      <w:tblPr>
        <w:tblStyle w:val="25"/>
        <w:tblW w:w="50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1"/>
        <w:gridCol w:w="1410"/>
        <w:gridCol w:w="5532"/>
        <w:gridCol w:w="1341"/>
      </w:tblGrid>
      <w:tr w14:paraId="210EE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624" w:type="pct"/>
            <w:tcBorders>
              <w:top w:val="single" w:color="auto" w:sz="4" w:space="0"/>
              <w:left w:val="single" w:color="auto" w:sz="4" w:space="0"/>
              <w:bottom w:val="single" w:color="auto" w:sz="4" w:space="0"/>
              <w:right w:val="single" w:color="auto" w:sz="4" w:space="0"/>
            </w:tcBorders>
            <w:vAlign w:val="center"/>
          </w:tcPr>
          <w:p w14:paraId="3A893938">
            <w:pPr>
              <w:spacing w:line="360" w:lineRule="auto"/>
              <w:jc w:val="center"/>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类别</w:t>
            </w:r>
          </w:p>
        </w:tc>
        <w:tc>
          <w:tcPr>
            <w:tcW w:w="745" w:type="pct"/>
            <w:tcBorders>
              <w:top w:val="single" w:color="auto" w:sz="4" w:space="0"/>
              <w:left w:val="single" w:color="auto" w:sz="4" w:space="0"/>
              <w:bottom w:val="single" w:color="auto" w:sz="4" w:space="0"/>
              <w:right w:val="single" w:color="auto" w:sz="4" w:space="0"/>
            </w:tcBorders>
            <w:vAlign w:val="center"/>
          </w:tcPr>
          <w:p w14:paraId="14068F5B">
            <w:pPr>
              <w:spacing w:line="360" w:lineRule="auto"/>
              <w:jc w:val="center"/>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评分内容</w:t>
            </w:r>
          </w:p>
        </w:tc>
        <w:tc>
          <w:tcPr>
            <w:tcW w:w="2922" w:type="pct"/>
            <w:tcBorders>
              <w:top w:val="single" w:color="auto" w:sz="4" w:space="0"/>
              <w:left w:val="single" w:color="auto" w:sz="4" w:space="0"/>
              <w:bottom w:val="single" w:color="auto" w:sz="4" w:space="0"/>
              <w:right w:val="single" w:color="auto" w:sz="4" w:space="0"/>
            </w:tcBorders>
            <w:vAlign w:val="center"/>
          </w:tcPr>
          <w:p w14:paraId="2F9E0AE8">
            <w:pPr>
              <w:spacing w:line="360" w:lineRule="auto"/>
              <w:jc w:val="center"/>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评分标准</w:t>
            </w:r>
          </w:p>
        </w:tc>
        <w:tc>
          <w:tcPr>
            <w:tcW w:w="707" w:type="pct"/>
            <w:tcBorders>
              <w:top w:val="single" w:color="auto" w:sz="4" w:space="0"/>
              <w:left w:val="single" w:color="auto" w:sz="4" w:space="0"/>
              <w:bottom w:val="single" w:color="auto" w:sz="4" w:space="0"/>
              <w:right w:val="single" w:color="auto" w:sz="4" w:space="0"/>
            </w:tcBorders>
            <w:vAlign w:val="center"/>
          </w:tcPr>
          <w:p w14:paraId="204AEBE6">
            <w:pPr>
              <w:spacing w:line="360" w:lineRule="auto"/>
              <w:jc w:val="center"/>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分值范围</w:t>
            </w:r>
          </w:p>
        </w:tc>
      </w:tr>
      <w:tr w14:paraId="56156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pct"/>
            <w:vMerge w:val="restart"/>
            <w:tcBorders>
              <w:top w:val="single" w:color="auto" w:sz="4" w:space="0"/>
              <w:left w:val="single" w:color="auto" w:sz="4" w:space="0"/>
              <w:right w:val="single" w:color="auto" w:sz="4" w:space="0"/>
            </w:tcBorders>
            <w:vAlign w:val="center"/>
          </w:tcPr>
          <w:p w14:paraId="5C7CD238">
            <w:pPr>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资信分</w:t>
            </w:r>
          </w:p>
          <w:p w14:paraId="127C554B">
            <w:pPr>
              <w:spacing w:line="360" w:lineRule="auto"/>
              <w:jc w:val="center"/>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u w:val="single"/>
                <w:lang w:val="en-US" w:eastAsia="zh-CN"/>
              </w:rPr>
              <w:t>13</w:t>
            </w:r>
            <w:r>
              <w:rPr>
                <w:rFonts w:hint="eastAsia" w:asciiTheme="minorEastAsia" w:hAnsiTheme="minorEastAsia" w:eastAsiaTheme="minorEastAsia"/>
                <w:color w:val="auto"/>
                <w:sz w:val="24"/>
                <w:highlight w:val="none"/>
              </w:rPr>
              <w:t>分）</w:t>
            </w:r>
          </w:p>
          <w:p w14:paraId="1FE7F5B5">
            <w:pPr>
              <w:spacing w:line="360" w:lineRule="auto"/>
              <w:jc w:val="center"/>
              <w:rPr>
                <w:rFonts w:hint="eastAsia" w:asciiTheme="minorEastAsia" w:hAnsiTheme="minorEastAsia" w:eastAsiaTheme="minorEastAsia"/>
                <w:color w:val="auto"/>
                <w:sz w:val="24"/>
                <w:highlight w:val="none"/>
                <w:lang w:val="en-US" w:eastAsia="zh-CN"/>
              </w:rPr>
            </w:pPr>
          </w:p>
        </w:tc>
        <w:tc>
          <w:tcPr>
            <w:tcW w:w="745" w:type="pct"/>
            <w:tcBorders>
              <w:top w:val="single" w:color="auto" w:sz="4" w:space="0"/>
              <w:left w:val="single" w:color="auto" w:sz="4" w:space="0"/>
              <w:bottom w:val="single" w:color="auto" w:sz="4" w:space="0"/>
              <w:right w:val="single" w:color="auto" w:sz="4" w:space="0"/>
            </w:tcBorders>
            <w:vAlign w:val="center"/>
          </w:tcPr>
          <w:p w14:paraId="0BE8B62D">
            <w:pPr>
              <w:spacing w:line="360" w:lineRule="auto"/>
              <w:jc w:val="center"/>
              <w:rPr>
                <w:rFonts w:hint="default" w:asciiTheme="minorEastAsia" w:hAnsiTheme="minorEastAsia" w:eastAsiaTheme="minorEastAsia"/>
                <w:bCs/>
                <w:color w:val="auto"/>
                <w:sz w:val="24"/>
                <w:highlight w:val="none"/>
                <w:lang w:val="en-US" w:eastAsia="zh-CN"/>
              </w:rPr>
            </w:pPr>
            <w:r>
              <w:rPr>
                <w:rFonts w:hint="eastAsia" w:asciiTheme="minorEastAsia" w:hAnsiTheme="minorEastAsia" w:eastAsiaTheme="minorEastAsia"/>
                <w:bCs/>
                <w:color w:val="auto"/>
                <w:sz w:val="24"/>
                <w:highlight w:val="none"/>
                <w:lang w:val="en-US" w:eastAsia="zh-CN"/>
              </w:rPr>
              <w:t>投标人业绩</w:t>
            </w:r>
          </w:p>
        </w:tc>
        <w:tc>
          <w:tcPr>
            <w:tcW w:w="2922" w:type="pct"/>
            <w:tcBorders>
              <w:top w:val="single" w:color="auto" w:sz="4" w:space="0"/>
              <w:left w:val="single" w:color="auto" w:sz="4" w:space="0"/>
              <w:bottom w:val="single" w:color="auto" w:sz="4" w:space="0"/>
              <w:right w:val="single" w:color="auto" w:sz="4" w:space="0"/>
            </w:tcBorders>
            <w:vAlign w:val="center"/>
          </w:tcPr>
          <w:p w14:paraId="42420B74">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0"/>
                <w:highlight w:val="none"/>
                <w:lang w:val="en-US" w:eastAsia="zh-CN"/>
              </w:rPr>
            </w:pPr>
            <w:r>
              <w:rPr>
                <w:rFonts w:hint="eastAsia" w:ascii="宋体" w:hAnsi="宋体" w:eastAsia="宋体" w:cs="宋体"/>
                <w:color w:val="auto"/>
                <w:sz w:val="24"/>
                <w:szCs w:val="20"/>
                <w:highlight w:val="none"/>
                <w:lang w:val="en-US" w:eastAsia="zh-CN"/>
              </w:rPr>
              <w:t>自2021年1月1号至投标截止时间止（以合同签订时间为准），投标人提供一个LED显示屏或音视频供货及安装业绩，得2分，本项最多得4分。</w:t>
            </w:r>
          </w:p>
          <w:p w14:paraId="0FDB65E1">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0"/>
                <w:highlight w:val="none"/>
                <w:lang w:val="en-US" w:eastAsia="zh-CN"/>
              </w:rPr>
            </w:pPr>
            <w:r>
              <w:rPr>
                <w:rFonts w:hint="eastAsia" w:ascii="宋体" w:hAnsi="宋体" w:eastAsia="宋体" w:cs="宋体"/>
                <w:color w:val="auto"/>
                <w:sz w:val="24"/>
                <w:szCs w:val="20"/>
                <w:highlight w:val="none"/>
                <w:lang w:val="en-US" w:eastAsia="zh-CN"/>
              </w:rPr>
              <w:t>注：1.投标文件中提供业绩合同扫描件，时间以合同签订时间为准；若合同材料中无法体现签订时间、供货内容等关键评审因素的，须另附业主（合同甲方）出具的证明材料，未提供或提供不全的不得分。</w:t>
            </w:r>
          </w:p>
          <w:p w14:paraId="3A5B6FF0">
            <w:pPr>
              <w:spacing w:line="360" w:lineRule="auto"/>
              <w:jc w:val="left"/>
              <w:rPr>
                <w:rFonts w:asciiTheme="minorEastAsia" w:hAnsiTheme="minorEastAsia" w:eastAsiaTheme="minorEastAsia"/>
                <w:bCs/>
                <w:color w:val="auto"/>
                <w:sz w:val="24"/>
                <w:highlight w:val="none"/>
              </w:rPr>
            </w:pPr>
            <w:r>
              <w:rPr>
                <w:rFonts w:hint="eastAsia" w:ascii="宋体" w:hAnsi="宋体" w:eastAsia="宋体" w:cs="宋体"/>
                <w:color w:val="auto"/>
                <w:sz w:val="24"/>
                <w:szCs w:val="20"/>
                <w:highlight w:val="none"/>
                <w:lang w:val="en-US" w:eastAsia="zh-CN"/>
              </w:rPr>
              <w:t>2.提供的项目业绩只计算评标分值对应的项目数量，按照排列顺序从首个业绩开始评审至对应数量，超出部分不进行评审。对应数量内业绩不符合招标文件要求不得分的，不再补充评审超出部分业绩。如：提供2个业绩即得满分的，按照投标文件排序评审第一、第二项业绩，其余超出部分不再评审。</w:t>
            </w:r>
          </w:p>
        </w:tc>
        <w:tc>
          <w:tcPr>
            <w:tcW w:w="707" w:type="pct"/>
            <w:tcBorders>
              <w:top w:val="single" w:color="auto" w:sz="4" w:space="0"/>
              <w:left w:val="single" w:color="auto" w:sz="4" w:space="0"/>
              <w:bottom w:val="single" w:color="auto" w:sz="4" w:space="0"/>
              <w:right w:val="single" w:color="auto" w:sz="4" w:space="0"/>
            </w:tcBorders>
            <w:vAlign w:val="center"/>
          </w:tcPr>
          <w:p w14:paraId="34053CF9">
            <w:pPr>
              <w:spacing w:line="360" w:lineRule="auto"/>
              <w:jc w:val="center"/>
              <w:rPr>
                <w:rFonts w:hint="default" w:asciiTheme="minorEastAsia" w:hAnsiTheme="minorEastAsia" w:eastAsiaTheme="minorEastAsia"/>
                <w:b/>
                <w:bCs/>
                <w:color w:val="auto"/>
                <w:sz w:val="24"/>
                <w:highlight w:val="none"/>
                <w:lang w:val="en-US" w:eastAsia="zh-CN"/>
              </w:rPr>
            </w:pPr>
            <w:r>
              <w:rPr>
                <w:rFonts w:hint="eastAsia" w:asciiTheme="minorEastAsia" w:hAnsiTheme="minorEastAsia" w:eastAsiaTheme="minorEastAsia"/>
                <w:b/>
                <w:bCs/>
                <w:color w:val="auto"/>
                <w:sz w:val="24"/>
                <w:highlight w:val="none"/>
                <w:lang w:val="en-US" w:eastAsia="zh-CN"/>
              </w:rPr>
              <w:t>0-4分</w:t>
            </w:r>
          </w:p>
        </w:tc>
      </w:tr>
      <w:tr w14:paraId="6966F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pct"/>
            <w:vMerge w:val="continue"/>
            <w:tcBorders>
              <w:left w:val="single" w:color="auto" w:sz="4" w:space="0"/>
              <w:right w:val="single" w:color="auto" w:sz="4" w:space="0"/>
            </w:tcBorders>
            <w:vAlign w:val="center"/>
          </w:tcPr>
          <w:p w14:paraId="70A20248">
            <w:pPr>
              <w:spacing w:line="360" w:lineRule="auto"/>
              <w:jc w:val="center"/>
              <w:rPr>
                <w:rFonts w:hint="eastAsia" w:asciiTheme="minorEastAsia" w:hAnsiTheme="minorEastAsia" w:eastAsiaTheme="minorEastAsia"/>
                <w:color w:val="auto"/>
                <w:sz w:val="24"/>
                <w:highlight w:val="none"/>
                <w:lang w:val="en-US" w:eastAsia="zh-CN"/>
              </w:rPr>
            </w:pPr>
          </w:p>
        </w:tc>
        <w:tc>
          <w:tcPr>
            <w:tcW w:w="745" w:type="pct"/>
            <w:tcBorders>
              <w:top w:val="single" w:color="auto" w:sz="4" w:space="0"/>
              <w:left w:val="single" w:color="auto" w:sz="4" w:space="0"/>
              <w:bottom w:val="single" w:color="auto" w:sz="4" w:space="0"/>
              <w:right w:val="single" w:color="auto" w:sz="4" w:space="0"/>
            </w:tcBorders>
            <w:vAlign w:val="center"/>
          </w:tcPr>
          <w:p w14:paraId="0C34F468">
            <w:pPr>
              <w:spacing w:line="360" w:lineRule="auto"/>
              <w:jc w:val="center"/>
              <w:rPr>
                <w:rFonts w:hint="eastAsia" w:asciiTheme="minorEastAsia" w:hAnsiTheme="minorEastAsia" w:eastAsiaTheme="minorEastAsia"/>
                <w:bCs/>
                <w:color w:val="auto"/>
                <w:sz w:val="24"/>
                <w:highlight w:val="none"/>
                <w:lang w:val="en-US" w:eastAsia="zh-CN"/>
              </w:rPr>
            </w:pPr>
            <w:r>
              <w:rPr>
                <w:rFonts w:hint="eastAsia" w:asciiTheme="minorEastAsia" w:hAnsiTheme="minorEastAsia" w:eastAsiaTheme="minorEastAsia"/>
                <w:bCs/>
                <w:color w:val="auto"/>
                <w:sz w:val="24"/>
                <w:highlight w:val="none"/>
                <w:lang w:val="en-US" w:eastAsia="zh-CN"/>
              </w:rPr>
              <w:t>项目团队</w:t>
            </w:r>
          </w:p>
        </w:tc>
        <w:tc>
          <w:tcPr>
            <w:tcW w:w="2922" w:type="pct"/>
            <w:tcBorders>
              <w:top w:val="single" w:color="auto" w:sz="4" w:space="0"/>
              <w:left w:val="single" w:color="auto" w:sz="4" w:space="0"/>
              <w:bottom w:val="single" w:color="auto" w:sz="4" w:space="0"/>
              <w:right w:val="single" w:color="auto" w:sz="4" w:space="0"/>
            </w:tcBorders>
            <w:vAlign w:val="center"/>
          </w:tcPr>
          <w:p w14:paraId="544D9FE5">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0"/>
                <w:highlight w:val="none"/>
                <w:lang w:val="en-US" w:eastAsia="zh-CN"/>
              </w:rPr>
            </w:pPr>
            <w:r>
              <w:rPr>
                <w:rFonts w:hint="eastAsia" w:ascii="宋体" w:hAnsi="宋体" w:eastAsia="宋体" w:cs="宋体"/>
                <w:color w:val="auto"/>
                <w:sz w:val="24"/>
                <w:szCs w:val="20"/>
                <w:highlight w:val="none"/>
                <w:lang w:val="en-US" w:eastAsia="zh-CN"/>
              </w:rPr>
              <w:t>（1）项目经理具有机电或信息化相关专业初级或以上职称证书的得1分。</w:t>
            </w:r>
          </w:p>
          <w:p w14:paraId="2982A01E">
            <w:pPr>
              <w:keepNext w:val="0"/>
              <w:keepLines w:val="0"/>
              <w:suppressLineNumbers w:val="0"/>
              <w:spacing w:before="0" w:beforeAutospacing="0" w:after="0" w:afterAutospacing="0" w:line="360" w:lineRule="auto"/>
              <w:ind w:left="0" w:right="0"/>
              <w:jc w:val="left"/>
              <w:rPr>
                <w:rFonts w:hint="default" w:ascii="宋体" w:hAnsi="宋体" w:eastAsia="宋体" w:cs="宋体"/>
                <w:color w:val="auto"/>
                <w:sz w:val="24"/>
                <w:szCs w:val="20"/>
                <w:highlight w:val="none"/>
                <w:lang w:val="en-US" w:eastAsia="zh-CN"/>
              </w:rPr>
            </w:pPr>
            <w:r>
              <w:rPr>
                <w:rFonts w:hint="eastAsia" w:ascii="宋体" w:hAnsi="宋体" w:eastAsia="宋体" w:cs="宋体"/>
                <w:color w:val="auto"/>
                <w:sz w:val="24"/>
                <w:szCs w:val="20"/>
                <w:highlight w:val="none"/>
                <w:lang w:val="en-US" w:eastAsia="zh-CN"/>
              </w:rPr>
              <w:t>（2）团队成员具有以下证书的，每提供一个得1分，满分3分：①演艺灯光类证书；②演艺音响类证书；③舞台机械类证书。</w:t>
            </w:r>
          </w:p>
          <w:p w14:paraId="0238CA8E">
            <w:pPr>
              <w:spacing w:line="360" w:lineRule="auto"/>
              <w:jc w:val="left"/>
              <w:rPr>
                <w:rFonts w:hint="eastAsia" w:ascii="宋体" w:hAnsi="宋体" w:eastAsia="宋体" w:cs="宋体"/>
                <w:color w:val="auto"/>
                <w:sz w:val="24"/>
                <w:szCs w:val="20"/>
                <w:highlight w:val="none"/>
                <w:lang w:val="en-US" w:eastAsia="zh-CN"/>
              </w:rPr>
            </w:pPr>
            <w:r>
              <w:rPr>
                <w:rFonts w:hint="eastAsia" w:ascii="宋体" w:hAnsi="宋体" w:eastAsia="宋体" w:cs="宋体"/>
                <w:color w:val="auto"/>
                <w:sz w:val="24"/>
                <w:szCs w:val="20"/>
                <w:highlight w:val="none"/>
                <w:lang w:val="en-US" w:eastAsia="zh-CN"/>
              </w:rPr>
              <w:t>注：</w:t>
            </w:r>
            <w:r>
              <w:rPr>
                <w:rFonts w:hint="eastAsia" w:asciiTheme="minorEastAsia" w:hAnsiTheme="minorEastAsia" w:eastAsiaTheme="minorEastAsia"/>
                <w:sz w:val="24"/>
              </w:rPr>
              <w:t>提供证书扫描件及社保部门出具的本单位为其缴纳的投标前近三个月内任意一个月的养老保险证明（含官网在线打印件，证明文件两个月内有效）或投标人提供已为上述人员缴纳养老保险证明的承诺书（格式自拟）</w:t>
            </w:r>
            <w:r>
              <w:rPr>
                <w:rFonts w:hint="eastAsia" w:ascii="宋体" w:hAnsi="宋体" w:eastAsia="宋体" w:cs="宋体"/>
                <w:color w:val="auto"/>
                <w:sz w:val="24"/>
                <w:szCs w:val="20"/>
                <w:highlight w:val="none"/>
                <w:lang w:val="en-US" w:eastAsia="zh-CN"/>
              </w:rPr>
              <w:t>。</w:t>
            </w:r>
          </w:p>
        </w:tc>
        <w:tc>
          <w:tcPr>
            <w:tcW w:w="707" w:type="pct"/>
            <w:tcBorders>
              <w:top w:val="single" w:color="auto" w:sz="4" w:space="0"/>
              <w:left w:val="single" w:color="auto" w:sz="4" w:space="0"/>
              <w:bottom w:val="single" w:color="auto" w:sz="4" w:space="0"/>
              <w:right w:val="single" w:color="auto" w:sz="4" w:space="0"/>
            </w:tcBorders>
            <w:vAlign w:val="center"/>
          </w:tcPr>
          <w:p w14:paraId="2E523A43">
            <w:pPr>
              <w:spacing w:line="360" w:lineRule="auto"/>
              <w:jc w:val="center"/>
              <w:rPr>
                <w:rFonts w:hint="eastAsia" w:asciiTheme="minorEastAsia" w:hAnsiTheme="minorEastAsia" w:eastAsiaTheme="minorEastAsia"/>
                <w:b/>
                <w:bCs/>
                <w:color w:val="auto"/>
                <w:sz w:val="24"/>
                <w:highlight w:val="none"/>
                <w:lang w:val="en-US" w:eastAsia="zh-CN"/>
              </w:rPr>
            </w:pPr>
            <w:r>
              <w:rPr>
                <w:rFonts w:hint="eastAsia" w:asciiTheme="minorEastAsia" w:hAnsiTheme="minorEastAsia" w:eastAsiaTheme="minorEastAsia"/>
                <w:b/>
                <w:bCs/>
                <w:color w:val="auto"/>
                <w:sz w:val="24"/>
                <w:highlight w:val="none"/>
                <w:lang w:val="en-US" w:eastAsia="zh-CN"/>
              </w:rPr>
              <w:t>0-4分</w:t>
            </w:r>
          </w:p>
        </w:tc>
      </w:tr>
      <w:tr w14:paraId="5B045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pct"/>
            <w:vMerge w:val="continue"/>
            <w:tcBorders>
              <w:left w:val="single" w:color="auto" w:sz="4" w:space="0"/>
              <w:right w:val="single" w:color="auto" w:sz="4" w:space="0"/>
            </w:tcBorders>
            <w:vAlign w:val="center"/>
          </w:tcPr>
          <w:p w14:paraId="00871638">
            <w:pPr>
              <w:spacing w:line="360" w:lineRule="auto"/>
              <w:jc w:val="center"/>
              <w:rPr>
                <w:rFonts w:hint="eastAsia" w:asciiTheme="minorEastAsia" w:hAnsiTheme="minorEastAsia" w:eastAsiaTheme="minorEastAsia"/>
                <w:color w:val="auto"/>
                <w:sz w:val="24"/>
                <w:highlight w:val="none"/>
                <w:lang w:val="en-US" w:eastAsia="zh-CN"/>
              </w:rPr>
            </w:pPr>
          </w:p>
        </w:tc>
        <w:tc>
          <w:tcPr>
            <w:tcW w:w="745" w:type="pct"/>
            <w:tcBorders>
              <w:top w:val="single" w:color="auto" w:sz="4" w:space="0"/>
              <w:left w:val="single" w:color="auto" w:sz="4" w:space="0"/>
              <w:bottom w:val="single" w:color="auto" w:sz="4" w:space="0"/>
              <w:right w:val="single" w:color="auto" w:sz="4" w:space="0"/>
            </w:tcBorders>
            <w:vAlign w:val="center"/>
          </w:tcPr>
          <w:p w14:paraId="4EFBE9EA">
            <w:pPr>
              <w:spacing w:line="360" w:lineRule="auto"/>
              <w:jc w:val="center"/>
              <w:rPr>
                <w:rFonts w:hint="default" w:asciiTheme="minorEastAsia" w:hAnsiTheme="minorEastAsia" w:eastAsiaTheme="minorEastAsia"/>
                <w:bCs/>
                <w:color w:val="auto"/>
                <w:sz w:val="24"/>
                <w:highlight w:val="none"/>
                <w:lang w:val="en-US" w:eastAsia="zh-CN"/>
              </w:rPr>
            </w:pPr>
            <w:r>
              <w:rPr>
                <w:rFonts w:hint="eastAsia" w:asciiTheme="minorEastAsia" w:hAnsiTheme="minorEastAsia" w:eastAsiaTheme="minorEastAsia"/>
                <w:bCs/>
                <w:sz w:val="24"/>
              </w:rPr>
              <w:t>售后服务承诺</w:t>
            </w:r>
          </w:p>
        </w:tc>
        <w:tc>
          <w:tcPr>
            <w:tcW w:w="2922" w:type="pct"/>
            <w:tcBorders>
              <w:top w:val="single" w:color="auto" w:sz="4" w:space="0"/>
              <w:left w:val="single" w:color="auto" w:sz="4" w:space="0"/>
              <w:bottom w:val="single" w:color="auto" w:sz="4" w:space="0"/>
              <w:right w:val="single" w:color="auto" w:sz="4" w:space="0"/>
            </w:tcBorders>
            <w:vAlign w:val="center"/>
          </w:tcPr>
          <w:p w14:paraId="3240460E">
            <w:pPr>
              <w:spacing w:line="360" w:lineRule="auto"/>
              <w:jc w:val="left"/>
              <w:rPr>
                <w:rFonts w:hint="eastAsia" w:ascii="宋体" w:hAnsi="宋体" w:eastAsia="宋体" w:cs="宋体"/>
                <w:color w:val="auto"/>
                <w:sz w:val="24"/>
                <w:szCs w:val="20"/>
                <w:highlight w:val="none"/>
                <w:lang w:val="en-US" w:eastAsia="zh-CN"/>
              </w:rPr>
            </w:pPr>
            <w:r>
              <w:rPr>
                <w:rFonts w:hint="eastAsia" w:asciiTheme="minorEastAsia" w:hAnsiTheme="minorEastAsia" w:eastAsiaTheme="minorEastAsia"/>
                <w:bCs/>
                <w:sz w:val="24"/>
              </w:rPr>
              <w:t>投标人提供售后承诺，本项目整体质保3年。质保每增加一年得</w:t>
            </w:r>
            <w:r>
              <w:rPr>
                <w:rFonts w:hint="eastAsia" w:asciiTheme="minorEastAsia" w:hAnsiTheme="minorEastAsia" w:eastAsiaTheme="minorEastAsia"/>
                <w:bCs/>
                <w:sz w:val="24"/>
                <w:lang w:val="en-US" w:eastAsia="zh-CN"/>
              </w:rPr>
              <w:t>1</w:t>
            </w:r>
            <w:r>
              <w:rPr>
                <w:rFonts w:hint="eastAsia" w:asciiTheme="minorEastAsia" w:hAnsiTheme="minorEastAsia" w:eastAsiaTheme="minorEastAsia"/>
                <w:bCs/>
                <w:sz w:val="24"/>
              </w:rPr>
              <w:t>分，本项最高得</w:t>
            </w:r>
            <w:r>
              <w:rPr>
                <w:rFonts w:hint="eastAsia" w:asciiTheme="minorEastAsia" w:hAnsiTheme="minorEastAsia" w:eastAsiaTheme="minorEastAsia"/>
                <w:bCs/>
                <w:sz w:val="24"/>
                <w:lang w:val="en-US" w:eastAsia="zh-CN"/>
              </w:rPr>
              <w:t>5</w:t>
            </w:r>
            <w:r>
              <w:rPr>
                <w:rFonts w:hint="eastAsia" w:asciiTheme="minorEastAsia" w:hAnsiTheme="minorEastAsia" w:eastAsiaTheme="minorEastAsia"/>
                <w:bCs/>
                <w:sz w:val="24"/>
              </w:rPr>
              <w:t>分。</w:t>
            </w:r>
          </w:p>
        </w:tc>
        <w:tc>
          <w:tcPr>
            <w:tcW w:w="707" w:type="pct"/>
            <w:tcBorders>
              <w:top w:val="single" w:color="auto" w:sz="4" w:space="0"/>
              <w:left w:val="single" w:color="auto" w:sz="4" w:space="0"/>
              <w:bottom w:val="single" w:color="auto" w:sz="4" w:space="0"/>
              <w:right w:val="single" w:color="auto" w:sz="4" w:space="0"/>
            </w:tcBorders>
            <w:vAlign w:val="center"/>
          </w:tcPr>
          <w:p w14:paraId="0A1A914A">
            <w:pPr>
              <w:spacing w:line="360" w:lineRule="auto"/>
              <w:jc w:val="center"/>
              <w:rPr>
                <w:rFonts w:hint="eastAsia" w:asciiTheme="minorEastAsia" w:hAnsiTheme="minorEastAsia" w:eastAsiaTheme="minorEastAsia"/>
                <w:b/>
                <w:bCs/>
                <w:color w:val="auto"/>
                <w:sz w:val="24"/>
                <w:highlight w:val="none"/>
                <w:lang w:val="en-US" w:eastAsia="zh-CN"/>
              </w:rPr>
            </w:pPr>
            <w:r>
              <w:rPr>
                <w:rFonts w:hint="eastAsia" w:asciiTheme="minorEastAsia" w:hAnsiTheme="minorEastAsia" w:eastAsiaTheme="minorEastAsia"/>
                <w:b/>
                <w:bCs/>
                <w:sz w:val="24"/>
              </w:rPr>
              <w:t>0-</w:t>
            </w:r>
            <w:r>
              <w:rPr>
                <w:rFonts w:hint="eastAsia" w:asciiTheme="minorEastAsia" w:hAnsiTheme="minorEastAsia" w:eastAsiaTheme="minorEastAsia"/>
                <w:b/>
                <w:bCs/>
                <w:sz w:val="24"/>
                <w:lang w:val="en-US" w:eastAsia="zh-CN"/>
              </w:rPr>
              <w:t>5</w:t>
            </w:r>
            <w:r>
              <w:rPr>
                <w:rFonts w:hint="eastAsia" w:asciiTheme="minorEastAsia" w:hAnsiTheme="minorEastAsia" w:eastAsiaTheme="minorEastAsia"/>
                <w:b/>
                <w:bCs/>
                <w:sz w:val="24"/>
              </w:rPr>
              <w:t>分</w:t>
            </w:r>
          </w:p>
        </w:tc>
      </w:tr>
      <w:tr w14:paraId="74361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pct"/>
            <w:vMerge w:val="restart"/>
            <w:tcBorders>
              <w:top w:val="single" w:color="auto" w:sz="4" w:space="0"/>
              <w:left w:val="single" w:color="auto" w:sz="4" w:space="0"/>
              <w:right w:val="single" w:color="auto" w:sz="4" w:space="0"/>
            </w:tcBorders>
            <w:vAlign w:val="center"/>
          </w:tcPr>
          <w:p w14:paraId="22E88CA1">
            <w:pPr>
              <w:spacing w:line="360" w:lineRule="auto"/>
              <w:jc w:val="center"/>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技术分</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u w:val="single"/>
                <w:lang w:val="en-US" w:eastAsia="zh-CN"/>
              </w:rPr>
              <w:t>57</w:t>
            </w:r>
            <w:r>
              <w:rPr>
                <w:rFonts w:hint="eastAsia" w:asciiTheme="minorEastAsia" w:hAnsiTheme="minorEastAsia" w:eastAsiaTheme="minorEastAsia"/>
                <w:color w:val="auto"/>
                <w:sz w:val="24"/>
                <w:highlight w:val="none"/>
              </w:rPr>
              <w:t>分）</w:t>
            </w:r>
          </w:p>
        </w:tc>
        <w:tc>
          <w:tcPr>
            <w:tcW w:w="745" w:type="pct"/>
            <w:tcBorders>
              <w:top w:val="single" w:color="auto" w:sz="4" w:space="0"/>
              <w:left w:val="single" w:color="auto" w:sz="4" w:space="0"/>
              <w:bottom w:val="single" w:color="auto" w:sz="4" w:space="0"/>
              <w:right w:val="single" w:color="auto" w:sz="4" w:space="0"/>
            </w:tcBorders>
            <w:vAlign w:val="center"/>
          </w:tcPr>
          <w:p w14:paraId="334969E5">
            <w:pPr>
              <w:spacing w:line="360" w:lineRule="auto"/>
              <w:jc w:val="center"/>
              <w:rPr>
                <w:rFonts w:hint="default" w:asciiTheme="minorEastAsia" w:hAnsiTheme="minorEastAsia" w:eastAsiaTheme="minorEastAsia"/>
                <w:bCs/>
                <w:color w:val="auto"/>
                <w:sz w:val="24"/>
                <w:highlight w:val="none"/>
                <w:lang w:val="en-US" w:eastAsia="zh-CN"/>
              </w:rPr>
            </w:pPr>
            <w:r>
              <w:rPr>
                <w:rFonts w:hint="eastAsia" w:asciiTheme="minorEastAsia" w:hAnsiTheme="minorEastAsia" w:eastAsiaTheme="minorEastAsia"/>
                <w:bCs/>
                <w:color w:val="auto"/>
                <w:sz w:val="24"/>
                <w:highlight w:val="none"/>
                <w:lang w:val="en-US" w:eastAsia="zh-CN"/>
              </w:rPr>
              <w:t>产品性能</w:t>
            </w:r>
          </w:p>
        </w:tc>
        <w:tc>
          <w:tcPr>
            <w:tcW w:w="2922" w:type="pct"/>
            <w:tcBorders>
              <w:top w:val="single" w:color="auto" w:sz="4" w:space="0"/>
              <w:left w:val="single" w:color="auto" w:sz="4" w:space="0"/>
              <w:bottom w:val="single" w:color="auto" w:sz="4" w:space="0"/>
              <w:right w:val="single" w:color="auto" w:sz="4" w:space="0"/>
            </w:tcBorders>
            <w:vAlign w:val="center"/>
          </w:tcPr>
          <w:p w14:paraId="3253F2BF">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0"/>
                <w:highlight w:val="none"/>
                <w:lang w:val="en-US" w:eastAsia="zh-CN"/>
              </w:rPr>
            </w:pPr>
            <w:r>
              <w:rPr>
                <w:rFonts w:hint="eastAsia" w:ascii="宋体" w:hAnsi="宋体" w:eastAsia="宋体" w:cs="宋体"/>
                <w:color w:val="auto"/>
                <w:sz w:val="24"/>
                <w:szCs w:val="20"/>
                <w:highlight w:val="none"/>
                <w:lang w:val="en-US" w:eastAsia="zh-CN"/>
              </w:rPr>
              <w:t>所投产品完全满足或优于招标文件采购需求货物需求表中“采购内容及技术参数要求”的，得50分。其中：</w:t>
            </w:r>
          </w:p>
          <w:p w14:paraId="677D787F">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0"/>
                <w:highlight w:val="none"/>
                <w:lang w:val="en-US" w:eastAsia="zh-CN"/>
              </w:rPr>
            </w:pPr>
            <w:r>
              <w:rPr>
                <w:rFonts w:hint="eastAsia" w:ascii="宋体" w:hAnsi="宋体" w:eastAsia="宋体" w:cs="宋体"/>
                <w:color w:val="auto"/>
                <w:sz w:val="24"/>
                <w:szCs w:val="20"/>
                <w:highlight w:val="none"/>
                <w:lang w:val="en-US" w:eastAsia="zh-CN"/>
              </w:rPr>
              <w:t>（1）标注“★”的参数为必须响应参数，不得负偏离，否则投标无效；</w:t>
            </w:r>
          </w:p>
          <w:p w14:paraId="73DACF92">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0"/>
                <w:highlight w:val="none"/>
                <w:lang w:val="en-US" w:eastAsia="zh-CN"/>
              </w:rPr>
            </w:pPr>
            <w:r>
              <w:rPr>
                <w:rFonts w:hint="eastAsia" w:ascii="宋体" w:hAnsi="宋体" w:eastAsia="宋体" w:cs="宋体"/>
                <w:color w:val="auto"/>
                <w:sz w:val="24"/>
                <w:szCs w:val="20"/>
                <w:highlight w:val="none"/>
                <w:lang w:val="en-US" w:eastAsia="zh-CN"/>
              </w:rPr>
              <w:t>（2）标注“▲”的参数，每满足或优于一项指标，得2分，共25项，共计50分。</w:t>
            </w:r>
          </w:p>
          <w:p w14:paraId="720084DF">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0"/>
                <w:highlight w:val="none"/>
                <w:lang w:val="en-US" w:eastAsia="zh-CN"/>
              </w:rPr>
            </w:pPr>
            <w:r>
              <w:rPr>
                <w:rFonts w:hint="eastAsia" w:ascii="宋体" w:hAnsi="宋体" w:eastAsia="宋体" w:cs="宋体"/>
                <w:color w:val="auto"/>
                <w:sz w:val="24"/>
                <w:szCs w:val="20"/>
                <w:highlight w:val="none"/>
                <w:lang w:val="en-US" w:eastAsia="zh-CN"/>
              </w:rPr>
              <w:t>注：（1）如某项标识中包含多条技术参数或要求，则该项标识所含内容均需满足或优于招标文件要求，否则不予认可。</w:t>
            </w:r>
          </w:p>
          <w:p w14:paraId="09A19BE4">
            <w:pPr>
              <w:keepNext w:val="0"/>
              <w:keepLines w:val="0"/>
              <w:suppressLineNumbers w:val="0"/>
              <w:spacing w:before="0" w:beforeAutospacing="0" w:after="0" w:afterAutospacing="0" w:line="360" w:lineRule="auto"/>
              <w:ind w:left="0" w:right="0"/>
              <w:jc w:val="left"/>
              <w:rPr>
                <w:rFonts w:hint="default" w:ascii="宋体" w:hAnsi="宋体" w:eastAsia="宋体" w:cs="宋体"/>
                <w:color w:val="auto"/>
                <w:sz w:val="24"/>
                <w:szCs w:val="20"/>
                <w:highlight w:val="none"/>
                <w:lang w:val="en-US" w:eastAsia="zh-CN"/>
              </w:rPr>
            </w:pPr>
            <w:r>
              <w:rPr>
                <w:rFonts w:hint="eastAsia" w:ascii="宋体" w:hAnsi="宋体" w:eastAsia="宋体" w:cs="宋体"/>
                <w:color w:val="auto"/>
                <w:sz w:val="24"/>
                <w:szCs w:val="20"/>
                <w:highlight w:val="none"/>
                <w:lang w:val="en-US" w:eastAsia="zh-CN"/>
              </w:rPr>
              <w:t>（2）未标符号的为一般参数，投标文件中无需列明，但在合同签订后将作为履约验收的依据，</w:t>
            </w:r>
            <w:r>
              <w:rPr>
                <w:rFonts w:hint="eastAsia" w:ascii="宋体" w:hAnsi="宋体" w:eastAsia="宋体" w:cs="宋体"/>
                <w:b/>
                <w:bCs/>
                <w:color w:val="auto"/>
                <w:sz w:val="24"/>
                <w:szCs w:val="20"/>
                <w:highlight w:val="none"/>
                <w:lang w:val="en-US" w:eastAsia="zh-CN"/>
              </w:rPr>
              <w:t>投标人在投标文件中提供相关承诺函，承诺函格式自拟，但须明确体现上述内容，否则投标无效</w:t>
            </w:r>
            <w:r>
              <w:rPr>
                <w:rFonts w:hint="eastAsia" w:ascii="宋体" w:hAnsi="宋体" w:eastAsia="宋体" w:cs="宋体"/>
                <w:color w:val="auto"/>
                <w:sz w:val="24"/>
                <w:szCs w:val="20"/>
                <w:highlight w:val="none"/>
                <w:lang w:val="en-US" w:eastAsia="zh-CN"/>
              </w:rPr>
              <w:t>。</w:t>
            </w:r>
          </w:p>
        </w:tc>
        <w:tc>
          <w:tcPr>
            <w:tcW w:w="707" w:type="pct"/>
            <w:tcBorders>
              <w:top w:val="single" w:color="auto" w:sz="4" w:space="0"/>
              <w:left w:val="single" w:color="auto" w:sz="4" w:space="0"/>
              <w:bottom w:val="single" w:color="auto" w:sz="4" w:space="0"/>
              <w:right w:val="single" w:color="auto" w:sz="4" w:space="0"/>
            </w:tcBorders>
            <w:vAlign w:val="center"/>
          </w:tcPr>
          <w:p w14:paraId="37942DA5">
            <w:pPr>
              <w:spacing w:line="360" w:lineRule="auto"/>
              <w:jc w:val="center"/>
              <w:rPr>
                <w:rFonts w:hint="eastAsia" w:asciiTheme="minorEastAsia" w:hAnsiTheme="minorEastAsia" w:eastAsiaTheme="minorEastAsia"/>
                <w:b/>
                <w:bCs/>
                <w:color w:val="auto"/>
                <w:sz w:val="24"/>
                <w:highlight w:val="none"/>
                <w:lang w:val="en-US" w:eastAsia="zh-CN"/>
              </w:rPr>
            </w:pPr>
            <w:r>
              <w:rPr>
                <w:rFonts w:hint="eastAsia" w:asciiTheme="minorEastAsia" w:hAnsiTheme="minorEastAsia" w:eastAsiaTheme="minorEastAsia"/>
                <w:b/>
                <w:bCs/>
                <w:color w:val="auto"/>
                <w:sz w:val="24"/>
                <w:highlight w:val="none"/>
                <w:lang w:val="en-US" w:eastAsia="zh-CN"/>
              </w:rPr>
              <w:t>0-50分</w:t>
            </w:r>
          </w:p>
        </w:tc>
      </w:tr>
      <w:tr w14:paraId="6E48F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pct"/>
            <w:vMerge w:val="continue"/>
            <w:tcBorders>
              <w:left w:val="single" w:color="auto" w:sz="4" w:space="0"/>
              <w:right w:val="single" w:color="auto" w:sz="4" w:space="0"/>
            </w:tcBorders>
            <w:vAlign w:val="center"/>
          </w:tcPr>
          <w:p w14:paraId="356C67D0">
            <w:pPr>
              <w:spacing w:line="360" w:lineRule="auto"/>
              <w:jc w:val="center"/>
              <w:rPr>
                <w:rFonts w:hint="eastAsia" w:asciiTheme="minorEastAsia" w:hAnsiTheme="minorEastAsia" w:eastAsiaTheme="minorEastAsia"/>
                <w:color w:val="auto"/>
                <w:sz w:val="24"/>
                <w:highlight w:val="none"/>
                <w:lang w:val="en-US" w:eastAsia="zh-CN"/>
              </w:rPr>
            </w:pPr>
          </w:p>
        </w:tc>
        <w:tc>
          <w:tcPr>
            <w:tcW w:w="745" w:type="pct"/>
            <w:tcBorders>
              <w:top w:val="single" w:color="auto" w:sz="4" w:space="0"/>
              <w:left w:val="single" w:color="auto" w:sz="4" w:space="0"/>
              <w:bottom w:val="single" w:color="auto" w:sz="4" w:space="0"/>
              <w:right w:val="single" w:color="auto" w:sz="4" w:space="0"/>
            </w:tcBorders>
            <w:vAlign w:val="center"/>
          </w:tcPr>
          <w:p w14:paraId="2C698A23">
            <w:pPr>
              <w:spacing w:line="360" w:lineRule="auto"/>
              <w:jc w:val="center"/>
              <w:rPr>
                <w:rFonts w:hint="eastAsia" w:asciiTheme="minorEastAsia" w:hAnsiTheme="minorEastAsia" w:eastAsiaTheme="minorEastAsia"/>
                <w:bCs/>
                <w:color w:val="auto"/>
                <w:sz w:val="24"/>
                <w:highlight w:val="none"/>
                <w:lang w:val="en-US" w:eastAsia="zh-CN"/>
              </w:rPr>
            </w:pPr>
            <w:r>
              <w:rPr>
                <w:rFonts w:hint="eastAsia" w:asciiTheme="minorEastAsia" w:hAnsiTheme="minorEastAsia" w:eastAsiaTheme="minorEastAsia"/>
                <w:bCs/>
                <w:sz w:val="24"/>
              </w:rPr>
              <w:t>供货安装方案</w:t>
            </w:r>
          </w:p>
        </w:tc>
        <w:tc>
          <w:tcPr>
            <w:tcW w:w="2922" w:type="pct"/>
            <w:tcBorders>
              <w:top w:val="single" w:color="auto" w:sz="4" w:space="0"/>
              <w:left w:val="single" w:color="auto" w:sz="4" w:space="0"/>
              <w:bottom w:val="single" w:color="auto" w:sz="4" w:space="0"/>
              <w:right w:val="single" w:color="auto" w:sz="4" w:space="0"/>
            </w:tcBorders>
            <w:vAlign w:val="center"/>
          </w:tcPr>
          <w:p w14:paraId="28CE4786">
            <w:pPr>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对各投标人针对本项目的供货实施方案，从设备设计、人员分工、供货安排、安装安排、设备调试使用、技术措施、组织实施措施、质量保证措施等方面进行综合评审：</w:t>
            </w:r>
          </w:p>
          <w:p w14:paraId="24283288">
            <w:pPr>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（1）供货安装、验收等实施方案详尽，施工进度、质量、安全保证方案及措施和协同配合方案完整且符合项目实际情况的，得</w:t>
            </w:r>
            <w:r>
              <w:rPr>
                <w:rFonts w:hint="eastAsia" w:asciiTheme="minorEastAsia" w:hAnsiTheme="minorEastAsia" w:eastAsiaTheme="minorEastAsia"/>
                <w:sz w:val="24"/>
                <w:lang w:val="en-US" w:eastAsia="zh-CN"/>
              </w:rPr>
              <w:t>4</w:t>
            </w:r>
            <w:r>
              <w:rPr>
                <w:rFonts w:hint="eastAsia" w:asciiTheme="minorEastAsia" w:hAnsiTheme="minorEastAsia" w:eastAsiaTheme="minorEastAsia"/>
                <w:sz w:val="24"/>
              </w:rPr>
              <w:t>分；</w:t>
            </w:r>
          </w:p>
          <w:p w14:paraId="0A2B3EED">
            <w:pPr>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（2）供货安装、验收等实施方案齐全，施工进度、质量、安全保证方案及措施和协同配合方案简单且符合实际情况的，得</w:t>
            </w:r>
            <w:r>
              <w:rPr>
                <w:rFonts w:hint="eastAsia" w:asciiTheme="minorEastAsia" w:hAnsiTheme="minorEastAsia" w:eastAsiaTheme="minorEastAsia"/>
                <w:sz w:val="24"/>
                <w:lang w:val="en-US" w:eastAsia="zh-CN"/>
              </w:rPr>
              <w:t>3</w:t>
            </w:r>
            <w:r>
              <w:rPr>
                <w:rFonts w:hint="eastAsia" w:asciiTheme="minorEastAsia" w:hAnsiTheme="minorEastAsia" w:eastAsiaTheme="minorEastAsia"/>
                <w:sz w:val="24"/>
              </w:rPr>
              <w:t>分；</w:t>
            </w:r>
          </w:p>
          <w:p w14:paraId="185AFC7C">
            <w:pPr>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（3）供货安装、验收内容简单，施工进度、质量、安全保证方案及措施和协同配合方案存在缺项，需要进一步完善的，得</w:t>
            </w:r>
            <w:r>
              <w:rPr>
                <w:rFonts w:hint="eastAsia" w:asciiTheme="minorEastAsia" w:hAnsiTheme="minorEastAsia" w:eastAsiaTheme="minorEastAsia"/>
                <w:sz w:val="24"/>
                <w:lang w:val="en-US" w:eastAsia="zh-CN"/>
              </w:rPr>
              <w:t>2</w:t>
            </w:r>
            <w:r>
              <w:rPr>
                <w:rFonts w:hint="eastAsia" w:asciiTheme="minorEastAsia" w:hAnsiTheme="minorEastAsia" w:eastAsiaTheme="minorEastAsia"/>
                <w:sz w:val="24"/>
              </w:rPr>
              <w:t>分；</w:t>
            </w:r>
          </w:p>
          <w:p w14:paraId="2E9EAFC9">
            <w:pPr>
              <w:spacing w:line="360" w:lineRule="auto"/>
              <w:jc w:val="left"/>
              <w:rPr>
                <w:rFonts w:hint="eastAsia" w:ascii="宋体" w:hAnsi="宋体" w:eastAsia="宋体" w:cs="宋体"/>
                <w:color w:val="auto"/>
                <w:sz w:val="24"/>
                <w:szCs w:val="20"/>
                <w:highlight w:val="none"/>
                <w:lang w:val="en-US" w:eastAsia="zh-CN"/>
              </w:rPr>
            </w:pPr>
            <w:r>
              <w:rPr>
                <w:rFonts w:hint="eastAsia" w:asciiTheme="minorEastAsia" w:hAnsiTheme="minorEastAsia" w:eastAsiaTheme="minorEastAsia"/>
                <w:sz w:val="24"/>
              </w:rPr>
              <w:t>（4）未提供的不得分。</w:t>
            </w:r>
          </w:p>
        </w:tc>
        <w:tc>
          <w:tcPr>
            <w:tcW w:w="707" w:type="pct"/>
            <w:tcBorders>
              <w:top w:val="single" w:color="auto" w:sz="4" w:space="0"/>
              <w:left w:val="single" w:color="auto" w:sz="4" w:space="0"/>
              <w:bottom w:val="single" w:color="auto" w:sz="4" w:space="0"/>
              <w:right w:val="single" w:color="auto" w:sz="4" w:space="0"/>
            </w:tcBorders>
            <w:vAlign w:val="center"/>
          </w:tcPr>
          <w:p w14:paraId="77B4727D">
            <w:pPr>
              <w:spacing w:line="360" w:lineRule="auto"/>
              <w:jc w:val="center"/>
              <w:rPr>
                <w:rFonts w:hint="eastAsia" w:asciiTheme="minorEastAsia" w:hAnsiTheme="minorEastAsia" w:eastAsiaTheme="minorEastAsia"/>
                <w:b/>
                <w:bCs/>
                <w:color w:val="auto"/>
                <w:sz w:val="24"/>
                <w:highlight w:val="none"/>
                <w:lang w:val="en-US" w:eastAsia="zh-CN"/>
              </w:rPr>
            </w:pPr>
            <w:r>
              <w:rPr>
                <w:rFonts w:hint="eastAsia" w:asciiTheme="minorEastAsia" w:hAnsiTheme="minorEastAsia" w:eastAsiaTheme="minorEastAsia"/>
                <w:b/>
                <w:bCs/>
                <w:color w:val="auto"/>
                <w:sz w:val="24"/>
                <w:highlight w:val="none"/>
                <w:lang w:val="en-US" w:eastAsia="zh-CN"/>
              </w:rPr>
              <w:t>0-4分</w:t>
            </w:r>
          </w:p>
        </w:tc>
      </w:tr>
      <w:tr w14:paraId="00F3B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pct"/>
            <w:vMerge w:val="continue"/>
            <w:tcBorders>
              <w:left w:val="single" w:color="auto" w:sz="4" w:space="0"/>
              <w:right w:val="single" w:color="auto" w:sz="4" w:space="0"/>
            </w:tcBorders>
            <w:vAlign w:val="center"/>
          </w:tcPr>
          <w:p w14:paraId="3AD87D21">
            <w:pPr>
              <w:spacing w:line="360" w:lineRule="auto"/>
              <w:jc w:val="center"/>
              <w:rPr>
                <w:rFonts w:hint="eastAsia" w:asciiTheme="minorEastAsia" w:hAnsiTheme="minorEastAsia" w:eastAsiaTheme="minorEastAsia"/>
                <w:color w:val="auto"/>
                <w:sz w:val="24"/>
                <w:highlight w:val="none"/>
                <w:lang w:val="en-US" w:eastAsia="zh-CN"/>
              </w:rPr>
            </w:pPr>
          </w:p>
        </w:tc>
        <w:tc>
          <w:tcPr>
            <w:tcW w:w="745" w:type="pct"/>
            <w:tcBorders>
              <w:top w:val="single" w:color="auto" w:sz="4" w:space="0"/>
              <w:left w:val="single" w:color="auto" w:sz="4" w:space="0"/>
              <w:bottom w:val="single" w:color="auto" w:sz="4" w:space="0"/>
              <w:right w:val="single" w:color="auto" w:sz="4" w:space="0"/>
            </w:tcBorders>
            <w:vAlign w:val="center"/>
          </w:tcPr>
          <w:p w14:paraId="46F6B017">
            <w:pPr>
              <w:spacing w:line="360" w:lineRule="auto"/>
              <w:jc w:val="center"/>
              <w:rPr>
                <w:rFonts w:hint="eastAsia" w:asciiTheme="minorEastAsia" w:hAnsiTheme="minorEastAsia" w:eastAsiaTheme="minorEastAsia"/>
                <w:bCs/>
                <w:color w:val="auto"/>
                <w:sz w:val="24"/>
                <w:highlight w:val="none"/>
                <w:lang w:val="en-US" w:eastAsia="zh-CN"/>
              </w:rPr>
            </w:pPr>
            <w:r>
              <w:rPr>
                <w:rFonts w:hint="eastAsia" w:asciiTheme="minorEastAsia" w:hAnsiTheme="minorEastAsia" w:eastAsiaTheme="minorEastAsia"/>
                <w:sz w:val="24"/>
              </w:rPr>
              <w:t>售后服务方案</w:t>
            </w:r>
          </w:p>
        </w:tc>
        <w:tc>
          <w:tcPr>
            <w:tcW w:w="2922" w:type="pct"/>
            <w:tcBorders>
              <w:top w:val="single" w:color="auto" w:sz="4" w:space="0"/>
              <w:left w:val="single" w:color="auto" w:sz="4" w:space="0"/>
              <w:bottom w:val="single" w:color="auto" w:sz="4" w:space="0"/>
              <w:right w:val="single" w:color="auto" w:sz="4" w:space="0"/>
            </w:tcBorders>
            <w:vAlign w:val="center"/>
          </w:tcPr>
          <w:p w14:paraId="18BF0182">
            <w:pPr>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根据投标人提供详细的项目实施、培训与售后服务保障方案：包括承诺的实施计划安排、培训计划与售后服务响应时间内容等，由评委会进行综合评审：</w:t>
            </w:r>
          </w:p>
          <w:p w14:paraId="3CEDE9D6">
            <w:pPr>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（1）售后服务措施详尽、维修响应时间及时、备件供应保障充足、人员售后配置详细、远程报修服务方案全面、实时维修统计详尽，能保障采购人获得质量售后服务的，得</w:t>
            </w:r>
            <w:r>
              <w:rPr>
                <w:rFonts w:hint="eastAsia" w:asciiTheme="minorEastAsia" w:hAnsiTheme="minorEastAsia" w:eastAsiaTheme="minorEastAsia"/>
                <w:sz w:val="24"/>
                <w:lang w:val="en-US" w:eastAsia="zh-CN"/>
              </w:rPr>
              <w:t>3</w:t>
            </w:r>
            <w:r>
              <w:rPr>
                <w:rFonts w:hint="eastAsia" w:asciiTheme="minorEastAsia" w:hAnsiTheme="minorEastAsia" w:eastAsiaTheme="minorEastAsia"/>
                <w:sz w:val="24"/>
              </w:rPr>
              <w:t>分；</w:t>
            </w:r>
          </w:p>
          <w:p w14:paraId="0DB314C0">
            <w:pPr>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（2）售后服务措施完整、维修响应时间及时、具有备件供应保障措施、配置售后人员、具有远程报修服务的，得</w:t>
            </w:r>
            <w:r>
              <w:rPr>
                <w:rFonts w:hint="eastAsia" w:asciiTheme="minorEastAsia" w:hAnsiTheme="minorEastAsia" w:eastAsiaTheme="minorEastAsia"/>
                <w:sz w:val="24"/>
                <w:lang w:val="en-US" w:eastAsia="zh-CN"/>
              </w:rPr>
              <w:t>2</w:t>
            </w:r>
            <w:r>
              <w:rPr>
                <w:rFonts w:hint="eastAsia" w:asciiTheme="minorEastAsia" w:hAnsiTheme="minorEastAsia" w:eastAsiaTheme="minorEastAsia"/>
                <w:sz w:val="24"/>
              </w:rPr>
              <w:t>分；</w:t>
            </w:r>
          </w:p>
          <w:p w14:paraId="0DB21703">
            <w:pPr>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（3）售后服务措施、维修响应时间、备件供应保障、配置售后人员、远程报修服务措施不全或存在不足，有待改善的，得</w:t>
            </w:r>
            <w:r>
              <w:rPr>
                <w:rFonts w:hint="eastAsia" w:asciiTheme="minorEastAsia" w:hAnsiTheme="minorEastAsia" w:eastAsiaTheme="minorEastAsia"/>
                <w:sz w:val="24"/>
                <w:lang w:val="en-US" w:eastAsia="zh-CN"/>
              </w:rPr>
              <w:t>1</w:t>
            </w:r>
            <w:r>
              <w:rPr>
                <w:rFonts w:hint="eastAsia" w:asciiTheme="minorEastAsia" w:hAnsiTheme="minorEastAsia" w:eastAsiaTheme="minorEastAsia"/>
                <w:sz w:val="24"/>
              </w:rPr>
              <w:t>分；</w:t>
            </w:r>
          </w:p>
          <w:p w14:paraId="3BED70D6">
            <w:pPr>
              <w:spacing w:line="360" w:lineRule="auto"/>
              <w:jc w:val="left"/>
              <w:rPr>
                <w:rFonts w:hint="eastAsia" w:ascii="宋体" w:hAnsi="宋体" w:eastAsia="宋体" w:cs="宋体"/>
                <w:color w:val="auto"/>
                <w:sz w:val="24"/>
                <w:szCs w:val="20"/>
                <w:highlight w:val="none"/>
                <w:lang w:val="en-US" w:eastAsia="zh-CN"/>
              </w:rPr>
            </w:pPr>
            <w:r>
              <w:rPr>
                <w:rFonts w:hint="eastAsia" w:asciiTheme="minorEastAsia" w:hAnsiTheme="minorEastAsia" w:eastAsiaTheme="minorEastAsia"/>
                <w:sz w:val="24"/>
              </w:rPr>
              <w:t>（4）未提供的不得分。</w:t>
            </w:r>
          </w:p>
        </w:tc>
        <w:tc>
          <w:tcPr>
            <w:tcW w:w="707" w:type="pct"/>
            <w:tcBorders>
              <w:top w:val="single" w:color="auto" w:sz="4" w:space="0"/>
              <w:left w:val="single" w:color="auto" w:sz="4" w:space="0"/>
              <w:bottom w:val="single" w:color="auto" w:sz="4" w:space="0"/>
              <w:right w:val="single" w:color="auto" w:sz="4" w:space="0"/>
            </w:tcBorders>
            <w:vAlign w:val="center"/>
          </w:tcPr>
          <w:p w14:paraId="7E354607">
            <w:pPr>
              <w:spacing w:line="360" w:lineRule="auto"/>
              <w:jc w:val="center"/>
              <w:rPr>
                <w:rFonts w:hint="eastAsia" w:asciiTheme="minorEastAsia" w:hAnsiTheme="minorEastAsia" w:eastAsiaTheme="minorEastAsia"/>
                <w:b/>
                <w:bCs/>
                <w:color w:val="auto"/>
                <w:sz w:val="24"/>
                <w:highlight w:val="none"/>
                <w:lang w:val="en-US" w:eastAsia="zh-CN"/>
              </w:rPr>
            </w:pPr>
            <w:r>
              <w:rPr>
                <w:rFonts w:hint="eastAsia" w:asciiTheme="minorEastAsia" w:hAnsiTheme="minorEastAsia" w:eastAsiaTheme="minorEastAsia"/>
                <w:b/>
                <w:bCs/>
                <w:color w:val="auto"/>
                <w:sz w:val="24"/>
                <w:highlight w:val="none"/>
                <w:lang w:val="en-US" w:eastAsia="zh-CN"/>
              </w:rPr>
              <w:t>0-3分</w:t>
            </w:r>
          </w:p>
        </w:tc>
      </w:tr>
      <w:tr w14:paraId="5FA14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pct"/>
            <w:tcBorders>
              <w:left w:val="single" w:color="auto" w:sz="4" w:space="0"/>
              <w:right w:val="single" w:color="auto" w:sz="4" w:space="0"/>
            </w:tcBorders>
            <w:vAlign w:val="center"/>
          </w:tcPr>
          <w:p w14:paraId="4DFF79FC">
            <w:pPr>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价格分</w:t>
            </w:r>
          </w:p>
          <w:p w14:paraId="462C62B4">
            <w:pPr>
              <w:spacing w:line="360" w:lineRule="auto"/>
              <w:jc w:val="center"/>
              <w:rPr>
                <w:rFonts w:asciiTheme="minorEastAsia" w:hAnsiTheme="minorEastAsia" w:eastAsiaTheme="minorEastAsia"/>
                <w:b/>
                <w:bCs/>
                <w:color w:val="auto"/>
                <w:sz w:val="24"/>
                <w:highlight w:val="none"/>
              </w:rPr>
            </w:pP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u w:val="single"/>
                <w:lang w:val="en-US" w:eastAsia="zh-CN"/>
              </w:rPr>
              <w:t>30</w:t>
            </w:r>
            <w:r>
              <w:rPr>
                <w:rFonts w:hint="eastAsia" w:asciiTheme="minorEastAsia" w:hAnsiTheme="minorEastAsia" w:eastAsiaTheme="minorEastAsia"/>
                <w:color w:val="auto"/>
                <w:sz w:val="24"/>
                <w:highlight w:val="none"/>
              </w:rPr>
              <w:t>分）</w:t>
            </w:r>
          </w:p>
        </w:tc>
        <w:tc>
          <w:tcPr>
            <w:tcW w:w="4375" w:type="pct"/>
            <w:gridSpan w:val="3"/>
            <w:tcBorders>
              <w:top w:val="single" w:color="auto" w:sz="4" w:space="0"/>
              <w:left w:val="single" w:color="auto" w:sz="4" w:space="0"/>
              <w:bottom w:val="single" w:color="auto" w:sz="4" w:space="0"/>
              <w:right w:val="single" w:color="auto" w:sz="4" w:space="0"/>
            </w:tcBorders>
            <w:vAlign w:val="center"/>
          </w:tcPr>
          <w:p w14:paraId="12E83CD3">
            <w:pPr>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价格分统一采用低价优先法，即满足招标文件要求且投标价格最低</w:t>
            </w:r>
            <w:r>
              <w:rPr>
                <w:rFonts w:hint="eastAsia" w:asciiTheme="minorEastAsia" w:hAnsiTheme="minorEastAsia" w:eastAsiaTheme="minorEastAsia"/>
                <w:sz w:val="24"/>
                <w:szCs w:val="24"/>
                <w:highlight w:val="none"/>
              </w:rPr>
              <w:t>（如有扣除为扣除后价格）</w:t>
            </w:r>
            <w:r>
              <w:rPr>
                <w:rFonts w:hint="eastAsia" w:asciiTheme="minorEastAsia" w:hAnsiTheme="minorEastAsia" w:eastAsiaTheme="minorEastAsia"/>
                <w:color w:val="auto"/>
                <w:sz w:val="24"/>
                <w:highlight w:val="none"/>
              </w:rPr>
              <w:t>的投标报价为评标基准价，其价格分为满分</w:t>
            </w:r>
            <w:r>
              <w:rPr>
                <w:rFonts w:hint="eastAsia" w:asciiTheme="minorEastAsia" w:hAnsiTheme="minorEastAsia" w:eastAsiaTheme="minorEastAsia"/>
                <w:color w:val="auto"/>
                <w:sz w:val="24"/>
                <w:highlight w:val="none"/>
                <w:u w:val="single"/>
                <w:lang w:val="en-US" w:eastAsia="zh-CN"/>
              </w:rPr>
              <w:t>30</w:t>
            </w:r>
            <w:r>
              <w:rPr>
                <w:rFonts w:hint="eastAsia" w:asciiTheme="minorEastAsia" w:hAnsiTheme="minorEastAsia" w:eastAsiaTheme="minorEastAsia"/>
                <w:color w:val="auto"/>
                <w:sz w:val="24"/>
                <w:highlight w:val="none"/>
              </w:rPr>
              <w:t>分。其他投标人的价格分统一按照下列公式计算：</w:t>
            </w:r>
          </w:p>
          <w:p w14:paraId="6399CD59">
            <w:pPr>
              <w:spacing w:line="360" w:lineRule="auto"/>
              <w:rPr>
                <w:rFonts w:asciiTheme="minorEastAsia" w:hAnsiTheme="minorEastAsia" w:eastAsiaTheme="minorEastAsia"/>
                <w:b/>
                <w:bCs/>
                <w:color w:val="auto"/>
                <w:sz w:val="24"/>
                <w:highlight w:val="none"/>
              </w:rPr>
            </w:pPr>
            <w:r>
              <w:rPr>
                <w:rFonts w:hint="eastAsia" w:asciiTheme="minorEastAsia" w:hAnsiTheme="minorEastAsia" w:eastAsiaTheme="minorEastAsia"/>
                <w:color w:val="auto"/>
                <w:sz w:val="24"/>
                <w:highlight w:val="none"/>
              </w:rPr>
              <w:t>投标报价得分＝（评标基准价/投标报价</w:t>
            </w:r>
            <w:r>
              <w:rPr>
                <w:rFonts w:hint="eastAsia" w:asciiTheme="minorEastAsia" w:hAnsiTheme="minorEastAsia" w:eastAsiaTheme="minorEastAsia"/>
                <w:sz w:val="24"/>
                <w:szCs w:val="24"/>
                <w:highlight w:val="none"/>
              </w:rPr>
              <w:t>（如有扣除为扣除后价格）</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u w:val="single"/>
                <w:lang w:val="en-US" w:eastAsia="zh-CN"/>
              </w:rPr>
              <w:t>30</w:t>
            </w:r>
            <w:r>
              <w:rPr>
                <w:rFonts w:hint="eastAsia" w:asciiTheme="minorEastAsia" w:hAnsiTheme="minorEastAsia" w:eastAsiaTheme="minorEastAsia"/>
                <w:color w:val="auto"/>
                <w:sz w:val="24"/>
                <w:highlight w:val="none"/>
              </w:rPr>
              <w:t>％×100</w:t>
            </w:r>
          </w:p>
        </w:tc>
      </w:tr>
    </w:tbl>
    <w:p w14:paraId="128AA9E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分值汇总</w:t>
      </w:r>
    </w:p>
    <w:p w14:paraId="22AEEC2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评标委员会各成员应当独立对每个</w:t>
      </w:r>
      <w:r>
        <w:rPr>
          <w:rFonts w:hint="eastAsia" w:asciiTheme="minorEastAsia" w:hAnsiTheme="minorEastAsia" w:eastAsiaTheme="minorEastAsia"/>
          <w:color w:val="auto"/>
          <w:sz w:val="24"/>
          <w:highlight w:val="none"/>
        </w:rPr>
        <w:t>有效</w:t>
      </w:r>
      <w:r>
        <w:rPr>
          <w:rFonts w:asciiTheme="minorEastAsia" w:hAnsiTheme="minorEastAsia" w:eastAsiaTheme="minorEastAsia"/>
          <w:color w:val="auto"/>
          <w:sz w:val="24"/>
          <w:highlight w:val="none"/>
        </w:rPr>
        <w:t>投标人的投标文件进行评</w:t>
      </w:r>
      <w:r>
        <w:rPr>
          <w:rFonts w:hint="eastAsia" w:asciiTheme="minorEastAsia" w:hAnsiTheme="minorEastAsia" w:eastAsiaTheme="minorEastAsia"/>
          <w:color w:val="auto"/>
          <w:sz w:val="24"/>
          <w:highlight w:val="none"/>
        </w:rPr>
        <w:t>分</w:t>
      </w:r>
      <w:r>
        <w:rPr>
          <w:rFonts w:asciiTheme="minorEastAsia" w:hAnsiTheme="minorEastAsia" w:eastAsiaTheme="minorEastAsia"/>
          <w:color w:val="auto"/>
          <w:sz w:val="24"/>
          <w:highlight w:val="none"/>
        </w:rPr>
        <w:t>，并汇总每个投</w:t>
      </w:r>
      <w:r>
        <w:rPr>
          <w:rFonts w:hint="eastAsia" w:asciiTheme="minorEastAsia" w:hAnsiTheme="minorEastAsia" w:eastAsiaTheme="minorEastAsia"/>
          <w:color w:val="auto"/>
          <w:sz w:val="24"/>
          <w:highlight w:val="none"/>
        </w:rPr>
        <w:t>标人的得分。取各位评委评分之平均值，四舍五入保留至小数点后两位数，</w:t>
      </w:r>
      <w:r>
        <w:rPr>
          <w:rFonts w:asciiTheme="minorEastAsia" w:hAnsiTheme="minorEastAsia" w:eastAsiaTheme="minorEastAsia"/>
          <w:color w:val="auto"/>
          <w:sz w:val="24"/>
          <w:highlight w:val="none"/>
        </w:rPr>
        <w:t>得到该投标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的资信分</w:t>
      </w:r>
      <w:r>
        <w:rPr>
          <w:rFonts w:hint="eastAsia" w:asciiTheme="minorEastAsia" w:hAnsiTheme="minorEastAsia" w:eastAsiaTheme="minorEastAsia"/>
          <w:color w:val="auto"/>
          <w:sz w:val="24"/>
          <w:highlight w:val="none"/>
        </w:rPr>
        <w:t>。</w:t>
      </w:r>
    </w:p>
    <w:p w14:paraId="4CF8726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将投标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的资信分加上根据上述标准计算出的价格分，即为该投标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的综合总得分。</w:t>
      </w:r>
    </w:p>
    <w:p w14:paraId="67755F01">
      <w:pPr>
        <w:spacing w:line="360" w:lineRule="auto"/>
        <w:ind w:firstLine="435"/>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三、无效投标条款</w:t>
      </w:r>
    </w:p>
    <w:p w14:paraId="3F927531">
      <w:pPr>
        <w:spacing w:line="360" w:lineRule="auto"/>
        <w:ind w:firstLine="435"/>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3.</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lang w:eastAsia="zh-CN"/>
        </w:rPr>
        <w:t>投标文件有下列情形之一的,其投标文件拒收:</w:t>
      </w:r>
    </w:p>
    <w:p w14:paraId="2045E5E5">
      <w:pPr>
        <w:spacing w:line="360" w:lineRule="auto"/>
        <w:ind w:firstLine="435"/>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(1) 未在开标截止时间前通过网上招标投标系统递交有效电子投标文件的，开标系统不予接收，投标将被拒绝。</w:t>
      </w:r>
    </w:p>
    <w:p w14:paraId="6453B190">
      <w:pPr>
        <w:spacing w:line="360" w:lineRule="auto"/>
        <w:ind w:firstLine="435"/>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lang w:eastAsia="zh-CN"/>
        </w:rPr>
        <w:t>2</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lang w:eastAsia="zh-CN"/>
        </w:rPr>
        <w:t>投标企业接到远程解密指令后，须在规定时间内解密。因投标人自身原因导致投标文件在规定时间内未能解密、解密失败或解密超时，投标文件无效；解密时间：从本项目解密程序开始时计时，至完成投标文件解密时间，不得超过60分钟，否则投标文件将被拒绝。</w:t>
      </w:r>
    </w:p>
    <w:p w14:paraId="4B3D2691">
      <w:pPr>
        <w:spacing w:line="360" w:lineRule="auto"/>
        <w:ind w:firstLine="435"/>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3.2投标人有下列情形之一的,资格审查后其投标作无效投标处理：</w:t>
      </w:r>
    </w:p>
    <w:p w14:paraId="0EDB4B5F">
      <w:pPr>
        <w:spacing w:line="360" w:lineRule="auto"/>
        <w:ind w:firstLine="435"/>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(1)投标人为本项目提供招标代理服务的；</w:t>
      </w:r>
    </w:p>
    <w:p w14:paraId="13A279DB">
      <w:pPr>
        <w:spacing w:line="360" w:lineRule="auto"/>
        <w:ind w:firstLine="435"/>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(2)投标人与在本项目代理机构存在相互任职或工作的；</w:t>
      </w:r>
    </w:p>
    <w:p w14:paraId="021F73BE">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lang w:eastAsia="zh-CN"/>
        </w:rPr>
        <w:t>)</w:t>
      </w:r>
      <w:r>
        <w:rPr>
          <w:rFonts w:hint="eastAsia" w:ascii="宋体" w:hAnsi="宋体" w:eastAsia="宋体" w:cs="宋体"/>
          <w:color w:val="auto"/>
          <w:kern w:val="0"/>
          <w:sz w:val="24"/>
          <w:szCs w:val="24"/>
          <w:highlight w:val="none"/>
          <w:lang w:val="en-US" w:eastAsia="zh-CN" w:bidi="ar"/>
        </w:rPr>
        <w:t>与采购人存在利害关系可能影响采购公正性的法人、其他组织或者个人；</w:t>
      </w:r>
    </w:p>
    <w:p w14:paraId="048B3C8A">
      <w:pPr>
        <w:spacing w:line="360" w:lineRule="auto"/>
        <w:ind w:firstLine="435"/>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lang w:eastAsia="zh-CN"/>
        </w:rPr>
        <w:t>)招标公告写明专门面向中小企业采购，投标人提供的货物非中小企业制造的；</w:t>
      </w:r>
    </w:p>
    <w:p w14:paraId="7199FF90">
      <w:pPr>
        <w:spacing w:line="360" w:lineRule="auto"/>
        <w:ind w:firstLine="435"/>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lang w:eastAsia="zh-CN"/>
        </w:rPr>
        <w:t>)要求供应商以联合体形式参加采购活动，投标人非联合体或者联合协议中中小企业合同金额未达到应当达到的比例；</w:t>
      </w:r>
    </w:p>
    <w:p w14:paraId="757CD1A2">
      <w:pPr>
        <w:spacing w:line="360" w:lineRule="auto"/>
        <w:ind w:firstLine="435"/>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lang w:eastAsia="zh-CN"/>
        </w:rPr>
        <w:t>)要求获得采购合同的供应商向中小企业分包，投标人未提供分包意向协议或者分包意向协议中中小企业合同金额未达到应当达到的比例；</w:t>
      </w:r>
    </w:p>
    <w:p w14:paraId="3216F893">
      <w:pPr>
        <w:spacing w:line="360" w:lineRule="auto"/>
        <w:ind w:firstLine="435"/>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lang w:eastAsia="zh-CN"/>
        </w:rPr>
        <w:t>)评标专家无法查看并检验电子投标文件中相关资料的；</w:t>
      </w:r>
    </w:p>
    <w:p w14:paraId="4C66F129">
      <w:pPr>
        <w:spacing w:line="360" w:lineRule="auto"/>
        <w:ind w:firstLine="435"/>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8</w:t>
      </w:r>
      <w:r>
        <w:rPr>
          <w:rFonts w:hint="eastAsia" w:ascii="宋体" w:hAnsi="宋体" w:eastAsia="宋体" w:cs="宋体"/>
          <w:color w:val="auto"/>
          <w:sz w:val="24"/>
          <w:highlight w:val="none"/>
          <w:lang w:eastAsia="zh-CN"/>
        </w:rPr>
        <w:t>)联合体投标未提交联合体协议的；</w:t>
      </w:r>
    </w:p>
    <w:p w14:paraId="0A9C22A4">
      <w:pPr>
        <w:spacing w:line="360" w:lineRule="auto"/>
        <w:ind w:firstLine="435"/>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lang w:eastAsia="zh-CN"/>
        </w:rPr>
        <w:t>)责令停产停业的；</w:t>
      </w:r>
    </w:p>
    <w:p w14:paraId="4EADD866">
      <w:pPr>
        <w:spacing w:line="360" w:lineRule="auto"/>
        <w:ind w:firstLine="435"/>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10</w:t>
      </w:r>
      <w:r>
        <w:rPr>
          <w:rFonts w:hint="eastAsia" w:ascii="宋体" w:hAnsi="宋体" w:eastAsia="宋体" w:cs="宋体"/>
          <w:color w:val="auto"/>
          <w:sz w:val="24"/>
          <w:highlight w:val="none"/>
          <w:lang w:eastAsia="zh-CN"/>
        </w:rPr>
        <w:t>)暂停或者取消参与政府采购项目资格的；</w:t>
      </w:r>
    </w:p>
    <w:p w14:paraId="4C3B9286">
      <w:pPr>
        <w:spacing w:line="360" w:lineRule="auto"/>
        <w:ind w:firstLine="435"/>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11</w:t>
      </w:r>
      <w:r>
        <w:rPr>
          <w:rFonts w:hint="eastAsia" w:ascii="宋体" w:hAnsi="宋体" w:eastAsia="宋体" w:cs="宋体"/>
          <w:color w:val="auto"/>
          <w:sz w:val="24"/>
          <w:highlight w:val="none"/>
          <w:lang w:eastAsia="zh-CN"/>
        </w:rPr>
        <w:t>)投标人单位负责人为同一人或者存在直接控股、管理关系的不同单位的；</w:t>
      </w:r>
    </w:p>
    <w:p w14:paraId="22176784">
      <w:pPr>
        <w:spacing w:line="360" w:lineRule="auto"/>
        <w:ind w:firstLine="435"/>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(1</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lang w:eastAsia="zh-CN"/>
        </w:rPr>
        <w:t>)投标人基本资格条件和特定资格条件中有一项及以上不符合要求的；</w:t>
      </w:r>
    </w:p>
    <w:p w14:paraId="54045168">
      <w:pPr>
        <w:spacing w:line="360" w:lineRule="auto"/>
        <w:ind w:firstLine="435"/>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13</w:t>
      </w:r>
      <w:r>
        <w:rPr>
          <w:rFonts w:hint="eastAsia" w:ascii="宋体" w:hAnsi="宋体" w:eastAsia="宋体" w:cs="宋体"/>
          <w:color w:val="auto"/>
          <w:sz w:val="24"/>
          <w:highlight w:val="none"/>
          <w:lang w:eastAsia="zh-CN"/>
        </w:rPr>
        <w:t>)开标时查询投标文件制作机器码、文件创建标识码及造价软件加密锁号。若存在投标文件制作机器码或创建标识码或造价软件加密锁号信息与其他投标人雷同的，投标无效、进行信用信息披露，行政监管部门将依据线索依法查处；</w:t>
      </w:r>
    </w:p>
    <w:p w14:paraId="0B33711F">
      <w:pPr>
        <w:spacing w:line="360" w:lineRule="auto"/>
        <w:ind w:firstLine="435"/>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(1</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lang w:eastAsia="zh-CN"/>
        </w:rPr>
        <w:t>)其它情形，经评标委员会委提出按无效投标处理，并经公共资源交易监督部门核准的；</w:t>
      </w:r>
    </w:p>
    <w:p w14:paraId="41C201BF">
      <w:pPr>
        <w:spacing w:line="360" w:lineRule="auto"/>
        <w:ind w:firstLine="435"/>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(1</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lang w:eastAsia="zh-CN"/>
        </w:rPr>
        <w:t>)投标人投标MAC地址</w:t>
      </w:r>
      <w:r>
        <w:rPr>
          <w:rFonts w:hint="eastAsia" w:ascii="宋体" w:hAnsi="宋体" w:eastAsia="宋体" w:cs="宋体"/>
          <w:color w:val="auto"/>
          <w:sz w:val="24"/>
          <w:highlight w:val="none"/>
          <w:lang w:val="en-US" w:eastAsia="zh-CN"/>
        </w:rPr>
        <w:t>一致</w:t>
      </w:r>
      <w:r>
        <w:rPr>
          <w:rFonts w:hint="eastAsia" w:ascii="宋体" w:hAnsi="宋体" w:eastAsia="宋体" w:cs="宋体"/>
          <w:color w:val="auto"/>
          <w:sz w:val="24"/>
          <w:highlight w:val="none"/>
          <w:lang w:eastAsia="zh-CN"/>
        </w:rPr>
        <w:t>，由评标委员会否决其投标；</w:t>
      </w:r>
    </w:p>
    <w:p w14:paraId="5C65B4C9">
      <w:pPr>
        <w:spacing w:line="360" w:lineRule="auto"/>
        <w:ind w:firstLine="435"/>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(1</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lang w:eastAsia="zh-CN"/>
        </w:rPr>
        <w:t>)投标人单方面出现其他投标人材料的；</w:t>
      </w:r>
    </w:p>
    <w:p w14:paraId="07094F39">
      <w:pPr>
        <w:spacing w:line="360" w:lineRule="auto"/>
        <w:ind w:firstLine="435"/>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(1</w:t>
      </w: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投标人联系人或联系电话相同的，</w:t>
      </w:r>
      <w:r>
        <w:rPr>
          <w:rFonts w:hint="eastAsia" w:ascii="宋体" w:hAnsi="宋体" w:eastAsia="宋体" w:cs="宋体"/>
          <w:color w:val="auto"/>
          <w:sz w:val="24"/>
          <w:highlight w:val="none"/>
          <w:lang w:eastAsia="zh-CN"/>
        </w:rPr>
        <w:t>由评标委员会否决其投标</w:t>
      </w:r>
      <w:r>
        <w:rPr>
          <w:rFonts w:hint="eastAsia" w:ascii="宋体" w:hAnsi="宋体" w:eastAsia="宋体" w:cs="宋体"/>
          <w:color w:val="auto"/>
          <w:sz w:val="24"/>
          <w:highlight w:val="none"/>
          <w:lang w:val="en-US" w:eastAsia="zh-CN"/>
        </w:rPr>
        <w:t>，并报告监管部门作不良行为处理和进一步调查；</w:t>
      </w:r>
    </w:p>
    <w:p w14:paraId="446CC0F8">
      <w:pPr>
        <w:spacing w:line="360" w:lineRule="auto"/>
        <w:ind w:firstLine="435"/>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(1</w:t>
      </w:r>
      <w:r>
        <w:rPr>
          <w:rFonts w:hint="eastAsia" w:ascii="宋体" w:hAnsi="宋体" w:eastAsia="宋体" w:cs="宋体"/>
          <w:color w:val="auto"/>
          <w:sz w:val="24"/>
          <w:highlight w:val="none"/>
          <w:lang w:val="en-US" w:eastAsia="zh-CN"/>
        </w:rPr>
        <w:t>8</w:t>
      </w:r>
      <w:r>
        <w:rPr>
          <w:rFonts w:hint="eastAsia" w:ascii="宋体" w:hAnsi="宋体" w:eastAsia="宋体" w:cs="宋体"/>
          <w:color w:val="auto"/>
          <w:sz w:val="24"/>
          <w:highlight w:val="none"/>
          <w:lang w:eastAsia="zh-CN"/>
        </w:rPr>
        <w:t>)招标公告未写明允许采购进口产品，投标人所投产品为进口产品的；</w:t>
      </w:r>
    </w:p>
    <w:p w14:paraId="7EFDEAD9">
      <w:pPr>
        <w:spacing w:line="360" w:lineRule="auto"/>
        <w:ind w:firstLine="435"/>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(1</w:t>
      </w: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lang w:eastAsia="zh-CN"/>
        </w:rPr>
        <w:t>)招标文件规定的其它无效投标情形。</w:t>
      </w:r>
    </w:p>
    <w:p w14:paraId="0CD8B37D">
      <w:pPr>
        <w:spacing w:line="360" w:lineRule="auto"/>
        <w:ind w:firstLine="435"/>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3.3 投标人有下列情形之一的,符合性审查后其投标按无效投标处理：</w:t>
      </w:r>
    </w:p>
    <w:p w14:paraId="4AC4DB31">
      <w:pPr>
        <w:spacing w:line="360" w:lineRule="auto"/>
        <w:ind w:firstLine="435"/>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(1)投标文件签字、盖章不全，经评标委员会一致认定对开评标内容有实质性影响并经公共资源交易监督部门核准的；</w:t>
      </w:r>
    </w:p>
    <w:p w14:paraId="103229B7">
      <w:pPr>
        <w:spacing w:line="360" w:lineRule="auto"/>
        <w:ind w:firstLine="435"/>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(2)未按规定的格式填写导致实质性内容不全以及实质上不响应，或者关键字迹模糊、无法辨认； 经公共资源交易监督部门核准的；</w:t>
      </w:r>
    </w:p>
    <w:p w14:paraId="324545C6">
      <w:pPr>
        <w:spacing w:line="360" w:lineRule="auto"/>
        <w:ind w:firstLine="435"/>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(3)同一投标人提交两个以上不同的投标文件或者投标报价，但招标文件规定提交备选方案的除外；</w:t>
      </w:r>
    </w:p>
    <w:p w14:paraId="56117AA6">
      <w:pPr>
        <w:spacing w:line="360" w:lineRule="auto"/>
        <w:ind w:firstLine="435"/>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(4)投标文件没有对招标文件的实质性要求和条件作出响应;</w:t>
      </w:r>
    </w:p>
    <w:p w14:paraId="19E824DD">
      <w:pPr>
        <w:spacing w:line="360" w:lineRule="auto"/>
        <w:ind w:firstLine="435"/>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(5)投标报价超出规定的投标限价或公布的采购预算的或投标人的投标报价各项单价高于招标文件给定的单价最高限价；</w:t>
      </w:r>
    </w:p>
    <w:p w14:paraId="44BCB3FC">
      <w:pPr>
        <w:spacing w:line="360" w:lineRule="auto"/>
        <w:ind w:firstLine="435"/>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(6)不按评标委员会要求澄清、说明或补正的，或者评标委员会根据招标文件的规定对投标文件的计算错误进行修正后，投标人不接受修正的投标报价的。</w:t>
      </w:r>
    </w:p>
    <w:p w14:paraId="5D428E01">
      <w:pPr>
        <w:spacing w:line="360" w:lineRule="auto"/>
        <w:ind w:firstLine="435"/>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(7)其它情形，经评标委员会委提出按无效投标处理，并经公共资源交易监督部门核准的；</w:t>
      </w:r>
    </w:p>
    <w:p w14:paraId="678A346F">
      <w:pPr>
        <w:spacing w:line="360" w:lineRule="auto"/>
        <w:ind w:firstLine="435"/>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(8)投标文件含有采购人不能接受的附加条件的；</w:t>
      </w:r>
    </w:p>
    <w:p w14:paraId="777E132F">
      <w:pPr>
        <w:spacing w:line="360" w:lineRule="auto"/>
        <w:ind w:firstLine="435"/>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(9)招标文件规定的其它无效投标情形。</w:t>
      </w:r>
    </w:p>
    <w:p w14:paraId="5D33EE10">
      <w:pPr>
        <w:spacing w:line="360" w:lineRule="auto"/>
        <w:ind w:firstLine="435"/>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3.4 投标人有下列情形之一的, 详细评审后其投标按无效投标处理：</w:t>
      </w:r>
    </w:p>
    <w:p w14:paraId="1845F68E">
      <w:pPr>
        <w:spacing w:line="360" w:lineRule="auto"/>
        <w:ind w:firstLine="435"/>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(1)投标产品不符合必须强制执行的国家标准的；</w:t>
      </w:r>
    </w:p>
    <w:p w14:paraId="70B24522">
      <w:pPr>
        <w:spacing w:line="360" w:lineRule="auto"/>
        <w:ind w:firstLine="435"/>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(2)投标人有串通投标、弄虚作假、行贿等违法行为；</w:t>
      </w:r>
    </w:p>
    <w:p w14:paraId="19EBF405">
      <w:pPr>
        <w:spacing w:line="360" w:lineRule="auto"/>
        <w:ind w:firstLine="435"/>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(3)投标文件含有违反国家法律、法规的内容，或附有采购人不能接受的条件的；</w:t>
      </w:r>
    </w:p>
    <w:p w14:paraId="3BCDA4D0">
      <w:pPr>
        <w:spacing w:line="360" w:lineRule="auto"/>
        <w:ind w:firstLine="435"/>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lang w:eastAsia="zh-CN"/>
        </w:rPr>
        <w:t>)拒不确认评标委员会评审修正的投标无效；</w:t>
      </w:r>
    </w:p>
    <w:p w14:paraId="221E3E27">
      <w:pPr>
        <w:spacing w:line="360" w:lineRule="auto"/>
        <w:ind w:firstLine="435"/>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lang w:eastAsia="zh-CN"/>
        </w:rPr>
        <w:t>)其它情形，经评标委员会委提出按无效投标处理，并经公共资源交易监督部门核准的；</w:t>
      </w:r>
    </w:p>
    <w:p w14:paraId="167C9587">
      <w:pPr>
        <w:spacing w:line="360" w:lineRule="auto"/>
        <w:ind w:firstLine="435"/>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lang w:eastAsia="zh-CN"/>
        </w:rPr>
        <w:t>)招标文件规定的其它无效投标情形。</w:t>
      </w:r>
    </w:p>
    <w:p w14:paraId="641BF9D6">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4DD94BDF">
      <w:pPr>
        <w:spacing w:line="360" w:lineRule="auto"/>
        <w:jc w:val="center"/>
        <w:outlineLvl w:val="0"/>
        <w:rPr>
          <w:rFonts w:hint="eastAsia" w:asciiTheme="minorEastAsia" w:hAnsiTheme="minorEastAsia" w:eastAsiaTheme="minorEastAsia"/>
          <w:b/>
          <w:color w:val="auto"/>
          <w:sz w:val="28"/>
          <w:highlight w:val="none"/>
          <w:lang w:eastAsia="zh-CN"/>
        </w:rPr>
      </w:pPr>
      <w:bookmarkStart w:id="39" w:name="_Toc9233"/>
      <w:r>
        <w:rPr>
          <w:rFonts w:hint="eastAsia" w:asciiTheme="minorEastAsia" w:hAnsiTheme="minorEastAsia" w:eastAsiaTheme="minorEastAsia"/>
          <w:b/>
          <w:color w:val="auto"/>
          <w:sz w:val="28"/>
          <w:highlight w:val="none"/>
        </w:rPr>
        <w:t xml:space="preserve">第五章  </w:t>
      </w:r>
      <w:r>
        <w:rPr>
          <w:rFonts w:asciiTheme="minorEastAsia" w:hAnsiTheme="minorEastAsia" w:eastAsiaTheme="minorEastAsia"/>
          <w:b/>
          <w:color w:val="auto"/>
          <w:sz w:val="28"/>
          <w:highlight w:val="none"/>
        </w:rPr>
        <w:t>政府采购合同</w:t>
      </w:r>
      <w:bookmarkEnd w:id="39"/>
    </w:p>
    <w:p w14:paraId="481E7F4D">
      <w:pPr>
        <w:pStyle w:val="9"/>
        <w:pageBreakBefore w:val="0"/>
        <w:kinsoku/>
        <w:wordWrap/>
        <w:overflowPunct/>
        <w:topLinePunct w:val="0"/>
        <w:bidi w:val="0"/>
        <w:spacing w:after="0" w:line="360" w:lineRule="auto"/>
        <w:jc w:val="both"/>
        <w:textAlignment w:val="auto"/>
        <w:rPr>
          <w:rFonts w:hint="eastAsia" w:ascii="宋体" w:hAnsi="宋体" w:eastAsia="宋体" w:cs="宋体"/>
          <w:b/>
          <w:bCs/>
          <w:spacing w:val="-20"/>
          <w:kern w:val="44"/>
          <w:sz w:val="24"/>
          <w:szCs w:val="24"/>
          <w:highlight w:val="none"/>
        </w:rPr>
      </w:pPr>
    </w:p>
    <w:p w14:paraId="6C024A07">
      <w:pPr>
        <w:pStyle w:val="9"/>
        <w:pageBreakBefore w:val="0"/>
        <w:kinsoku/>
        <w:wordWrap/>
        <w:overflowPunct/>
        <w:topLinePunct w:val="0"/>
        <w:bidi w:val="0"/>
        <w:spacing w:after="0" w:line="360" w:lineRule="auto"/>
        <w:jc w:val="center"/>
        <w:textAlignment w:val="auto"/>
        <w:rPr>
          <w:rFonts w:hint="eastAsia" w:ascii="宋体" w:hAnsi="宋体" w:eastAsia="宋体" w:cs="宋体"/>
          <w:b/>
          <w:bCs/>
          <w:spacing w:val="-20"/>
          <w:kern w:val="44"/>
          <w:sz w:val="24"/>
          <w:szCs w:val="24"/>
          <w:highlight w:val="none"/>
        </w:rPr>
      </w:pPr>
    </w:p>
    <w:p w14:paraId="1948CBD0">
      <w:pPr>
        <w:pStyle w:val="9"/>
        <w:pageBreakBefore w:val="0"/>
        <w:kinsoku/>
        <w:wordWrap/>
        <w:overflowPunct/>
        <w:topLinePunct w:val="0"/>
        <w:bidi w:val="0"/>
        <w:spacing w:after="0" w:line="360" w:lineRule="auto"/>
        <w:jc w:val="center"/>
        <w:textAlignment w:val="auto"/>
        <w:rPr>
          <w:rFonts w:hint="eastAsia" w:ascii="宋体" w:hAnsi="宋体" w:eastAsia="宋体" w:cs="宋体"/>
          <w:b/>
          <w:bCs/>
          <w:spacing w:val="-20"/>
          <w:kern w:val="44"/>
          <w:sz w:val="24"/>
          <w:szCs w:val="24"/>
          <w:highlight w:val="none"/>
        </w:rPr>
      </w:pPr>
    </w:p>
    <w:p w14:paraId="2C82C013">
      <w:pPr>
        <w:pStyle w:val="9"/>
        <w:pageBreakBefore w:val="0"/>
        <w:kinsoku/>
        <w:wordWrap/>
        <w:overflowPunct/>
        <w:topLinePunct w:val="0"/>
        <w:bidi w:val="0"/>
        <w:spacing w:after="0" w:line="360" w:lineRule="auto"/>
        <w:jc w:val="center"/>
        <w:textAlignment w:val="auto"/>
        <w:rPr>
          <w:rFonts w:hint="eastAsia" w:ascii="宋体" w:hAnsi="宋体" w:eastAsia="宋体" w:cs="宋体"/>
          <w:b/>
          <w:bCs/>
          <w:spacing w:val="-20"/>
          <w:kern w:val="44"/>
          <w:sz w:val="24"/>
          <w:szCs w:val="24"/>
          <w:highlight w:val="none"/>
        </w:rPr>
      </w:pPr>
    </w:p>
    <w:p w14:paraId="6E3DD6F2">
      <w:pPr>
        <w:pageBreakBefore w:val="0"/>
        <w:kinsoku/>
        <w:wordWrap/>
        <w:overflowPunct/>
        <w:topLinePunct w:val="0"/>
        <w:bidi w:val="0"/>
        <w:spacing w:line="360" w:lineRule="auto"/>
        <w:textAlignment w:val="auto"/>
        <w:rPr>
          <w:rFonts w:hint="eastAsia" w:ascii="宋体" w:hAnsi="宋体" w:eastAsia="宋体" w:cs="宋体"/>
          <w:b/>
          <w:bCs/>
          <w:spacing w:val="-20"/>
          <w:kern w:val="44"/>
          <w:sz w:val="24"/>
          <w:szCs w:val="24"/>
          <w:highlight w:val="none"/>
        </w:rPr>
      </w:pPr>
    </w:p>
    <w:p w14:paraId="69AE4AF1">
      <w:pPr>
        <w:pStyle w:val="9"/>
        <w:rPr>
          <w:rFonts w:hint="eastAsia" w:ascii="宋体" w:hAnsi="宋体" w:eastAsia="宋体" w:cs="宋体"/>
          <w:b/>
          <w:bCs/>
          <w:spacing w:val="-20"/>
          <w:kern w:val="44"/>
          <w:sz w:val="24"/>
          <w:szCs w:val="24"/>
          <w:highlight w:val="none"/>
        </w:rPr>
      </w:pPr>
    </w:p>
    <w:p w14:paraId="1DCC0BE9">
      <w:pPr>
        <w:pStyle w:val="9"/>
        <w:rPr>
          <w:rFonts w:hint="eastAsia" w:ascii="宋体" w:hAnsi="宋体" w:eastAsia="宋体" w:cs="宋体"/>
          <w:b/>
          <w:bCs/>
          <w:spacing w:val="-20"/>
          <w:kern w:val="44"/>
          <w:sz w:val="24"/>
          <w:szCs w:val="24"/>
          <w:highlight w:val="none"/>
        </w:rPr>
      </w:pPr>
    </w:p>
    <w:p w14:paraId="49ADC794">
      <w:pPr>
        <w:pageBreakBefore w:val="0"/>
        <w:kinsoku/>
        <w:wordWrap/>
        <w:overflowPunct/>
        <w:topLinePunct w:val="0"/>
        <w:bidi w:val="0"/>
        <w:spacing w:line="360" w:lineRule="auto"/>
        <w:textAlignment w:val="auto"/>
        <w:rPr>
          <w:rFonts w:hint="eastAsia" w:ascii="宋体" w:hAnsi="宋体" w:eastAsia="宋体" w:cs="宋体"/>
          <w:b/>
          <w:bCs/>
          <w:spacing w:val="-20"/>
          <w:kern w:val="44"/>
          <w:sz w:val="24"/>
          <w:szCs w:val="24"/>
          <w:highlight w:val="none"/>
        </w:rPr>
      </w:pPr>
    </w:p>
    <w:p w14:paraId="22B2A3D7">
      <w:pPr>
        <w:pStyle w:val="9"/>
        <w:pageBreakBefore w:val="0"/>
        <w:kinsoku/>
        <w:wordWrap/>
        <w:overflowPunct/>
        <w:topLinePunct w:val="0"/>
        <w:bidi w:val="0"/>
        <w:spacing w:line="360" w:lineRule="auto"/>
        <w:textAlignment w:val="auto"/>
        <w:rPr>
          <w:rFonts w:hint="eastAsia"/>
          <w:highlight w:val="none"/>
        </w:rPr>
      </w:pPr>
    </w:p>
    <w:p w14:paraId="5FF8F2E5">
      <w:pPr>
        <w:pageBreakBefore w:val="0"/>
        <w:kinsoku/>
        <w:wordWrap/>
        <w:overflowPunct/>
        <w:topLinePunct w:val="0"/>
        <w:bidi w:val="0"/>
        <w:spacing w:line="360" w:lineRule="auto"/>
        <w:textAlignment w:val="auto"/>
        <w:rPr>
          <w:rFonts w:hint="eastAsia" w:ascii="宋体" w:hAnsi="宋体" w:eastAsia="宋体" w:cs="宋体"/>
          <w:b/>
          <w:bCs/>
          <w:spacing w:val="-20"/>
          <w:kern w:val="44"/>
          <w:sz w:val="24"/>
          <w:szCs w:val="24"/>
          <w:highlight w:val="none"/>
        </w:rPr>
      </w:pPr>
    </w:p>
    <w:p w14:paraId="422A80E7">
      <w:pPr>
        <w:tabs>
          <w:tab w:val="left" w:pos="2410"/>
        </w:tabs>
        <w:autoSpaceDE w:val="0"/>
        <w:autoSpaceDN w:val="0"/>
        <w:adjustRightInd w:val="0"/>
        <w:snapToGrid w:val="0"/>
        <w:spacing w:line="360" w:lineRule="auto"/>
        <w:ind w:right="-313" w:rightChars="-149" w:firstLine="480" w:firstLineChars="200"/>
        <w:rPr>
          <w:rFonts w:hint="eastAsia" w:ascii="宋体" w:hAnsi="宋体" w:eastAsia="宋体" w:cs="宋体"/>
          <w:sz w:val="24"/>
          <w:szCs w:val="24"/>
          <w:highlight w:val="none"/>
          <w:u w:val="single"/>
        </w:rPr>
      </w:pPr>
      <w:r>
        <w:rPr>
          <w:rFonts w:hint="eastAsia" w:ascii="宋体" w:hAnsi="宋体" w:eastAsia="宋体" w:cs="宋体"/>
          <w:kern w:val="0"/>
          <w:sz w:val="24"/>
          <w:szCs w:val="24"/>
          <w:highlight w:val="none"/>
        </w:rPr>
        <w:t>项目名称：</w:t>
      </w:r>
      <w:r>
        <w:rPr>
          <w:rFonts w:hint="eastAsia" w:ascii="宋体" w:hAnsi="宋体" w:eastAsia="宋体" w:cs="宋体"/>
          <w:sz w:val="24"/>
          <w:szCs w:val="24"/>
          <w:highlight w:val="none"/>
          <w:u w:val="single"/>
          <w:lang w:val="en-US" w:eastAsia="zh-CN"/>
        </w:rPr>
        <w:t>滁州技师学院新校区大礼堂大屏及电动窗帘建设项目</w:t>
      </w:r>
    </w:p>
    <w:p w14:paraId="3D384426">
      <w:pPr>
        <w:pageBreakBefore w:val="0"/>
        <w:kinsoku/>
        <w:wordWrap/>
        <w:overflowPunct/>
        <w:topLinePunct w:val="0"/>
        <w:bidi w:val="0"/>
        <w:spacing w:line="360" w:lineRule="auto"/>
        <w:ind w:left="420" w:leftChars="200"/>
        <w:textAlignment w:val="auto"/>
        <w:rPr>
          <w:rFonts w:hint="eastAsia"/>
          <w:highlight w:val="none"/>
        </w:rPr>
      </w:pPr>
      <w:r>
        <w:rPr>
          <w:rFonts w:hint="eastAsia" w:ascii="宋体" w:hAnsi="宋体" w:eastAsia="宋体" w:cs="宋体"/>
          <w:sz w:val="24"/>
          <w:szCs w:val="24"/>
          <w:highlight w:val="none"/>
        </w:rPr>
        <w:t>项目编号：</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w:t>
      </w:r>
    </w:p>
    <w:p w14:paraId="0EA9484A">
      <w:pPr>
        <w:pageBreakBefore w:val="0"/>
        <w:kinsoku/>
        <w:wordWrap/>
        <w:overflowPunct/>
        <w:topLinePunct w:val="0"/>
        <w:bidi w:val="0"/>
        <w:spacing w:line="360" w:lineRule="auto"/>
        <w:ind w:left="420" w:leftChars="2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合同编号：</w:t>
      </w:r>
      <w:r>
        <w:rPr>
          <w:rFonts w:hint="eastAsia" w:ascii="宋体" w:hAnsi="宋体" w:eastAsia="宋体" w:cs="宋体"/>
          <w:sz w:val="24"/>
          <w:szCs w:val="24"/>
          <w:highlight w:val="none"/>
          <w:u w:val="single"/>
        </w:rPr>
        <w:t xml:space="preserve">                             </w:t>
      </w:r>
    </w:p>
    <w:p w14:paraId="15E1C78E">
      <w:pPr>
        <w:pageBreakBefore w:val="0"/>
        <w:kinsoku/>
        <w:wordWrap/>
        <w:overflowPunct/>
        <w:topLinePunct w:val="0"/>
        <w:bidi w:val="0"/>
        <w:spacing w:line="360" w:lineRule="auto"/>
        <w:ind w:left="420" w:leftChars="200"/>
        <w:textAlignment w:val="auto"/>
        <w:rPr>
          <w:rFonts w:hint="eastAsia" w:ascii="宋体" w:hAnsi="宋体" w:eastAsia="宋体" w:cs="宋体"/>
          <w:sz w:val="24"/>
          <w:szCs w:val="24"/>
          <w:highlight w:val="none"/>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甲方（采购人）</w:t>
      </w:r>
      <w:r>
        <w:rPr>
          <w:rFonts w:hint="eastAsia" w:ascii="宋体" w:hAnsi="宋体" w:eastAsia="宋体" w:cs="宋体"/>
          <w:sz w:val="24"/>
          <w:szCs w:val="24"/>
          <w:highlight w:val="none"/>
        </w:rPr>
        <w:t>：</w:t>
      </w:r>
      <w:r>
        <w:rPr>
          <w:rFonts w:hint="eastAsia" w:ascii="宋体" w:hAnsi="宋体" w:eastAsia="宋体" w:cs="宋体"/>
          <w:color w:val="auto"/>
          <w:sz w:val="24"/>
          <w:szCs w:val="24"/>
          <w:highlight w:val="none"/>
          <w:u w:val="single"/>
          <w:lang w:eastAsia="zh-CN"/>
        </w:rPr>
        <w:t>滁州市机电工程学校</w:t>
      </w:r>
    </w:p>
    <w:p w14:paraId="41A86F36">
      <w:pPr>
        <w:pageBreakBefore w:val="0"/>
        <w:kinsoku/>
        <w:wordWrap/>
        <w:overflowPunct/>
        <w:topLinePunct w:val="0"/>
        <w:bidi w:val="0"/>
        <w:spacing w:line="360" w:lineRule="auto"/>
        <w:ind w:left="420" w:leftChars="200"/>
        <w:textAlignment w:val="auto"/>
        <w:rPr>
          <w:rFonts w:hint="eastAsia" w:ascii="宋体" w:hAnsi="宋体" w:eastAsia="宋体" w:cs="宋体"/>
          <w:sz w:val="24"/>
          <w:szCs w:val="24"/>
          <w:highlight w:val="none"/>
          <w:u w:val="single"/>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乙方（中标人）</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w:t>
      </w:r>
    </w:p>
    <w:p w14:paraId="6A35D745">
      <w:pPr>
        <w:pageBreakBefore w:val="0"/>
        <w:kinsoku/>
        <w:wordWrap/>
        <w:overflowPunct/>
        <w:topLinePunct w:val="0"/>
        <w:bidi w:val="0"/>
        <w:spacing w:line="360" w:lineRule="auto"/>
        <w:ind w:left="420" w:left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签订时间：</w:t>
      </w:r>
      <w:r>
        <w:rPr>
          <w:rFonts w:hint="eastAsia" w:ascii="宋体" w:hAnsi="宋体" w:eastAsia="宋体" w:cs="宋体"/>
          <w:sz w:val="24"/>
          <w:szCs w:val="24"/>
          <w:highlight w:val="none"/>
          <w:u w:val="single"/>
        </w:rPr>
        <w:t xml:space="preserve">                             </w:t>
      </w:r>
    </w:p>
    <w:p w14:paraId="2658675D">
      <w:pPr>
        <w:pageBreakBefore w:val="0"/>
        <w:kinsoku/>
        <w:wordWrap/>
        <w:overflowPunct/>
        <w:topLinePunct w:val="0"/>
        <w:bidi w:val="0"/>
        <w:spacing w:line="360" w:lineRule="auto"/>
        <w:textAlignment w:val="auto"/>
        <w:rPr>
          <w:rFonts w:hint="eastAsia" w:ascii="宋体" w:hAnsi="宋体" w:eastAsia="宋体" w:cs="宋体"/>
          <w:sz w:val="24"/>
          <w:szCs w:val="24"/>
          <w:highlight w:val="none"/>
        </w:rPr>
      </w:pPr>
    </w:p>
    <w:p w14:paraId="0BC445AB">
      <w:pPr>
        <w:pageBreakBefore w:val="0"/>
        <w:kinsoku/>
        <w:wordWrap/>
        <w:overflowPunct/>
        <w:topLinePunct w:val="0"/>
        <w:bidi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p>
    <w:p w14:paraId="777F586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360" w:right="0"/>
        <w:jc w:val="center"/>
        <w:textAlignment w:val="baseline"/>
        <w:outlineLvl w:val="1"/>
        <w:rPr>
          <w:rFonts w:hint="eastAsia" w:ascii="宋体" w:hAnsi="宋体" w:eastAsia="宋体" w:cs="宋体"/>
          <w:b/>
          <w:bCs w:val="0"/>
          <w:kern w:val="2"/>
          <w:sz w:val="30"/>
          <w:szCs w:val="30"/>
          <w:highlight w:val="none"/>
          <w:vertAlign w:val="baseline"/>
        </w:rPr>
      </w:pPr>
      <w:bookmarkStart w:id="40" w:name="_Toc22921"/>
      <w:r>
        <w:rPr>
          <w:rFonts w:hint="eastAsia" w:ascii="宋体" w:hAnsi="宋体" w:eastAsia="宋体" w:cs="宋体"/>
          <w:b/>
          <w:bCs w:val="0"/>
          <w:kern w:val="2"/>
          <w:sz w:val="30"/>
          <w:szCs w:val="30"/>
          <w:highlight w:val="none"/>
          <w:vertAlign w:val="baseline"/>
          <w:lang w:val="en-US" w:eastAsia="zh-CN" w:bidi="ar"/>
        </w:rPr>
        <w:t>一、合同协议书（格式）</w:t>
      </w:r>
      <w:bookmarkEnd w:id="40"/>
    </w:p>
    <w:p w14:paraId="7800E93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3795" w:firstLineChars="1350"/>
        <w:jc w:val="both"/>
        <w:rPr>
          <w:rFonts w:hint="eastAsia" w:ascii="宋体" w:hAnsi="宋体" w:eastAsia="宋体" w:cs="宋体"/>
          <w:kern w:val="2"/>
          <w:sz w:val="28"/>
          <w:szCs w:val="28"/>
          <w:highlight w:val="none"/>
        </w:rPr>
      </w:pPr>
      <w:r>
        <w:rPr>
          <w:rFonts w:hint="eastAsia" w:ascii="宋体" w:hAnsi="宋体" w:eastAsia="宋体" w:cs="宋体"/>
          <w:b/>
          <w:bCs w:val="0"/>
          <w:kern w:val="2"/>
          <w:sz w:val="28"/>
          <w:szCs w:val="28"/>
          <w:highlight w:val="none"/>
          <w:lang w:val="en-US" w:eastAsia="zh-CN" w:bidi="ar"/>
        </w:rPr>
        <w:t xml:space="preserve">合同名称   </w:t>
      </w:r>
      <w:r>
        <w:rPr>
          <w:rFonts w:hint="eastAsia" w:ascii="宋体" w:hAnsi="宋体" w:eastAsia="宋体" w:cs="宋体"/>
          <w:kern w:val="2"/>
          <w:sz w:val="28"/>
          <w:szCs w:val="28"/>
          <w:highlight w:val="none"/>
          <w:lang w:val="en-US" w:eastAsia="zh-CN" w:bidi="ar"/>
        </w:rPr>
        <w:t xml:space="preserve">          编号</w:t>
      </w:r>
    </w:p>
    <w:p w14:paraId="2AEA4164">
      <w:pPr>
        <w:keepNext w:val="0"/>
        <w:keepLines w:val="0"/>
        <w:kinsoku/>
        <w:wordWrap/>
        <w:topLinePunct w:val="0"/>
        <w:bidi w:val="0"/>
        <w:snapToGrid/>
        <w:spacing w:line="400" w:lineRule="exact"/>
        <w:ind w:firstLine="480" w:firstLineChars="200"/>
        <w:rPr>
          <w:rFonts w:ascii="宋体" w:hAnsi="宋体" w:eastAsia="宋体" w:cs="宋体"/>
          <w:sz w:val="24"/>
          <w:szCs w:val="24"/>
        </w:rPr>
      </w:pPr>
      <w:r>
        <w:rPr>
          <w:rFonts w:hint="eastAsia" w:ascii="宋体" w:hAnsi="宋体" w:eastAsia="宋体" w:cs="宋体"/>
          <w:sz w:val="24"/>
          <w:szCs w:val="24"/>
        </w:rPr>
        <w:t>买    方：                                   卖    方：</w:t>
      </w:r>
    </w:p>
    <w:p w14:paraId="44334FA0">
      <w:pPr>
        <w:keepNext w:val="0"/>
        <w:keepLines w:val="0"/>
        <w:kinsoku/>
        <w:wordWrap/>
        <w:topLinePunct w:val="0"/>
        <w:bidi w:val="0"/>
        <w:snapToGrid/>
        <w:spacing w:line="400" w:lineRule="exact"/>
        <w:ind w:firstLine="480" w:firstLineChars="200"/>
        <w:rPr>
          <w:rFonts w:ascii="宋体" w:hAnsi="宋体" w:eastAsia="宋体" w:cs="宋体"/>
          <w:sz w:val="24"/>
          <w:szCs w:val="24"/>
        </w:rPr>
      </w:pPr>
      <w:r>
        <w:rPr>
          <w:rFonts w:hint="eastAsia" w:ascii="宋体" w:hAnsi="宋体" w:eastAsia="宋体" w:cs="宋体"/>
          <w:sz w:val="24"/>
          <w:szCs w:val="24"/>
        </w:rPr>
        <w:t>电    话：                                   电    话：</w:t>
      </w:r>
    </w:p>
    <w:p w14:paraId="068033FB">
      <w:pPr>
        <w:keepNext w:val="0"/>
        <w:keepLines w:val="0"/>
        <w:kinsoku/>
        <w:wordWrap/>
        <w:topLinePunct w:val="0"/>
        <w:bidi w:val="0"/>
        <w:snapToGrid/>
        <w:spacing w:line="400" w:lineRule="exact"/>
        <w:ind w:firstLine="480" w:firstLineChars="200"/>
        <w:rPr>
          <w:rFonts w:ascii="宋体" w:hAnsi="宋体" w:eastAsia="宋体" w:cs="宋体"/>
          <w:sz w:val="24"/>
          <w:szCs w:val="24"/>
        </w:rPr>
      </w:pPr>
      <w:r>
        <w:rPr>
          <w:rFonts w:hint="eastAsia" w:ascii="宋体" w:hAnsi="宋体" w:eastAsia="宋体" w:cs="宋体"/>
          <w:sz w:val="24"/>
          <w:szCs w:val="24"/>
        </w:rPr>
        <w:t xml:space="preserve">住    所：                                   住    所：                       </w:t>
      </w:r>
    </w:p>
    <w:p w14:paraId="783CCFCF">
      <w:pPr>
        <w:keepNext w:val="0"/>
        <w:keepLines w:val="0"/>
        <w:kinsoku/>
        <w:wordWrap/>
        <w:topLinePunct w:val="0"/>
        <w:bidi w:val="0"/>
        <w:snapToGrid/>
        <w:spacing w:line="400" w:lineRule="exact"/>
        <w:ind w:firstLine="480" w:firstLineChars="200"/>
        <w:rPr>
          <w:rFonts w:ascii="宋体" w:hAnsi="宋体" w:eastAsia="宋体" w:cs="宋体"/>
          <w:sz w:val="24"/>
          <w:szCs w:val="24"/>
        </w:rPr>
      </w:pPr>
      <w:r>
        <w:rPr>
          <w:rFonts w:hint="eastAsia" w:ascii="宋体" w:hAnsi="宋体" w:eastAsia="宋体" w:cs="宋体"/>
          <w:sz w:val="24"/>
          <w:szCs w:val="24"/>
          <w:u w:val="single"/>
        </w:rPr>
        <w:t>（买方）</w:t>
      </w:r>
      <w:r>
        <w:rPr>
          <w:rFonts w:hint="eastAsia" w:ascii="宋体" w:hAnsi="宋体" w:eastAsia="宋体" w:cs="宋体"/>
          <w:sz w:val="24"/>
          <w:szCs w:val="24"/>
        </w:rPr>
        <w:t>的</w:t>
      </w:r>
      <w:r>
        <w:rPr>
          <w:rFonts w:hint="eastAsia" w:ascii="宋体" w:hAnsi="宋体" w:eastAsia="宋体" w:cs="宋体"/>
          <w:sz w:val="24"/>
          <w:szCs w:val="24"/>
          <w:u w:val="single"/>
        </w:rPr>
        <w:t>（项目名称）</w:t>
      </w:r>
      <w:r>
        <w:rPr>
          <w:rFonts w:hint="eastAsia" w:ascii="宋体" w:hAnsi="宋体" w:eastAsia="宋体" w:cs="宋体"/>
          <w:sz w:val="24"/>
          <w:szCs w:val="24"/>
        </w:rPr>
        <w:t>中所需</w:t>
      </w:r>
      <w:r>
        <w:rPr>
          <w:rFonts w:hint="eastAsia" w:ascii="宋体" w:hAnsi="宋体" w:eastAsia="宋体" w:cs="宋体"/>
          <w:sz w:val="24"/>
          <w:szCs w:val="24"/>
          <w:u w:val="single"/>
        </w:rPr>
        <w:t>（产品名称）</w:t>
      </w:r>
      <w:r>
        <w:rPr>
          <w:rFonts w:hint="eastAsia" w:ascii="宋体" w:hAnsi="宋体" w:eastAsia="宋体" w:cs="宋体"/>
          <w:sz w:val="24"/>
          <w:szCs w:val="24"/>
        </w:rPr>
        <w:t xml:space="preserve"> 经公开招标，确定</w:t>
      </w:r>
      <w:r>
        <w:rPr>
          <w:rFonts w:hint="eastAsia" w:ascii="宋体" w:hAnsi="宋体" w:eastAsia="宋体" w:cs="宋体"/>
          <w:sz w:val="24"/>
          <w:szCs w:val="24"/>
          <w:u w:val="single"/>
        </w:rPr>
        <w:t>（卖方）</w:t>
      </w:r>
      <w:r>
        <w:rPr>
          <w:rFonts w:hint="eastAsia" w:ascii="宋体" w:hAnsi="宋体" w:eastAsia="宋体" w:cs="宋体"/>
          <w:sz w:val="24"/>
          <w:szCs w:val="24"/>
        </w:rPr>
        <w:t>为中标人。按照《中华人民共和国民法典》的规定，买卖双方同意按照下述的条款和条件，签署本合同。</w:t>
      </w:r>
    </w:p>
    <w:p w14:paraId="05C7A4B8">
      <w:pPr>
        <w:keepNext w:val="0"/>
        <w:keepLines w:val="0"/>
        <w:kinsoku/>
        <w:wordWrap/>
        <w:topLinePunct w:val="0"/>
        <w:bidi w:val="0"/>
        <w:snapToGrid/>
        <w:spacing w:line="400" w:lineRule="exact"/>
        <w:ind w:firstLine="480" w:firstLineChars="200"/>
        <w:rPr>
          <w:rFonts w:ascii="宋体" w:hAnsi="宋体" w:eastAsia="宋体" w:cs="宋体"/>
          <w:sz w:val="24"/>
          <w:szCs w:val="24"/>
        </w:rPr>
      </w:pPr>
      <w:r>
        <w:rPr>
          <w:rFonts w:hint="eastAsia" w:ascii="宋体" w:hAnsi="宋体" w:eastAsia="宋体" w:cs="宋体"/>
          <w:sz w:val="24"/>
          <w:szCs w:val="24"/>
        </w:rPr>
        <w:t>1.本合同文件</w:t>
      </w:r>
    </w:p>
    <w:p w14:paraId="2553285D">
      <w:pPr>
        <w:keepNext w:val="0"/>
        <w:keepLines w:val="0"/>
        <w:kinsoku/>
        <w:wordWrap/>
        <w:topLinePunct w:val="0"/>
        <w:bidi w:val="0"/>
        <w:snapToGrid/>
        <w:spacing w:line="400" w:lineRule="exact"/>
        <w:ind w:firstLine="480" w:firstLineChars="200"/>
        <w:rPr>
          <w:rFonts w:ascii="宋体" w:hAnsi="宋体" w:eastAsia="宋体" w:cs="宋体"/>
          <w:sz w:val="24"/>
          <w:szCs w:val="24"/>
        </w:rPr>
      </w:pPr>
      <w:r>
        <w:rPr>
          <w:rFonts w:hint="eastAsia" w:ascii="宋体" w:hAnsi="宋体" w:eastAsia="宋体" w:cs="宋体"/>
          <w:sz w:val="24"/>
          <w:szCs w:val="24"/>
        </w:rPr>
        <w:t>下列每一文件均应作为合同的组成部分进行阅读和解释：</w:t>
      </w:r>
    </w:p>
    <w:p w14:paraId="7CAC25BB">
      <w:pPr>
        <w:keepNext w:val="0"/>
        <w:keepLines w:val="0"/>
        <w:kinsoku/>
        <w:wordWrap/>
        <w:topLinePunct w:val="0"/>
        <w:bidi w:val="0"/>
        <w:snapToGrid/>
        <w:spacing w:line="400" w:lineRule="exact"/>
        <w:ind w:firstLine="480" w:firstLineChars="200"/>
        <w:rPr>
          <w:rFonts w:ascii="宋体" w:hAnsi="宋体" w:eastAsia="宋体" w:cs="宋体"/>
          <w:sz w:val="24"/>
          <w:szCs w:val="24"/>
        </w:rPr>
      </w:pPr>
      <w:r>
        <w:rPr>
          <w:rFonts w:hint="eastAsia" w:ascii="宋体" w:hAnsi="宋体" w:eastAsia="宋体" w:cs="宋体"/>
          <w:sz w:val="24"/>
          <w:szCs w:val="24"/>
        </w:rPr>
        <w:t>（1）招标文件（2）投标文件（3）中标通知书</w:t>
      </w:r>
    </w:p>
    <w:p w14:paraId="5B23C208">
      <w:pPr>
        <w:keepNext w:val="0"/>
        <w:keepLines w:val="0"/>
        <w:kinsoku/>
        <w:wordWrap/>
        <w:topLinePunct w:val="0"/>
        <w:bidi w:val="0"/>
        <w:snapToGrid/>
        <w:spacing w:line="400" w:lineRule="exact"/>
        <w:ind w:firstLine="480" w:firstLineChars="200"/>
        <w:rPr>
          <w:rFonts w:ascii="宋体" w:hAnsi="宋体" w:eastAsia="宋体" w:cs="宋体"/>
          <w:sz w:val="24"/>
          <w:szCs w:val="24"/>
        </w:rPr>
      </w:pPr>
      <w:r>
        <w:rPr>
          <w:rFonts w:hint="eastAsia" w:ascii="宋体" w:hAnsi="宋体" w:eastAsia="宋体" w:cs="宋体"/>
          <w:sz w:val="24"/>
          <w:szCs w:val="24"/>
        </w:rPr>
        <w:t>（4）经双方确认进入合同的其它文件、补充条款或说明</w:t>
      </w:r>
    </w:p>
    <w:p w14:paraId="79AB38DD">
      <w:pPr>
        <w:keepNext w:val="0"/>
        <w:keepLines w:val="0"/>
        <w:kinsoku/>
        <w:wordWrap/>
        <w:topLinePunct w:val="0"/>
        <w:bidi w:val="0"/>
        <w:snapToGrid/>
        <w:spacing w:line="400" w:lineRule="exact"/>
        <w:ind w:firstLine="480" w:firstLineChars="200"/>
        <w:rPr>
          <w:rFonts w:ascii="宋体" w:hAnsi="宋体" w:eastAsia="宋体" w:cs="宋体"/>
          <w:sz w:val="24"/>
          <w:szCs w:val="24"/>
        </w:rPr>
      </w:pPr>
      <w:r>
        <w:rPr>
          <w:rFonts w:hint="eastAsia" w:ascii="宋体" w:hAnsi="宋体" w:eastAsia="宋体" w:cs="宋体"/>
          <w:sz w:val="24"/>
          <w:szCs w:val="24"/>
        </w:rPr>
        <w:t>2.采购标的、数量、质量要求</w:t>
      </w:r>
    </w:p>
    <w:p w14:paraId="5114F591">
      <w:pPr>
        <w:keepNext w:val="0"/>
        <w:keepLines w:val="0"/>
        <w:kinsoku/>
        <w:wordWrap/>
        <w:topLinePunct w:val="0"/>
        <w:bidi w:val="0"/>
        <w:snapToGrid/>
        <w:spacing w:line="400" w:lineRule="exact"/>
        <w:ind w:firstLine="480" w:firstLineChars="200"/>
        <w:rPr>
          <w:rFonts w:ascii="宋体" w:hAnsi="宋体" w:eastAsia="宋体" w:cs="宋体"/>
          <w:sz w:val="24"/>
          <w:szCs w:val="24"/>
        </w:rPr>
      </w:pPr>
      <w:r>
        <w:rPr>
          <w:rFonts w:hint="eastAsia" w:ascii="宋体" w:hAnsi="宋体" w:eastAsia="宋体" w:cs="宋体"/>
          <w:sz w:val="24"/>
          <w:szCs w:val="24"/>
        </w:rPr>
        <w:t>3.合同总价</w:t>
      </w:r>
    </w:p>
    <w:p w14:paraId="7A5B3964">
      <w:pPr>
        <w:keepNext w:val="0"/>
        <w:keepLines w:val="0"/>
        <w:kinsoku/>
        <w:wordWrap/>
        <w:topLinePunct w:val="0"/>
        <w:bidi w:val="0"/>
        <w:snapToGrid/>
        <w:spacing w:line="400" w:lineRule="exact"/>
        <w:ind w:firstLine="480" w:firstLineChars="200"/>
        <w:rPr>
          <w:rFonts w:ascii="宋体" w:hAnsi="宋体" w:eastAsia="宋体" w:cs="宋体"/>
          <w:sz w:val="24"/>
          <w:szCs w:val="24"/>
        </w:rPr>
      </w:pPr>
      <w:r>
        <w:rPr>
          <w:rFonts w:hint="eastAsia" w:ascii="宋体" w:hAnsi="宋体" w:eastAsia="宋体" w:cs="宋体"/>
          <w:sz w:val="24"/>
          <w:szCs w:val="24"/>
        </w:rPr>
        <w:t xml:space="preserve">合同总价为 </w:t>
      </w:r>
      <w:r>
        <w:rPr>
          <w:rFonts w:hint="eastAsia" w:ascii="宋体" w:hAnsi="宋体" w:eastAsia="宋体" w:cs="宋体"/>
          <w:sz w:val="24"/>
          <w:szCs w:val="24"/>
          <w:u w:val="single"/>
        </w:rPr>
        <w:t xml:space="preserve">              </w:t>
      </w:r>
      <w:r>
        <w:rPr>
          <w:rFonts w:hint="eastAsia" w:ascii="宋体" w:hAnsi="宋体" w:eastAsia="宋体" w:cs="宋体"/>
          <w:sz w:val="24"/>
          <w:szCs w:val="24"/>
        </w:rPr>
        <w:t>元人民币。</w:t>
      </w:r>
    </w:p>
    <w:p w14:paraId="249765BB">
      <w:pPr>
        <w:keepNext w:val="0"/>
        <w:keepLines w:val="0"/>
        <w:kinsoku/>
        <w:wordWrap/>
        <w:topLinePunct w:val="0"/>
        <w:bidi w:val="0"/>
        <w:snapToGrid/>
        <w:spacing w:line="400" w:lineRule="exact"/>
        <w:ind w:firstLine="480" w:firstLineChars="200"/>
        <w:rPr>
          <w:rFonts w:ascii="宋体" w:hAnsi="宋体" w:eastAsia="宋体" w:cs="宋体"/>
          <w:sz w:val="24"/>
          <w:szCs w:val="24"/>
          <w:u w:val="single"/>
        </w:rPr>
      </w:pPr>
      <w:r>
        <w:rPr>
          <w:rFonts w:hint="eastAsia" w:ascii="宋体" w:hAnsi="宋体" w:eastAsia="宋体" w:cs="宋体"/>
          <w:sz w:val="24"/>
          <w:szCs w:val="24"/>
        </w:rPr>
        <w:t>4.付款方式：</w:t>
      </w:r>
      <w:r>
        <w:rPr>
          <w:rFonts w:hint="eastAsia" w:ascii="宋体" w:hAnsi="宋体" w:eastAsia="宋体"/>
          <w:sz w:val="24"/>
          <w:u w:val="single"/>
        </w:rPr>
        <w:t>合同签订且具备实施条件后，支付合同价的40%预付款（预付款支付前，中标人须提供同等金额的见索即付保函），全部供货安装调试完毕并由采购人验收合格后，一次性付清结算价款。</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r>
        <w:rPr>
          <w:rFonts w:hint="eastAsia" w:ascii="宋体" w:hAnsi="宋体" w:eastAsia="宋体" w:cs="宋体"/>
          <w:b/>
          <w:bCs/>
          <w:sz w:val="24"/>
          <w:szCs w:val="24"/>
        </w:rPr>
        <w:t xml:space="preserve">        </w:t>
      </w:r>
    </w:p>
    <w:p w14:paraId="019CFB83">
      <w:pPr>
        <w:keepNext w:val="0"/>
        <w:keepLines w:val="0"/>
        <w:kinsoku/>
        <w:wordWrap/>
        <w:topLinePunct w:val="0"/>
        <w:bidi w:val="0"/>
        <w:snapToGrid/>
        <w:spacing w:line="400" w:lineRule="exact"/>
        <w:ind w:firstLine="480" w:firstLineChars="200"/>
        <w:rPr>
          <w:rFonts w:ascii="宋体" w:hAnsi="宋体" w:eastAsia="宋体" w:cs="宋体"/>
          <w:sz w:val="24"/>
          <w:szCs w:val="24"/>
          <w:u w:val="single"/>
        </w:rPr>
      </w:pPr>
      <w:r>
        <w:rPr>
          <w:rFonts w:hint="eastAsia" w:ascii="宋体" w:hAnsi="宋体" w:eastAsia="宋体" w:cs="宋体"/>
          <w:sz w:val="24"/>
          <w:szCs w:val="24"/>
        </w:rPr>
        <w:t>5.合同供货（服务）期限及地点和方式：</w:t>
      </w:r>
      <w:r>
        <w:rPr>
          <w:rFonts w:hint="eastAsia" w:ascii="宋体" w:hAnsi="宋体" w:eastAsia="宋体" w:cs="宋体"/>
          <w:sz w:val="24"/>
          <w:szCs w:val="24"/>
          <w:u w:val="single"/>
        </w:rPr>
        <w:t>自合同签订并接到采购人通知之日起30个日历天内完成全部货物的供货、安装、调试。</w:t>
      </w:r>
    </w:p>
    <w:p w14:paraId="5BB77C95">
      <w:pPr>
        <w:keepNext w:val="0"/>
        <w:keepLines w:val="0"/>
        <w:kinsoku/>
        <w:wordWrap/>
        <w:topLinePunct w:val="0"/>
        <w:bidi w:val="0"/>
        <w:snapToGrid/>
        <w:spacing w:line="400" w:lineRule="exact"/>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rPr>
        <w:t>6.验收要求及违约责任：</w:t>
      </w:r>
      <w:r>
        <w:rPr>
          <w:rFonts w:hint="eastAsia" w:ascii="宋体" w:hAnsi="宋体" w:eastAsia="宋体" w:cs="宋体"/>
          <w:sz w:val="24"/>
          <w:szCs w:val="24"/>
          <w:lang w:val="en-US" w:eastAsia="zh-CN"/>
        </w:rPr>
        <w:t>见合同附件</w:t>
      </w:r>
    </w:p>
    <w:p w14:paraId="514F8D32">
      <w:pPr>
        <w:keepNext w:val="0"/>
        <w:keepLines w:val="0"/>
        <w:kinsoku/>
        <w:wordWrap/>
        <w:topLinePunct w:val="0"/>
        <w:bidi w:val="0"/>
        <w:snapToGrid/>
        <w:spacing w:line="400" w:lineRule="exact"/>
        <w:ind w:firstLine="480" w:firstLineChars="200"/>
        <w:rPr>
          <w:rFonts w:ascii="宋体" w:hAnsi="宋体" w:eastAsia="宋体" w:cs="宋体"/>
          <w:sz w:val="24"/>
          <w:szCs w:val="24"/>
        </w:rPr>
      </w:pPr>
      <w:r>
        <w:rPr>
          <w:rFonts w:hint="eastAsia" w:ascii="宋体" w:hAnsi="宋体" w:eastAsia="宋体" w:cs="宋体"/>
          <w:sz w:val="24"/>
          <w:szCs w:val="24"/>
        </w:rPr>
        <w:t>7.违约责任及解决争议方法：</w:t>
      </w:r>
    </w:p>
    <w:p w14:paraId="1D0AD17A">
      <w:pPr>
        <w:keepNext w:val="0"/>
        <w:keepLines w:val="0"/>
        <w:kinsoku/>
        <w:wordWrap/>
        <w:topLinePunct w:val="0"/>
        <w:bidi w:val="0"/>
        <w:snapToGrid/>
        <w:spacing w:line="400" w:lineRule="exact"/>
        <w:ind w:firstLine="480" w:firstLineChars="200"/>
        <w:rPr>
          <w:rFonts w:ascii="宋体" w:hAnsi="宋体" w:eastAsia="宋体" w:cs="宋体"/>
          <w:sz w:val="24"/>
          <w:szCs w:val="24"/>
        </w:rPr>
      </w:pPr>
      <w:r>
        <w:rPr>
          <w:rFonts w:hint="eastAsia" w:ascii="宋体" w:hAnsi="宋体" w:eastAsia="宋体" w:cs="宋体"/>
          <w:sz w:val="24"/>
          <w:szCs w:val="24"/>
        </w:rPr>
        <w:t>8.合同的生效</w:t>
      </w:r>
    </w:p>
    <w:p w14:paraId="0F04E64C">
      <w:pPr>
        <w:pStyle w:val="10"/>
        <w:keepNext w:val="0"/>
        <w:keepLines w:val="0"/>
        <w:kinsoku/>
        <w:wordWrap/>
        <w:topLinePunct w:val="0"/>
        <w:bidi w:val="0"/>
        <w:snapToGrid/>
        <w:spacing w:after="0" w:line="400" w:lineRule="exact"/>
        <w:ind w:left="0" w:leftChars="0" w:firstLine="480" w:firstLineChars="200"/>
        <w:rPr>
          <w:rFonts w:ascii="宋体" w:hAnsi="宋体" w:eastAsia="宋体" w:cs="宋体"/>
          <w:kern w:val="0"/>
          <w:sz w:val="24"/>
          <w:szCs w:val="24"/>
          <w:u w:color="000000"/>
        </w:rPr>
      </w:pPr>
      <w:r>
        <w:rPr>
          <w:rFonts w:hint="eastAsia" w:ascii="宋体" w:hAnsi="宋体" w:eastAsia="宋体" w:cs="宋体"/>
          <w:kern w:val="0"/>
          <w:sz w:val="24"/>
          <w:szCs w:val="24"/>
          <w:u w:color="000000"/>
        </w:rPr>
        <w:t>合同经双方授权代表签署，买卖双方加盖印章之后生效。</w:t>
      </w:r>
    </w:p>
    <w:p w14:paraId="498D0846">
      <w:pPr>
        <w:pStyle w:val="10"/>
        <w:keepNext w:val="0"/>
        <w:keepLines w:val="0"/>
        <w:kinsoku/>
        <w:wordWrap/>
        <w:topLinePunct w:val="0"/>
        <w:bidi w:val="0"/>
        <w:snapToGrid/>
        <w:spacing w:after="0" w:line="400" w:lineRule="exact"/>
        <w:ind w:left="0" w:leftChars="0" w:firstLine="480" w:firstLineChars="200"/>
        <w:rPr>
          <w:rFonts w:ascii="宋体" w:hAnsi="宋体" w:eastAsia="宋体" w:cs="宋体"/>
          <w:kern w:val="0"/>
          <w:sz w:val="24"/>
          <w:szCs w:val="24"/>
          <w:u w:color="000000"/>
        </w:rPr>
      </w:pPr>
      <w:r>
        <w:rPr>
          <w:rFonts w:hint="eastAsia" w:ascii="宋体" w:hAnsi="宋体" w:eastAsia="宋体" w:cs="宋体"/>
          <w:kern w:val="0"/>
          <w:sz w:val="24"/>
          <w:szCs w:val="24"/>
          <w:u w:color="000000"/>
        </w:rPr>
        <w:t>本合同一式     份，双方各执     份。</w:t>
      </w:r>
    </w:p>
    <w:p w14:paraId="169EE1C3">
      <w:pPr>
        <w:pStyle w:val="10"/>
        <w:keepNext w:val="0"/>
        <w:keepLines w:val="0"/>
        <w:kinsoku/>
        <w:wordWrap/>
        <w:topLinePunct w:val="0"/>
        <w:bidi w:val="0"/>
        <w:snapToGrid/>
        <w:spacing w:after="0" w:line="400" w:lineRule="exact"/>
        <w:ind w:left="0" w:leftChars="0" w:firstLine="480" w:firstLineChars="200"/>
        <w:rPr>
          <w:rFonts w:ascii="宋体" w:hAnsi="宋体" w:eastAsia="宋体" w:cs="宋体"/>
          <w:kern w:val="0"/>
          <w:sz w:val="24"/>
          <w:szCs w:val="24"/>
          <w:u w:color="000000"/>
        </w:rPr>
      </w:pPr>
      <w:r>
        <w:rPr>
          <w:rFonts w:hint="eastAsia" w:ascii="宋体" w:hAnsi="宋体" w:eastAsia="宋体" w:cs="宋体"/>
          <w:kern w:val="0"/>
          <w:sz w:val="24"/>
          <w:szCs w:val="24"/>
          <w:u w:color="000000"/>
        </w:rPr>
        <w:t>买  方：                          卖  方：</w:t>
      </w:r>
    </w:p>
    <w:p w14:paraId="235C3C29">
      <w:pPr>
        <w:pStyle w:val="10"/>
        <w:keepNext w:val="0"/>
        <w:keepLines w:val="0"/>
        <w:kinsoku/>
        <w:wordWrap/>
        <w:topLinePunct w:val="0"/>
        <w:bidi w:val="0"/>
        <w:snapToGrid/>
        <w:spacing w:after="0" w:line="400" w:lineRule="exact"/>
        <w:ind w:left="0" w:leftChars="0" w:firstLine="480" w:firstLineChars="200"/>
        <w:rPr>
          <w:rFonts w:ascii="宋体" w:hAnsi="宋体" w:eastAsia="宋体" w:cs="宋体"/>
          <w:kern w:val="0"/>
          <w:sz w:val="24"/>
          <w:szCs w:val="24"/>
          <w:u w:color="000000"/>
        </w:rPr>
      </w:pPr>
      <w:r>
        <w:rPr>
          <w:rFonts w:hint="eastAsia" w:ascii="宋体" w:hAnsi="宋体" w:eastAsia="宋体" w:cs="宋体"/>
          <w:kern w:val="0"/>
          <w:sz w:val="24"/>
          <w:szCs w:val="24"/>
          <w:u w:color="000000"/>
        </w:rPr>
        <w:t>名  称：（盖章）                  名  称：（盖章）</w:t>
      </w:r>
    </w:p>
    <w:p w14:paraId="14C52A1D">
      <w:pPr>
        <w:pStyle w:val="10"/>
        <w:keepNext w:val="0"/>
        <w:keepLines w:val="0"/>
        <w:kinsoku/>
        <w:wordWrap/>
        <w:topLinePunct w:val="0"/>
        <w:bidi w:val="0"/>
        <w:snapToGrid/>
        <w:spacing w:after="0" w:line="400" w:lineRule="exact"/>
        <w:ind w:left="0" w:leftChars="0" w:firstLine="480" w:firstLineChars="200"/>
        <w:rPr>
          <w:rFonts w:ascii="宋体" w:hAnsi="宋体" w:eastAsia="宋体" w:cs="宋体"/>
          <w:kern w:val="0"/>
          <w:sz w:val="24"/>
          <w:szCs w:val="24"/>
          <w:u w:color="000000"/>
        </w:rPr>
      </w:pPr>
      <w:r>
        <w:rPr>
          <w:rFonts w:hint="eastAsia" w:ascii="宋体" w:hAnsi="宋体" w:eastAsia="宋体" w:cs="宋体"/>
          <w:kern w:val="0"/>
          <w:sz w:val="24"/>
          <w:szCs w:val="24"/>
          <w:u w:color="000000"/>
        </w:rPr>
        <w:t>法定代表人（或委托代理人）：      法定代表人（或委托代理人）：</w:t>
      </w:r>
    </w:p>
    <w:p w14:paraId="392F9B3D">
      <w:pPr>
        <w:pStyle w:val="10"/>
        <w:keepNext w:val="0"/>
        <w:keepLines w:val="0"/>
        <w:kinsoku/>
        <w:wordWrap/>
        <w:topLinePunct w:val="0"/>
        <w:bidi w:val="0"/>
        <w:snapToGrid/>
        <w:spacing w:after="0" w:line="400" w:lineRule="exact"/>
        <w:ind w:left="0" w:leftChars="0" w:firstLine="480" w:firstLineChars="200"/>
        <w:rPr>
          <w:rFonts w:ascii="宋体" w:hAnsi="宋体" w:eastAsia="宋体" w:cs="宋体"/>
          <w:kern w:val="0"/>
          <w:sz w:val="24"/>
          <w:szCs w:val="24"/>
          <w:u w:color="000000"/>
        </w:rPr>
      </w:pPr>
      <w:r>
        <w:rPr>
          <w:rFonts w:hint="eastAsia" w:ascii="宋体" w:hAnsi="宋体" w:eastAsia="宋体" w:cs="宋体"/>
          <w:kern w:val="0"/>
          <w:sz w:val="24"/>
          <w:szCs w:val="24"/>
          <w:u w:color="000000"/>
        </w:rPr>
        <w:t>（签字）                        （签字）</w:t>
      </w:r>
    </w:p>
    <w:p w14:paraId="13148656">
      <w:pPr>
        <w:pStyle w:val="10"/>
        <w:keepNext w:val="0"/>
        <w:keepLines w:val="0"/>
        <w:kinsoku/>
        <w:wordWrap/>
        <w:topLinePunct w:val="0"/>
        <w:bidi w:val="0"/>
        <w:snapToGrid/>
        <w:spacing w:after="0" w:line="400" w:lineRule="exact"/>
        <w:ind w:left="0" w:leftChars="0" w:firstLine="480" w:firstLineChars="200"/>
        <w:rPr>
          <w:rFonts w:ascii="宋体" w:hAnsi="宋体" w:eastAsia="宋体" w:cs="宋体"/>
          <w:kern w:val="0"/>
          <w:sz w:val="24"/>
          <w:szCs w:val="24"/>
          <w:u w:color="000000"/>
        </w:rPr>
      </w:pPr>
      <w:r>
        <w:rPr>
          <w:rFonts w:hint="eastAsia" w:ascii="宋体" w:hAnsi="宋体" w:eastAsia="宋体" w:cs="宋体"/>
          <w:kern w:val="0"/>
          <w:sz w:val="24"/>
          <w:szCs w:val="24"/>
          <w:u w:color="000000"/>
        </w:rPr>
        <w:t>地    址：                        地    址：</w:t>
      </w:r>
    </w:p>
    <w:p w14:paraId="7A00A5C7">
      <w:pPr>
        <w:pStyle w:val="10"/>
        <w:keepNext w:val="0"/>
        <w:keepLines w:val="0"/>
        <w:kinsoku/>
        <w:wordWrap/>
        <w:topLinePunct w:val="0"/>
        <w:bidi w:val="0"/>
        <w:snapToGrid/>
        <w:spacing w:after="0" w:line="400" w:lineRule="exact"/>
        <w:ind w:left="0" w:leftChars="0" w:firstLine="480" w:firstLineChars="200"/>
        <w:rPr>
          <w:rFonts w:ascii="宋体" w:hAnsi="宋体" w:eastAsia="宋体" w:cs="宋体"/>
          <w:kern w:val="0"/>
          <w:sz w:val="24"/>
          <w:szCs w:val="24"/>
          <w:u w:color="000000"/>
        </w:rPr>
      </w:pPr>
      <w:r>
        <w:rPr>
          <w:rFonts w:hint="eastAsia" w:ascii="宋体" w:hAnsi="宋体" w:eastAsia="宋体" w:cs="宋体"/>
          <w:kern w:val="0"/>
          <w:sz w:val="24"/>
          <w:szCs w:val="24"/>
          <w:u w:color="000000"/>
        </w:rPr>
        <w:t>邮政编码：                        邮政编码：</w:t>
      </w:r>
    </w:p>
    <w:p w14:paraId="3D810171">
      <w:pPr>
        <w:pStyle w:val="10"/>
        <w:keepNext w:val="0"/>
        <w:keepLines w:val="0"/>
        <w:kinsoku/>
        <w:wordWrap/>
        <w:topLinePunct w:val="0"/>
        <w:bidi w:val="0"/>
        <w:snapToGrid/>
        <w:spacing w:after="0" w:line="400" w:lineRule="exact"/>
        <w:ind w:left="0" w:leftChars="0" w:firstLine="480" w:firstLineChars="200"/>
        <w:rPr>
          <w:rFonts w:ascii="宋体" w:hAnsi="宋体" w:eastAsia="宋体" w:cs="宋体"/>
          <w:kern w:val="0"/>
          <w:sz w:val="24"/>
          <w:szCs w:val="24"/>
          <w:u w:color="000000"/>
        </w:rPr>
      </w:pPr>
      <w:r>
        <w:rPr>
          <w:rFonts w:hint="eastAsia" w:ascii="宋体" w:hAnsi="宋体" w:eastAsia="宋体" w:cs="宋体"/>
          <w:kern w:val="0"/>
          <w:sz w:val="24"/>
          <w:szCs w:val="24"/>
          <w:u w:color="000000"/>
        </w:rPr>
        <w:t>电    话：                        电    话：</w:t>
      </w:r>
    </w:p>
    <w:p w14:paraId="70754B2E">
      <w:pPr>
        <w:pStyle w:val="10"/>
        <w:keepNext w:val="0"/>
        <w:keepLines w:val="0"/>
        <w:kinsoku/>
        <w:wordWrap/>
        <w:topLinePunct w:val="0"/>
        <w:bidi w:val="0"/>
        <w:snapToGrid/>
        <w:spacing w:after="0" w:line="400" w:lineRule="exact"/>
        <w:ind w:left="0" w:leftChars="0" w:firstLine="480" w:firstLineChars="200"/>
        <w:rPr>
          <w:rFonts w:ascii="宋体" w:hAnsi="宋体" w:eastAsia="宋体" w:cs="宋体"/>
          <w:kern w:val="0"/>
          <w:sz w:val="24"/>
          <w:szCs w:val="24"/>
          <w:u w:color="000000"/>
        </w:rPr>
      </w:pPr>
      <w:r>
        <w:rPr>
          <w:rFonts w:hint="eastAsia" w:ascii="宋体" w:hAnsi="宋体" w:eastAsia="宋体" w:cs="宋体"/>
          <w:kern w:val="0"/>
          <w:sz w:val="24"/>
          <w:szCs w:val="24"/>
          <w:u w:color="000000"/>
        </w:rPr>
        <w:t>开户银行：                        开户银行：</w:t>
      </w:r>
    </w:p>
    <w:p w14:paraId="0D30FB15">
      <w:pPr>
        <w:pStyle w:val="10"/>
        <w:keepNext w:val="0"/>
        <w:keepLines w:val="0"/>
        <w:kinsoku/>
        <w:wordWrap/>
        <w:topLinePunct w:val="0"/>
        <w:bidi w:val="0"/>
        <w:snapToGrid/>
        <w:spacing w:after="0" w:line="400" w:lineRule="exact"/>
        <w:ind w:left="0" w:leftChars="0" w:firstLine="480" w:firstLineChars="200"/>
        <w:rPr>
          <w:rFonts w:ascii="宋体" w:hAnsi="宋体" w:eastAsia="宋体" w:cs="宋体"/>
          <w:kern w:val="0"/>
          <w:sz w:val="24"/>
          <w:szCs w:val="24"/>
          <w:u w:color="000000"/>
        </w:rPr>
      </w:pPr>
      <w:r>
        <w:rPr>
          <w:rFonts w:hint="eastAsia" w:ascii="宋体" w:hAnsi="宋体" w:eastAsia="宋体" w:cs="宋体"/>
          <w:kern w:val="0"/>
          <w:sz w:val="24"/>
          <w:szCs w:val="24"/>
          <w:u w:color="000000"/>
        </w:rPr>
        <w:t>帐    号：                        帐    号：</w:t>
      </w:r>
    </w:p>
    <w:p w14:paraId="5FE9C3E5">
      <w:pPr>
        <w:keepNext w:val="0"/>
        <w:keepLines w:val="0"/>
        <w:pageBreakBefore/>
        <w:widowControl/>
        <w:kinsoku/>
        <w:wordWrap/>
        <w:topLinePunct w:val="0"/>
        <w:bidi w:val="0"/>
        <w:snapToGrid/>
        <w:spacing w:line="400" w:lineRule="exact"/>
        <w:ind w:left="363"/>
        <w:jc w:val="center"/>
        <w:textAlignment w:val="baseline"/>
        <w:outlineLvl w:val="1"/>
        <w:rPr>
          <w:rFonts w:ascii="宋体" w:hAnsi="宋体" w:eastAsia="宋体" w:cs="宋体"/>
          <w:b/>
          <w:sz w:val="24"/>
          <w:szCs w:val="24"/>
        </w:rPr>
      </w:pPr>
      <w:bookmarkStart w:id="41" w:name="_Toc247085768"/>
      <w:bookmarkStart w:id="42" w:name="_Toc246996253"/>
      <w:bookmarkStart w:id="43" w:name="_Toc246996996"/>
      <w:bookmarkStart w:id="44" w:name="_Toc449028947"/>
      <w:bookmarkStart w:id="45" w:name="_Toc179632628"/>
      <w:bookmarkStart w:id="46" w:name="_Toc19879"/>
      <w:bookmarkStart w:id="47" w:name="_Toc58430331"/>
      <w:bookmarkStart w:id="48" w:name="_Toc152042388"/>
      <w:bookmarkStart w:id="49" w:name="_Toc152045610"/>
      <w:bookmarkStart w:id="50" w:name="_Toc296602498"/>
      <w:bookmarkStart w:id="51" w:name="_Toc144974578"/>
      <w:r>
        <w:rPr>
          <w:rFonts w:hint="eastAsia" w:ascii="宋体" w:hAnsi="宋体" w:eastAsia="宋体" w:cs="宋体"/>
          <w:b/>
          <w:sz w:val="24"/>
          <w:szCs w:val="24"/>
        </w:rPr>
        <w:t>二、合同条款</w:t>
      </w:r>
      <w:bookmarkEnd w:id="41"/>
      <w:bookmarkEnd w:id="42"/>
      <w:bookmarkEnd w:id="43"/>
      <w:bookmarkEnd w:id="44"/>
      <w:bookmarkEnd w:id="45"/>
      <w:bookmarkEnd w:id="46"/>
      <w:bookmarkEnd w:id="47"/>
      <w:bookmarkEnd w:id="48"/>
      <w:bookmarkEnd w:id="49"/>
      <w:bookmarkEnd w:id="50"/>
      <w:bookmarkEnd w:id="51"/>
    </w:p>
    <w:p w14:paraId="3B1AE895">
      <w:pPr>
        <w:keepNext w:val="0"/>
        <w:keepLines w:val="0"/>
        <w:kinsoku/>
        <w:wordWrap/>
        <w:topLinePunct w:val="0"/>
        <w:bidi w:val="0"/>
        <w:snapToGrid/>
        <w:spacing w:line="400" w:lineRule="exact"/>
        <w:rPr>
          <w:rFonts w:ascii="宋体" w:hAnsi="宋体" w:eastAsia="宋体" w:cs="宋体"/>
          <w:b/>
          <w:sz w:val="24"/>
          <w:szCs w:val="24"/>
        </w:rPr>
      </w:pPr>
      <w:r>
        <w:rPr>
          <w:rFonts w:hint="eastAsia" w:ascii="宋体" w:hAnsi="宋体" w:eastAsia="宋体" w:cs="宋体"/>
          <w:b/>
          <w:sz w:val="24"/>
          <w:szCs w:val="24"/>
        </w:rPr>
        <w:t>一.  合同文件</w:t>
      </w:r>
    </w:p>
    <w:p w14:paraId="4A372C29">
      <w:pPr>
        <w:keepNext w:val="0"/>
        <w:keepLines w:val="0"/>
        <w:kinsoku/>
        <w:wordWrap/>
        <w:topLinePunct w:val="0"/>
        <w:bidi w:val="0"/>
        <w:snapToGrid/>
        <w:spacing w:line="400" w:lineRule="exact"/>
        <w:rPr>
          <w:rFonts w:ascii="宋体" w:hAnsi="宋体" w:eastAsia="宋体" w:cs="宋体"/>
          <w:sz w:val="24"/>
          <w:szCs w:val="24"/>
        </w:rPr>
      </w:pPr>
      <w:r>
        <w:rPr>
          <w:rFonts w:hint="eastAsia" w:ascii="宋体" w:hAnsi="宋体" w:eastAsia="宋体" w:cs="宋体"/>
          <w:sz w:val="24"/>
          <w:szCs w:val="24"/>
        </w:rPr>
        <w:t>1.合同文件适用法律</w:t>
      </w:r>
    </w:p>
    <w:p w14:paraId="1D478322">
      <w:pPr>
        <w:keepNext w:val="0"/>
        <w:keepLines w:val="0"/>
        <w:kinsoku/>
        <w:wordWrap/>
        <w:topLinePunct w:val="0"/>
        <w:bidi w:val="0"/>
        <w:snapToGrid/>
        <w:spacing w:line="400" w:lineRule="exact"/>
        <w:ind w:firstLine="720" w:firstLineChars="300"/>
        <w:rPr>
          <w:rFonts w:ascii="宋体" w:hAnsi="宋体" w:eastAsia="宋体" w:cs="宋体"/>
          <w:sz w:val="24"/>
          <w:szCs w:val="24"/>
        </w:rPr>
      </w:pPr>
      <w:r>
        <w:rPr>
          <w:rFonts w:hint="eastAsia" w:ascii="宋体" w:hAnsi="宋体" w:eastAsia="宋体" w:cs="宋体"/>
          <w:sz w:val="24"/>
          <w:szCs w:val="24"/>
        </w:rPr>
        <w:t>适用于合同文件的法律是中华人民共和国现行法律、法规及采购人所在地的地方性法规。</w:t>
      </w:r>
    </w:p>
    <w:p w14:paraId="1B36BCF6">
      <w:pPr>
        <w:keepNext w:val="0"/>
        <w:keepLines w:val="0"/>
        <w:kinsoku/>
        <w:wordWrap/>
        <w:topLinePunct w:val="0"/>
        <w:bidi w:val="0"/>
        <w:snapToGrid/>
        <w:spacing w:line="400" w:lineRule="exact"/>
        <w:rPr>
          <w:rFonts w:ascii="宋体" w:hAnsi="宋体" w:eastAsia="宋体" w:cs="宋体"/>
          <w:sz w:val="24"/>
          <w:szCs w:val="24"/>
        </w:rPr>
      </w:pPr>
      <w:r>
        <w:rPr>
          <w:rFonts w:hint="eastAsia" w:ascii="宋体" w:hAnsi="宋体" w:eastAsia="宋体" w:cs="宋体"/>
          <w:sz w:val="24"/>
          <w:szCs w:val="24"/>
        </w:rPr>
        <w:t>2.合同文件组成和解释顺序</w:t>
      </w:r>
    </w:p>
    <w:p w14:paraId="4C5891FD">
      <w:pPr>
        <w:keepNext w:val="0"/>
        <w:keepLines w:val="0"/>
        <w:kinsoku/>
        <w:wordWrap/>
        <w:topLinePunct w:val="0"/>
        <w:bidi w:val="0"/>
        <w:snapToGrid/>
        <w:spacing w:line="400" w:lineRule="exact"/>
        <w:ind w:firstLine="600" w:firstLineChars="250"/>
        <w:rPr>
          <w:rFonts w:ascii="宋体" w:hAnsi="宋体" w:eastAsia="宋体" w:cs="宋体"/>
          <w:sz w:val="24"/>
          <w:szCs w:val="24"/>
        </w:rPr>
      </w:pPr>
      <w:r>
        <w:rPr>
          <w:rFonts w:hint="eastAsia" w:ascii="宋体" w:hAnsi="宋体" w:eastAsia="宋体" w:cs="宋体"/>
          <w:sz w:val="24"/>
          <w:szCs w:val="24"/>
        </w:rPr>
        <w:t>(1)合同文件的组成和解释顺序如下：</w:t>
      </w:r>
    </w:p>
    <w:p w14:paraId="6DAE39B8">
      <w:pPr>
        <w:keepNext w:val="0"/>
        <w:keepLines w:val="0"/>
        <w:kinsoku/>
        <w:wordWrap/>
        <w:topLinePunct w:val="0"/>
        <w:bidi w:val="0"/>
        <w:snapToGrid/>
        <w:spacing w:line="400" w:lineRule="exact"/>
        <w:ind w:firstLine="600" w:firstLineChars="250"/>
        <w:rPr>
          <w:rFonts w:ascii="宋体" w:hAnsi="宋体" w:eastAsia="宋体" w:cs="宋体"/>
          <w:sz w:val="24"/>
          <w:szCs w:val="24"/>
        </w:rPr>
      </w:pPr>
      <w:r>
        <w:rPr>
          <w:rFonts w:hint="eastAsia" w:ascii="宋体" w:hAnsi="宋体" w:eastAsia="宋体" w:cs="宋体"/>
          <w:sz w:val="24"/>
          <w:szCs w:val="24"/>
        </w:rPr>
        <w:t>&lt;1&gt;合同的主要条款；</w:t>
      </w:r>
    </w:p>
    <w:p w14:paraId="1014F754">
      <w:pPr>
        <w:keepNext w:val="0"/>
        <w:keepLines w:val="0"/>
        <w:kinsoku/>
        <w:wordWrap/>
        <w:topLinePunct w:val="0"/>
        <w:bidi w:val="0"/>
        <w:snapToGrid/>
        <w:spacing w:line="400" w:lineRule="exact"/>
        <w:ind w:firstLine="600" w:firstLineChars="250"/>
        <w:rPr>
          <w:rFonts w:ascii="宋体" w:hAnsi="宋体" w:eastAsia="宋体" w:cs="宋体"/>
          <w:sz w:val="24"/>
          <w:szCs w:val="24"/>
        </w:rPr>
      </w:pPr>
      <w:r>
        <w:rPr>
          <w:rFonts w:hint="eastAsia" w:ascii="宋体" w:hAnsi="宋体" w:eastAsia="宋体" w:cs="宋体"/>
          <w:sz w:val="24"/>
          <w:szCs w:val="24"/>
        </w:rPr>
        <w:t>&lt;2&gt;合同的一般性条款；</w:t>
      </w:r>
    </w:p>
    <w:p w14:paraId="13F4719F">
      <w:pPr>
        <w:keepNext w:val="0"/>
        <w:keepLines w:val="0"/>
        <w:kinsoku/>
        <w:wordWrap/>
        <w:topLinePunct w:val="0"/>
        <w:bidi w:val="0"/>
        <w:snapToGrid/>
        <w:spacing w:line="400" w:lineRule="exact"/>
        <w:ind w:firstLine="600" w:firstLineChars="250"/>
        <w:rPr>
          <w:rFonts w:ascii="宋体" w:hAnsi="宋体" w:eastAsia="宋体" w:cs="宋体"/>
          <w:sz w:val="24"/>
          <w:szCs w:val="24"/>
        </w:rPr>
      </w:pPr>
      <w:r>
        <w:rPr>
          <w:rFonts w:hint="eastAsia" w:ascii="宋体" w:hAnsi="宋体" w:eastAsia="宋体" w:cs="宋体"/>
          <w:sz w:val="24"/>
          <w:szCs w:val="24"/>
        </w:rPr>
        <w:t>&lt;3&gt;洽商、变更等明确双方权利义务的纪要、协议；</w:t>
      </w:r>
    </w:p>
    <w:p w14:paraId="32BCBE00">
      <w:pPr>
        <w:keepNext w:val="0"/>
        <w:keepLines w:val="0"/>
        <w:kinsoku/>
        <w:wordWrap/>
        <w:topLinePunct w:val="0"/>
        <w:bidi w:val="0"/>
        <w:snapToGrid/>
        <w:spacing w:line="400" w:lineRule="exact"/>
        <w:ind w:firstLine="600" w:firstLineChars="250"/>
        <w:rPr>
          <w:rFonts w:ascii="宋体" w:hAnsi="宋体" w:eastAsia="宋体" w:cs="宋体"/>
          <w:sz w:val="24"/>
          <w:szCs w:val="24"/>
        </w:rPr>
      </w:pPr>
      <w:r>
        <w:rPr>
          <w:rFonts w:hint="eastAsia" w:ascii="宋体" w:hAnsi="宋体" w:eastAsia="宋体" w:cs="宋体"/>
          <w:sz w:val="24"/>
          <w:szCs w:val="24"/>
        </w:rPr>
        <w:t>&lt;4&gt;中标通知书、投标文件和招标文件；</w:t>
      </w:r>
    </w:p>
    <w:p w14:paraId="1ECF24A4">
      <w:pPr>
        <w:keepNext w:val="0"/>
        <w:keepLines w:val="0"/>
        <w:kinsoku/>
        <w:wordWrap/>
        <w:topLinePunct w:val="0"/>
        <w:bidi w:val="0"/>
        <w:snapToGrid/>
        <w:spacing w:line="400" w:lineRule="exact"/>
        <w:ind w:firstLine="600" w:firstLineChars="250"/>
        <w:rPr>
          <w:rFonts w:ascii="宋体" w:hAnsi="宋体" w:eastAsia="宋体" w:cs="宋体"/>
          <w:sz w:val="24"/>
          <w:szCs w:val="24"/>
        </w:rPr>
      </w:pPr>
      <w:r>
        <w:rPr>
          <w:rFonts w:hint="eastAsia" w:ascii="宋体" w:hAnsi="宋体" w:eastAsia="宋体" w:cs="宋体"/>
          <w:sz w:val="24"/>
          <w:szCs w:val="24"/>
        </w:rPr>
        <w:t>&lt;5&gt;有关图纸、标准、规范和其它有关技术资料、技术要求。</w:t>
      </w:r>
    </w:p>
    <w:p w14:paraId="587E75F0">
      <w:pPr>
        <w:keepNext w:val="0"/>
        <w:keepLines w:val="0"/>
        <w:kinsoku/>
        <w:wordWrap/>
        <w:topLinePunct w:val="0"/>
        <w:bidi w:val="0"/>
        <w:snapToGrid/>
        <w:spacing w:line="400" w:lineRule="exact"/>
        <w:ind w:firstLine="600" w:firstLineChars="250"/>
        <w:rPr>
          <w:rFonts w:ascii="宋体" w:hAnsi="宋体" w:eastAsia="宋体" w:cs="宋体"/>
          <w:sz w:val="24"/>
          <w:szCs w:val="24"/>
        </w:rPr>
      </w:pPr>
      <w:r>
        <w:rPr>
          <w:rFonts w:hint="eastAsia" w:ascii="宋体" w:hAnsi="宋体" w:eastAsia="宋体" w:cs="宋体"/>
          <w:sz w:val="24"/>
          <w:szCs w:val="24"/>
        </w:rPr>
        <w:t>&lt;6&gt;合同的主要条款的效力优于合同的一般性条款的效力。</w:t>
      </w:r>
    </w:p>
    <w:p w14:paraId="6CE75670">
      <w:pPr>
        <w:keepNext w:val="0"/>
        <w:keepLines w:val="0"/>
        <w:kinsoku/>
        <w:wordWrap/>
        <w:topLinePunct w:val="0"/>
        <w:bidi w:val="0"/>
        <w:snapToGrid/>
        <w:spacing w:line="400" w:lineRule="exact"/>
        <w:rPr>
          <w:rFonts w:ascii="宋体" w:hAnsi="宋体" w:eastAsia="宋体" w:cs="宋体"/>
          <w:sz w:val="24"/>
          <w:szCs w:val="24"/>
        </w:rPr>
      </w:pPr>
      <w:r>
        <w:rPr>
          <w:rFonts w:hint="eastAsia" w:ascii="宋体" w:hAnsi="宋体" w:eastAsia="宋体" w:cs="宋体"/>
          <w:sz w:val="24"/>
          <w:szCs w:val="24"/>
        </w:rPr>
        <w:t>3.合同文件使用文字</w:t>
      </w:r>
    </w:p>
    <w:p w14:paraId="5BD35A3C">
      <w:pPr>
        <w:pStyle w:val="7"/>
        <w:keepNext w:val="0"/>
        <w:keepLines w:val="0"/>
        <w:kinsoku/>
        <w:wordWrap/>
        <w:topLinePunct w:val="0"/>
        <w:bidi w:val="0"/>
        <w:snapToGrid/>
        <w:spacing w:line="400" w:lineRule="exact"/>
        <w:ind w:firstLine="600" w:firstLineChars="250"/>
        <w:rPr>
          <w:rFonts w:hAnsi="宋体" w:cs="宋体"/>
          <w:szCs w:val="24"/>
          <w:u w:color="000000"/>
        </w:rPr>
      </w:pPr>
      <w:r>
        <w:rPr>
          <w:rFonts w:hint="eastAsia" w:hAnsi="宋体" w:cs="宋体"/>
          <w:szCs w:val="24"/>
          <w:u w:color="000000"/>
        </w:rPr>
        <w:t>(1)合同文件使用中文书写、解释和说明。</w:t>
      </w:r>
    </w:p>
    <w:p w14:paraId="46A1C64C">
      <w:pPr>
        <w:pStyle w:val="7"/>
        <w:keepNext w:val="0"/>
        <w:keepLines w:val="0"/>
        <w:kinsoku/>
        <w:wordWrap/>
        <w:overflowPunct w:val="0"/>
        <w:topLinePunct w:val="0"/>
        <w:bidi w:val="0"/>
        <w:snapToGrid/>
        <w:spacing w:line="400" w:lineRule="exact"/>
        <w:ind w:firstLine="600" w:firstLineChars="250"/>
        <w:rPr>
          <w:rFonts w:hAnsi="宋体" w:cs="宋体"/>
          <w:szCs w:val="24"/>
          <w:u w:color="000000"/>
        </w:rPr>
      </w:pPr>
      <w:r>
        <w:rPr>
          <w:rFonts w:hint="eastAsia" w:hAnsi="宋体" w:cs="宋体"/>
          <w:szCs w:val="24"/>
          <w:u w:color="000000"/>
        </w:rPr>
        <w:t xml:space="preserve">(2)合同文件使用技术性条款约定的为国家标准和规范；国家没有相应标准、规范时，可使用行业标准、规范。非标货物应按约定的技术性条款的标准和规范。 </w:t>
      </w:r>
    </w:p>
    <w:p w14:paraId="70ECB36E">
      <w:pPr>
        <w:keepNext w:val="0"/>
        <w:keepLines w:val="0"/>
        <w:kinsoku/>
        <w:wordWrap/>
        <w:topLinePunct w:val="0"/>
        <w:bidi w:val="0"/>
        <w:snapToGrid/>
        <w:spacing w:line="400" w:lineRule="exact"/>
        <w:rPr>
          <w:rFonts w:ascii="宋体" w:hAnsi="宋体" w:eastAsia="宋体" w:cs="宋体"/>
          <w:b/>
          <w:sz w:val="24"/>
          <w:szCs w:val="24"/>
        </w:rPr>
      </w:pPr>
      <w:r>
        <w:rPr>
          <w:rFonts w:hint="eastAsia" w:ascii="宋体" w:hAnsi="宋体" w:eastAsia="宋体" w:cs="宋体"/>
          <w:b/>
          <w:sz w:val="24"/>
          <w:szCs w:val="24"/>
        </w:rPr>
        <w:t>二.  标的物的一般条款</w:t>
      </w:r>
    </w:p>
    <w:p w14:paraId="3D15E289">
      <w:pPr>
        <w:keepNext w:val="0"/>
        <w:keepLines w:val="0"/>
        <w:kinsoku/>
        <w:wordWrap/>
        <w:topLinePunct w:val="0"/>
        <w:bidi w:val="0"/>
        <w:snapToGrid/>
        <w:spacing w:line="400" w:lineRule="exact"/>
        <w:rPr>
          <w:rFonts w:ascii="宋体" w:hAnsi="宋体" w:eastAsia="宋体" w:cs="宋体"/>
          <w:sz w:val="24"/>
          <w:szCs w:val="24"/>
        </w:rPr>
      </w:pPr>
      <w:r>
        <w:rPr>
          <w:rFonts w:hint="eastAsia" w:ascii="宋体" w:hAnsi="宋体" w:eastAsia="宋体" w:cs="宋体"/>
          <w:sz w:val="24"/>
          <w:szCs w:val="24"/>
        </w:rPr>
        <w:t>4.完整物权</w:t>
      </w:r>
    </w:p>
    <w:p w14:paraId="115C9A85">
      <w:pPr>
        <w:keepNext w:val="0"/>
        <w:keepLines w:val="0"/>
        <w:tabs>
          <w:tab w:val="left" w:pos="660"/>
        </w:tabs>
        <w:kinsoku/>
        <w:wordWrap/>
        <w:topLinePunct w:val="0"/>
        <w:bidi w:val="0"/>
        <w:snapToGrid/>
        <w:spacing w:line="400" w:lineRule="exact"/>
        <w:ind w:firstLine="480" w:firstLineChars="200"/>
        <w:rPr>
          <w:rFonts w:ascii="宋体" w:hAnsi="宋体" w:eastAsia="宋体" w:cs="宋体"/>
          <w:sz w:val="24"/>
          <w:szCs w:val="24"/>
        </w:rPr>
      </w:pPr>
      <w:r>
        <w:rPr>
          <w:rFonts w:hint="eastAsia" w:ascii="宋体" w:hAnsi="宋体" w:eastAsia="宋体" w:cs="宋体"/>
          <w:sz w:val="24"/>
          <w:szCs w:val="24"/>
        </w:rPr>
        <w:t>对于出卖的标的物，卖方应当拥有完整物权，并且卖方负有保证第三人不得向买方主张任何权利（包括知识产权）的义务。</w:t>
      </w:r>
    </w:p>
    <w:p w14:paraId="6088D529">
      <w:pPr>
        <w:keepNext w:val="0"/>
        <w:keepLines w:val="0"/>
        <w:kinsoku/>
        <w:wordWrap/>
        <w:topLinePunct w:val="0"/>
        <w:bidi w:val="0"/>
        <w:snapToGrid/>
        <w:spacing w:line="400" w:lineRule="exact"/>
        <w:rPr>
          <w:rFonts w:ascii="宋体" w:hAnsi="宋体" w:eastAsia="宋体" w:cs="宋体"/>
          <w:sz w:val="24"/>
          <w:szCs w:val="24"/>
        </w:rPr>
      </w:pPr>
      <w:r>
        <w:rPr>
          <w:rFonts w:hint="eastAsia" w:ascii="宋体" w:hAnsi="宋体" w:eastAsia="宋体" w:cs="宋体"/>
          <w:sz w:val="24"/>
          <w:szCs w:val="24"/>
        </w:rPr>
        <w:t>5.质量保证</w:t>
      </w:r>
    </w:p>
    <w:p w14:paraId="5F028CE5">
      <w:pPr>
        <w:pStyle w:val="7"/>
        <w:keepNext w:val="0"/>
        <w:keepLines w:val="0"/>
        <w:kinsoku/>
        <w:wordWrap/>
        <w:overflowPunct w:val="0"/>
        <w:topLinePunct w:val="0"/>
        <w:bidi w:val="0"/>
        <w:snapToGrid/>
        <w:spacing w:line="400" w:lineRule="exact"/>
        <w:rPr>
          <w:rFonts w:hAnsi="宋体" w:cs="宋体"/>
          <w:szCs w:val="24"/>
          <w:u w:color="000000"/>
        </w:rPr>
      </w:pPr>
      <w:r>
        <w:rPr>
          <w:rFonts w:hint="eastAsia" w:hAnsi="宋体" w:cs="宋体"/>
          <w:szCs w:val="24"/>
          <w:u w:color="000000"/>
        </w:rPr>
        <w:t>(1)卖方应保证所供标的物是全新的，未使用过的，并且是非长期积压的库存商品，完全符合合同规定的质量、规格和性能的要求，卖方应保证其提供的标的物在正确安装，正常使用和保养条件下，在其标称的使用寿命期内应具有满意的性能。在卖方承诺的质量保证期限内，卖方应对由于设计、工艺或材料的缺陷及伴随服务而造成的任何不足或故障负责。</w:t>
      </w:r>
    </w:p>
    <w:p w14:paraId="32F90930">
      <w:pPr>
        <w:pStyle w:val="7"/>
        <w:keepNext w:val="0"/>
        <w:keepLines w:val="0"/>
        <w:kinsoku/>
        <w:wordWrap/>
        <w:overflowPunct w:val="0"/>
        <w:topLinePunct w:val="0"/>
        <w:bidi w:val="0"/>
        <w:snapToGrid/>
        <w:spacing w:line="400" w:lineRule="exact"/>
        <w:rPr>
          <w:rFonts w:hAnsi="宋体" w:cs="宋体"/>
          <w:szCs w:val="24"/>
          <w:u w:color="000000"/>
        </w:rPr>
      </w:pPr>
      <w:r>
        <w:rPr>
          <w:rFonts w:hint="eastAsia" w:hAnsi="宋体" w:cs="宋体"/>
          <w:szCs w:val="24"/>
          <w:u w:color="000000"/>
        </w:rPr>
        <w:t>(2)根据买方按检验标准自己检验的结果或当地技监部门的检验结果，或者在质量保证期内，如果标的物的数量、质量或规格与合同不符或证实标的物是有缺陷的，包括潜在缺陷或使用不符合要求的材料等，买方应尽快以书面形式通知卖方并提出索赔。</w:t>
      </w:r>
    </w:p>
    <w:p w14:paraId="308034A7">
      <w:pPr>
        <w:pStyle w:val="7"/>
        <w:keepNext w:val="0"/>
        <w:keepLines w:val="0"/>
        <w:tabs>
          <w:tab w:val="left" w:pos="900"/>
        </w:tabs>
        <w:kinsoku/>
        <w:wordWrap/>
        <w:overflowPunct w:val="0"/>
        <w:topLinePunct w:val="0"/>
        <w:bidi w:val="0"/>
        <w:snapToGrid/>
        <w:spacing w:line="400" w:lineRule="exact"/>
        <w:rPr>
          <w:rFonts w:hAnsi="宋体" w:cs="宋体"/>
          <w:szCs w:val="24"/>
          <w:u w:color="000000"/>
        </w:rPr>
      </w:pPr>
      <w:r>
        <w:rPr>
          <w:rFonts w:hint="eastAsia" w:hAnsi="宋体" w:cs="宋体"/>
          <w:szCs w:val="24"/>
          <w:u w:color="000000"/>
        </w:rPr>
        <w:t>(3)除合同主要条款规定外，合同条款中标的物的质量保证期均自标的物通过最终验收之日起计算，且质量保证期按不低于国家标准和卖方承诺的高于国家标准的质保期（卖方有特殊要求的除外）。</w:t>
      </w:r>
    </w:p>
    <w:p w14:paraId="3B5874DA">
      <w:pPr>
        <w:keepNext w:val="0"/>
        <w:keepLines w:val="0"/>
        <w:kinsoku/>
        <w:wordWrap/>
        <w:topLinePunct w:val="0"/>
        <w:bidi w:val="0"/>
        <w:snapToGrid/>
        <w:spacing w:line="400" w:lineRule="exact"/>
        <w:rPr>
          <w:rFonts w:ascii="宋体" w:hAnsi="宋体" w:eastAsia="宋体" w:cs="宋体"/>
          <w:sz w:val="24"/>
          <w:szCs w:val="24"/>
        </w:rPr>
      </w:pPr>
      <w:r>
        <w:rPr>
          <w:rFonts w:hint="eastAsia" w:ascii="宋体" w:hAnsi="宋体" w:eastAsia="宋体" w:cs="宋体"/>
          <w:sz w:val="24"/>
          <w:szCs w:val="24"/>
        </w:rPr>
        <w:t>6.包装</w:t>
      </w:r>
    </w:p>
    <w:p w14:paraId="5206D83E">
      <w:pPr>
        <w:pStyle w:val="7"/>
        <w:keepNext w:val="0"/>
        <w:keepLines w:val="0"/>
        <w:tabs>
          <w:tab w:val="left" w:pos="900"/>
        </w:tabs>
        <w:kinsoku/>
        <w:wordWrap/>
        <w:topLinePunct w:val="0"/>
        <w:bidi w:val="0"/>
        <w:snapToGrid/>
        <w:spacing w:line="400" w:lineRule="exact"/>
        <w:ind w:firstLine="540" w:firstLineChars="225"/>
        <w:rPr>
          <w:rFonts w:hAnsi="宋体" w:cs="宋体"/>
          <w:szCs w:val="24"/>
          <w:u w:color="000000"/>
        </w:rPr>
      </w:pPr>
      <w:r>
        <w:rPr>
          <w:rFonts w:hint="eastAsia" w:hAnsi="宋体" w:cs="宋体"/>
          <w:szCs w:val="24"/>
          <w:u w:color="000000"/>
        </w:rPr>
        <w:t>卖方应当按照约定的包装方式交付标的物。对包装方式没有约定或者约定不明确的，应当按照双方补充协议约定的方式包装，或者按照通用的方式包装，没有通用方式的，应当采取足以保护标的物的包装方式。</w:t>
      </w:r>
    </w:p>
    <w:p w14:paraId="2B95DA0D">
      <w:pPr>
        <w:keepNext w:val="0"/>
        <w:keepLines w:val="0"/>
        <w:kinsoku/>
        <w:wordWrap/>
        <w:topLinePunct w:val="0"/>
        <w:bidi w:val="0"/>
        <w:snapToGrid/>
        <w:spacing w:line="400" w:lineRule="exact"/>
        <w:rPr>
          <w:rFonts w:ascii="宋体" w:hAnsi="宋体" w:eastAsia="宋体" w:cs="宋体"/>
          <w:sz w:val="24"/>
          <w:szCs w:val="24"/>
        </w:rPr>
      </w:pPr>
      <w:r>
        <w:rPr>
          <w:rFonts w:hint="eastAsia" w:ascii="宋体" w:hAnsi="宋体" w:eastAsia="宋体" w:cs="宋体"/>
          <w:sz w:val="24"/>
          <w:szCs w:val="24"/>
        </w:rPr>
        <w:t>7.伴随服务</w:t>
      </w:r>
    </w:p>
    <w:p w14:paraId="451AE9AF">
      <w:pPr>
        <w:pStyle w:val="7"/>
        <w:keepNext w:val="0"/>
        <w:keepLines w:val="0"/>
        <w:kinsoku/>
        <w:wordWrap/>
        <w:overflowPunct w:val="0"/>
        <w:topLinePunct w:val="0"/>
        <w:bidi w:val="0"/>
        <w:snapToGrid/>
        <w:spacing w:line="400" w:lineRule="exact"/>
        <w:ind w:firstLine="600" w:firstLineChars="250"/>
        <w:rPr>
          <w:rFonts w:hAnsi="宋体" w:cs="宋体"/>
          <w:szCs w:val="24"/>
          <w:u w:color="000000"/>
        </w:rPr>
      </w:pPr>
      <w:r>
        <w:rPr>
          <w:rFonts w:hint="eastAsia" w:hAnsi="宋体" w:cs="宋体"/>
          <w:szCs w:val="24"/>
          <w:u w:color="000000"/>
        </w:rPr>
        <w:t>(1)卖方除应履行按期按量交付合格标的物的义务之外，还应提供下列服务：</w:t>
      </w:r>
    </w:p>
    <w:p w14:paraId="38616A0F">
      <w:pPr>
        <w:pStyle w:val="7"/>
        <w:keepNext w:val="0"/>
        <w:keepLines w:val="0"/>
        <w:kinsoku/>
        <w:wordWrap/>
        <w:overflowPunct w:val="0"/>
        <w:topLinePunct w:val="0"/>
        <w:bidi w:val="0"/>
        <w:snapToGrid/>
        <w:spacing w:line="400" w:lineRule="exact"/>
        <w:ind w:firstLine="600" w:firstLineChars="250"/>
        <w:rPr>
          <w:rFonts w:hAnsi="宋体" w:cs="宋体"/>
          <w:szCs w:val="24"/>
          <w:u w:color="000000"/>
        </w:rPr>
      </w:pPr>
      <w:r>
        <w:rPr>
          <w:rFonts w:hint="eastAsia" w:hAnsi="宋体" w:cs="宋体"/>
          <w:szCs w:val="24"/>
          <w:u w:color="000000"/>
        </w:rPr>
        <w:t>&lt;1&gt;标的物的现场安装或指导安装、启动、调试、监督（如果必须安装、调试的话）；</w:t>
      </w:r>
    </w:p>
    <w:p w14:paraId="4321AE0C">
      <w:pPr>
        <w:pStyle w:val="7"/>
        <w:keepNext w:val="0"/>
        <w:keepLines w:val="0"/>
        <w:kinsoku/>
        <w:wordWrap/>
        <w:overflowPunct w:val="0"/>
        <w:topLinePunct w:val="0"/>
        <w:bidi w:val="0"/>
        <w:snapToGrid/>
        <w:spacing w:line="400" w:lineRule="exact"/>
        <w:ind w:firstLine="600" w:firstLineChars="250"/>
        <w:rPr>
          <w:rFonts w:hAnsi="宋体" w:cs="宋体"/>
          <w:szCs w:val="24"/>
          <w:u w:color="000000"/>
        </w:rPr>
      </w:pPr>
      <w:r>
        <w:rPr>
          <w:rFonts w:hint="eastAsia" w:hAnsi="宋体" w:cs="宋体"/>
          <w:szCs w:val="24"/>
          <w:u w:color="000000"/>
        </w:rPr>
        <w:t>&lt;2&gt;提供标的物组装和一般维修所必须的工具；</w:t>
      </w:r>
    </w:p>
    <w:p w14:paraId="6F564E9F">
      <w:pPr>
        <w:pStyle w:val="7"/>
        <w:keepNext w:val="0"/>
        <w:keepLines w:val="0"/>
        <w:kinsoku/>
        <w:wordWrap/>
        <w:overflowPunct w:val="0"/>
        <w:topLinePunct w:val="0"/>
        <w:bidi w:val="0"/>
        <w:snapToGrid/>
        <w:spacing w:line="400" w:lineRule="exact"/>
        <w:ind w:firstLine="600" w:firstLineChars="250"/>
        <w:rPr>
          <w:rFonts w:hAnsi="宋体" w:cs="宋体"/>
          <w:szCs w:val="24"/>
          <w:u w:color="000000"/>
        </w:rPr>
      </w:pPr>
      <w:r>
        <w:rPr>
          <w:rFonts w:hint="eastAsia" w:hAnsi="宋体" w:cs="宋体"/>
          <w:szCs w:val="24"/>
          <w:u w:color="000000"/>
        </w:rPr>
        <w:t>&lt;3&gt;在合同规定的期限内对所提供标的物实行运行监督、维修服务的前提条件是该服务并不能免除卖方在质量保证期内所承担的义务；</w:t>
      </w:r>
    </w:p>
    <w:p w14:paraId="042508EB">
      <w:pPr>
        <w:pStyle w:val="7"/>
        <w:keepNext w:val="0"/>
        <w:keepLines w:val="0"/>
        <w:kinsoku/>
        <w:wordWrap/>
        <w:overflowPunct w:val="0"/>
        <w:topLinePunct w:val="0"/>
        <w:bidi w:val="0"/>
        <w:snapToGrid/>
        <w:spacing w:line="400" w:lineRule="exact"/>
        <w:ind w:firstLine="600" w:firstLineChars="250"/>
        <w:rPr>
          <w:rFonts w:hAnsi="宋体" w:cs="宋体"/>
          <w:szCs w:val="24"/>
          <w:u w:color="000000"/>
        </w:rPr>
      </w:pPr>
      <w:r>
        <w:rPr>
          <w:rFonts w:hint="eastAsia" w:hAnsi="宋体" w:cs="宋体"/>
          <w:szCs w:val="24"/>
          <w:u w:color="000000"/>
        </w:rPr>
        <w:t>&lt;4&gt;对买方技术人员的技术指导或培训。</w:t>
      </w:r>
    </w:p>
    <w:p w14:paraId="6EBB161E">
      <w:pPr>
        <w:pStyle w:val="7"/>
        <w:keepNext w:val="0"/>
        <w:keepLines w:val="0"/>
        <w:kinsoku/>
        <w:wordWrap/>
        <w:overflowPunct w:val="0"/>
        <w:topLinePunct w:val="0"/>
        <w:bidi w:val="0"/>
        <w:snapToGrid/>
        <w:spacing w:line="400" w:lineRule="exact"/>
        <w:ind w:firstLine="600" w:firstLineChars="250"/>
        <w:rPr>
          <w:rFonts w:hAnsi="宋体" w:cs="宋体"/>
          <w:szCs w:val="24"/>
          <w:u w:color="000000"/>
        </w:rPr>
      </w:pPr>
      <w:r>
        <w:rPr>
          <w:rFonts w:hint="eastAsia" w:hAnsi="宋体" w:cs="宋体"/>
          <w:szCs w:val="24"/>
          <w:u w:color="000000"/>
        </w:rPr>
        <w:t>(2)除合同另有规定之外，伴随服务的费用均已含在合同价款中，买方不再另行进行支付。</w:t>
      </w:r>
    </w:p>
    <w:p w14:paraId="21C11908">
      <w:pPr>
        <w:keepNext w:val="0"/>
        <w:keepLines w:val="0"/>
        <w:kinsoku/>
        <w:wordWrap/>
        <w:topLinePunct w:val="0"/>
        <w:bidi w:val="0"/>
        <w:snapToGrid/>
        <w:spacing w:line="400" w:lineRule="exact"/>
        <w:rPr>
          <w:rFonts w:ascii="宋体" w:hAnsi="宋体" w:eastAsia="宋体" w:cs="宋体"/>
          <w:b/>
          <w:sz w:val="24"/>
          <w:szCs w:val="24"/>
        </w:rPr>
      </w:pPr>
      <w:r>
        <w:rPr>
          <w:rFonts w:hint="eastAsia" w:ascii="宋体" w:hAnsi="宋体" w:eastAsia="宋体" w:cs="宋体"/>
          <w:b/>
          <w:sz w:val="24"/>
          <w:szCs w:val="24"/>
        </w:rPr>
        <w:t>三.  标的物的交付、检验和验收</w:t>
      </w:r>
    </w:p>
    <w:p w14:paraId="730FF611">
      <w:pPr>
        <w:keepNext w:val="0"/>
        <w:keepLines w:val="0"/>
        <w:kinsoku/>
        <w:wordWrap/>
        <w:topLinePunct w:val="0"/>
        <w:bidi w:val="0"/>
        <w:snapToGrid/>
        <w:spacing w:line="400" w:lineRule="exact"/>
        <w:rPr>
          <w:rFonts w:ascii="宋体" w:hAnsi="宋体" w:eastAsia="宋体" w:cs="宋体"/>
          <w:sz w:val="24"/>
          <w:szCs w:val="24"/>
        </w:rPr>
      </w:pPr>
      <w:r>
        <w:rPr>
          <w:rFonts w:hint="eastAsia" w:ascii="宋体" w:hAnsi="宋体" w:eastAsia="宋体" w:cs="宋体"/>
          <w:sz w:val="24"/>
          <w:szCs w:val="24"/>
        </w:rPr>
        <w:t>8.标的物的交付</w:t>
      </w:r>
    </w:p>
    <w:p w14:paraId="46233961">
      <w:pPr>
        <w:pStyle w:val="7"/>
        <w:keepNext w:val="0"/>
        <w:keepLines w:val="0"/>
        <w:kinsoku/>
        <w:wordWrap/>
        <w:topLinePunct w:val="0"/>
        <w:bidi w:val="0"/>
        <w:snapToGrid/>
        <w:spacing w:line="400" w:lineRule="exact"/>
        <w:rPr>
          <w:rFonts w:hAnsi="宋体" w:cs="宋体"/>
          <w:szCs w:val="24"/>
          <w:u w:color="000000"/>
        </w:rPr>
      </w:pPr>
      <w:r>
        <w:rPr>
          <w:rFonts w:hint="eastAsia" w:hAnsi="宋体" w:cs="宋体"/>
          <w:szCs w:val="24"/>
          <w:u w:color="000000"/>
        </w:rPr>
        <w:t>(1)标的物的所有权自标的物交付时转移。</w:t>
      </w:r>
    </w:p>
    <w:p w14:paraId="60CC3EFC">
      <w:pPr>
        <w:pStyle w:val="7"/>
        <w:keepNext w:val="0"/>
        <w:keepLines w:val="0"/>
        <w:kinsoku/>
        <w:wordWrap/>
        <w:topLinePunct w:val="0"/>
        <w:bidi w:val="0"/>
        <w:snapToGrid/>
        <w:spacing w:line="400" w:lineRule="exact"/>
        <w:rPr>
          <w:rFonts w:hAnsi="宋体" w:cs="宋体"/>
          <w:szCs w:val="24"/>
          <w:u w:color="000000"/>
        </w:rPr>
      </w:pPr>
      <w:r>
        <w:rPr>
          <w:rFonts w:hint="eastAsia" w:hAnsi="宋体" w:cs="宋体"/>
          <w:szCs w:val="24"/>
          <w:u w:color="000000"/>
        </w:rPr>
        <w:t>(2)卖方应当按照约定的期限和约定的地点交付符合招标文件要求的标的物。</w:t>
      </w:r>
    </w:p>
    <w:p w14:paraId="28F2E32A">
      <w:pPr>
        <w:pStyle w:val="7"/>
        <w:keepNext w:val="0"/>
        <w:keepLines w:val="0"/>
        <w:kinsoku/>
        <w:wordWrap/>
        <w:topLinePunct w:val="0"/>
        <w:bidi w:val="0"/>
        <w:snapToGrid/>
        <w:spacing w:line="400" w:lineRule="exact"/>
        <w:rPr>
          <w:rFonts w:hAnsi="宋体" w:cs="宋体"/>
          <w:szCs w:val="24"/>
          <w:u w:color="000000"/>
        </w:rPr>
      </w:pPr>
      <w:r>
        <w:rPr>
          <w:rFonts w:hint="eastAsia" w:hAnsi="宋体" w:cs="宋体"/>
          <w:szCs w:val="24"/>
          <w:u w:color="000000"/>
        </w:rPr>
        <w:t>(3)卖方应当按照约定或者交易习惯向采购人交付提取标的物单证以外的有关单证和资料。</w:t>
      </w:r>
    </w:p>
    <w:p w14:paraId="6EE237D9">
      <w:pPr>
        <w:keepNext w:val="0"/>
        <w:keepLines w:val="0"/>
        <w:kinsoku/>
        <w:wordWrap/>
        <w:topLinePunct w:val="0"/>
        <w:bidi w:val="0"/>
        <w:snapToGrid/>
        <w:spacing w:line="400" w:lineRule="exact"/>
        <w:rPr>
          <w:rFonts w:ascii="宋体" w:hAnsi="宋体" w:eastAsia="宋体" w:cs="宋体"/>
          <w:sz w:val="24"/>
          <w:szCs w:val="24"/>
        </w:rPr>
      </w:pPr>
      <w:r>
        <w:rPr>
          <w:rFonts w:hint="eastAsia" w:ascii="宋体" w:hAnsi="宋体" w:eastAsia="宋体" w:cs="宋体"/>
          <w:sz w:val="24"/>
          <w:szCs w:val="24"/>
        </w:rPr>
        <w:t>9.检验和验收</w:t>
      </w:r>
    </w:p>
    <w:p w14:paraId="2E8F68DA">
      <w:pPr>
        <w:pStyle w:val="7"/>
        <w:keepNext w:val="0"/>
        <w:keepLines w:val="0"/>
        <w:kinsoku/>
        <w:wordWrap/>
        <w:overflowPunct w:val="0"/>
        <w:topLinePunct w:val="0"/>
        <w:bidi w:val="0"/>
        <w:snapToGrid/>
        <w:spacing w:line="400" w:lineRule="exact"/>
        <w:ind w:firstLine="600" w:firstLineChars="250"/>
        <w:rPr>
          <w:rFonts w:hAnsi="宋体" w:cs="宋体"/>
          <w:szCs w:val="24"/>
          <w:u w:color="000000"/>
        </w:rPr>
      </w:pPr>
      <w:r>
        <w:rPr>
          <w:rFonts w:hint="eastAsia" w:hAnsi="宋体" w:cs="宋体"/>
          <w:szCs w:val="24"/>
          <w:u w:color="000000"/>
        </w:rPr>
        <w:t>(1)在交货时，卖方应配合买方对标的物的质量、规格、性能、数量等进行详细而全面的检验，并出具一份合格检验证明，合格检验证明作为验收的依据，但不能作为有关标的物质量、规格、数量或性能的最终检验结果。</w:t>
      </w:r>
    </w:p>
    <w:p w14:paraId="1FCB82E2">
      <w:pPr>
        <w:pStyle w:val="7"/>
        <w:keepNext w:val="0"/>
        <w:keepLines w:val="0"/>
        <w:kinsoku/>
        <w:wordWrap/>
        <w:overflowPunct w:val="0"/>
        <w:topLinePunct w:val="0"/>
        <w:bidi w:val="0"/>
        <w:snapToGrid/>
        <w:spacing w:line="400" w:lineRule="exact"/>
        <w:ind w:firstLine="600" w:firstLineChars="250"/>
        <w:rPr>
          <w:rFonts w:hAnsi="宋体" w:cs="宋体"/>
          <w:szCs w:val="24"/>
          <w:u w:color="000000"/>
        </w:rPr>
      </w:pPr>
      <w:r>
        <w:rPr>
          <w:rFonts w:hint="eastAsia" w:hAnsi="宋体" w:cs="宋体"/>
          <w:szCs w:val="24"/>
          <w:u w:color="000000"/>
        </w:rPr>
        <w:t>(2)买方根据合同规定的内容和验收标准进行验收，经检验无误后出具验收合格证明，该证明作为最终付款所需文件的组成部分。</w:t>
      </w:r>
    </w:p>
    <w:p w14:paraId="4170444C">
      <w:pPr>
        <w:pStyle w:val="7"/>
        <w:keepNext w:val="0"/>
        <w:keepLines w:val="0"/>
        <w:kinsoku/>
        <w:wordWrap/>
        <w:overflowPunct w:val="0"/>
        <w:topLinePunct w:val="0"/>
        <w:bidi w:val="0"/>
        <w:snapToGrid/>
        <w:spacing w:line="400" w:lineRule="exact"/>
        <w:ind w:firstLine="600" w:firstLineChars="250"/>
        <w:rPr>
          <w:rFonts w:hAnsi="宋体" w:cs="宋体"/>
          <w:szCs w:val="24"/>
          <w:u w:color="000000"/>
        </w:rPr>
      </w:pPr>
      <w:r>
        <w:rPr>
          <w:rFonts w:hint="eastAsia" w:hAnsi="宋体" w:cs="宋体"/>
          <w:szCs w:val="24"/>
          <w:u w:color="000000"/>
        </w:rPr>
        <w:t>(3)验收期限自收到乙方验收申请后5个工作日内组织开展验收。特殊情况需延长的，双方应在合同条款中约定。</w:t>
      </w:r>
    </w:p>
    <w:p w14:paraId="3A3A62D4">
      <w:pPr>
        <w:pStyle w:val="7"/>
        <w:keepNext w:val="0"/>
        <w:keepLines w:val="0"/>
        <w:tabs>
          <w:tab w:val="left" w:pos="900"/>
        </w:tabs>
        <w:kinsoku/>
        <w:wordWrap/>
        <w:overflowPunct w:val="0"/>
        <w:topLinePunct w:val="0"/>
        <w:bidi w:val="0"/>
        <w:snapToGrid/>
        <w:spacing w:line="400" w:lineRule="exact"/>
        <w:ind w:firstLine="600" w:firstLineChars="250"/>
        <w:rPr>
          <w:rFonts w:hAnsi="宋体" w:cs="宋体"/>
          <w:szCs w:val="24"/>
          <w:u w:color="000000"/>
        </w:rPr>
      </w:pPr>
      <w:r>
        <w:rPr>
          <w:rFonts w:hint="eastAsia" w:hAnsi="宋体" w:cs="宋体"/>
          <w:szCs w:val="24"/>
          <w:u w:color="000000"/>
        </w:rPr>
        <w:t>（4）买方和相关部门按照国家规定标准验收，没有国家标准的按行业标准验收，无行业标准的按地方或企业标准验收，卖方予以配合。涉及安全、消防、环保等其他需要由质检或行业主管部门验收的项目，买方须约请相关部门和专家参加项目验收。</w:t>
      </w:r>
    </w:p>
    <w:p w14:paraId="292DCF41">
      <w:pPr>
        <w:pStyle w:val="7"/>
        <w:keepNext w:val="0"/>
        <w:keepLines w:val="0"/>
        <w:tabs>
          <w:tab w:val="left" w:pos="900"/>
        </w:tabs>
        <w:kinsoku/>
        <w:wordWrap/>
        <w:overflowPunct w:val="0"/>
        <w:topLinePunct w:val="0"/>
        <w:bidi w:val="0"/>
        <w:snapToGrid/>
        <w:spacing w:line="400" w:lineRule="exact"/>
        <w:ind w:firstLine="600" w:firstLineChars="250"/>
        <w:rPr>
          <w:rFonts w:hAnsi="宋体" w:cs="宋体"/>
          <w:szCs w:val="24"/>
          <w:u w:color="000000"/>
        </w:rPr>
      </w:pPr>
      <w:r>
        <w:rPr>
          <w:rFonts w:hint="eastAsia" w:hAnsi="宋体" w:cs="宋体"/>
          <w:szCs w:val="24"/>
          <w:u w:color="000000"/>
        </w:rPr>
        <w:t>（5）货物在验收时，卖方应提供发票、制造厂家出具的产品合格证书、装箱清单等, 涉及进口的产品、部件、配件等须提供中国海关进口货物报关单、完税证明及商检证明等材料；提供有关货物的操作规程和使用说明书，维护手册、保养修理所需的各种随机工具及相关设计、制造、检验、安装、技术性指导等文件和应由卖方提供的必要文件。</w:t>
      </w:r>
    </w:p>
    <w:p w14:paraId="31B1483C">
      <w:pPr>
        <w:keepNext w:val="0"/>
        <w:keepLines w:val="0"/>
        <w:kinsoku/>
        <w:wordWrap/>
        <w:topLinePunct w:val="0"/>
        <w:bidi w:val="0"/>
        <w:snapToGrid/>
        <w:spacing w:line="400" w:lineRule="exact"/>
        <w:rPr>
          <w:rFonts w:ascii="宋体" w:hAnsi="宋体" w:eastAsia="宋体" w:cs="宋体"/>
          <w:b/>
          <w:sz w:val="24"/>
          <w:szCs w:val="24"/>
        </w:rPr>
      </w:pPr>
      <w:r>
        <w:rPr>
          <w:rFonts w:hint="eastAsia" w:ascii="宋体" w:hAnsi="宋体" w:eastAsia="宋体" w:cs="宋体"/>
          <w:b/>
          <w:sz w:val="24"/>
          <w:szCs w:val="24"/>
        </w:rPr>
        <w:t>四. 对标的物提出异议的时间和办法</w:t>
      </w:r>
    </w:p>
    <w:p w14:paraId="64C33510">
      <w:pPr>
        <w:keepNext w:val="0"/>
        <w:keepLines w:val="0"/>
        <w:kinsoku/>
        <w:wordWrap/>
        <w:topLinePunct w:val="0"/>
        <w:bidi w:val="0"/>
        <w:snapToGrid/>
        <w:spacing w:line="400" w:lineRule="exact"/>
        <w:rPr>
          <w:rFonts w:ascii="宋体" w:hAnsi="宋体" w:eastAsia="宋体" w:cs="宋体"/>
          <w:sz w:val="24"/>
          <w:szCs w:val="24"/>
        </w:rPr>
      </w:pPr>
      <w:r>
        <w:rPr>
          <w:rFonts w:hint="eastAsia" w:ascii="宋体" w:hAnsi="宋体" w:eastAsia="宋体" w:cs="宋体"/>
          <w:sz w:val="24"/>
          <w:szCs w:val="24"/>
        </w:rPr>
        <w:t xml:space="preserve">10.对标的物提出异议的时间和办法 </w:t>
      </w:r>
    </w:p>
    <w:p w14:paraId="59DFF562">
      <w:pPr>
        <w:pStyle w:val="7"/>
        <w:keepNext w:val="0"/>
        <w:keepLines w:val="0"/>
        <w:kinsoku/>
        <w:wordWrap/>
        <w:overflowPunct w:val="0"/>
        <w:topLinePunct w:val="0"/>
        <w:bidi w:val="0"/>
        <w:snapToGrid/>
        <w:spacing w:line="400" w:lineRule="exact"/>
        <w:ind w:firstLine="480" w:firstLineChars="200"/>
        <w:rPr>
          <w:rFonts w:hAnsi="宋体" w:cs="宋体"/>
          <w:szCs w:val="24"/>
          <w:u w:color="000000"/>
        </w:rPr>
      </w:pPr>
      <w:r>
        <w:rPr>
          <w:rFonts w:hint="eastAsia" w:hAnsi="宋体" w:cs="宋体"/>
          <w:szCs w:val="24"/>
          <w:u w:color="000000"/>
        </w:rPr>
        <w:t>(1)买方在验收过程中，应当于双方约定的检验期间内将标的物的数量或质量不符合约定的情形及处理方式以书面形式通知卖方。</w:t>
      </w:r>
    </w:p>
    <w:p w14:paraId="230D05B4">
      <w:pPr>
        <w:pStyle w:val="7"/>
        <w:keepNext w:val="0"/>
        <w:keepLines w:val="0"/>
        <w:kinsoku/>
        <w:wordWrap/>
        <w:overflowPunct w:val="0"/>
        <w:topLinePunct w:val="0"/>
        <w:bidi w:val="0"/>
        <w:snapToGrid/>
        <w:spacing w:line="400" w:lineRule="exact"/>
        <w:rPr>
          <w:rFonts w:hAnsi="宋体" w:cs="宋体"/>
          <w:szCs w:val="24"/>
          <w:u w:color="000000"/>
        </w:rPr>
      </w:pPr>
      <w:r>
        <w:rPr>
          <w:rFonts w:hint="eastAsia" w:hAnsi="宋体" w:cs="宋体"/>
          <w:szCs w:val="24"/>
          <w:u w:color="000000"/>
        </w:rPr>
        <w:t>(2)如买方在验收期满后既不出具验收合格证明又未提出书面异议的视为卖方所交标的物符合合同规定。</w:t>
      </w:r>
    </w:p>
    <w:p w14:paraId="57A692CA">
      <w:pPr>
        <w:pStyle w:val="7"/>
        <w:keepNext w:val="0"/>
        <w:keepLines w:val="0"/>
        <w:kinsoku/>
        <w:wordWrap/>
        <w:overflowPunct w:val="0"/>
        <w:topLinePunct w:val="0"/>
        <w:bidi w:val="0"/>
        <w:snapToGrid/>
        <w:spacing w:line="400" w:lineRule="exact"/>
        <w:rPr>
          <w:rFonts w:hAnsi="宋体" w:cs="宋体"/>
          <w:szCs w:val="24"/>
          <w:u w:color="000000"/>
        </w:rPr>
      </w:pPr>
      <w:r>
        <w:rPr>
          <w:rFonts w:hint="eastAsia" w:hAnsi="宋体" w:cs="宋体"/>
          <w:szCs w:val="24"/>
          <w:u w:color="000000"/>
        </w:rPr>
        <w:t>(3)卖方应在收到买方书面异议后七天内负责处理问题，否则将视为默认买方提出的异议和处理意见。</w:t>
      </w:r>
    </w:p>
    <w:p w14:paraId="452D2B66">
      <w:pPr>
        <w:keepNext w:val="0"/>
        <w:keepLines w:val="0"/>
        <w:kinsoku/>
        <w:wordWrap/>
        <w:topLinePunct w:val="0"/>
        <w:bidi w:val="0"/>
        <w:snapToGrid/>
        <w:spacing w:line="400" w:lineRule="exact"/>
        <w:rPr>
          <w:rFonts w:ascii="宋体" w:hAnsi="宋体" w:eastAsia="宋体" w:cs="宋体"/>
          <w:b/>
          <w:sz w:val="24"/>
          <w:szCs w:val="24"/>
        </w:rPr>
      </w:pPr>
      <w:r>
        <w:rPr>
          <w:rFonts w:hint="eastAsia" w:ascii="宋体" w:hAnsi="宋体" w:eastAsia="宋体" w:cs="宋体"/>
          <w:b/>
          <w:sz w:val="24"/>
          <w:szCs w:val="24"/>
        </w:rPr>
        <w:t>五. 合同价款和支付</w:t>
      </w:r>
    </w:p>
    <w:p w14:paraId="08B9456D">
      <w:pPr>
        <w:keepNext w:val="0"/>
        <w:keepLines w:val="0"/>
        <w:kinsoku/>
        <w:wordWrap/>
        <w:topLinePunct w:val="0"/>
        <w:bidi w:val="0"/>
        <w:snapToGrid/>
        <w:spacing w:line="400" w:lineRule="exact"/>
        <w:rPr>
          <w:rFonts w:ascii="宋体" w:hAnsi="宋体" w:eastAsia="宋体" w:cs="宋体"/>
          <w:sz w:val="24"/>
          <w:szCs w:val="24"/>
        </w:rPr>
      </w:pPr>
      <w:r>
        <w:rPr>
          <w:rFonts w:hint="eastAsia" w:ascii="宋体" w:hAnsi="宋体" w:eastAsia="宋体" w:cs="宋体"/>
          <w:sz w:val="24"/>
          <w:szCs w:val="24"/>
        </w:rPr>
        <w:t>11.合同价款和支付</w:t>
      </w:r>
    </w:p>
    <w:p w14:paraId="2FA33EE1">
      <w:pPr>
        <w:pStyle w:val="7"/>
        <w:keepNext w:val="0"/>
        <w:keepLines w:val="0"/>
        <w:kinsoku/>
        <w:wordWrap/>
        <w:overflowPunct w:val="0"/>
        <w:topLinePunct w:val="0"/>
        <w:bidi w:val="0"/>
        <w:snapToGrid/>
        <w:spacing w:line="400" w:lineRule="exact"/>
        <w:rPr>
          <w:rFonts w:hAnsi="宋体" w:cs="宋体"/>
          <w:szCs w:val="24"/>
          <w:u w:color="000000"/>
        </w:rPr>
      </w:pPr>
      <w:r>
        <w:rPr>
          <w:rFonts w:hint="eastAsia" w:hAnsi="宋体" w:cs="宋体"/>
          <w:szCs w:val="24"/>
          <w:u w:color="000000"/>
        </w:rPr>
        <w:t>(1)本合同的结算货币为人民币，单位元。</w:t>
      </w:r>
    </w:p>
    <w:p w14:paraId="4EE1C8D9">
      <w:pPr>
        <w:pStyle w:val="7"/>
        <w:keepNext w:val="0"/>
        <w:keepLines w:val="0"/>
        <w:kinsoku/>
        <w:wordWrap/>
        <w:overflowPunct w:val="0"/>
        <w:topLinePunct w:val="0"/>
        <w:bidi w:val="0"/>
        <w:snapToGrid/>
        <w:spacing w:line="400" w:lineRule="exact"/>
        <w:rPr>
          <w:rFonts w:hAnsi="宋体" w:cs="宋体"/>
          <w:szCs w:val="24"/>
          <w:u w:color="000000"/>
        </w:rPr>
      </w:pPr>
      <w:r>
        <w:rPr>
          <w:rFonts w:hint="eastAsia" w:hAnsi="宋体" w:cs="宋体"/>
          <w:szCs w:val="24"/>
          <w:u w:color="000000"/>
        </w:rPr>
        <w:t>(2)卖方应按照双方签订的合同规定交货并在合同主要条款规定的期限内持下列单据结算货款：</w:t>
      </w:r>
    </w:p>
    <w:p w14:paraId="7CBF073B">
      <w:pPr>
        <w:pStyle w:val="7"/>
        <w:keepNext w:val="0"/>
        <w:keepLines w:val="0"/>
        <w:kinsoku/>
        <w:wordWrap/>
        <w:overflowPunct w:val="0"/>
        <w:topLinePunct w:val="0"/>
        <w:bidi w:val="0"/>
        <w:snapToGrid/>
        <w:spacing w:line="400" w:lineRule="exact"/>
        <w:rPr>
          <w:rFonts w:hAnsi="宋体" w:cs="宋体"/>
          <w:szCs w:val="24"/>
          <w:u w:color="000000"/>
        </w:rPr>
      </w:pPr>
      <w:r>
        <w:rPr>
          <w:rFonts w:hint="eastAsia" w:hAnsi="宋体" w:cs="宋体"/>
          <w:szCs w:val="24"/>
          <w:u w:color="000000"/>
        </w:rPr>
        <w:t>&lt;1&gt;合格的销售发票；</w:t>
      </w:r>
    </w:p>
    <w:p w14:paraId="4BF95A30">
      <w:pPr>
        <w:pStyle w:val="7"/>
        <w:keepNext w:val="0"/>
        <w:keepLines w:val="0"/>
        <w:kinsoku/>
        <w:wordWrap/>
        <w:overflowPunct w:val="0"/>
        <w:topLinePunct w:val="0"/>
        <w:bidi w:val="0"/>
        <w:snapToGrid/>
        <w:spacing w:line="400" w:lineRule="exact"/>
        <w:rPr>
          <w:rFonts w:hAnsi="宋体" w:cs="宋体"/>
          <w:szCs w:val="24"/>
          <w:u w:color="000000"/>
        </w:rPr>
      </w:pPr>
      <w:r>
        <w:rPr>
          <w:rFonts w:hint="eastAsia" w:hAnsi="宋体" w:cs="宋体"/>
          <w:szCs w:val="24"/>
          <w:u w:color="000000"/>
        </w:rPr>
        <w:t>&lt;2&gt;买方盖章签收后的送货回单和验收合格证明。</w:t>
      </w:r>
    </w:p>
    <w:p w14:paraId="3A3163E3">
      <w:pPr>
        <w:pStyle w:val="7"/>
        <w:keepNext w:val="0"/>
        <w:keepLines w:val="0"/>
        <w:kinsoku/>
        <w:wordWrap/>
        <w:overflowPunct w:val="0"/>
        <w:topLinePunct w:val="0"/>
        <w:bidi w:val="0"/>
        <w:snapToGrid/>
        <w:spacing w:line="400" w:lineRule="exact"/>
        <w:rPr>
          <w:rFonts w:hAnsi="宋体" w:cs="宋体"/>
          <w:szCs w:val="24"/>
          <w:u w:color="000000"/>
        </w:rPr>
      </w:pPr>
      <w:r>
        <w:rPr>
          <w:rFonts w:hint="eastAsia" w:hAnsi="宋体" w:cs="宋体"/>
          <w:szCs w:val="24"/>
          <w:u w:color="000000"/>
        </w:rPr>
        <w:t>(3)买方应按合同主要条款规定的期限和方式付款。</w:t>
      </w:r>
    </w:p>
    <w:p w14:paraId="4BFC82C6">
      <w:pPr>
        <w:pStyle w:val="7"/>
        <w:keepNext w:val="0"/>
        <w:keepLines w:val="0"/>
        <w:tabs>
          <w:tab w:val="left" w:pos="540"/>
        </w:tabs>
        <w:kinsoku/>
        <w:wordWrap/>
        <w:overflowPunct w:val="0"/>
        <w:topLinePunct w:val="0"/>
        <w:bidi w:val="0"/>
        <w:snapToGrid/>
        <w:spacing w:line="400" w:lineRule="exact"/>
        <w:rPr>
          <w:rFonts w:hAnsi="宋体" w:cs="宋体"/>
          <w:szCs w:val="24"/>
          <w:u w:color="000000"/>
        </w:rPr>
      </w:pPr>
      <w:r>
        <w:rPr>
          <w:rFonts w:hint="eastAsia" w:hAnsi="宋体" w:cs="宋体"/>
          <w:szCs w:val="24"/>
          <w:u w:color="000000"/>
        </w:rPr>
        <w:t>(4)根据现行税法对买方征收的与本合同有关的一切税费均由买方承担；根据现行税法对卖方征收的与本合同有关的一切税费均由卖方承担。</w:t>
      </w:r>
    </w:p>
    <w:p w14:paraId="57117220">
      <w:pPr>
        <w:keepNext w:val="0"/>
        <w:keepLines w:val="0"/>
        <w:kinsoku/>
        <w:wordWrap/>
        <w:topLinePunct w:val="0"/>
        <w:bidi w:val="0"/>
        <w:snapToGrid/>
        <w:spacing w:line="400" w:lineRule="exact"/>
        <w:rPr>
          <w:rFonts w:ascii="宋体" w:hAnsi="宋体" w:eastAsia="宋体" w:cs="宋体"/>
          <w:b/>
          <w:sz w:val="24"/>
          <w:szCs w:val="24"/>
        </w:rPr>
      </w:pPr>
      <w:r>
        <w:rPr>
          <w:rFonts w:hint="eastAsia" w:ascii="宋体" w:hAnsi="宋体" w:eastAsia="宋体" w:cs="宋体"/>
          <w:b/>
          <w:sz w:val="24"/>
          <w:szCs w:val="24"/>
        </w:rPr>
        <w:t>六. 违约责任</w:t>
      </w:r>
    </w:p>
    <w:p w14:paraId="4887825F">
      <w:pPr>
        <w:keepNext w:val="0"/>
        <w:keepLines w:val="0"/>
        <w:kinsoku/>
        <w:wordWrap/>
        <w:topLinePunct w:val="0"/>
        <w:bidi w:val="0"/>
        <w:snapToGrid/>
        <w:spacing w:line="400" w:lineRule="exact"/>
        <w:rPr>
          <w:rFonts w:ascii="宋体" w:hAnsi="宋体" w:eastAsia="宋体" w:cs="宋体"/>
          <w:sz w:val="24"/>
          <w:szCs w:val="24"/>
        </w:rPr>
      </w:pPr>
      <w:r>
        <w:rPr>
          <w:rFonts w:hint="eastAsia" w:ascii="宋体" w:hAnsi="宋体" w:eastAsia="宋体" w:cs="宋体"/>
          <w:sz w:val="24"/>
          <w:szCs w:val="24"/>
        </w:rPr>
        <w:t>12.违约责任</w:t>
      </w:r>
    </w:p>
    <w:p w14:paraId="04817A82">
      <w:pPr>
        <w:pStyle w:val="7"/>
        <w:keepNext w:val="0"/>
        <w:keepLines w:val="0"/>
        <w:kinsoku/>
        <w:wordWrap/>
        <w:topLinePunct w:val="0"/>
        <w:bidi w:val="0"/>
        <w:snapToGrid/>
        <w:spacing w:line="400" w:lineRule="exact"/>
        <w:ind w:firstLine="480" w:firstLineChars="200"/>
        <w:rPr>
          <w:rFonts w:hAnsi="宋体" w:cs="宋体"/>
          <w:szCs w:val="24"/>
          <w:u w:color="000000"/>
        </w:rPr>
      </w:pPr>
      <w:r>
        <w:rPr>
          <w:rFonts w:hint="eastAsia" w:hAnsi="宋体" w:cs="宋体"/>
          <w:szCs w:val="24"/>
          <w:u w:color="000000"/>
        </w:rPr>
        <w:t>合同一方不履行合同义务或者履行合同义务不符合约定的，应当承担继续履行、采取补救措施或者赔偿损失等违约责任。</w:t>
      </w:r>
    </w:p>
    <w:p w14:paraId="3D38C884">
      <w:pPr>
        <w:keepNext w:val="0"/>
        <w:keepLines w:val="0"/>
        <w:kinsoku/>
        <w:wordWrap/>
        <w:topLinePunct w:val="0"/>
        <w:bidi w:val="0"/>
        <w:snapToGrid/>
        <w:spacing w:line="400" w:lineRule="exact"/>
        <w:rPr>
          <w:rFonts w:ascii="宋体" w:hAnsi="宋体" w:eastAsia="宋体" w:cs="宋体"/>
          <w:sz w:val="24"/>
          <w:szCs w:val="24"/>
        </w:rPr>
      </w:pPr>
      <w:r>
        <w:rPr>
          <w:rFonts w:hint="eastAsia" w:ascii="宋体" w:hAnsi="宋体" w:eastAsia="宋体" w:cs="宋体"/>
          <w:sz w:val="24"/>
          <w:szCs w:val="24"/>
        </w:rPr>
        <w:t>13.买方违约责任</w:t>
      </w:r>
    </w:p>
    <w:p w14:paraId="1001EC73">
      <w:pPr>
        <w:pStyle w:val="7"/>
        <w:keepNext w:val="0"/>
        <w:keepLines w:val="0"/>
        <w:kinsoku/>
        <w:wordWrap/>
        <w:overflowPunct w:val="0"/>
        <w:topLinePunct w:val="0"/>
        <w:bidi w:val="0"/>
        <w:snapToGrid/>
        <w:spacing w:line="400" w:lineRule="exact"/>
        <w:rPr>
          <w:rFonts w:hAnsi="宋体" w:cs="宋体"/>
          <w:szCs w:val="24"/>
          <w:u w:color="000000"/>
        </w:rPr>
      </w:pPr>
      <w:r>
        <w:rPr>
          <w:rFonts w:hint="eastAsia" w:hAnsi="宋体" w:cs="宋体"/>
          <w:szCs w:val="24"/>
          <w:u w:color="000000"/>
        </w:rPr>
        <w:t>(1)在合同生效后，买方要求退货的，应向卖方偿付合同总价款的5%，作为违约金，违约金不足以补偿损失的，卖方有权要求甲方补足。</w:t>
      </w:r>
    </w:p>
    <w:p w14:paraId="1986B22A">
      <w:pPr>
        <w:pStyle w:val="7"/>
        <w:keepNext w:val="0"/>
        <w:keepLines w:val="0"/>
        <w:kinsoku/>
        <w:wordWrap/>
        <w:overflowPunct w:val="0"/>
        <w:topLinePunct w:val="0"/>
        <w:bidi w:val="0"/>
        <w:snapToGrid/>
        <w:spacing w:line="400" w:lineRule="exact"/>
        <w:ind w:right="-334" w:rightChars="-159"/>
        <w:rPr>
          <w:rFonts w:hAnsi="宋体" w:cs="宋体"/>
          <w:szCs w:val="24"/>
          <w:u w:color="000000"/>
        </w:rPr>
      </w:pPr>
      <w:r>
        <w:rPr>
          <w:rFonts w:hint="eastAsia" w:hAnsi="宋体" w:cs="宋体"/>
          <w:szCs w:val="24"/>
          <w:u w:color="000000"/>
        </w:rPr>
        <w:t>(2)买方逾期付款的应按照逾期付款金额的每天万分之四支付逾期付款违约金。</w:t>
      </w:r>
    </w:p>
    <w:p w14:paraId="6EC7BC6C">
      <w:pPr>
        <w:pStyle w:val="7"/>
        <w:keepNext w:val="0"/>
        <w:keepLines w:val="0"/>
        <w:kinsoku/>
        <w:wordWrap/>
        <w:overflowPunct w:val="0"/>
        <w:topLinePunct w:val="0"/>
        <w:bidi w:val="0"/>
        <w:snapToGrid/>
        <w:spacing w:line="400" w:lineRule="exact"/>
        <w:rPr>
          <w:rFonts w:hAnsi="宋体" w:cs="宋体"/>
          <w:szCs w:val="24"/>
          <w:u w:color="000000"/>
        </w:rPr>
      </w:pPr>
      <w:r>
        <w:rPr>
          <w:rFonts w:hint="eastAsia" w:hAnsi="宋体" w:cs="宋体"/>
          <w:szCs w:val="24"/>
          <w:u w:color="000000"/>
        </w:rPr>
        <w:t>(3)买方违反合同规定，拒绝接收卖方交付的符合招标文件要求的合格标的物，应当承担卖方由此造成的损失。</w:t>
      </w:r>
    </w:p>
    <w:p w14:paraId="5B7A2BC8">
      <w:pPr>
        <w:keepNext w:val="0"/>
        <w:keepLines w:val="0"/>
        <w:kinsoku/>
        <w:wordWrap/>
        <w:topLinePunct w:val="0"/>
        <w:bidi w:val="0"/>
        <w:snapToGrid/>
        <w:spacing w:line="400" w:lineRule="exact"/>
        <w:rPr>
          <w:rFonts w:ascii="宋体" w:hAnsi="宋体" w:eastAsia="宋体" w:cs="宋体"/>
          <w:sz w:val="24"/>
          <w:szCs w:val="24"/>
        </w:rPr>
      </w:pPr>
      <w:r>
        <w:rPr>
          <w:rFonts w:hint="eastAsia" w:ascii="宋体" w:hAnsi="宋体" w:eastAsia="宋体" w:cs="宋体"/>
          <w:sz w:val="24"/>
          <w:szCs w:val="24"/>
        </w:rPr>
        <w:t>14.卖方违约责任</w:t>
      </w:r>
    </w:p>
    <w:p w14:paraId="14EDBB5E">
      <w:pPr>
        <w:pStyle w:val="7"/>
        <w:keepNext w:val="0"/>
        <w:keepLines w:val="0"/>
        <w:kinsoku/>
        <w:wordWrap/>
        <w:overflowPunct w:val="0"/>
        <w:topLinePunct w:val="0"/>
        <w:bidi w:val="0"/>
        <w:snapToGrid/>
        <w:spacing w:line="400" w:lineRule="exact"/>
        <w:rPr>
          <w:rFonts w:hAnsi="宋体" w:cs="宋体"/>
          <w:szCs w:val="24"/>
          <w:u w:color="000000"/>
        </w:rPr>
      </w:pPr>
      <w:r>
        <w:rPr>
          <w:rFonts w:hint="eastAsia" w:hAnsi="宋体" w:cs="宋体"/>
          <w:szCs w:val="24"/>
          <w:u w:color="000000"/>
        </w:rPr>
        <w:t>(1)卖方不能交货（逾期超过五天视为不能交货），或交货不合格从而影响买方按期正常使用的，应向买方偿付合同总价款5%的违约金，违约金不足以补偿损失的，买方有权要求卖方补足。</w:t>
      </w:r>
    </w:p>
    <w:p w14:paraId="34114DFD">
      <w:pPr>
        <w:pStyle w:val="7"/>
        <w:keepNext w:val="0"/>
        <w:keepLines w:val="0"/>
        <w:kinsoku/>
        <w:wordWrap/>
        <w:overflowPunct w:val="0"/>
        <w:topLinePunct w:val="0"/>
        <w:bidi w:val="0"/>
        <w:snapToGrid/>
        <w:spacing w:line="400" w:lineRule="exact"/>
        <w:rPr>
          <w:rFonts w:hAnsi="宋体" w:cs="宋体"/>
          <w:szCs w:val="24"/>
          <w:u w:color="000000"/>
        </w:rPr>
      </w:pPr>
      <w:r>
        <w:rPr>
          <w:rFonts w:hint="eastAsia" w:hAnsi="宋体" w:cs="宋体"/>
          <w:szCs w:val="24"/>
          <w:u w:color="000000"/>
        </w:rPr>
        <w:t>(2)卖方逾期交货的，应在发货前与买方和政府采购管理部门协商，买方仍需求的，卖方应立即发货并应按照逾期交货部分货款的每天万分之四支付逾期交货违约金，同时承担买方因此遭致的损失费用。</w:t>
      </w:r>
    </w:p>
    <w:p w14:paraId="4A15896C">
      <w:pPr>
        <w:keepNext w:val="0"/>
        <w:keepLines w:val="0"/>
        <w:kinsoku/>
        <w:wordWrap/>
        <w:topLinePunct w:val="0"/>
        <w:bidi w:val="0"/>
        <w:snapToGrid/>
        <w:spacing w:line="400" w:lineRule="exact"/>
        <w:rPr>
          <w:rFonts w:ascii="宋体" w:hAnsi="宋体" w:eastAsia="宋体" w:cs="宋体"/>
          <w:sz w:val="24"/>
          <w:szCs w:val="24"/>
        </w:rPr>
      </w:pPr>
      <w:r>
        <w:rPr>
          <w:rFonts w:hint="eastAsia" w:ascii="宋体" w:hAnsi="宋体" w:eastAsia="宋体" w:cs="宋体"/>
          <w:sz w:val="24"/>
          <w:szCs w:val="24"/>
        </w:rPr>
        <w:t>15.不可抗力</w:t>
      </w:r>
    </w:p>
    <w:p w14:paraId="6D017FB6">
      <w:pPr>
        <w:pStyle w:val="7"/>
        <w:keepNext w:val="0"/>
        <w:keepLines w:val="0"/>
        <w:kinsoku/>
        <w:wordWrap/>
        <w:topLinePunct w:val="0"/>
        <w:bidi w:val="0"/>
        <w:snapToGrid/>
        <w:spacing w:line="400" w:lineRule="exact"/>
        <w:rPr>
          <w:rFonts w:hAnsi="宋体" w:cs="宋体"/>
          <w:szCs w:val="24"/>
          <w:u w:color="000000"/>
        </w:rPr>
      </w:pPr>
      <w:r>
        <w:rPr>
          <w:rFonts w:hint="eastAsia" w:hAnsi="宋体" w:cs="宋体"/>
          <w:szCs w:val="24"/>
          <w:u w:color="000000"/>
        </w:rPr>
        <w:t>(1)因水灾、火灾、地震、战争等不可抗力不能履行合同的，根据不可抗力的影响，部分或者全部免除责任。但合同一方迟延履行后发生不可抗力的，不能免除责任。</w:t>
      </w:r>
    </w:p>
    <w:p w14:paraId="2D7FD746">
      <w:pPr>
        <w:pStyle w:val="7"/>
        <w:keepNext w:val="0"/>
        <w:keepLines w:val="0"/>
        <w:kinsoku/>
        <w:wordWrap/>
        <w:topLinePunct w:val="0"/>
        <w:bidi w:val="0"/>
        <w:snapToGrid/>
        <w:spacing w:line="400" w:lineRule="exact"/>
        <w:rPr>
          <w:rFonts w:hAnsi="宋体" w:cs="宋体"/>
          <w:szCs w:val="24"/>
          <w:u w:color="000000"/>
        </w:rPr>
      </w:pPr>
      <w:r>
        <w:rPr>
          <w:rFonts w:hint="eastAsia" w:hAnsi="宋体" w:cs="宋体"/>
          <w:szCs w:val="24"/>
          <w:u w:color="000000"/>
        </w:rPr>
        <w:t>(2)合同一方因不可抗力不能履行合同的，应当及时通知对方，以减轻可能给对方造成的损失，并应当在合理期限内提供证明。</w:t>
      </w:r>
    </w:p>
    <w:p w14:paraId="3C37B319">
      <w:pPr>
        <w:keepNext w:val="0"/>
        <w:keepLines w:val="0"/>
        <w:kinsoku/>
        <w:wordWrap/>
        <w:topLinePunct w:val="0"/>
        <w:bidi w:val="0"/>
        <w:snapToGrid/>
        <w:spacing w:line="400" w:lineRule="exact"/>
        <w:rPr>
          <w:rFonts w:ascii="宋体" w:hAnsi="宋体" w:eastAsia="宋体" w:cs="宋体"/>
          <w:b/>
          <w:sz w:val="24"/>
          <w:szCs w:val="24"/>
        </w:rPr>
      </w:pPr>
      <w:r>
        <w:rPr>
          <w:rFonts w:hint="eastAsia" w:ascii="宋体" w:hAnsi="宋体" w:eastAsia="宋体" w:cs="宋体"/>
          <w:b/>
          <w:sz w:val="24"/>
          <w:szCs w:val="24"/>
        </w:rPr>
        <w:t>七. 索赔</w:t>
      </w:r>
    </w:p>
    <w:p w14:paraId="1CB09076">
      <w:pPr>
        <w:keepNext w:val="0"/>
        <w:keepLines w:val="0"/>
        <w:kinsoku/>
        <w:wordWrap/>
        <w:topLinePunct w:val="0"/>
        <w:bidi w:val="0"/>
        <w:snapToGrid/>
        <w:spacing w:line="400" w:lineRule="exact"/>
        <w:rPr>
          <w:rFonts w:ascii="宋体" w:hAnsi="宋体" w:eastAsia="宋体" w:cs="宋体"/>
          <w:sz w:val="24"/>
          <w:szCs w:val="24"/>
        </w:rPr>
      </w:pPr>
      <w:r>
        <w:rPr>
          <w:rFonts w:hint="eastAsia" w:ascii="宋体" w:hAnsi="宋体" w:eastAsia="宋体" w:cs="宋体"/>
          <w:sz w:val="24"/>
          <w:szCs w:val="24"/>
        </w:rPr>
        <w:t>16.索赔</w:t>
      </w:r>
    </w:p>
    <w:p w14:paraId="19978CA4">
      <w:pPr>
        <w:pStyle w:val="7"/>
        <w:keepNext w:val="0"/>
        <w:keepLines w:val="0"/>
        <w:kinsoku/>
        <w:wordWrap/>
        <w:overflowPunct w:val="0"/>
        <w:topLinePunct w:val="0"/>
        <w:bidi w:val="0"/>
        <w:snapToGrid/>
        <w:spacing w:line="400" w:lineRule="exact"/>
        <w:ind w:firstLine="600" w:firstLineChars="250"/>
        <w:rPr>
          <w:rFonts w:hAnsi="宋体" w:cs="宋体"/>
          <w:szCs w:val="24"/>
          <w:u w:color="000000"/>
        </w:rPr>
      </w:pPr>
      <w:r>
        <w:rPr>
          <w:rFonts w:hint="eastAsia" w:hAnsi="宋体" w:cs="宋体"/>
          <w:szCs w:val="24"/>
          <w:u w:color="000000"/>
        </w:rPr>
        <w:t>(1)买方有权根据当地产品质量检验机构或其它有权威部门出具的检验证书向卖方提出索赔。</w:t>
      </w:r>
    </w:p>
    <w:p w14:paraId="5B63E272">
      <w:pPr>
        <w:pStyle w:val="7"/>
        <w:keepNext w:val="0"/>
        <w:keepLines w:val="0"/>
        <w:kinsoku/>
        <w:wordWrap/>
        <w:overflowPunct w:val="0"/>
        <w:topLinePunct w:val="0"/>
        <w:bidi w:val="0"/>
        <w:snapToGrid/>
        <w:spacing w:line="400" w:lineRule="exact"/>
        <w:ind w:firstLine="600" w:firstLineChars="250"/>
        <w:rPr>
          <w:rFonts w:hAnsi="宋体" w:cs="宋体"/>
          <w:szCs w:val="24"/>
          <w:u w:color="000000"/>
        </w:rPr>
      </w:pPr>
      <w:r>
        <w:rPr>
          <w:rFonts w:hint="eastAsia" w:hAnsi="宋体" w:cs="宋体"/>
          <w:szCs w:val="24"/>
          <w:u w:color="000000"/>
        </w:rPr>
        <w:t>(2)在本合同规定的检验期和质量保证期内，如果卖方对买方提出的索赔或差异有责任，则卖方应按买方同意的下列一种或多种方式解决索赔事宜：</w:t>
      </w:r>
    </w:p>
    <w:p w14:paraId="474DD87F">
      <w:pPr>
        <w:pStyle w:val="7"/>
        <w:keepNext w:val="0"/>
        <w:keepLines w:val="0"/>
        <w:kinsoku/>
        <w:wordWrap/>
        <w:overflowPunct w:val="0"/>
        <w:topLinePunct w:val="0"/>
        <w:bidi w:val="0"/>
        <w:snapToGrid/>
        <w:spacing w:line="400" w:lineRule="exact"/>
        <w:ind w:firstLine="600" w:firstLineChars="250"/>
        <w:rPr>
          <w:rFonts w:hAnsi="宋体" w:cs="宋体"/>
          <w:szCs w:val="24"/>
          <w:u w:color="000000"/>
        </w:rPr>
      </w:pPr>
      <w:r>
        <w:rPr>
          <w:rFonts w:hint="eastAsia" w:hAnsi="宋体" w:cs="宋体"/>
          <w:szCs w:val="24"/>
          <w:u w:color="000000"/>
        </w:rPr>
        <w:t>&lt;1&gt;卖方同意退货，并按合同规定的货币将货款退还给买方，并承担由此发生的一切损失和费用，包括利息、银行手续费、运费、保险费、检验费、仓储费、装卸费以及为保护退回标的物所需的其它必要费用；</w:t>
      </w:r>
    </w:p>
    <w:p w14:paraId="45C6B312">
      <w:pPr>
        <w:pStyle w:val="7"/>
        <w:keepNext w:val="0"/>
        <w:keepLines w:val="0"/>
        <w:kinsoku/>
        <w:wordWrap/>
        <w:overflowPunct w:val="0"/>
        <w:topLinePunct w:val="0"/>
        <w:bidi w:val="0"/>
        <w:snapToGrid/>
        <w:spacing w:line="400" w:lineRule="exact"/>
        <w:ind w:firstLine="600" w:firstLineChars="250"/>
        <w:rPr>
          <w:rFonts w:hAnsi="宋体" w:cs="宋体"/>
          <w:szCs w:val="24"/>
          <w:u w:color="000000"/>
        </w:rPr>
      </w:pPr>
      <w:r>
        <w:rPr>
          <w:rFonts w:hint="eastAsia" w:hAnsi="宋体" w:cs="宋体"/>
          <w:szCs w:val="24"/>
          <w:u w:color="000000"/>
        </w:rPr>
        <w:t>&lt;2&gt;根据标的物的低劣程度、损坏程度以及甲方遭受损失的数额，经双方协商确定降低标的物的价格；</w:t>
      </w:r>
    </w:p>
    <w:p w14:paraId="3141B9D2">
      <w:pPr>
        <w:pStyle w:val="7"/>
        <w:keepNext w:val="0"/>
        <w:keepLines w:val="0"/>
        <w:kinsoku/>
        <w:wordWrap/>
        <w:overflowPunct w:val="0"/>
        <w:topLinePunct w:val="0"/>
        <w:bidi w:val="0"/>
        <w:snapToGrid/>
        <w:spacing w:line="400" w:lineRule="exact"/>
        <w:ind w:firstLine="600" w:firstLineChars="250"/>
        <w:rPr>
          <w:rFonts w:hAnsi="宋体" w:cs="宋体"/>
          <w:szCs w:val="24"/>
          <w:u w:color="000000"/>
        </w:rPr>
      </w:pPr>
      <w:r>
        <w:rPr>
          <w:rFonts w:hint="eastAsia" w:hAnsi="宋体" w:cs="宋体"/>
          <w:szCs w:val="24"/>
          <w:u w:color="000000"/>
        </w:rPr>
        <w:t>&lt;3&gt;用符合规格、质量和性能要求的新零件、部件或标的物来更换有缺陷的部分或修补缺陷部分，卖方应承担一切费用和风险并负担买方所发生的一切直接费用。同时，卖方应按合同规定，相应延长修补或被更换部件或标的物的质量保证期。</w:t>
      </w:r>
    </w:p>
    <w:p w14:paraId="504635A8">
      <w:pPr>
        <w:pStyle w:val="7"/>
        <w:keepNext w:val="0"/>
        <w:keepLines w:val="0"/>
        <w:kinsoku/>
        <w:wordWrap/>
        <w:overflowPunct w:val="0"/>
        <w:topLinePunct w:val="0"/>
        <w:bidi w:val="0"/>
        <w:snapToGrid/>
        <w:spacing w:line="400" w:lineRule="exact"/>
        <w:ind w:firstLine="600" w:firstLineChars="250"/>
        <w:rPr>
          <w:rFonts w:hAnsi="宋体" w:cs="宋体"/>
          <w:szCs w:val="24"/>
          <w:u w:color="000000"/>
        </w:rPr>
      </w:pPr>
      <w:r>
        <w:rPr>
          <w:rFonts w:hint="eastAsia" w:hAnsi="宋体" w:cs="宋体"/>
          <w:szCs w:val="24"/>
          <w:u w:color="000000"/>
        </w:rPr>
        <w:t>(3)如果在买方发出索赔通知后七天内，卖方未能答复，上述索赔应视为已被卖方接受。若卖方未在买方提出索赔通知后七天内或买方同意的更长时间内，按照合同规定的任何一种方法解决索赔事宜，买方将从未付款或卖方开具的履约保证金中扣回索赔金额，如果这些金额不足以补偿索赔金额，买方有权向卖方提出对不足部分的补偿。</w:t>
      </w:r>
    </w:p>
    <w:p w14:paraId="7CC4FEBB">
      <w:pPr>
        <w:pStyle w:val="7"/>
        <w:keepNext w:val="0"/>
        <w:keepLines w:val="0"/>
        <w:kinsoku/>
        <w:wordWrap/>
        <w:overflowPunct w:val="0"/>
        <w:topLinePunct w:val="0"/>
        <w:bidi w:val="0"/>
        <w:snapToGrid/>
        <w:spacing w:line="400" w:lineRule="exact"/>
        <w:ind w:firstLine="600" w:firstLineChars="250"/>
        <w:rPr>
          <w:rFonts w:hAnsi="宋体" w:cs="宋体"/>
          <w:szCs w:val="24"/>
          <w:u w:color="000000"/>
        </w:rPr>
      </w:pPr>
      <w:r>
        <w:rPr>
          <w:rFonts w:hint="eastAsia" w:hAnsi="宋体" w:cs="宋体"/>
          <w:szCs w:val="24"/>
          <w:u w:color="000000"/>
        </w:rPr>
        <w:t>(4)买方提出索赔的书面材料应报当地政府采购管理部门备案。卖方同意的索赔方案应报当地政府采购管理部门审核。</w:t>
      </w:r>
    </w:p>
    <w:p w14:paraId="2923881A">
      <w:pPr>
        <w:keepNext w:val="0"/>
        <w:keepLines w:val="0"/>
        <w:kinsoku/>
        <w:wordWrap/>
        <w:topLinePunct w:val="0"/>
        <w:bidi w:val="0"/>
        <w:snapToGrid/>
        <w:spacing w:line="400" w:lineRule="exact"/>
        <w:rPr>
          <w:rFonts w:ascii="宋体" w:hAnsi="宋体" w:eastAsia="宋体" w:cs="宋体"/>
          <w:b/>
          <w:sz w:val="24"/>
          <w:szCs w:val="24"/>
        </w:rPr>
      </w:pPr>
      <w:r>
        <w:rPr>
          <w:rFonts w:hint="eastAsia" w:ascii="宋体" w:hAnsi="宋体" w:eastAsia="宋体" w:cs="宋体"/>
          <w:b/>
          <w:sz w:val="24"/>
          <w:szCs w:val="24"/>
        </w:rPr>
        <w:t>八. 履约保证金</w:t>
      </w:r>
    </w:p>
    <w:p w14:paraId="4F7A65E5">
      <w:pPr>
        <w:keepNext w:val="0"/>
        <w:keepLines w:val="0"/>
        <w:kinsoku/>
        <w:wordWrap/>
        <w:topLinePunct w:val="0"/>
        <w:bidi w:val="0"/>
        <w:snapToGrid/>
        <w:spacing w:line="400" w:lineRule="exact"/>
        <w:rPr>
          <w:rFonts w:ascii="宋体" w:hAnsi="宋体" w:eastAsia="宋体" w:cs="宋体"/>
          <w:sz w:val="24"/>
          <w:szCs w:val="24"/>
        </w:rPr>
      </w:pPr>
      <w:r>
        <w:rPr>
          <w:rFonts w:hint="eastAsia" w:ascii="宋体" w:hAnsi="宋体" w:eastAsia="宋体" w:cs="宋体"/>
          <w:sz w:val="24"/>
          <w:szCs w:val="24"/>
        </w:rPr>
        <w:t>17.履约保证金</w:t>
      </w:r>
    </w:p>
    <w:p w14:paraId="4D6E2106">
      <w:pPr>
        <w:pStyle w:val="7"/>
        <w:keepNext w:val="0"/>
        <w:keepLines w:val="0"/>
        <w:kinsoku/>
        <w:wordWrap/>
        <w:overflowPunct w:val="0"/>
        <w:topLinePunct w:val="0"/>
        <w:bidi w:val="0"/>
        <w:snapToGrid/>
        <w:spacing w:line="400" w:lineRule="exact"/>
        <w:rPr>
          <w:rFonts w:hAnsi="宋体" w:cs="宋体"/>
          <w:szCs w:val="24"/>
          <w:u w:color="000000"/>
        </w:rPr>
      </w:pPr>
      <w:r>
        <w:rPr>
          <w:rFonts w:hint="eastAsia" w:hAnsi="宋体" w:cs="宋体"/>
          <w:szCs w:val="24"/>
          <w:u w:color="000000"/>
        </w:rPr>
        <w:t>(1)卖方应在本合同签订时，按招标文件的约定提供相应的履约保证金，保证金的有效期应不低于合同有效期。</w:t>
      </w:r>
    </w:p>
    <w:p w14:paraId="5A959691">
      <w:pPr>
        <w:pStyle w:val="7"/>
        <w:keepNext w:val="0"/>
        <w:keepLines w:val="0"/>
        <w:kinsoku/>
        <w:wordWrap/>
        <w:overflowPunct w:val="0"/>
        <w:topLinePunct w:val="0"/>
        <w:bidi w:val="0"/>
        <w:snapToGrid/>
        <w:spacing w:line="400" w:lineRule="exact"/>
        <w:ind w:right="-334" w:rightChars="-159"/>
        <w:rPr>
          <w:rFonts w:hAnsi="宋体" w:cs="宋体"/>
          <w:szCs w:val="24"/>
          <w:u w:color="000000"/>
        </w:rPr>
      </w:pPr>
      <w:r>
        <w:rPr>
          <w:rFonts w:hint="eastAsia" w:hAnsi="宋体" w:cs="宋体"/>
          <w:szCs w:val="24"/>
          <w:u w:color="000000"/>
        </w:rPr>
        <w:t>(2)如果卖方未能履行合同规定的任何义务，买方有权从履约保证金中取得补偿。</w:t>
      </w:r>
    </w:p>
    <w:p w14:paraId="6A68539B">
      <w:pPr>
        <w:pStyle w:val="7"/>
        <w:keepNext w:val="0"/>
        <w:keepLines w:val="0"/>
        <w:kinsoku/>
        <w:wordWrap/>
        <w:overflowPunct w:val="0"/>
        <w:topLinePunct w:val="0"/>
        <w:bidi w:val="0"/>
        <w:snapToGrid/>
        <w:spacing w:line="400" w:lineRule="exact"/>
        <w:ind w:right="-334" w:rightChars="-159" w:firstLine="0"/>
        <w:rPr>
          <w:rFonts w:hAnsi="宋体" w:cs="宋体"/>
          <w:b/>
          <w:kern w:val="2"/>
          <w:szCs w:val="24"/>
        </w:rPr>
      </w:pPr>
      <w:r>
        <w:rPr>
          <w:rFonts w:hint="eastAsia" w:hAnsi="宋体" w:cs="宋体"/>
          <w:b/>
          <w:kern w:val="2"/>
          <w:szCs w:val="24"/>
        </w:rPr>
        <w:t>九.  合同的解除和转让</w:t>
      </w:r>
    </w:p>
    <w:p w14:paraId="1872499B">
      <w:pPr>
        <w:keepNext w:val="0"/>
        <w:keepLines w:val="0"/>
        <w:kinsoku/>
        <w:wordWrap/>
        <w:topLinePunct w:val="0"/>
        <w:bidi w:val="0"/>
        <w:snapToGrid/>
        <w:spacing w:line="400" w:lineRule="exact"/>
        <w:rPr>
          <w:rFonts w:ascii="宋体" w:hAnsi="宋体" w:eastAsia="宋体" w:cs="宋体"/>
          <w:sz w:val="24"/>
          <w:szCs w:val="24"/>
        </w:rPr>
      </w:pPr>
      <w:r>
        <w:rPr>
          <w:rFonts w:hint="eastAsia" w:ascii="宋体" w:hAnsi="宋体" w:eastAsia="宋体" w:cs="宋体"/>
          <w:sz w:val="24"/>
          <w:szCs w:val="24"/>
        </w:rPr>
        <w:t>18.合同的解除</w:t>
      </w:r>
    </w:p>
    <w:p w14:paraId="4C70D060">
      <w:pPr>
        <w:pStyle w:val="7"/>
        <w:keepNext w:val="0"/>
        <w:keepLines w:val="0"/>
        <w:kinsoku/>
        <w:wordWrap/>
        <w:topLinePunct w:val="0"/>
        <w:bidi w:val="0"/>
        <w:snapToGrid/>
        <w:spacing w:line="400" w:lineRule="exact"/>
        <w:rPr>
          <w:rFonts w:hAnsi="宋体" w:cs="宋体"/>
          <w:szCs w:val="24"/>
          <w:u w:color="000000"/>
        </w:rPr>
      </w:pPr>
      <w:r>
        <w:rPr>
          <w:rFonts w:hint="eastAsia" w:hAnsi="宋体" w:cs="宋体"/>
          <w:szCs w:val="24"/>
          <w:u w:color="000000"/>
        </w:rPr>
        <w:t>(1)买方和卖方协商一致，可以解除合同。</w:t>
      </w:r>
    </w:p>
    <w:p w14:paraId="0D80FD8C">
      <w:pPr>
        <w:pStyle w:val="7"/>
        <w:keepNext w:val="0"/>
        <w:keepLines w:val="0"/>
        <w:kinsoku/>
        <w:wordWrap/>
        <w:topLinePunct w:val="0"/>
        <w:bidi w:val="0"/>
        <w:snapToGrid/>
        <w:spacing w:line="400" w:lineRule="exact"/>
        <w:rPr>
          <w:rFonts w:hAnsi="宋体" w:cs="宋体"/>
          <w:szCs w:val="24"/>
          <w:u w:color="000000"/>
        </w:rPr>
      </w:pPr>
      <w:r>
        <w:rPr>
          <w:rFonts w:hint="eastAsia" w:hAnsi="宋体" w:cs="宋体"/>
          <w:szCs w:val="24"/>
          <w:u w:color="000000"/>
        </w:rPr>
        <w:t>(2)有下列情形之一，合同一方可以解除合同：</w:t>
      </w:r>
    </w:p>
    <w:p w14:paraId="11097B34">
      <w:pPr>
        <w:pStyle w:val="7"/>
        <w:keepNext w:val="0"/>
        <w:keepLines w:val="0"/>
        <w:kinsoku/>
        <w:wordWrap/>
        <w:topLinePunct w:val="0"/>
        <w:bidi w:val="0"/>
        <w:snapToGrid/>
        <w:spacing w:line="400" w:lineRule="exact"/>
        <w:rPr>
          <w:rFonts w:hAnsi="宋体" w:cs="宋体"/>
          <w:szCs w:val="24"/>
          <w:u w:color="000000"/>
        </w:rPr>
      </w:pPr>
      <w:r>
        <w:rPr>
          <w:rFonts w:hint="eastAsia" w:hAnsi="宋体" w:cs="宋体"/>
          <w:szCs w:val="24"/>
          <w:u w:color="000000"/>
        </w:rPr>
        <w:t>&lt;1&gt;因不可抗力致使不能实现合同目的，未受不可抗力影响的一方有权解除合同；</w:t>
      </w:r>
    </w:p>
    <w:p w14:paraId="2A62BE91">
      <w:pPr>
        <w:pStyle w:val="7"/>
        <w:keepNext w:val="0"/>
        <w:keepLines w:val="0"/>
        <w:kinsoku/>
        <w:wordWrap/>
        <w:topLinePunct w:val="0"/>
        <w:bidi w:val="0"/>
        <w:snapToGrid/>
        <w:spacing w:line="400" w:lineRule="exact"/>
        <w:rPr>
          <w:rFonts w:hAnsi="宋体" w:cs="宋体"/>
          <w:szCs w:val="24"/>
          <w:u w:color="000000"/>
        </w:rPr>
      </w:pPr>
      <w:r>
        <w:rPr>
          <w:rFonts w:hint="eastAsia" w:hAnsi="宋体" w:cs="宋体"/>
          <w:szCs w:val="24"/>
          <w:u w:color="000000"/>
        </w:rPr>
        <w:t>&lt;2&gt;因合同一方违约导致合同不能履行，另一方有权解除合同。</w:t>
      </w:r>
    </w:p>
    <w:p w14:paraId="7F1184DE">
      <w:pPr>
        <w:pStyle w:val="7"/>
        <w:keepNext w:val="0"/>
        <w:keepLines w:val="0"/>
        <w:kinsoku/>
        <w:wordWrap/>
        <w:topLinePunct w:val="0"/>
        <w:bidi w:val="0"/>
        <w:snapToGrid/>
        <w:spacing w:line="400" w:lineRule="exact"/>
        <w:rPr>
          <w:rFonts w:hAnsi="宋体" w:cs="宋体"/>
          <w:szCs w:val="24"/>
          <w:u w:color="000000"/>
        </w:rPr>
      </w:pPr>
      <w:r>
        <w:rPr>
          <w:rFonts w:hint="eastAsia" w:hAnsi="宋体" w:cs="宋体"/>
          <w:szCs w:val="24"/>
          <w:u w:color="000000"/>
        </w:rPr>
        <w:t>(3)有权解除合同的一方，应当在违约事实或不可抗力发生之后三十天内书面通知对方以主张解除合同，合同在书面通知到达对方时解除。</w:t>
      </w:r>
    </w:p>
    <w:p w14:paraId="5DF151BA">
      <w:pPr>
        <w:keepNext w:val="0"/>
        <w:keepLines w:val="0"/>
        <w:kinsoku/>
        <w:wordWrap/>
        <w:topLinePunct w:val="0"/>
        <w:bidi w:val="0"/>
        <w:snapToGrid/>
        <w:spacing w:line="400" w:lineRule="exact"/>
        <w:rPr>
          <w:rFonts w:ascii="宋体" w:hAnsi="宋体" w:eastAsia="宋体" w:cs="宋体"/>
          <w:sz w:val="24"/>
          <w:szCs w:val="24"/>
        </w:rPr>
      </w:pPr>
      <w:r>
        <w:rPr>
          <w:rFonts w:hint="eastAsia" w:ascii="宋体" w:hAnsi="宋体" w:eastAsia="宋体" w:cs="宋体"/>
          <w:sz w:val="24"/>
          <w:szCs w:val="24"/>
        </w:rPr>
        <w:t>19.合同的转让</w:t>
      </w:r>
    </w:p>
    <w:p w14:paraId="26DF6ECB">
      <w:pPr>
        <w:keepNext w:val="0"/>
        <w:keepLines w:val="0"/>
        <w:kinsoku/>
        <w:wordWrap/>
        <w:topLinePunct w:val="0"/>
        <w:bidi w:val="0"/>
        <w:snapToGrid/>
        <w:spacing w:line="400" w:lineRule="exact"/>
        <w:rPr>
          <w:rFonts w:ascii="宋体" w:hAnsi="宋体" w:eastAsia="宋体" w:cs="宋体"/>
          <w:sz w:val="24"/>
          <w:szCs w:val="24"/>
        </w:rPr>
      </w:pPr>
      <w:r>
        <w:rPr>
          <w:rFonts w:hint="eastAsia" w:ascii="宋体" w:hAnsi="宋体" w:eastAsia="宋体" w:cs="宋体"/>
          <w:sz w:val="24"/>
          <w:szCs w:val="24"/>
        </w:rPr>
        <w:t xml:space="preserve">      合同的部分和全部都不得转让。</w:t>
      </w:r>
    </w:p>
    <w:p w14:paraId="5934865B">
      <w:pPr>
        <w:keepNext w:val="0"/>
        <w:keepLines w:val="0"/>
        <w:kinsoku/>
        <w:wordWrap/>
        <w:topLinePunct w:val="0"/>
        <w:bidi w:val="0"/>
        <w:snapToGrid/>
        <w:spacing w:line="400" w:lineRule="exact"/>
        <w:rPr>
          <w:rFonts w:ascii="宋体" w:hAnsi="宋体" w:eastAsia="宋体" w:cs="宋体"/>
          <w:b/>
          <w:sz w:val="24"/>
          <w:szCs w:val="24"/>
        </w:rPr>
      </w:pPr>
      <w:r>
        <w:rPr>
          <w:rFonts w:hint="eastAsia" w:ascii="宋体" w:hAnsi="宋体" w:eastAsia="宋体" w:cs="宋体"/>
          <w:b/>
          <w:sz w:val="24"/>
          <w:szCs w:val="24"/>
        </w:rPr>
        <w:t>十. 合同的生效</w:t>
      </w:r>
    </w:p>
    <w:p w14:paraId="5A6585BC">
      <w:pPr>
        <w:keepNext w:val="0"/>
        <w:keepLines w:val="0"/>
        <w:kinsoku/>
        <w:wordWrap/>
        <w:topLinePunct w:val="0"/>
        <w:bidi w:val="0"/>
        <w:snapToGrid/>
        <w:spacing w:line="400" w:lineRule="exact"/>
        <w:rPr>
          <w:rFonts w:ascii="宋体" w:hAnsi="宋体" w:eastAsia="宋体" w:cs="宋体"/>
          <w:sz w:val="24"/>
          <w:szCs w:val="24"/>
        </w:rPr>
      </w:pPr>
      <w:r>
        <w:rPr>
          <w:rFonts w:hint="eastAsia" w:ascii="宋体" w:hAnsi="宋体" w:eastAsia="宋体" w:cs="宋体"/>
          <w:sz w:val="24"/>
          <w:szCs w:val="24"/>
        </w:rPr>
        <w:t>20.合同的生效</w:t>
      </w:r>
    </w:p>
    <w:p w14:paraId="10C61317">
      <w:pPr>
        <w:keepNext w:val="0"/>
        <w:keepLines w:val="0"/>
        <w:kinsoku/>
        <w:wordWrap/>
        <w:topLinePunct w:val="0"/>
        <w:bidi w:val="0"/>
        <w:snapToGrid/>
        <w:spacing w:line="400" w:lineRule="exact"/>
        <w:ind w:firstLine="664" w:firstLineChars="277"/>
        <w:rPr>
          <w:rFonts w:ascii="宋体" w:hAnsi="宋体" w:eastAsia="宋体" w:cs="宋体"/>
          <w:sz w:val="24"/>
          <w:szCs w:val="24"/>
        </w:rPr>
      </w:pPr>
      <w:r>
        <w:rPr>
          <w:rFonts w:hint="eastAsia" w:ascii="宋体" w:hAnsi="宋体" w:eastAsia="宋体" w:cs="宋体"/>
          <w:sz w:val="24"/>
          <w:szCs w:val="24"/>
        </w:rPr>
        <w:t>本合同在双方签字盖章后生效。</w:t>
      </w:r>
    </w:p>
    <w:p w14:paraId="0B34187F">
      <w:pPr>
        <w:keepNext w:val="0"/>
        <w:keepLines w:val="0"/>
        <w:kinsoku/>
        <w:wordWrap/>
        <w:topLinePunct w:val="0"/>
        <w:bidi w:val="0"/>
        <w:snapToGrid/>
        <w:spacing w:line="400" w:lineRule="exact"/>
        <w:rPr>
          <w:rFonts w:ascii="宋体" w:hAnsi="宋体" w:eastAsia="宋体" w:cs="宋体"/>
          <w:b/>
          <w:sz w:val="24"/>
          <w:szCs w:val="24"/>
        </w:rPr>
      </w:pPr>
      <w:r>
        <w:rPr>
          <w:rFonts w:hint="eastAsia" w:ascii="宋体" w:hAnsi="宋体" w:eastAsia="宋体" w:cs="宋体"/>
          <w:b/>
          <w:sz w:val="24"/>
          <w:szCs w:val="24"/>
        </w:rPr>
        <w:t>十一. 争议解决</w:t>
      </w:r>
    </w:p>
    <w:p w14:paraId="29ED0D7F">
      <w:pPr>
        <w:keepNext w:val="0"/>
        <w:keepLines w:val="0"/>
        <w:kinsoku/>
        <w:wordWrap/>
        <w:topLinePunct w:val="0"/>
        <w:bidi w:val="0"/>
        <w:snapToGrid/>
        <w:spacing w:line="400" w:lineRule="exact"/>
        <w:ind w:firstLine="240" w:firstLineChars="100"/>
        <w:rPr>
          <w:rFonts w:ascii="宋体" w:hAnsi="宋体" w:eastAsia="宋体" w:cs="宋体"/>
          <w:sz w:val="24"/>
          <w:szCs w:val="24"/>
        </w:rPr>
      </w:pPr>
      <w:r>
        <w:rPr>
          <w:rFonts w:hint="eastAsia" w:ascii="宋体" w:hAnsi="宋体" w:eastAsia="宋体" w:cs="宋体"/>
          <w:sz w:val="24"/>
          <w:szCs w:val="24"/>
        </w:rPr>
        <w:t>21.争议解决</w:t>
      </w:r>
    </w:p>
    <w:p w14:paraId="5986060B">
      <w:pPr>
        <w:pStyle w:val="7"/>
        <w:keepNext w:val="0"/>
        <w:keepLines w:val="0"/>
        <w:kinsoku/>
        <w:wordWrap/>
        <w:overflowPunct w:val="0"/>
        <w:topLinePunct w:val="0"/>
        <w:bidi w:val="0"/>
        <w:snapToGrid/>
        <w:spacing w:line="400" w:lineRule="exact"/>
        <w:rPr>
          <w:rFonts w:hAnsi="宋体" w:cs="宋体"/>
          <w:szCs w:val="24"/>
          <w:u w:color="000000"/>
        </w:rPr>
      </w:pPr>
      <w:r>
        <w:rPr>
          <w:rFonts w:hint="eastAsia" w:hAnsi="宋体" w:cs="宋体"/>
          <w:szCs w:val="24"/>
          <w:u w:color="000000"/>
        </w:rPr>
        <w:t>买卖双方因合同发生争议，进行调解，协商不成，可选择：（2）</w:t>
      </w:r>
    </w:p>
    <w:p w14:paraId="6AAC04A3">
      <w:pPr>
        <w:pStyle w:val="7"/>
        <w:keepNext w:val="0"/>
        <w:keepLines w:val="0"/>
        <w:kinsoku/>
        <w:wordWrap/>
        <w:overflowPunct w:val="0"/>
        <w:topLinePunct w:val="0"/>
        <w:bidi w:val="0"/>
        <w:snapToGrid/>
        <w:spacing w:line="400" w:lineRule="exact"/>
        <w:rPr>
          <w:rFonts w:hAnsi="宋体" w:cs="宋体"/>
          <w:szCs w:val="24"/>
          <w:u w:color="000000"/>
        </w:rPr>
      </w:pPr>
      <w:r>
        <w:rPr>
          <w:rFonts w:hint="eastAsia" w:hAnsi="宋体" w:cs="宋体"/>
          <w:szCs w:val="24"/>
          <w:u w:color="000000"/>
        </w:rPr>
        <w:t>(1)双方同时</w:t>
      </w:r>
      <w:r>
        <w:rPr>
          <w:rFonts w:hint="eastAsia" w:hAnsi="宋体" w:cs="宋体"/>
          <w:szCs w:val="24"/>
        </w:rPr>
        <w:t>将争议提交滁州仲裁委员会</w:t>
      </w:r>
      <w:r>
        <w:rPr>
          <w:rFonts w:hint="eastAsia" w:hAnsi="宋体" w:cs="宋体"/>
          <w:szCs w:val="24"/>
          <w:u w:color="000000"/>
        </w:rPr>
        <w:t>进行仲裁；</w:t>
      </w:r>
    </w:p>
    <w:p w14:paraId="61C17F66">
      <w:pPr>
        <w:pStyle w:val="7"/>
        <w:keepNext w:val="0"/>
        <w:keepLines w:val="0"/>
        <w:tabs>
          <w:tab w:val="left" w:pos="900"/>
        </w:tabs>
        <w:kinsoku/>
        <w:wordWrap/>
        <w:overflowPunct w:val="0"/>
        <w:topLinePunct w:val="0"/>
        <w:bidi w:val="0"/>
        <w:snapToGrid/>
        <w:spacing w:line="400" w:lineRule="exact"/>
        <w:rPr>
          <w:rFonts w:hAnsi="宋体" w:cs="宋体"/>
          <w:szCs w:val="24"/>
          <w:u w:color="000000"/>
        </w:rPr>
      </w:pPr>
      <w:r>
        <w:rPr>
          <w:rFonts w:hint="eastAsia" w:hAnsi="宋体" w:cs="宋体"/>
          <w:szCs w:val="24"/>
          <w:u w:color="000000"/>
        </w:rPr>
        <w:t>(2)向买方所在地人民法院提起诉讼。</w:t>
      </w:r>
    </w:p>
    <w:p w14:paraId="0C2A4DEF">
      <w:pPr>
        <w:keepNext w:val="0"/>
        <w:keepLines w:val="0"/>
        <w:kinsoku/>
        <w:wordWrap/>
        <w:topLinePunct w:val="0"/>
        <w:bidi w:val="0"/>
        <w:snapToGrid/>
        <w:spacing w:line="400" w:lineRule="exact"/>
        <w:rPr>
          <w:rFonts w:ascii="宋体" w:hAnsi="宋体" w:eastAsia="宋体" w:cs="宋体"/>
          <w:b/>
          <w:sz w:val="24"/>
          <w:szCs w:val="24"/>
        </w:rPr>
      </w:pPr>
      <w:r>
        <w:rPr>
          <w:rFonts w:hint="eastAsia" w:ascii="宋体" w:hAnsi="宋体" w:eastAsia="宋体" w:cs="宋体"/>
          <w:b/>
          <w:sz w:val="24"/>
          <w:szCs w:val="24"/>
        </w:rPr>
        <w:t>十二 .附则</w:t>
      </w:r>
    </w:p>
    <w:p w14:paraId="0A041E91">
      <w:pPr>
        <w:keepNext w:val="0"/>
        <w:keepLines w:val="0"/>
        <w:kinsoku/>
        <w:wordWrap/>
        <w:topLinePunct w:val="0"/>
        <w:bidi w:val="0"/>
        <w:snapToGrid/>
        <w:spacing w:line="400" w:lineRule="exact"/>
        <w:ind w:firstLine="240" w:firstLineChars="100"/>
        <w:rPr>
          <w:rFonts w:ascii="宋体" w:hAnsi="宋体" w:eastAsia="宋体" w:cs="宋体"/>
          <w:sz w:val="24"/>
          <w:szCs w:val="24"/>
        </w:rPr>
      </w:pPr>
      <w:r>
        <w:rPr>
          <w:rFonts w:hint="eastAsia" w:ascii="宋体" w:hAnsi="宋体" w:eastAsia="宋体" w:cs="宋体"/>
          <w:sz w:val="24"/>
          <w:szCs w:val="24"/>
        </w:rPr>
        <w:t>22.合同份数。</w:t>
      </w:r>
    </w:p>
    <w:p w14:paraId="4DB8E1F4">
      <w:pPr>
        <w:keepNext w:val="0"/>
        <w:keepLines w:val="0"/>
        <w:kinsoku/>
        <w:wordWrap/>
        <w:topLinePunct w:val="0"/>
        <w:bidi w:val="0"/>
        <w:snapToGrid/>
        <w:spacing w:line="400" w:lineRule="exact"/>
        <w:ind w:firstLine="240" w:firstLineChars="100"/>
        <w:rPr>
          <w:rFonts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tab/>
      </w:r>
      <w:r>
        <w:rPr>
          <w:rFonts w:hint="eastAsia" w:ascii="宋体" w:hAnsi="宋体" w:eastAsia="宋体" w:cs="宋体"/>
          <w:sz w:val="24"/>
          <w:szCs w:val="24"/>
        </w:rPr>
        <w:t xml:space="preserve"> 本合同一式陆份，买卖双方各执二份，招标代理机构一份，招标采购管理部门一份。</w:t>
      </w:r>
    </w:p>
    <w:p w14:paraId="6CDB5407">
      <w:pPr>
        <w:keepNext w:val="0"/>
        <w:keepLines w:val="0"/>
        <w:kinsoku/>
        <w:wordWrap/>
        <w:topLinePunct w:val="0"/>
        <w:bidi w:val="0"/>
        <w:snapToGrid/>
        <w:spacing w:line="400" w:lineRule="exact"/>
        <w:ind w:firstLine="240" w:firstLineChars="100"/>
        <w:rPr>
          <w:rFonts w:ascii="宋体" w:hAnsi="宋体" w:eastAsia="宋体" w:cs="宋体"/>
          <w:sz w:val="24"/>
          <w:szCs w:val="24"/>
        </w:rPr>
      </w:pPr>
      <w:r>
        <w:rPr>
          <w:rFonts w:hint="eastAsia" w:ascii="宋体" w:hAnsi="宋体" w:eastAsia="宋体" w:cs="宋体"/>
          <w:sz w:val="24"/>
          <w:szCs w:val="24"/>
        </w:rPr>
        <w:t>23.未尽事宜</w:t>
      </w:r>
    </w:p>
    <w:p w14:paraId="516AE08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664" w:firstLineChars="277"/>
        <w:jc w:val="both"/>
        <w:textAlignment w:val="auto"/>
        <w:rPr>
          <w:rFonts w:hint="eastAsia" w:ascii="宋体" w:hAnsi="宋体" w:eastAsia="宋体" w:cs="宋体"/>
          <w:kern w:val="2"/>
          <w:sz w:val="24"/>
          <w:szCs w:val="24"/>
          <w:highlight w:val="none"/>
          <w:lang w:val="en-US" w:eastAsia="zh-CN" w:bidi="ar"/>
        </w:rPr>
      </w:pPr>
      <w:r>
        <w:rPr>
          <w:rFonts w:hint="eastAsia" w:ascii="宋体" w:hAnsi="宋体" w:eastAsia="宋体" w:cs="宋体"/>
          <w:sz w:val="24"/>
          <w:szCs w:val="24"/>
        </w:rPr>
        <w:t>本合同未尽事宜应按《中华人民共和国政府采购法》、《中华人民共和国民法典》、《中华人民共和国产品质量法》之规定解释。</w:t>
      </w:r>
    </w:p>
    <w:p w14:paraId="0DBD3D32">
      <w:pPr>
        <w:jc w:val="center"/>
        <w:rPr>
          <w:rFonts w:hint="eastAsia" w:ascii="方正楷体_GB2312" w:hAnsi="方正楷体_GB2312" w:eastAsia="方正楷体_GB2312" w:cs="方正楷体_GB2312"/>
          <w:b/>
          <w:sz w:val="32"/>
          <w:szCs w:val="32"/>
        </w:rPr>
      </w:pPr>
      <w:r>
        <w:rPr>
          <w:rFonts w:hint="eastAsia" w:asciiTheme="minorEastAsia" w:hAnsiTheme="minorEastAsia" w:eastAsiaTheme="minorEastAsia"/>
          <w:b/>
          <w:color w:val="auto"/>
          <w:sz w:val="28"/>
          <w:highlight w:val="none"/>
        </w:rPr>
        <w:br w:type="page"/>
      </w:r>
      <w:r>
        <w:rPr>
          <w:rFonts w:hint="eastAsia" w:ascii="方正楷体_GB2312" w:hAnsi="方正楷体_GB2312" w:eastAsia="方正楷体_GB2312" w:cs="方正楷体_GB2312"/>
          <w:b/>
          <w:sz w:val="32"/>
          <w:szCs w:val="32"/>
        </w:rPr>
        <w:t>项目验收标准</w:t>
      </w:r>
    </w:p>
    <w:p w14:paraId="6879A076">
      <w:pPr>
        <w:rPr>
          <w:rFonts w:hint="eastAsia" w:ascii="黑体" w:hAnsi="黑体" w:eastAsia="黑体" w:cs="黑体"/>
          <w:sz w:val="24"/>
          <w:szCs w:val="24"/>
        </w:rPr>
      </w:pPr>
      <w:r>
        <w:rPr>
          <w:rFonts w:hint="eastAsia" w:ascii="黑体" w:hAnsi="黑体" w:eastAsia="黑体" w:cs="黑体"/>
          <w:sz w:val="24"/>
          <w:szCs w:val="24"/>
        </w:rPr>
        <w:t>一、验收总则</w:t>
      </w:r>
    </w:p>
    <w:p w14:paraId="47E3A95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本标准适用于滁州技师学院新校区大礼堂大屏及电动窗帘建设项目（项目编号：</w:t>
      </w:r>
      <w:r>
        <w:rPr>
          <w:rFonts w:hint="eastAsia" w:ascii="宋体" w:hAnsi="宋体" w:eastAsia="宋体" w:cs="宋体"/>
          <w:sz w:val="24"/>
          <w:szCs w:val="24"/>
          <w:lang w:eastAsia="zh-CN"/>
        </w:rPr>
        <w:t>czsjcg202607-020</w:t>
      </w:r>
      <w:r>
        <w:rPr>
          <w:rFonts w:hint="eastAsia" w:ascii="宋体" w:hAnsi="宋体" w:eastAsia="宋体" w:cs="宋体"/>
          <w:sz w:val="24"/>
          <w:szCs w:val="24"/>
        </w:rPr>
        <w:t>）的全部货物供货、安装、调试及集成服务的验收工作。</w:t>
      </w:r>
    </w:p>
    <w:p w14:paraId="7C868F1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验收工作遵循客观公正、科学规范、数据可测、责任明确的原则，严格依据国家法律法规、行业标准、招标文件、中标人投标文件及双方签订的政府采购合同执行。</w:t>
      </w:r>
    </w:p>
    <w:p w14:paraId="4C0BEC6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采购人有权委托具备相应资质的第三方检测机构对项目产品质量、技术参数及系统性能进行抽样检测，检测费用由中标人承担；若检测结果不合格，中标人须无条件更换全部不合格产品，并承担由此产生的所有损失及违约责任。</w:t>
      </w:r>
    </w:p>
    <w:p w14:paraId="587772B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本项目验收分为到货验收、安装调试验收、试运行验收、竣工验收四个阶段，所有阶段验收合格后方可视为项目整体验收通过。</w:t>
      </w:r>
      <w:bookmarkStart w:id="118" w:name="_GoBack"/>
      <w:bookmarkEnd w:id="118"/>
    </w:p>
    <w:p w14:paraId="102468EC">
      <w:pPr>
        <w:rPr>
          <w:rFonts w:hint="eastAsia" w:ascii="黑体" w:hAnsi="黑体" w:eastAsia="黑体" w:cs="黑体"/>
          <w:sz w:val="24"/>
          <w:szCs w:val="24"/>
        </w:rPr>
      </w:pPr>
      <w:r>
        <w:rPr>
          <w:rFonts w:hint="eastAsia" w:ascii="黑体" w:hAnsi="黑体" w:eastAsia="黑体" w:cs="黑体"/>
          <w:sz w:val="24"/>
          <w:szCs w:val="24"/>
        </w:rPr>
        <w:t>二、验收依据</w:t>
      </w:r>
    </w:p>
    <w:p w14:paraId="29B618A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1.本项目招标及补充文件</w:t>
      </w:r>
    </w:p>
    <w:p w14:paraId="6B5FFEF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2.中标人提交的投标文件及双方签订的合同</w:t>
      </w:r>
    </w:p>
    <w:p w14:paraId="36196D8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3.国家及行业现行标准规范： </w:t>
      </w:r>
    </w:p>
    <w:p w14:paraId="0232E3D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①LED显示屏相关：GB/T 4857.1-2019、GB 7000.1-2023、SJ/T 11141-2025</w:t>
      </w:r>
    </w:p>
    <w:p w14:paraId="4962B4D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②电气安装相关：GB 50168-2018、GB 50254-2014、GB/T 4208-2017</w:t>
      </w:r>
    </w:p>
    <w:p w14:paraId="31FF8D2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③节能产品相关：《节能产品政府采购品目清单》及对应认证标准</w:t>
      </w:r>
    </w:p>
    <w:p w14:paraId="36E3DE6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④舞台机械相关：WH/T 37-2009、GB 50719-2011</w:t>
      </w:r>
    </w:p>
    <w:p w14:paraId="3D054E5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⑤信息系统集成相关：GB/T 28181-2022、GB/T 22239-2019</w:t>
      </w:r>
    </w:p>
    <w:p w14:paraId="5394FFB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bCs/>
          <w:sz w:val="24"/>
          <w:szCs w:val="24"/>
          <w:lang w:val="en-US" w:eastAsia="zh-CN"/>
        </w:rPr>
      </w:pPr>
      <w:r>
        <w:rPr>
          <w:rFonts w:hint="eastAsia" w:ascii="宋体" w:hAnsi="宋体" w:eastAsia="宋体" w:cs="宋体"/>
          <w:sz w:val="24"/>
          <w:szCs w:val="24"/>
          <w:lang w:val="en-US" w:eastAsia="zh-CN"/>
        </w:rPr>
        <w:t>4.</w:t>
      </w:r>
      <w:r>
        <w:rPr>
          <w:rFonts w:hint="eastAsia" w:ascii="宋体" w:hAnsi="宋体" w:eastAsia="宋体" w:cs="宋体"/>
          <w:b/>
          <w:bCs/>
          <w:sz w:val="24"/>
          <w:szCs w:val="24"/>
          <w:lang w:val="en-US" w:eastAsia="zh-CN"/>
        </w:rPr>
        <w:t>中标人提供的产品合格证、3C认证证书、节能产品认证证书、第三方检测报告、技术手册、安装调试记录等全套技术资料</w:t>
      </w:r>
    </w:p>
    <w:p w14:paraId="6FF1F06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5.政府采购相关政策要求：财办库〔2020〕123号、皖财购〔2023〕853号等</w:t>
      </w:r>
    </w:p>
    <w:p w14:paraId="175F165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6.《安徽滁州技师学院采购项目验收管理办法（2026年版）》</w:t>
      </w:r>
    </w:p>
    <w:p w14:paraId="628903CC">
      <w:pPr>
        <w:rPr>
          <w:rFonts w:hint="eastAsia" w:ascii="宋体" w:hAnsi="宋体" w:eastAsia="宋体" w:cs="宋体"/>
          <w:sz w:val="24"/>
          <w:szCs w:val="24"/>
        </w:rPr>
      </w:pPr>
      <w:r>
        <w:rPr>
          <w:rFonts w:hint="eastAsia" w:ascii="黑体" w:hAnsi="黑体" w:eastAsia="黑体" w:cs="黑体"/>
          <w:sz w:val="24"/>
          <w:szCs w:val="24"/>
        </w:rPr>
        <w:t>三、验收阶段及核心要求</w:t>
      </w:r>
    </w:p>
    <w:p w14:paraId="0E7299E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（一）到货验收（货物送达现场后3个工作日内完成）</w:t>
      </w:r>
    </w:p>
    <w:p w14:paraId="1501DE4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1.外观与数量验收 </w:t>
      </w:r>
    </w:p>
    <w:p w14:paraId="0C87766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①所有货物为全新、未使用过的原装正品，包装完好无破损、受潮、变形，包装标识清晰完整。</w:t>
      </w:r>
    </w:p>
    <w:p w14:paraId="103D3F8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②核对货物名称、型号、规格、数量、生产厂家与招标文件及投标文件一致，无缺件、错件。</w:t>
      </w:r>
    </w:p>
    <w:p w14:paraId="0FCC6F7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③LED显示屏模组、箱体无划痕、变形、磕碰，电动窗帘轨道、电机无锈蚀、变形，线缆无破损、断裂。</w:t>
      </w:r>
    </w:p>
    <w:p w14:paraId="796B97A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2.资质文件验收 </w:t>
      </w:r>
    </w:p>
    <w:p w14:paraId="1BFA369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①提供所有货物的原厂产品合格证，有国家强制性3C认证要求的产品须提供有效期内的3C认证证书。</w:t>
      </w:r>
    </w:p>
    <w:p w14:paraId="78A33BF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②标注为政府强制采购节能产品的货物（LED主屏、侧屏、条屏、75寸辅助显示屏、23.8寸显示器），须提供市场监管总局公布的认证机构出具的有效期内的节能产品认证证书。</w:t>
      </w:r>
    </w:p>
    <w:p w14:paraId="34A88E5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bCs/>
          <w:sz w:val="24"/>
          <w:szCs w:val="24"/>
          <w:lang w:val="en-US" w:eastAsia="zh-CN"/>
        </w:rPr>
      </w:pPr>
      <w:r>
        <w:rPr>
          <w:rFonts w:hint="eastAsia" w:ascii="宋体" w:hAnsi="宋体" w:eastAsia="宋体" w:cs="宋体"/>
          <w:sz w:val="24"/>
          <w:szCs w:val="24"/>
          <w:lang w:val="en-US" w:eastAsia="zh-CN"/>
        </w:rPr>
        <w:t>③</w:t>
      </w:r>
      <w:r>
        <w:rPr>
          <w:rFonts w:hint="eastAsia" w:ascii="宋体" w:hAnsi="宋体" w:eastAsia="宋体" w:cs="宋体"/>
          <w:b/>
          <w:bCs/>
          <w:sz w:val="24"/>
          <w:szCs w:val="24"/>
          <w:lang w:val="en-US" w:eastAsia="zh-CN"/>
        </w:rPr>
        <w:t>招标文件中标注“▲”的技术参数对应的第三方权威检测报告（加盖CMA/CNAS章），报告须与所投产品型号一致。</w:t>
      </w:r>
    </w:p>
    <w:p w14:paraId="1C6F747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④LED全彩色屏原厂生产承诺函，主屏明确承诺未使用OEM产品。</w:t>
      </w:r>
    </w:p>
    <w:p w14:paraId="1B4CA50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⑤开合帘电机的A级绝缘等级第三方检测报告及3C认证证书。</w:t>
      </w:r>
    </w:p>
    <w:p w14:paraId="4DCFDD7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3.包装与环保验收 </w:t>
      </w:r>
    </w:p>
    <w:p w14:paraId="47100D5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①商品包装及快递包装符合财办库〔2020〕123号、皖财购〔2023〕853号要求，使用绿色环保包装材料，无过度包装。</w:t>
      </w:r>
    </w:p>
    <w:p w14:paraId="1268259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②包装废弃物由中标人负责清理并合规处置，不得遗留现场。</w:t>
      </w:r>
    </w:p>
    <w:p w14:paraId="35EF0E2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（二）安装调试验收（安装调试完成后5个工作日内完成）</w:t>
      </w:r>
    </w:p>
    <w:p w14:paraId="2F82A86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中标人完成全部货物安装、接线、调试后，向采购人提交安装调试验收申请，采购人组织对系统功能、性能及安装质量进行逐项测试验收。</w:t>
      </w:r>
    </w:p>
    <w:p w14:paraId="6BFA816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1.LED 显示系统验收标准</w:t>
      </w:r>
    </w:p>
    <w:p w14:paraId="5D1E778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（1）LED显示屏主屏</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55"/>
        <w:gridCol w:w="4927"/>
        <w:gridCol w:w="2079"/>
      </w:tblGrid>
      <w:tr w14:paraId="5E478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5" w:type="dxa"/>
            <w:shd w:val="clear" w:color="auto" w:fill="4F81BD" w:themeFill="accent1"/>
            <w:vAlign w:val="center"/>
          </w:tcPr>
          <w:p w14:paraId="677FF7BB">
            <w:pPr>
              <w:keepNext/>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color w:val="FFFFFF"/>
                <w:kern w:val="2"/>
                <w:sz w:val="24"/>
                <w:szCs w:val="24"/>
                <w:lang w:val="en-US" w:eastAsia="zh-CN" w:bidi="ar-SA"/>
              </w:rPr>
            </w:pPr>
            <w:r>
              <w:rPr>
                <w:rFonts w:hint="eastAsia" w:ascii="宋体" w:hAnsi="宋体" w:eastAsia="宋体" w:cs="宋体"/>
                <w:b/>
                <w:bCs/>
                <w:i w:val="0"/>
                <w:color w:val="FFFFFF"/>
                <w:kern w:val="0"/>
                <w:sz w:val="24"/>
                <w:szCs w:val="24"/>
                <w:lang w:val="en-US" w:eastAsia="zh-CN" w:bidi="ar"/>
              </w:rPr>
              <w:t>验收项目</w:t>
            </w:r>
          </w:p>
        </w:tc>
        <w:tc>
          <w:tcPr>
            <w:tcW w:w="4927" w:type="dxa"/>
            <w:shd w:val="clear" w:color="auto" w:fill="4F81BD" w:themeFill="accent1"/>
            <w:vAlign w:val="center"/>
          </w:tcPr>
          <w:p w14:paraId="0C563B77">
            <w:pPr>
              <w:keepNext/>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color w:val="FFFFFF"/>
                <w:kern w:val="2"/>
                <w:sz w:val="24"/>
                <w:szCs w:val="24"/>
                <w:lang w:val="en-US" w:eastAsia="zh-CN" w:bidi="ar-SA"/>
              </w:rPr>
            </w:pPr>
            <w:r>
              <w:rPr>
                <w:rFonts w:hint="eastAsia" w:ascii="宋体" w:hAnsi="宋体" w:eastAsia="宋体" w:cs="宋体"/>
                <w:b/>
                <w:bCs/>
                <w:i w:val="0"/>
                <w:color w:val="FFFFFF"/>
                <w:kern w:val="0"/>
                <w:sz w:val="24"/>
                <w:szCs w:val="24"/>
                <w:lang w:val="en-US" w:eastAsia="zh-CN" w:bidi="ar"/>
              </w:rPr>
              <w:t>核心验收指标</w:t>
            </w:r>
          </w:p>
        </w:tc>
        <w:tc>
          <w:tcPr>
            <w:tcW w:w="2079" w:type="dxa"/>
            <w:shd w:val="clear" w:color="auto" w:fill="4F81BD" w:themeFill="accent1"/>
            <w:vAlign w:val="center"/>
          </w:tcPr>
          <w:p w14:paraId="6CB84CC6">
            <w:pPr>
              <w:keepNext/>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color w:val="FFFFFF"/>
                <w:kern w:val="2"/>
                <w:sz w:val="24"/>
                <w:szCs w:val="24"/>
                <w:lang w:val="en-US" w:eastAsia="zh-CN" w:bidi="ar-SA"/>
              </w:rPr>
            </w:pPr>
            <w:r>
              <w:rPr>
                <w:rFonts w:hint="eastAsia" w:ascii="宋体" w:hAnsi="宋体" w:eastAsia="宋体" w:cs="宋体"/>
                <w:b/>
                <w:bCs/>
                <w:i w:val="0"/>
                <w:color w:val="FFFFFF"/>
                <w:kern w:val="0"/>
                <w:sz w:val="24"/>
                <w:szCs w:val="24"/>
                <w:lang w:val="en-US" w:eastAsia="zh-CN" w:bidi="ar"/>
              </w:rPr>
              <w:t>验收方法</w:t>
            </w:r>
          </w:p>
        </w:tc>
      </w:tr>
      <w:tr w14:paraId="24195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5" w:type="dxa"/>
            <w:shd w:val="clear" w:color="auto" w:fill="FFFFFF"/>
            <w:vAlign w:val="center"/>
          </w:tcPr>
          <w:p w14:paraId="6A93196A">
            <w:pPr>
              <w:keepNext/>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i w:val="0"/>
                <w:color w:val="000000"/>
                <w:kern w:val="2"/>
                <w:sz w:val="24"/>
                <w:szCs w:val="24"/>
                <w:lang w:val="en-US" w:eastAsia="zh-CN" w:bidi="ar-SA"/>
              </w:rPr>
            </w:pPr>
            <w:r>
              <w:rPr>
                <w:rFonts w:hint="eastAsia" w:ascii="宋体" w:hAnsi="宋体" w:eastAsia="宋体" w:cs="宋体"/>
                <w:b w:val="0"/>
                <w:i w:val="0"/>
                <w:color w:val="000000"/>
                <w:kern w:val="0"/>
                <w:sz w:val="24"/>
                <w:szCs w:val="24"/>
                <w:lang w:val="en-US" w:eastAsia="zh-CN" w:bidi="ar"/>
              </w:rPr>
              <w:t>基础参数</w:t>
            </w:r>
          </w:p>
        </w:tc>
        <w:tc>
          <w:tcPr>
            <w:tcW w:w="4927" w:type="dxa"/>
            <w:shd w:val="clear" w:color="auto" w:fill="FFFFFF"/>
            <w:vAlign w:val="center"/>
          </w:tcPr>
          <w:p w14:paraId="5F88513A">
            <w:pPr>
              <w:keepNext/>
              <w:keepLines w:val="0"/>
              <w:widowControl/>
              <w:suppressLineNumbers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b w:val="0"/>
                <w:i w:val="0"/>
                <w:color w:val="auto"/>
                <w:kern w:val="0"/>
                <w:sz w:val="24"/>
                <w:szCs w:val="24"/>
                <w:lang w:val="en-US" w:eastAsia="zh-CN" w:bidi="ar"/>
              </w:rPr>
            </w:pPr>
            <w:r>
              <w:rPr>
                <w:rFonts w:hint="eastAsia" w:ascii="宋体" w:hAnsi="宋体" w:eastAsia="宋体" w:cs="宋体"/>
                <w:b w:val="0"/>
                <w:i w:val="0"/>
                <w:color w:val="auto"/>
                <w:kern w:val="0"/>
                <w:sz w:val="24"/>
                <w:szCs w:val="24"/>
                <w:lang w:val="en-US" w:eastAsia="zh-CN" w:bidi="ar"/>
              </w:rPr>
              <w:t>点间距≤1.25mm，分辨率≥8640×3240，</w:t>
            </w:r>
          </w:p>
          <w:p w14:paraId="28461AF9">
            <w:pPr>
              <w:keepNext/>
              <w:keepLines w:val="0"/>
              <w:widowControl/>
              <w:suppressLineNumbers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b w:val="0"/>
                <w:i w:val="0"/>
                <w:color w:val="000000"/>
                <w:kern w:val="2"/>
                <w:sz w:val="24"/>
                <w:szCs w:val="24"/>
                <w:lang w:val="en-US" w:eastAsia="zh-CN" w:bidi="ar-SA"/>
              </w:rPr>
            </w:pPr>
            <w:r>
              <w:rPr>
                <w:rFonts w:hint="eastAsia" w:ascii="宋体" w:hAnsi="宋体" w:eastAsia="宋体" w:cs="宋体"/>
                <w:b w:val="0"/>
                <w:i w:val="0"/>
                <w:color w:val="auto"/>
                <w:kern w:val="0"/>
                <w:sz w:val="24"/>
                <w:szCs w:val="24"/>
                <w:lang w:val="en-US" w:eastAsia="zh-CN" w:bidi="ar"/>
              </w:rPr>
              <w:t>屏体尺寸 10.8m×4.05m</w:t>
            </w:r>
          </w:p>
        </w:tc>
        <w:tc>
          <w:tcPr>
            <w:tcW w:w="2079" w:type="dxa"/>
            <w:shd w:val="clear" w:color="auto" w:fill="FFFFFF"/>
            <w:vAlign w:val="center"/>
          </w:tcPr>
          <w:p w14:paraId="231EE744">
            <w:pPr>
              <w:keepNext/>
              <w:keepLines w:val="0"/>
              <w:widowControl/>
              <w:suppressLineNumbers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b w:val="0"/>
                <w:i w:val="0"/>
                <w:color w:val="000000"/>
                <w:kern w:val="2"/>
                <w:sz w:val="24"/>
                <w:szCs w:val="24"/>
                <w:lang w:val="en-US" w:eastAsia="zh-CN" w:bidi="ar-SA"/>
              </w:rPr>
            </w:pPr>
            <w:r>
              <w:rPr>
                <w:rFonts w:hint="eastAsia" w:ascii="宋体" w:hAnsi="宋体" w:eastAsia="宋体" w:cs="宋体"/>
                <w:b w:val="0"/>
                <w:i w:val="0"/>
                <w:color w:val="000000"/>
                <w:kern w:val="0"/>
                <w:sz w:val="24"/>
                <w:szCs w:val="24"/>
                <w:lang w:val="en-US" w:eastAsia="zh-CN" w:bidi="ar"/>
              </w:rPr>
              <w:t>现场测量尺寸，使用专业仪器检测点间距，系统读取分辨率</w:t>
            </w:r>
          </w:p>
        </w:tc>
      </w:tr>
      <w:tr w14:paraId="79A2D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5" w:type="dxa"/>
            <w:shd w:val="clear" w:color="auto" w:fill="FFFFFF"/>
            <w:vAlign w:val="center"/>
          </w:tcPr>
          <w:p w14:paraId="2153DBE2">
            <w:pPr>
              <w:keepNext/>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i w:val="0"/>
                <w:color w:val="000000"/>
                <w:kern w:val="2"/>
                <w:sz w:val="24"/>
                <w:szCs w:val="24"/>
                <w:lang w:val="en-US" w:eastAsia="zh-CN" w:bidi="ar-SA"/>
              </w:rPr>
            </w:pPr>
            <w:r>
              <w:rPr>
                <w:rFonts w:hint="eastAsia" w:ascii="宋体" w:hAnsi="宋体" w:eastAsia="宋体" w:cs="宋体"/>
                <w:b w:val="0"/>
                <w:i w:val="0"/>
                <w:color w:val="000000"/>
                <w:kern w:val="0"/>
                <w:sz w:val="24"/>
                <w:szCs w:val="24"/>
                <w:lang w:val="en-US" w:eastAsia="zh-CN" w:bidi="ar"/>
              </w:rPr>
              <w:t>显示性能</w:t>
            </w:r>
          </w:p>
        </w:tc>
        <w:tc>
          <w:tcPr>
            <w:tcW w:w="4927" w:type="dxa"/>
            <w:shd w:val="clear" w:color="auto" w:fill="FFFFFF"/>
            <w:vAlign w:val="center"/>
          </w:tcPr>
          <w:p w14:paraId="487B6CF5">
            <w:pPr>
              <w:keepNext/>
              <w:keepLines w:val="0"/>
              <w:widowControl/>
              <w:suppressLineNumbers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b w:val="0"/>
                <w:i w:val="0"/>
                <w:color w:val="000000"/>
                <w:kern w:val="2"/>
                <w:sz w:val="24"/>
                <w:szCs w:val="24"/>
                <w:lang w:val="en-US" w:eastAsia="zh-CN" w:bidi="ar-SA"/>
              </w:rPr>
            </w:pPr>
            <w:r>
              <w:rPr>
                <w:rFonts w:hint="eastAsia" w:ascii="宋体" w:hAnsi="宋体" w:eastAsia="宋体" w:cs="宋体"/>
                <w:b w:val="0"/>
                <w:i w:val="0"/>
                <w:color w:val="000000"/>
                <w:kern w:val="0"/>
                <w:sz w:val="24"/>
                <w:szCs w:val="24"/>
                <w:lang w:val="en-US" w:eastAsia="zh-CN" w:bidi="ar"/>
              </w:rPr>
              <w:t>亮度≥850nits，支持 0-100% 无级调节；刷新频率≥4200Hz水平/垂直视角≥175°；最大对比度≥12000:1（环境照度 0.05lux）亮度均匀性≥98%；色度均匀性 ±0.002Cx,Cy色温 2000-15000K 可调，6500K 时四档白场色温误差≤200K</w:t>
            </w:r>
          </w:p>
        </w:tc>
        <w:tc>
          <w:tcPr>
            <w:tcW w:w="2079" w:type="dxa"/>
            <w:shd w:val="clear" w:color="auto" w:fill="FFFFFF"/>
            <w:vAlign w:val="center"/>
          </w:tcPr>
          <w:p w14:paraId="5DC1D220">
            <w:pPr>
              <w:keepNext/>
              <w:keepLines w:val="0"/>
              <w:widowControl/>
              <w:suppressLineNumbers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b w:val="0"/>
                <w:i w:val="0"/>
                <w:color w:val="000000"/>
                <w:kern w:val="2"/>
                <w:sz w:val="24"/>
                <w:szCs w:val="24"/>
                <w:lang w:val="en-US" w:eastAsia="zh-CN" w:bidi="ar-SA"/>
              </w:rPr>
            </w:pPr>
            <w:r>
              <w:rPr>
                <w:rFonts w:hint="eastAsia" w:ascii="宋体" w:hAnsi="宋体" w:eastAsia="宋体" w:cs="宋体"/>
                <w:b w:val="0"/>
                <w:i w:val="0"/>
                <w:color w:val="000000"/>
                <w:kern w:val="0"/>
                <w:sz w:val="24"/>
                <w:szCs w:val="24"/>
                <w:lang w:val="en-US" w:eastAsia="zh-CN" w:bidi="ar"/>
              </w:rPr>
              <w:t>使用亮度计、色度计、刷新率测试仪现场检测</w:t>
            </w:r>
          </w:p>
        </w:tc>
      </w:tr>
      <w:tr w14:paraId="4B04F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5" w:type="dxa"/>
            <w:shd w:val="clear" w:color="auto" w:fill="FFFFFF"/>
            <w:vAlign w:val="center"/>
          </w:tcPr>
          <w:p w14:paraId="66912A73">
            <w:pPr>
              <w:keepNext/>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i w:val="0"/>
                <w:color w:val="000000"/>
                <w:kern w:val="2"/>
                <w:sz w:val="24"/>
                <w:szCs w:val="24"/>
                <w:lang w:val="en-US" w:eastAsia="zh-CN" w:bidi="ar-SA"/>
              </w:rPr>
            </w:pPr>
            <w:r>
              <w:rPr>
                <w:rFonts w:hint="eastAsia" w:ascii="宋体" w:hAnsi="宋体" w:eastAsia="宋体" w:cs="宋体"/>
                <w:b w:val="0"/>
                <w:i w:val="0"/>
                <w:color w:val="000000"/>
                <w:kern w:val="0"/>
                <w:sz w:val="24"/>
                <w:szCs w:val="24"/>
                <w:lang w:val="en-US" w:eastAsia="zh-CN" w:bidi="ar"/>
              </w:rPr>
              <w:t>工艺质量</w:t>
            </w:r>
          </w:p>
        </w:tc>
        <w:tc>
          <w:tcPr>
            <w:tcW w:w="4927" w:type="dxa"/>
            <w:shd w:val="clear" w:color="auto" w:fill="FFFFFF"/>
            <w:vAlign w:val="center"/>
          </w:tcPr>
          <w:p w14:paraId="5A50CD6E">
            <w:pPr>
              <w:keepNext/>
              <w:keepLines w:val="0"/>
              <w:widowControl/>
              <w:suppressLineNumbers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b w:val="0"/>
                <w:i w:val="0"/>
                <w:color w:val="000000"/>
                <w:kern w:val="2"/>
                <w:sz w:val="24"/>
                <w:szCs w:val="24"/>
                <w:lang w:val="en-US" w:eastAsia="zh-CN" w:bidi="ar-SA"/>
              </w:rPr>
            </w:pPr>
            <w:r>
              <w:rPr>
                <w:rFonts w:hint="eastAsia" w:ascii="宋体" w:hAnsi="宋体" w:eastAsia="宋体" w:cs="宋体"/>
                <w:b w:val="0"/>
                <w:i w:val="0"/>
                <w:color w:val="000000"/>
                <w:kern w:val="0"/>
                <w:sz w:val="24"/>
                <w:szCs w:val="24"/>
                <w:lang w:val="en-US" w:eastAsia="zh-CN" w:bidi="ar"/>
              </w:rPr>
              <w:t>显示单元平整度偏差≤0.05mm；单元拼接间隙≤0.05mm屏体亚黑处理，反光率≤0.7%（主屏）/≤1%（侧屏）箱体为压铸铝/镁铝合金材质，全金属自然散热无风扇</w:t>
            </w:r>
          </w:p>
        </w:tc>
        <w:tc>
          <w:tcPr>
            <w:tcW w:w="2079" w:type="dxa"/>
            <w:shd w:val="clear" w:color="auto" w:fill="FFFFFF"/>
            <w:vAlign w:val="center"/>
          </w:tcPr>
          <w:p w14:paraId="7A2429F2">
            <w:pPr>
              <w:keepNext/>
              <w:keepLines w:val="0"/>
              <w:widowControl/>
              <w:suppressLineNumbers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b w:val="0"/>
                <w:i w:val="0"/>
                <w:color w:val="000000"/>
                <w:kern w:val="2"/>
                <w:sz w:val="24"/>
                <w:szCs w:val="24"/>
                <w:lang w:val="en-US" w:eastAsia="zh-CN" w:bidi="ar-SA"/>
              </w:rPr>
            </w:pPr>
            <w:r>
              <w:rPr>
                <w:rFonts w:hint="eastAsia" w:ascii="宋体" w:hAnsi="宋体" w:eastAsia="宋体" w:cs="宋体"/>
                <w:b w:val="0"/>
                <w:i w:val="0"/>
                <w:color w:val="000000"/>
                <w:kern w:val="0"/>
                <w:sz w:val="24"/>
                <w:szCs w:val="24"/>
                <w:lang w:val="en-US" w:eastAsia="zh-CN" w:bidi="ar"/>
              </w:rPr>
              <w:t>塞尺测量，目视检查，现场触摸确认</w:t>
            </w:r>
          </w:p>
        </w:tc>
      </w:tr>
      <w:tr w14:paraId="68676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5" w:type="dxa"/>
            <w:shd w:val="clear" w:color="auto" w:fill="FFFFFF"/>
            <w:vAlign w:val="center"/>
          </w:tcPr>
          <w:p w14:paraId="14505E12">
            <w:pPr>
              <w:keepNext/>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i w:val="0"/>
                <w:color w:val="000000"/>
                <w:kern w:val="2"/>
                <w:sz w:val="24"/>
                <w:szCs w:val="24"/>
                <w:lang w:val="en-US" w:eastAsia="zh-CN" w:bidi="ar-SA"/>
              </w:rPr>
            </w:pPr>
            <w:r>
              <w:rPr>
                <w:rFonts w:hint="eastAsia" w:ascii="宋体" w:hAnsi="宋体" w:eastAsia="宋体" w:cs="宋体"/>
                <w:b w:val="0"/>
                <w:i w:val="0"/>
                <w:color w:val="000000"/>
                <w:kern w:val="0"/>
                <w:sz w:val="24"/>
                <w:szCs w:val="24"/>
                <w:lang w:val="en-US" w:eastAsia="zh-CN" w:bidi="ar"/>
              </w:rPr>
              <w:t>可靠性</w:t>
            </w:r>
          </w:p>
        </w:tc>
        <w:tc>
          <w:tcPr>
            <w:tcW w:w="4927" w:type="dxa"/>
            <w:shd w:val="clear" w:color="auto" w:fill="FFFFFF"/>
            <w:vAlign w:val="center"/>
          </w:tcPr>
          <w:p w14:paraId="03D4445F">
            <w:pPr>
              <w:keepNext/>
              <w:keepLines w:val="0"/>
              <w:widowControl/>
              <w:suppressLineNumbers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b w:val="0"/>
                <w:i w:val="0"/>
                <w:color w:val="000000"/>
                <w:kern w:val="2"/>
                <w:sz w:val="24"/>
                <w:szCs w:val="24"/>
                <w:lang w:val="en-US" w:eastAsia="zh-CN" w:bidi="ar-SA"/>
              </w:rPr>
            </w:pPr>
            <w:r>
              <w:rPr>
                <w:rFonts w:hint="eastAsia" w:ascii="宋体" w:hAnsi="宋体" w:eastAsia="宋体" w:cs="宋体"/>
                <w:b w:val="0"/>
                <w:i w:val="0"/>
                <w:color w:val="000000"/>
                <w:kern w:val="0"/>
                <w:sz w:val="24"/>
                <w:szCs w:val="24"/>
                <w:lang w:val="en-US" w:eastAsia="zh-CN" w:bidi="ar"/>
              </w:rPr>
              <w:t>像素失控率≤0.000001，区域像素失控率≤0.000003，无连续失控点MTBF≥100000 小时；MTTR≤5 分钟支持双电网供电、电源备份、信号备份及热备份具备故障自动告警、单电自检、温度监控、坏点检测功能</w:t>
            </w:r>
          </w:p>
        </w:tc>
        <w:tc>
          <w:tcPr>
            <w:tcW w:w="2079" w:type="dxa"/>
            <w:shd w:val="clear" w:color="auto" w:fill="FFFFFF"/>
            <w:vAlign w:val="center"/>
          </w:tcPr>
          <w:p w14:paraId="52DA4766">
            <w:pPr>
              <w:keepNext/>
              <w:keepLines w:val="0"/>
              <w:widowControl/>
              <w:suppressLineNumbers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b w:val="0"/>
                <w:i w:val="0"/>
                <w:color w:val="000000"/>
                <w:kern w:val="2"/>
                <w:sz w:val="24"/>
                <w:szCs w:val="24"/>
                <w:lang w:val="en-US" w:eastAsia="zh-CN" w:bidi="ar-SA"/>
              </w:rPr>
            </w:pPr>
            <w:r>
              <w:rPr>
                <w:rFonts w:hint="eastAsia" w:ascii="宋体" w:hAnsi="宋体" w:eastAsia="宋体" w:cs="宋体"/>
                <w:b w:val="0"/>
                <w:i w:val="0"/>
                <w:color w:val="000000"/>
                <w:kern w:val="0"/>
                <w:sz w:val="24"/>
                <w:szCs w:val="24"/>
                <w:lang w:val="en-US" w:eastAsia="zh-CN" w:bidi="ar"/>
              </w:rPr>
              <w:t>系统自检功能测试，查阅检测报告，模拟故障测试</w:t>
            </w:r>
          </w:p>
        </w:tc>
      </w:tr>
      <w:tr w14:paraId="4128B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5" w:type="dxa"/>
            <w:shd w:val="clear" w:color="auto" w:fill="FFFFFF"/>
            <w:vAlign w:val="center"/>
          </w:tcPr>
          <w:p w14:paraId="37E1C260">
            <w:pPr>
              <w:keepNext/>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i w:val="0"/>
                <w:color w:val="000000"/>
                <w:kern w:val="2"/>
                <w:sz w:val="24"/>
                <w:szCs w:val="24"/>
                <w:lang w:val="en-US" w:eastAsia="zh-CN" w:bidi="ar-SA"/>
              </w:rPr>
            </w:pPr>
            <w:r>
              <w:rPr>
                <w:rFonts w:hint="eastAsia" w:ascii="宋体" w:hAnsi="宋体" w:eastAsia="宋体" w:cs="宋体"/>
                <w:b w:val="0"/>
                <w:i w:val="0"/>
                <w:color w:val="000000"/>
                <w:kern w:val="0"/>
                <w:sz w:val="24"/>
                <w:szCs w:val="24"/>
                <w:lang w:val="en-US" w:eastAsia="zh-CN" w:bidi="ar"/>
              </w:rPr>
              <w:t>能效与节能</w:t>
            </w:r>
          </w:p>
        </w:tc>
        <w:tc>
          <w:tcPr>
            <w:tcW w:w="4927" w:type="dxa"/>
            <w:shd w:val="clear" w:color="auto" w:fill="FFFFFF"/>
            <w:vAlign w:val="center"/>
          </w:tcPr>
          <w:p w14:paraId="2327B03A">
            <w:pPr>
              <w:keepNext/>
              <w:keepLines w:val="0"/>
              <w:widowControl/>
              <w:suppressLineNumbers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b w:val="0"/>
                <w:i w:val="0"/>
                <w:color w:val="000000"/>
                <w:kern w:val="2"/>
                <w:sz w:val="24"/>
                <w:szCs w:val="24"/>
                <w:lang w:val="en-US" w:eastAsia="zh-CN" w:bidi="ar-SA"/>
              </w:rPr>
            </w:pPr>
            <w:r>
              <w:rPr>
                <w:rFonts w:hint="eastAsia" w:ascii="宋体" w:hAnsi="宋体" w:eastAsia="宋体" w:cs="宋体"/>
                <w:b w:val="0"/>
                <w:i w:val="0"/>
                <w:color w:val="000000"/>
                <w:kern w:val="0"/>
                <w:sz w:val="24"/>
                <w:szCs w:val="24"/>
                <w:lang w:val="en-US" w:eastAsia="zh-CN" w:bidi="ar"/>
              </w:rPr>
              <w:t>主屏峰值功耗≤500W/㎡，平均功率≤200W/㎡；具备智能黑屏节电功能，开启后节能≥50%；能效等级一级</w:t>
            </w:r>
          </w:p>
        </w:tc>
        <w:tc>
          <w:tcPr>
            <w:tcW w:w="2079" w:type="dxa"/>
            <w:shd w:val="clear" w:color="auto" w:fill="FFFFFF"/>
            <w:vAlign w:val="center"/>
          </w:tcPr>
          <w:p w14:paraId="7A5E67A7">
            <w:pPr>
              <w:keepNext/>
              <w:keepLines w:val="0"/>
              <w:widowControl/>
              <w:suppressLineNumbers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b w:val="0"/>
                <w:i w:val="0"/>
                <w:color w:val="000000"/>
                <w:kern w:val="2"/>
                <w:sz w:val="24"/>
                <w:szCs w:val="24"/>
                <w:lang w:val="en-US" w:eastAsia="zh-CN" w:bidi="ar-SA"/>
              </w:rPr>
            </w:pPr>
            <w:r>
              <w:rPr>
                <w:rFonts w:hint="eastAsia" w:ascii="宋体" w:hAnsi="宋体" w:eastAsia="宋体" w:cs="宋体"/>
                <w:b w:val="0"/>
                <w:i w:val="0"/>
                <w:color w:val="000000"/>
                <w:kern w:val="0"/>
                <w:sz w:val="24"/>
                <w:szCs w:val="24"/>
                <w:lang w:val="en-US" w:eastAsia="zh-CN" w:bidi="ar"/>
              </w:rPr>
              <w:t>功率计现场测试，查阅能效检测报告</w:t>
            </w:r>
          </w:p>
        </w:tc>
      </w:tr>
      <w:tr w14:paraId="20FD4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5" w:type="dxa"/>
            <w:shd w:val="clear" w:color="auto" w:fill="FFFFFF"/>
            <w:vAlign w:val="center"/>
          </w:tcPr>
          <w:p w14:paraId="4AEB85B7">
            <w:pPr>
              <w:keepNext/>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i w:val="0"/>
                <w:color w:val="000000"/>
                <w:kern w:val="2"/>
                <w:sz w:val="24"/>
                <w:szCs w:val="24"/>
                <w:lang w:val="en-US" w:eastAsia="zh-CN" w:bidi="ar-SA"/>
              </w:rPr>
            </w:pPr>
            <w:r>
              <w:rPr>
                <w:rFonts w:hint="eastAsia" w:ascii="宋体" w:hAnsi="宋体" w:eastAsia="宋体" w:cs="宋体"/>
                <w:b w:val="0"/>
                <w:i w:val="0"/>
                <w:color w:val="000000"/>
                <w:kern w:val="0"/>
                <w:sz w:val="24"/>
                <w:szCs w:val="24"/>
                <w:lang w:val="en-US" w:eastAsia="zh-CN" w:bidi="ar"/>
              </w:rPr>
              <w:t>图像处理</w:t>
            </w:r>
          </w:p>
        </w:tc>
        <w:tc>
          <w:tcPr>
            <w:tcW w:w="4927" w:type="dxa"/>
            <w:shd w:val="clear" w:color="auto" w:fill="FFFFFF"/>
            <w:vAlign w:val="center"/>
          </w:tcPr>
          <w:p w14:paraId="57AE59AC">
            <w:pPr>
              <w:keepNext/>
              <w:keepLines w:val="0"/>
              <w:widowControl/>
              <w:suppressLineNumbers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b w:val="0"/>
                <w:i w:val="0"/>
                <w:color w:val="000000"/>
                <w:kern w:val="0"/>
                <w:sz w:val="24"/>
                <w:szCs w:val="24"/>
                <w:lang w:val="en-US" w:eastAsia="zh-CN" w:bidi="ar"/>
              </w:rPr>
            </w:pPr>
            <w:r>
              <w:rPr>
                <w:rFonts w:hint="eastAsia" w:ascii="宋体" w:hAnsi="宋体" w:eastAsia="宋体" w:cs="宋体"/>
                <w:b w:val="0"/>
                <w:i w:val="0"/>
                <w:color w:val="000000"/>
                <w:kern w:val="0"/>
                <w:sz w:val="24"/>
                <w:szCs w:val="24"/>
                <w:lang w:val="en-US" w:eastAsia="zh-CN" w:bidi="ar"/>
              </w:rPr>
              <w:t>支持快速运动补偿、灰度非线性变换、低灰降噪、黑电平稳定处理支持 NTSC、REC709、DCI-P3 等标准色域调节支持 4K/8K 超高清显示，画面无重影、拖影、几何失真</w:t>
            </w:r>
          </w:p>
        </w:tc>
        <w:tc>
          <w:tcPr>
            <w:tcW w:w="2079" w:type="dxa"/>
            <w:shd w:val="clear" w:color="auto" w:fill="FFFFFF"/>
            <w:vAlign w:val="center"/>
          </w:tcPr>
          <w:p w14:paraId="25971C7C">
            <w:pPr>
              <w:keepNext/>
              <w:keepLines w:val="0"/>
              <w:widowControl/>
              <w:suppressLineNumbers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b w:val="0"/>
                <w:i w:val="0"/>
                <w:color w:val="000000"/>
                <w:kern w:val="2"/>
                <w:sz w:val="24"/>
                <w:szCs w:val="24"/>
                <w:lang w:val="en-US" w:eastAsia="zh-CN" w:bidi="ar-SA"/>
              </w:rPr>
            </w:pPr>
            <w:r>
              <w:rPr>
                <w:rFonts w:hint="eastAsia" w:ascii="宋体" w:hAnsi="宋体" w:eastAsia="宋体" w:cs="宋体"/>
                <w:b w:val="0"/>
                <w:i w:val="0"/>
                <w:color w:val="000000"/>
                <w:kern w:val="0"/>
                <w:sz w:val="24"/>
                <w:szCs w:val="24"/>
                <w:lang w:val="en-US" w:eastAsia="zh-CN" w:bidi="ar"/>
              </w:rPr>
              <w:t>播放不同类型视频源现场测试</w:t>
            </w:r>
          </w:p>
        </w:tc>
      </w:tr>
    </w:tbl>
    <w:p w14:paraId="0F55134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（2）LED显示屏侧屏</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50"/>
        <w:gridCol w:w="5132"/>
        <w:gridCol w:w="2079"/>
      </w:tblGrid>
      <w:tr w14:paraId="4F608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0" w:type="dxa"/>
            <w:shd w:val="clear" w:color="auto" w:fill="4F81BD" w:themeFill="accent1"/>
            <w:vAlign w:val="center"/>
          </w:tcPr>
          <w:p w14:paraId="4BB3C168">
            <w:pPr>
              <w:keepNext/>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color w:val="FFFFFF"/>
                <w:kern w:val="2"/>
                <w:sz w:val="24"/>
                <w:szCs w:val="24"/>
                <w:lang w:val="en-US" w:eastAsia="zh-CN" w:bidi="ar-SA"/>
              </w:rPr>
            </w:pPr>
            <w:r>
              <w:rPr>
                <w:rFonts w:hint="eastAsia" w:ascii="宋体" w:hAnsi="宋体" w:eastAsia="宋体" w:cs="宋体"/>
                <w:b/>
                <w:bCs/>
                <w:i w:val="0"/>
                <w:color w:val="FFFFFF"/>
                <w:kern w:val="0"/>
                <w:sz w:val="24"/>
                <w:szCs w:val="24"/>
                <w:lang w:val="en-US" w:eastAsia="zh-CN" w:bidi="ar"/>
              </w:rPr>
              <w:t>验收项目</w:t>
            </w:r>
          </w:p>
        </w:tc>
        <w:tc>
          <w:tcPr>
            <w:tcW w:w="5132" w:type="dxa"/>
            <w:shd w:val="clear" w:color="auto" w:fill="4F81BD" w:themeFill="accent1"/>
            <w:vAlign w:val="center"/>
          </w:tcPr>
          <w:p w14:paraId="2C4612EE">
            <w:pPr>
              <w:keepNext/>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color w:val="FFFFFF"/>
                <w:kern w:val="2"/>
                <w:sz w:val="24"/>
                <w:szCs w:val="24"/>
                <w:lang w:val="en-US" w:eastAsia="zh-CN" w:bidi="ar-SA"/>
              </w:rPr>
            </w:pPr>
            <w:r>
              <w:rPr>
                <w:rFonts w:hint="eastAsia" w:ascii="宋体" w:hAnsi="宋体" w:eastAsia="宋体" w:cs="宋体"/>
                <w:b/>
                <w:bCs/>
                <w:i w:val="0"/>
                <w:color w:val="FFFFFF"/>
                <w:kern w:val="0"/>
                <w:sz w:val="24"/>
                <w:szCs w:val="24"/>
                <w:lang w:val="en-US" w:eastAsia="zh-CN" w:bidi="ar"/>
              </w:rPr>
              <w:t>核心验收指标</w:t>
            </w:r>
          </w:p>
        </w:tc>
        <w:tc>
          <w:tcPr>
            <w:tcW w:w="2079" w:type="dxa"/>
            <w:shd w:val="clear" w:color="auto" w:fill="4F81BD" w:themeFill="accent1"/>
            <w:vAlign w:val="center"/>
          </w:tcPr>
          <w:p w14:paraId="3A7FE78F">
            <w:pPr>
              <w:keepNext/>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color w:val="FFFFFF"/>
                <w:kern w:val="2"/>
                <w:sz w:val="24"/>
                <w:szCs w:val="24"/>
                <w:lang w:val="en-US" w:eastAsia="zh-CN" w:bidi="ar-SA"/>
              </w:rPr>
            </w:pPr>
            <w:r>
              <w:rPr>
                <w:rFonts w:hint="eastAsia" w:ascii="宋体" w:hAnsi="宋体" w:eastAsia="宋体" w:cs="宋体"/>
                <w:b/>
                <w:bCs/>
                <w:i w:val="0"/>
                <w:color w:val="FFFFFF"/>
                <w:kern w:val="0"/>
                <w:sz w:val="24"/>
                <w:szCs w:val="24"/>
                <w:lang w:val="en-US" w:eastAsia="zh-CN" w:bidi="ar"/>
              </w:rPr>
              <w:t>验收方法</w:t>
            </w:r>
          </w:p>
        </w:tc>
      </w:tr>
      <w:tr w14:paraId="59ADF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0" w:type="dxa"/>
            <w:shd w:val="clear" w:color="auto" w:fill="FFFFFF"/>
            <w:vAlign w:val="center"/>
          </w:tcPr>
          <w:p w14:paraId="08803929">
            <w:pPr>
              <w:keepNext/>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i w:val="0"/>
                <w:color w:val="000000"/>
                <w:kern w:val="2"/>
                <w:sz w:val="24"/>
                <w:szCs w:val="24"/>
                <w:lang w:val="en-US" w:eastAsia="zh-CN" w:bidi="ar-SA"/>
              </w:rPr>
            </w:pPr>
            <w:r>
              <w:rPr>
                <w:rFonts w:hint="eastAsia" w:ascii="宋体" w:hAnsi="宋体" w:eastAsia="宋体" w:cs="宋体"/>
                <w:b w:val="0"/>
                <w:i w:val="0"/>
                <w:color w:val="000000"/>
                <w:kern w:val="0"/>
                <w:sz w:val="24"/>
                <w:szCs w:val="24"/>
                <w:lang w:val="en-US" w:eastAsia="zh-CN" w:bidi="ar"/>
              </w:rPr>
              <w:t>基础参数</w:t>
            </w:r>
          </w:p>
        </w:tc>
        <w:tc>
          <w:tcPr>
            <w:tcW w:w="5132" w:type="dxa"/>
            <w:shd w:val="clear" w:color="auto" w:fill="FFFFFF"/>
            <w:vAlign w:val="center"/>
          </w:tcPr>
          <w:p w14:paraId="54AEC206">
            <w:pPr>
              <w:keepNext/>
              <w:keepLines w:val="0"/>
              <w:widowControl/>
              <w:suppressLineNumbers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b w:val="0"/>
                <w:i w:val="0"/>
                <w:color w:val="auto"/>
                <w:kern w:val="0"/>
                <w:sz w:val="24"/>
                <w:szCs w:val="24"/>
                <w:lang w:val="en-US" w:eastAsia="zh-CN" w:bidi="ar"/>
              </w:rPr>
            </w:pPr>
            <w:r>
              <w:rPr>
                <w:rFonts w:hint="eastAsia" w:ascii="宋体" w:hAnsi="宋体" w:eastAsia="宋体" w:cs="宋体"/>
                <w:b w:val="0"/>
                <w:i w:val="0"/>
                <w:color w:val="auto"/>
                <w:kern w:val="0"/>
                <w:sz w:val="24"/>
                <w:szCs w:val="24"/>
                <w:lang w:val="en-US" w:eastAsia="zh-CN" w:bidi="ar"/>
              </w:rPr>
              <w:t>点</w:t>
            </w:r>
            <w:r>
              <w:rPr>
                <w:rFonts w:hint="eastAsia" w:ascii="宋体" w:hAnsi="宋体" w:eastAsia="宋体" w:cs="宋体"/>
                <w:b w:val="0"/>
                <w:i w:val="0"/>
                <w:color w:val="000000"/>
                <w:kern w:val="0"/>
                <w:sz w:val="24"/>
                <w:szCs w:val="24"/>
                <w:lang w:val="en-US" w:eastAsia="zh-CN" w:bidi="ar"/>
              </w:rPr>
              <w:t>间距≤1.25mm，模组尺寸300mm*337.5mm，单块分辨率≥960×3240，</w:t>
            </w:r>
            <w:r>
              <w:rPr>
                <w:rFonts w:hint="eastAsia" w:ascii="宋体" w:hAnsi="宋体" w:eastAsia="宋体" w:cs="宋体"/>
                <w:b w:val="0"/>
                <w:i w:val="0"/>
                <w:color w:val="auto"/>
                <w:kern w:val="0"/>
                <w:sz w:val="24"/>
                <w:szCs w:val="24"/>
                <w:lang w:val="en-US" w:eastAsia="zh-CN" w:bidi="ar"/>
              </w:rPr>
              <w:t>屏体尺寸1.2m*4.05m</w:t>
            </w:r>
          </w:p>
          <w:p w14:paraId="14FD0475">
            <w:pPr>
              <w:keepNext/>
              <w:keepLines w:val="0"/>
              <w:widowControl/>
              <w:suppressLineNumbers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b w:val="0"/>
                <w:i w:val="0"/>
                <w:color w:val="000000"/>
                <w:kern w:val="2"/>
                <w:sz w:val="24"/>
                <w:szCs w:val="24"/>
                <w:lang w:val="en-US" w:eastAsia="zh-CN" w:bidi="ar-SA"/>
              </w:rPr>
            </w:pPr>
            <w:r>
              <w:rPr>
                <w:rFonts w:hint="eastAsia" w:ascii="宋体" w:hAnsi="宋体" w:eastAsia="宋体" w:cs="宋体"/>
                <w:b w:val="0"/>
                <w:i w:val="0"/>
                <w:color w:val="auto"/>
                <w:kern w:val="0"/>
                <w:sz w:val="24"/>
                <w:szCs w:val="24"/>
                <w:lang w:val="en-US" w:eastAsia="zh-CN" w:bidi="ar"/>
              </w:rPr>
              <w:t>数量：4块</w:t>
            </w:r>
          </w:p>
        </w:tc>
        <w:tc>
          <w:tcPr>
            <w:tcW w:w="2079" w:type="dxa"/>
            <w:shd w:val="clear" w:color="auto" w:fill="FFFFFF"/>
            <w:vAlign w:val="center"/>
          </w:tcPr>
          <w:p w14:paraId="267C61EA">
            <w:pPr>
              <w:keepNext/>
              <w:keepLines w:val="0"/>
              <w:widowControl/>
              <w:suppressLineNumbers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b w:val="0"/>
                <w:i w:val="0"/>
                <w:color w:val="000000"/>
                <w:kern w:val="2"/>
                <w:sz w:val="24"/>
                <w:szCs w:val="24"/>
                <w:lang w:val="en-US" w:eastAsia="zh-CN" w:bidi="ar-SA"/>
              </w:rPr>
            </w:pPr>
            <w:r>
              <w:rPr>
                <w:rFonts w:hint="eastAsia" w:ascii="宋体" w:hAnsi="宋体" w:eastAsia="宋体" w:cs="宋体"/>
                <w:b w:val="0"/>
                <w:i w:val="0"/>
                <w:color w:val="000000"/>
                <w:kern w:val="0"/>
                <w:sz w:val="24"/>
                <w:szCs w:val="24"/>
                <w:lang w:val="en-US" w:eastAsia="zh-CN" w:bidi="ar"/>
              </w:rPr>
              <w:t>现场测量尺寸，使用专业仪器检测点间距，系统读取分辨率</w:t>
            </w:r>
          </w:p>
        </w:tc>
      </w:tr>
      <w:tr w14:paraId="7F7F3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0" w:type="dxa"/>
            <w:shd w:val="clear" w:color="auto" w:fill="FFFFFF"/>
            <w:vAlign w:val="center"/>
          </w:tcPr>
          <w:p w14:paraId="7F84A03E">
            <w:pPr>
              <w:keepNext/>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i w:val="0"/>
                <w:color w:val="000000"/>
                <w:kern w:val="2"/>
                <w:sz w:val="24"/>
                <w:szCs w:val="24"/>
                <w:lang w:val="en-US" w:eastAsia="zh-CN" w:bidi="ar-SA"/>
              </w:rPr>
            </w:pPr>
            <w:r>
              <w:rPr>
                <w:rFonts w:hint="eastAsia" w:ascii="宋体" w:hAnsi="宋体" w:eastAsia="宋体" w:cs="宋体"/>
                <w:b w:val="0"/>
                <w:i w:val="0"/>
                <w:color w:val="000000"/>
                <w:kern w:val="0"/>
                <w:sz w:val="24"/>
                <w:szCs w:val="24"/>
                <w:lang w:val="en-US" w:eastAsia="zh-CN" w:bidi="ar"/>
              </w:rPr>
              <w:t>显示性能</w:t>
            </w:r>
          </w:p>
        </w:tc>
        <w:tc>
          <w:tcPr>
            <w:tcW w:w="5132" w:type="dxa"/>
            <w:shd w:val="clear" w:color="auto" w:fill="FFFFFF"/>
            <w:vAlign w:val="center"/>
          </w:tcPr>
          <w:p w14:paraId="08C92518">
            <w:pPr>
              <w:keepNext/>
              <w:keepLines w:val="0"/>
              <w:widowControl/>
              <w:suppressLineNumbers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b w:val="0"/>
                <w:i w:val="0"/>
                <w:color w:val="000000"/>
                <w:kern w:val="2"/>
                <w:sz w:val="24"/>
                <w:szCs w:val="24"/>
                <w:lang w:val="en-US" w:eastAsia="zh-CN" w:bidi="ar-SA"/>
              </w:rPr>
            </w:pPr>
            <w:r>
              <w:rPr>
                <w:rFonts w:hint="eastAsia" w:ascii="宋体" w:hAnsi="宋体" w:eastAsia="宋体" w:cs="宋体"/>
                <w:b w:val="0"/>
                <w:i w:val="0"/>
                <w:color w:val="000000"/>
                <w:kern w:val="0"/>
                <w:sz w:val="24"/>
                <w:szCs w:val="24"/>
                <w:lang w:val="en-US" w:eastAsia="zh-CN" w:bidi="ar"/>
              </w:rPr>
              <w:t>亮度≥850nits，支持 0-100% 无级调节；刷新频率≥4200Hz水平/垂直视角≥175°；最大对比度≥12000:1（环境照度 0.05lux）亮度均匀性≥98%；色度均匀性 ±0.002Cx,Cy色温 2000-15000K 可调，6500K 时四档白场色温误差≤200K</w:t>
            </w:r>
          </w:p>
        </w:tc>
        <w:tc>
          <w:tcPr>
            <w:tcW w:w="2079" w:type="dxa"/>
            <w:shd w:val="clear" w:color="auto" w:fill="FFFFFF"/>
            <w:vAlign w:val="center"/>
          </w:tcPr>
          <w:p w14:paraId="4CD9A2B3">
            <w:pPr>
              <w:keepNext/>
              <w:keepLines w:val="0"/>
              <w:widowControl/>
              <w:suppressLineNumbers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b w:val="0"/>
                <w:i w:val="0"/>
                <w:color w:val="000000"/>
                <w:kern w:val="2"/>
                <w:sz w:val="24"/>
                <w:szCs w:val="24"/>
                <w:lang w:val="en-US" w:eastAsia="zh-CN" w:bidi="ar-SA"/>
              </w:rPr>
            </w:pPr>
            <w:r>
              <w:rPr>
                <w:rFonts w:hint="eastAsia" w:ascii="宋体" w:hAnsi="宋体" w:eastAsia="宋体" w:cs="宋体"/>
                <w:b w:val="0"/>
                <w:i w:val="0"/>
                <w:color w:val="000000"/>
                <w:kern w:val="0"/>
                <w:sz w:val="24"/>
                <w:szCs w:val="24"/>
                <w:lang w:val="en-US" w:eastAsia="zh-CN" w:bidi="ar"/>
              </w:rPr>
              <w:t>使用亮度计、色度计、刷新率测试仪现场检测</w:t>
            </w:r>
          </w:p>
        </w:tc>
      </w:tr>
      <w:tr w14:paraId="7336C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0" w:type="dxa"/>
            <w:shd w:val="clear" w:color="auto" w:fill="FFFFFF"/>
            <w:vAlign w:val="center"/>
          </w:tcPr>
          <w:p w14:paraId="69672220">
            <w:pPr>
              <w:keepNext/>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i w:val="0"/>
                <w:color w:val="000000"/>
                <w:kern w:val="2"/>
                <w:sz w:val="24"/>
                <w:szCs w:val="24"/>
                <w:lang w:val="en-US" w:eastAsia="zh-CN" w:bidi="ar-SA"/>
              </w:rPr>
            </w:pPr>
            <w:r>
              <w:rPr>
                <w:rFonts w:hint="eastAsia" w:ascii="宋体" w:hAnsi="宋体" w:eastAsia="宋体" w:cs="宋体"/>
                <w:b w:val="0"/>
                <w:i w:val="0"/>
                <w:color w:val="000000"/>
                <w:kern w:val="0"/>
                <w:sz w:val="24"/>
                <w:szCs w:val="24"/>
                <w:lang w:val="en-US" w:eastAsia="zh-CN" w:bidi="ar"/>
              </w:rPr>
              <w:t>工艺质量</w:t>
            </w:r>
          </w:p>
        </w:tc>
        <w:tc>
          <w:tcPr>
            <w:tcW w:w="5132" w:type="dxa"/>
            <w:shd w:val="clear" w:color="auto" w:fill="FFFFFF"/>
            <w:vAlign w:val="center"/>
          </w:tcPr>
          <w:p w14:paraId="194859CD">
            <w:pPr>
              <w:keepNext/>
              <w:keepLines w:val="0"/>
              <w:widowControl/>
              <w:suppressLineNumbers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b w:val="0"/>
                <w:i w:val="0"/>
                <w:color w:val="000000"/>
                <w:kern w:val="2"/>
                <w:sz w:val="24"/>
                <w:szCs w:val="24"/>
                <w:lang w:val="en-US" w:eastAsia="zh-CN" w:bidi="ar-SA"/>
              </w:rPr>
            </w:pPr>
            <w:r>
              <w:rPr>
                <w:rFonts w:hint="eastAsia" w:ascii="宋体" w:hAnsi="宋体" w:eastAsia="宋体" w:cs="宋体"/>
                <w:b w:val="0"/>
                <w:i w:val="0"/>
                <w:color w:val="000000"/>
                <w:kern w:val="0"/>
                <w:sz w:val="24"/>
                <w:szCs w:val="24"/>
                <w:lang w:val="en-US" w:eastAsia="zh-CN" w:bidi="ar"/>
              </w:rPr>
              <w:t>显示单元平整度偏差≤0.05mm（垂直偏差JX≤5% ；水平偏差：CS≤5%）；单元拼接间隙≤0.05mm屏体亚黑处理，反光率≤0.7%（主屏）/≤1%（侧屏）箱体为压铸铝/镁铝合金材质，全金属自然散热无风扇</w:t>
            </w:r>
          </w:p>
        </w:tc>
        <w:tc>
          <w:tcPr>
            <w:tcW w:w="2079" w:type="dxa"/>
            <w:shd w:val="clear" w:color="auto" w:fill="FFFFFF"/>
            <w:vAlign w:val="center"/>
          </w:tcPr>
          <w:p w14:paraId="497284B2">
            <w:pPr>
              <w:keepNext/>
              <w:keepLines w:val="0"/>
              <w:widowControl/>
              <w:suppressLineNumbers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b w:val="0"/>
                <w:i w:val="0"/>
                <w:color w:val="000000"/>
                <w:kern w:val="2"/>
                <w:sz w:val="24"/>
                <w:szCs w:val="24"/>
                <w:lang w:val="en-US" w:eastAsia="zh-CN" w:bidi="ar-SA"/>
              </w:rPr>
            </w:pPr>
            <w:r>
              <w:rPr>
                <w:rFonts w:hint="eastAsia" w:ascii="宋体" w:hAnsi="宋体" w:eastAsia="宋体" w:cs="宋体"/>
                <w:b w:val="0"/>
                <w:i w:val="0"/>
                <w:color w:val="000000"/>
                <w:kern w:val="0"/>
                <w:sz w:val="24"/>
                <w:szCs w:val="24"/>
                <w:lang w:val="en-US" w:eastAsia="zh-CN" w:bidi="ar"/>
              </w:rPr>
              <w:t>塞尺测量，目视检查，现场触摸确认</w:t>
            </w:r>
          </w:p>
        </w:tc>
      </w:tr>
      <w:tr w14:paraId="3642D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0" w:type="dxa"/>
            <w:shd w:val="clear" w:color="auto" w:fill="FFFFFF"/>
            <w:vAlign w:val="center"/>
          </w:tcPr>
          <w:p w14:paraId="1B6FC685">
            <w:pPr>
              <w:keepNext/>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i w:val="0"/>
                <w:color w:val="000000"/>
                <w:kern w:val="2"/>
                <w:sz w:val="24"/>
                <w:szCs w:val="24"/>
                <w:lang w:val="en-US" w:eastAsia="zh-CN" w:bidi="ar-SA"/>
              </w:rPr>
            </w:pPr>
            <w:r>
              <w:rPr>
                <w:rFonts w:hint="eastAsia" w:ascii="宋体" w:hAnsi="宋体" w:eastAsia="宋体" w:cs="宋体"/>
                <w:b w:val="0"/>
                <w:i w:val="0"/>
                <w:color w:val="000000"/>
                <w:kern w:val="0"/>
                <w:sz w:val="24"/>
                <w:szCs w:val="24"/>
                <w:lang w:val="en-US" w:eastAsia="zh-CN" w:bidi="ar"/>
              </w:rPr>
              <w:t>可靠性</w:t>
            </w:r>
          </w:p>
        </w:tc>
        <w:tc>
          <w:tcPr>
            <w:tcW w:w="5132" w:type="dxa"/>
            <w:shd w:val="clear" w:color="auto" w:fill="FFFFFF"/>
            <w:vAlign w:val="center"/>
          </w:tcPr>
          <w:p w14:paraId="4E4ACEB0">
            <w:pPr>
              <w:keepNext/>
              <w:keepLines w:val="0"/>
              <w:widowControl/>
              <w:suppressLineNumbers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b w:val="0"/>
                <w:i w:val="0"/>
                <w:color w:val="000000"/>
                <w:kern w:val="2"/>
                <w:sz w:val="24"/>
                <w:szCs w:val="24"/>
                <w:lang w:val="en-US" w:eastAsia="zh-CN" w:bidi="ar-SA"/>
              </w:rPr>
            </w:pPr>
            <w:r>
              <w:rPr>
                <w:rFonts w:hint="eastAsia" w:ascii="宋体" w:hAnsi="宋体" w:eastAsia="宋体" w:cs="宋体"/>
                <w:b w:val="0"/>
                <w:i w:val="0"/>
                <w:color w:val="000000"/>
                <w:kern w:val="0"/>
                <w:sz w:val="24"/>
                <w:szCs w:val="24"/>
                <w:lang w:val="en-US" w:eastAsia="zh-CN" w:bidi="ar"/>
              </w:rPr>
              <w:t>LED显示屏平均故障时间间隔(MTBF)≥12000 小时；支持7x24h连续工作；故障平均修复时间不超过5分钟，支持双电网供电、电源备份、信号备份及热备份具备故障自动告警、单电自检、温度监控、坏点检测功能</w:t>
            </w:r>
          </w:p>
        </w:tc>
        <w:tc>
          <w:tcPr>
            <w:tcW w:w="2079" w:type="dxa"/>
            <w:shd w:val="clear" w:color="auto" w:fill="FFFFFF"/>
            <w:vAlign w:val="center"/>
          </w:tcPr>
          <w:p w14:paraId="1A3DE2C9">
            <w:pPr>
              <w:keepNext/>
              <w:keepLines w:val="0"/>
              <w:widowControl/>
              <w:suppressLineNumbers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b w:val="0"/>
                <w:i w:val="0"/>
                <w:color w:val="000000"/>
                <w:kern w:val="2"/>
                <w:sz w:val="24"/>
                <w:szCs w:val="24"/>
                <w:lang w:val="en-US" w:eastAsia="zh-CN" w:bidi="ar-SA"/>
              </w:rPr>
            </w:pPr>
            <w:r>
              <w:rPr>
                <w:rFonts w:hint="eastAsia" w:ascii="宋体" w:hAnsi="宋体" w:eastAsia="宋体" w:cs="宋体"/>
                <w:b w:val="0"/>
                <w:i w:val="0"/>
                <w:color w:val="000000"/>
                <w:kern w:val="0"/>
                <w:sz w:val="24"/>
                <w:szCs w:val="24"/>
                <w:lang w:val="en-US" w:eastAsia="zh-CN" w:bidi="ar"/>
              </w:rPr>
              <w:t>系统自检功能测试，查阅检测报告，模拟故障测试</w:t>
            </w:r>
          </w:p>
        </w:tc>
      </w:tr>
      <w:tr w14:paraId="495D4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0" w:type="dxa"/>
            <w:shd w:val="clear" w:color="auto" w:fill="FFFFFF"/>
            <w:vAlign w:val="center"/>
          </w:tcPr>
          <w:p w14:paraId="0CB1D5DE">
            <w:pPr>
              <w:keepNext/>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i w:val="0"/>
                <w:color w:val="000000"/>
                <w:kern w:val="2"/>
                <w:sz w:val="24"/>
                <w:szCs w:val="24"/>
                <w:lang w:val="en-US" w:eastAsia="zh-CN" w:bidi="ar-SA"/>
              </w:rPr>
            </w:pPr>
            <w:r>
              <w:rPr>
                <w:rFonts w:hint="eastAsia" w:ascii="宋体" w:hAnsi="宋体" w:eastAsia="宋体" w:cs="宋体"/>
                <w:b w:val="0"/>
                <w:i w:val="0"/>
                <w:color w:val="000000"/>
                <w:kern w:val="0"/>
                <w:sz w:val="24"/>
                <w:szCs w:val="24"/>
                <w:lang w:val="en-US" w:eastAsia="zh-CN" w:bidi="ar"/>
              </w:rPr>
              <w:t>能效与节能</w:t>
            </w:r>
          </w:p>
        </w:tc>
        <w:tc>
          <w:tcPr>
            <w:tcW w:w="5132" w:type="dxa"/>
            <w:shd w:val="clear" w:color="auto" w:fill="FFFFFF"/>
            <w:vAlign w:val="center"/>
          </w:tcPr>
          <w:p w14:paraId="5B1D8D6E">
            <w:pPr>
              <w:keepNext/>
              <w:keepLines w:val="0"/>
              <w:widowControl/>
              <w:suppressLineNumbers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b w:val="0"/>
                <w:i w:val="0"/>
                <w:color w:val="000000"/>
                <w:kern w:val="2"/>
                <w:sz w:val="24"/>
                <w:szCs w:val="24"/>
                <w:lang w:val="en-US" w:eastAsia="zh-CN" w:bidi="ar-SA"/>
              </w:rPr>
            </w:pPr>
            <w:r>
              <w:rPr>
                <w:rFonts w:hint="eastAsia" w:ascii="宋体" w:hAnsi="宋体" w:eastAsia="宋体" w:cs="宋体"/>
                <w:b w:val="0"/>
                <w:i w:val="0"/>
                <w:color w:val="000000"/>
                <w:kern w:val="0"/>
                <w:sz w:val="24"/>
                <w:szCs w:val="24"/>
                <w:lang w:val="en-US" w:eastAsia="zh-CN" w:bidi="ar"/>
              </w:rPr>
              <w:t>峰值功耗≤460W/㎡，平均功率≤155W/㎡具备智能黑屏节电功能，黑屏功率≤30W/单元 ；视角水平:≥175°垂直:≥175°；产品具备智能（黑屏）节电功能，开启智能节电功能比没有开启节能50%; LED显示屏符合相关标准,能效一级</w:t>
            </w:r>
          </w:p>
        </w:tc>
        <w:tc>
          <w:tcPr>
            <w:tcW w:w="2079" w:type="dxa"/>
            <w:shd w:val="clear" w:color="auto" w:fill="FFFFFF"/>
            <w:vAlign w:val="center"/>
          </w:tcPr>
          <w:p w14:paraId="05B605C7">
            <w:pPr>
              <w:keepNext/>
              <w:keepLines w:val="0"/>
              <w:widowControl/>
              <w:suppressLineNumbers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b w:val="0"/>
                <w:i w:val="0"/>
                <w:color w:val="000000"/>
                <w:kern w:val="2"/>
                <w:sz w:val="24"/>
                <w:szCs w:val="24"/>
                <w:lang w:val="en-US" w:eastAsia="zh-CN" w:bidi="ar-SA"/>
              </w:rPr>
            </w:pPr>
            <w:r>
              <w:rPr>
                <w:rFonts w:hint="eastAsia" w:ascii="宋体" w:hAnsi="宋体" w:eastAsia="宋体" w:cs="宋体"/>
                <w:b w:val="0"/>
                <w:i w:val="0"/>
                <w:color w:val="000000"/>
                <w:kern w:val="0"/>
                <w:sz w:val="24"/>
                <w:szCs w:val="24"/>
                <w:lang w:val="en-US" w:eastAsia="zh-CN" w:bidi="ar"/>
              </w:rPr>
              <w:t>功率计现场测试，查阅能效检测报告</w:t>
            </w:r>
          </w:p>
        </w:tc>
      </w:tr>
      <w:tr w14:paraId="3BC03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0" w:type="dxa"/>
            <w:shd w:val="clear" w:color="auto" w:fill="FFFFFF"/>
            <w:vAlign w:val="center"/>
          </w:tcPr>
          <w:p w14:paraId="0561C7F9">
            <w:pPr>
              <w:keepNext/>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i w:val="0"/>
                <w:color w:val="000000"/>
                <w:kern w:val="2"/>
                <w:sz w:val="24"/>
                <w:szCs w:val="24"/>
                <w:lang w:val="en-US" w:eastAsia="zh-CN" w:bidi="ar-SA"/>
              </w:rPr>
            </w:pPr>
            <w:r>
              <w:rPr>
                <w:rFonts w:hint="eastAsia" w:ascii="宋体" w:hAnsi="宋体" w:eastAsia="宋体" w:cs="宋体"/>
                <w:b w:val="0"/>
                <w:i w:val="0"/>
                <w:color w:val="000000"/>
                <w:kern w:val="0"/>
                <w:sz w:val="24"/>
                <w:szCs w:val="24"/>
                <w:lang w:val="en-US" w:eastAsia="zh-CN" w:bidi="ar"/>
              </w:rPr>
              <w:t>图像处理</w:t>
            </w:r>
          </w:p>
        </w:tc>
        <w:tc>
          <w:tcPr>
            <w:tcW w:w="5132" w:type="dxa"/>
            <w:shd w:val="clear" w:color="auto" w:fill="FFFFFF"/>
            <w:vAlign w:val="center"/>
          </w:tcPr>
          <w:p w14:paraId="0F0C9B8F">
            <w:pPr>
              <w:keepNext/>
              <w:keepLines w:val="0"/>
              <w:widowControl/>
              <w:suppressLineNumbers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b w:val="0"/>
                <w:i w:val="0"/>
                <w:color w:val="000000"/>
                <w:kern w:val="0"/>
                <w:sz w:val="24"/>
                <w:szCs w:val="24"/>
                <w:lang w:val="en-US" w:eastAsia="zh-CN" w:bidi="ar"/>
              </w:rPr>
            </w:pPr>
            <w:r>
              <w:rPr>
                <w:rFonts w:hint="eastAsia" w:ascii="宋体" w:hAnsi="宋体" w:eastAsia="宋体" w:cs="宋体"/>
                <w:b w:val="0"/>
                <w:i w:val="0"/>
                <w:color w:val="000000"/>
                <w:kern w:val="0"/>
                <w:sz w:val="24"/>
                <w:szCs w:val="24"/>
                <w:lang w:val="en-US" w:eastAsia="zh-CN" w:bidi="ar"/>
              </w:rPr>
              <w:t>具有亮度调节，对比度调节，色饱和度调节，色温调节功能；快速运动补偿、灰度非线性变换、色度校正、低灰降噪处理、黑电平稳定处理，缩放平滑处理、高频白噪声滤波、梳状滤波处理等；支持 NTSC、REC709、DCI-P3 等标准色域调节支持 4K/8K 超高清显示，画面无重影、拖影、几何失真</w:t>
            </w:r>
          </w:p>
        </w:tc>
        <w:tc>
          <w:tcPr>
            <w:tcW w:w="2079" w:type="dxa"/>
            <w:shd w:val="clear" w:color="auto" w:fill="FFFFFF"/>
            <w:vAlign w:val="center"/>
          </w:tcPr>
          <w:p w14:paraId="3542F5C0">
            <w:pPr>
              <w:keepNext/>
              <w:keepLines w:val="0"/>
              <w:widowControl/>
              <w:suppressLineNumbers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b w:val="0"/>
                <w:i w:val="0"/>
                <w:color w:val="000000"/>
                <w:kern w:val="2"/>
                <w:sz w:val="24"/>
                <w:szCs w:val="24"/>
                <w:lang w:val="en-US" w:eastAsia="zh-CN" w:bidi="ar-SA"/>
              </w:rPr>
            </w:pPr>
            <w:r>
              <w:rPr>
                <w:rFonts w:hint="eastAsia" w:ascii="宋体" w:hAnsi="宋体" w:eastAsia="宋体" w:cs="宋体"/>
                <w:b w:val="0"/>
                <w:i w:val="0"/>
                <w:color w:val="000000"/>
                <w:kern w:val="0"/>
                <w:sz w:val="24"/>
                <w:szCs w:val="24"/>
                <w:lang w:val="en-US" w:eastAsia="zh-CN" w:bidi="ar"/>
              </w:rPr>
              <w:t>播放不同类型视频源现场测试</w:t>
            </w:r>
          </w:p>
        </w:tc>
      </w:tr>
    </w:tbl>
    <w:p w14:paraId="1023F8A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（3）LED条屏</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55"/>
        <w:gridCol w:w="4927"/>
        <w:gridCol w:w="2079"/>
      </w:tblGrid>
      <w:tr w14:paraId="6EFD9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5" w:type="dxa"/>
            <w:shd w:val="clear" w:color="auto" w:fill="4F81BD" w:themeFill="accent1"/>
            <w:vAlign w:val="center"/>
          </w:tcPr>
          <w:p w14:paraId="04E03221">
            <w:pPr>
              <w:keepNext/>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color w:val="FFFFFF"/>
                <w:kern w:val="2"/>
                <w:sz w:val="24"/>
                <w:szCs w:val="24"/>
                <w:lang w:val="en-US" w:eastAsia="zh-CN" w:bidi="ar-SA"/>
              </w:rPr>
            </w:pPr>
            <w:r>
              <w:rPr>
                <w:rFonts w:hint="eastAsia" w:ascii="宋体" w:hAnsi="宋体" w:eastAsia="宋体" w:cs="宋体"/>
                <w:b/>
                <w:bCs/>
                <w:i w:val="0"/>
                <w:color w:val="FFFFFF"/>
                <w:kern w:val="0"/>
                <w:sz w:val="24"/>
                <w:szCs w:val="24"/>
                <w:lang w:val="en-US" w:eastAsia="zh-CN" w:bidi="ar"/>
              </w:rPr>
              <w:t>验收项目</w:t>
            </w:r>
          </w:p>
        </w:tc>
        <w:tc>
          <w:tcPr>
            <w:tcW w:w="4927" w:type="dxa"/>
            <w:shd w:val="clear" w:color="auto" w:fill="4F81BD" w:themeFill="accent1"/>
            <w:vAlign w:val="center"/>
          </w:tcPr>
          <w:p w14:paraId="063B56EB">
            <w:pPr>
              <w:keepNext/>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color w:val="FFFFFF"/>
                <w:kern w:val="2"/>
                <w:sz w:val="24"/>
                <w:szCs w:val="24"/>
                <w:lang w:val="en-US" w:eastAsia="zh-CN" w:bidi="ar-SA"/>
              </w:rPr>
            </w:pPr>
            <w:r>
              <w:rPr>
                <w:rFonts w:hint="eastAsia" w:ascii="宋体" w:hAnsi="宋体" w:eastAsia="宋体" w:cs="宋体"/>
                <w:b/>
                <w:bCs/>
                <w:i w:val="0"/>
                <w:color w:val="FFFFFF"/>
                <w:kern w:val="0"/>
                <w:sz w:val="24"/>
                <w:szCs w:val="24"/>
                <w:lang w:val="en-US" w:eastAsia="zh-CN" w:bidi="ar"/>
              </w:rPr>
              <w:t>核心验收指标</w:t>
            </w:r>
          </w:p>
        </w:tc>
        <w:tc>
          <w:tcPr>
            <w:tcW w:w="2079" w:type="dxa"/>
            <w:shd w:val="clear" w:color="auto" w:fill="4F81BD" w:themeFill="accent1"/>
            <w:vAlign w:val="center"/>
          </w:tcPr>
          <w:p w14:paraId="494FB309">
            <w:pPr>
              <w:keepNext/>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i w:val="0"/>
                <w:color w:val="FFFFFF"/>
                <w:kern w:val="2"/>
                <w:sz w:val="24"/>
                <w:szCs w:val="24"/>
                <w:lang w:val="en-US" w:eastAsia="zh-CN" w:bidi="ar-SA"/>
              </w:rPr>
            </w:pPr>
            <w:r>
              <w:rPr>
                <w:rFonts w:hint="eastAsia" w:ascii="宋体" w:hAnsi="宋体" w:eastAsia="宋体" w:cs="宋体"/>
                <w:b/>
                <w:bCs/>
                <w:i w:val="0"/>
                <w:color w:val="FFFFFF"/>
                <w:kern w:val="0"/>
                <w:sz w:val="24"/>
                <w:szCs w:val="24"/>
                <w:lang w:val="en-US" w:eastAsia="zh-CN" w:bidi="ar"/>
              </w:rPr>
              <w:t>验收方法</w:t>
            </w:r>
          </w:p>
        </w:tc>
      </w:tr>
      <w:tr w14:paraId="203E7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5" w:type="dxa"/>
            <w:shd w:val="clear" w:color="auto" w:fill="FFFFFF"/>
            <w:vAlign w:val="center"/>
          </w:tcPr>
          <w:p w14:paraId="3274862B">
            <w:pPr>
              <w:keepNext/>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i w:val="0"/>
                <w:color w:val="000000"/>
                <w:kern w:val="2"/>
                <w:sz w:val="24"/>
                <w:szCs w:val="24"/>
                <w:lang w:val="en-US" w:eastAsia="zh-CN" w:bidi="ar-SA"/>
              </w:rPr>
            </w:pPr>
            <w:r>
              <w:rPr>
                <w:rFonts w:hint="eastAsia" w:ascii="宋体" w:hAnsi="宋体" w:eastAsia="宋体" w:cs="宋体"/>
                <w:b w:val="0"/>
                <w:i w:val="0"/>
                <w:color w:val="000000"/>
                <w:kern w:val="0"/>
                <w:sz w:val="24"/>
                <w:szCs w:val="24"/>
                <w:lang w:val="en-US" w:eastAsia="zh-CN" w:bidi="ar"/>
              </w:rPr>
              <w:t>基础参数</w:t>
            </w:r>
          </w:p>
        </w:tc>
        <w:tc>
          <w:tcPr>
            <w:tcW w:w="4927" w:type="dxa"/>
            <w:shd w:val="clear" w:color="auto" w:fill="FFFFFF"/>
            <w:vAlign w:val="center"/>
          </w:tcPr>
          <w:p w14:paraId="4BED8B89">
            <w:pPr>
              <w:keepNext/>
              <w:keepLines w:val="0"/>
              <w:widowControl/>
              <w:suppressLineNumbers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b w:val="0"/>
                <w:i w:val="0"/>
                <w:color w:val="000000"/>
                <w:kern w:val="2"/>
                <w:sz w:val="24"/>
                <w:szCs w:val="24"/>
                <w:lang w:val="en-US" w:eastAsia="zh-CN" w:bidi="ar-SA"/>
              </w:rPr>
            </w:pPr>
            <w:r>
              <w:rPr>
                <w:rFonts w:hint="eastAsia" w:ascii="宋体" w:hAnsi="宋体" w:eastAsia="宋体" w:cs="宋体"/>
                <w:b w:val="0"/>
                <w:i w:val="0"/>
                <w:color w:val="000000"/>
                <w:kern w:val="2"/>
                <w:sz w:val="24"/>
                <w:szCs w:val="24"/>
                <w:lang w:val="en-US" w:eastAsia="zh-CN" w:bidi="ar-SA"/>
              </w:rPr>
              <w:t>屏体尺寸：16.72*0.456；分辨率不低于3520*96；</w:t>
            </w:r>
          </w:p>
          <w:p w14:paraId="5CD06CB6">
            <w:pPr>
              <w:keepNext/>
              <w:keepLines w:val="0"/>
              <w:widowControl/>
              <w:suppressLineNumbers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b w:val="0"/>
                <w:bCs w:val="0"/>
                <w:i w:val="0"/>
                <w:color w:val="000000"/>
                <w:kern w:val="2"/>
                <w:sz w:val="24"/>
                <w:szCs w:val="24"/>
                <w:lang w:val="en-US" w:eastAsia="zh-CN" w:bidi="ar-SA"/>
              </w:rPr>
            </w:pPr>
            <w:r>
              <w:rPr>
                <w:rFonts w:hint="eastAsia" w:ascii="宋体" w:hAnsi="宋体" w:eastAsia="宋体" w:cs="宋体"/>
                <w:b w:val="0"/>
                <w:bCs w:val="0"/>
                <w:i w:val="0"/>
                <w:color w:val="000000"/>
                <w:kern w:val="2"/>
                <w:sz w:val="24"/>
                <w:szCs w:val="24"/>
                <w:lang w:val="en-US" w:eastAsia="zh-CN" w:bidi="ar-SA"/>
              </w:rPr>
              <w:t>LED显示屏像素间距≤4.75mm；发光点颜色： RG；像素密度≥44321点/㎡</w:t>
            </w:r>
          </w:p>
        </w:tc>
        <w:tc>
          <w:tcPr>
            <w:tcW w:w="2079" w:type="dxa"/>
            <w:shd w:val="clear" w:color="auto" w:fill="FFFFFF"/>
            <w:vAlign w:val="center"/>
          </w:tcPr>
          <w:p w14:paraId="435E3D17">
            <w:pPr>
              <w:keepNext/>
              <w:keepLines w:val="0"/>
              <w:widowControl/>
              <w:suppressLineNumbers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b w:val="0"/>
                <w:i w:val="0"/>
                <w:color w:val="000000"/>
                <w:kern w:val="2"/>
                <w:sz w:val="24"/>
                <w:szCs w:val="24"/>
                <w:lang w:val="en-US" w:eastAsia="zh-CN" w:bidi="ar-SA"/>
              </w:rPr>
            </w:pPr>
            <w:r>
              <w:rPr>
                <w:rFonts w:hint="eastAsia" w:ascii="宋体" w:hAnsi="宋体" w:eastAsia="宋体" w:cs="宋体"/>
                <w:b w:val="0"/>
                <w:i w:val="0"/>
                <w:color w:val="000000"/>
                <w:kern w:val="0"/>
                <w:sz w:val="24"/>
                <w:szCs w:val="24"/>
                <w:lang w:val="en-US" w:eastAsia="zh-CN" w:bidi="ar"/>
              </w:rPr>
              <w:t>现场测量尺寸，使用专业仪器检测点间距，系统读取分辨率</w:t>
            </w:r>
          </w:p>
        </w:tc>
      </w:tr>
      <w:tr w14:paraId="59670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5" w:type="dxa"/>
            <w:shd w:val="clear" w:color="auto" w:fill="FFFFFF"/>
            <w:vAlign w:val="center"/>
          </w:tcPr>
          <w:p w14:paraId="35928796">
            <w:pPr>
              <w:keepNext/>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i w:val="0"/>
                <w:color w:val="000000"/>
                <w:kern w:val="2"/>
                <w:sz w:val="24"/>
                <w:szCs w:val="24"/>
                <w:lang w:val="en-US" w:eastAsia="zh-CN" w:bidi="ar-SA"/>
              </w:rPr>
            </w:pPr>
            <w:r>
              <w:rPr>
                <w:rFonts w:hint="eastAsia" w:ascii="宋体" w:hAnsi="宋体" w:eastAsia="宋体" w:cs="宋体"/>
                <w:b w:val="0"/>
                <w:i w:val="0"/>
                <w:color w:val="000000"/>
                <w:kern w:val="0"/>
                <w:sz w:val="24"/>
                <w:szCs w:val="24"/>
                <w:lang w:val="en-US" w:eastAsia="zh-CN" w:bidi="ar"/>
              </w:rPr>
              <w:t>显示性能</w:t>
            </w:r>
          </w:p>
        </w:tc>
        <w:tc>
          <w:tcPr>
            <w:tcW w:w="4927" w:type="dxa"/>
            <w:shd w:val="clear" w:color="auto" w:fill="FFFFFF"/>
            <w:vAlign w:val="center"/>
          </w:tcPr>
          <w:p w14:paraId="01D6603F">
            <w:pPr>
              <w:keepNext/>
              <w:keepLines w:val="0"/>
              <w:widowControl/>
              <w:suppressLineNumbers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b w:val="0"/>
                <w:i w:val="0"/>
                <w:color w:val="000000"/>
                <w:kern w:val="0"/>
                <w:sz w:val="24"/>
                <w:szCs w:val="24"/>
                <w:lang w:val="en-US" w:eastAsia="zh-CN" w:bidi="ar"/>
              </w:rPr>
            </w:pPr>
            <w:r>
              <w:rPr>
                <w:rFonts w:hint="eastAsia" w:ascii="宋体" w:hAnsi="宋体" w:eastAsia="宋体" w:cs="宋体"/>
                <w:b w:val="0"/>
                <w:i w:val="0"/>
                <w:color w:val="000000"/>
                <w:kern w:val="0"/>
                <w:sz w:val="24"/>
                <w:szCs w:val="24"/>
                <w:lang w:val="en-US" w:eastAsia="zh-CN" w:bidi="ar"/>
              </w:rPr>
              <w:t>白平衡亮度≥600cd/㎡</w:t>
            </w:r>
          </w:p>
          <w:p w14:paraId="5B3C5678">
            <w:pPr>
              <w:keepNext/>
              <w:keepLines w:val="0"/>
              <w:widowControl/>
              <w:suppressLineNumbers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b w:val="0"/>
                <w:i w:val="0"/>
                <w:color w:val="000000"/>
                <w:kern w:val="0"/>
                <w:sz w:val="24"/>
                <w:szCs w:val="24"/>
                <w:lang w:val="en-US" w:eastAsia="zh-CN" w:bidi="ar"/>
              </w:rPr>
            </w:pPr>
            <w:r>
              <w:rPr>
                <w:rFonts w:hint="eastAsia" w:ascii="宋体" w:hAnsi="宋体" w:eastAsia="宋体" w:cs="宋体"/>
                <w:b w:val="0"/>
                <w:i w:val="0"/>
                <w:color w:val="000000"/>
                <w:kern w:val="0"/>
                <w:sz w:val="24"/>
                <w:szCs w:val="24"/>
                <w:lang w:val="en-US" w:eastAsia="zh-CN" w:bidi="ar"/>
              </w:rPr>
              <w:t>可视角度 水平≥150度  垂直≥130度</w:t>
            </w:r>
          </w:p>
          <w:p w14:paraId="4A05A60C">
            <w:pPr>
              <w:keepNext/>
              <w:keepLines w:val="0"/>
              <w:widowControl/>
              <w:suppressLineNumbers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b w:val="0"/>
                <w:i w:val="0"/>
                <w:color w:val="000000"/>
                <w:kern w:val="0"/>
                <w:sz w:val="24"/>
                <w:szCs w:val="24"/>
                <w:lang w:val="en-US" w:eastAsia="zh-CN" w:bidi="ar"/>
              </w:rPr>
            </w:pPr>
            <w:r>
              <w:rPr>
                <w:rFonts w:hint="eastAsia" w:ascii="宋体" w:hAnsi="宋体" w:eastAsia="宋体" w:cs="宋体"/>
                <w:b w:val="0"/>
                <w:i w:val="0"/>
                <w:color w:val="000000"/>
                <w:kern w:val="0"/>
                <w:sz w:val="24"/>
                <w:szCs w:val="24"/>
                <w:lang w:val="en-US" w:eastAsia="zh-CN" w:bidi="ar"/>
              </w:rPr>
              <w:t>刷新频率≥120HZ；对比度≥5000:1</w:t>
            </w:r>
          </w:p>
        </w:tc>
        <w:tc>
          <w:tcPr>
            <w:tcW w:w="2079" w:type="dxa"/>
            <w:shd w:val="clear" w:color="auto" w:fill="FFFFFF"/>
            <w:vAlign w:val="center"/>
          </w:tcPr>
          <w:p w14:paraId="1817385F">
            <w:pPr>
              <w:keepNext/>
              <w:keepLines w:val="0"/>
              <w:widowControl/>
              <w:suppressLineNumbers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b w:val="0"/>
                <w:i w:val="0"/>
                <w:color w:val="000000"/>
                <w:kern w:val="2"/>
                <w:sz w:val="24"/>
                <w:szCs w:val="24"/>
                <w:lang w:val="en-US" w:eastAsia="zh-CN" w:bidi="ar-SA"/>
              </w:rPr>
            </w:pPr>
            <w:r>
              <w:rPr>
                <w:rFonts w:hint="eastAsia" w:ascii="宋体" w:hAnsi="宋体" w:eastAsia="宋体" w:cs="宋体"/>
                <w:b w:val="0"/>
                <w:i w:val="0"/>
                <w:color w:val="000000"/>
                <w:kern w:val="0"/>
                <w:sz w:val="24"/>
                <w:szCs w:val="24"/>
                <w:lang w:val="en-US" w:eastAsia="zh-CN" w:bidi="ar"/>
              </w:rPr>
              <w:t>使用亮度计、色度计、刷新率测试仪现场检测</w:t>
            </w:r>
          </w:p>
        </w:tc>
      </w:tr>
      <w:tr w14:paraId="22E9C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5" w:type="dxa"/>
            <w:shd w:val="clear" w:color="auto" w:fill="FFFFFF"/>
            <w:vAlign w:val="center"/>
          </w:tcPr>
          <w:p w14:paraId="2A266929">
            <w:pPr>
              <w:keepNext/>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i w:val="0"/>
                <w:color w:val="000000"/>
                <w:kern w:val="2"/>
                <w:sz w:val="24"/>
                <w:szCs w:val="24"/>
                <w:lang w:val="en-US" w:eastAsia="zh-CN" w:bidi="ar-SA"/>
              </w:rPr>
            </w:pPr>
            <w:r>
              <w:rPr>
                <w:rFonts w:hint="eastAsia" w:ascii="宋体" w:hAnsi="宋体" w:eastAsia="宋体" w:cs="宋体"/>
                <w:b w:val="0"/>
                <w:i w:val="0"/>
                <w:color w:val="000000"/>
                <w:kern w:val="0"/>
                <w:sz w:val="24"/>
                <w:szCs w:val="24"/>
                <w:lang w:val="en-US" w:eastAsia="zh-CN" w:bidi="ar"/>
              </w:rPr>
              <w:t>工艺质量</w:t>
            </w:r>
          </w:p>
        </w:tc>
        <w:tc>
          <w:tcPr>
            <w:tcW w:w="4927" w:type="dxa"/>
            <w:shd w:val="clear" w:color="auto" w:fill="FFFFFF"/>
            <w:vAlign w:val="center"/>
          </w:tcPr>
          <w:p w14:paraId="77609809">
            <w:pPr>
              <w:keepNext/>
              <w:keepLines w:val="0"/>
              <w:widowControl/>
              <w:suppressLineNumbers w:val="0"/>
              <w:tabs>
                <w:tab w:val="left" w:pos="1478"/>
              </w:tabs>
              <w:snapToGrid w:val="0"/>
              <w:spacing w:before="0" w:beforeAutospacing="0" w:after="0" w:afterAutospacing="0" w:line="240" w:lineRule="auto"/>
              <w:ind w:left="0" w:leftChars="0" w:right="0" w:rightChars="0" w:firstLine="0" w:firstLineChars="0"/>
              <w:jc w:val="left"/>
              <w:rPr>
                <w:rFonts w:hint="eastAsia" w:ascii="宋体" w:hAnsi="宋体" w:eastAsia="宋体" w:cs="宋体"/>
                <w:b w:val="0"/>
                <w:i w:val="0"/>
                <w:color w:val="000000"/>
                <w:kern w:val="2"/>
                <w:sz w:val="24"/>
                <w:szCs w:val="24"/>
                <w:lang w:val="en-US" w:eastAsia="zh-CN" w:bidi="ar-SA"/>
              </w:rPr>
            </w:pPr>
            <w:r>
              <w:rPr>
                <w:rFonts w:hint="eastAsia" w:ascii="宋体" w:hAnsi="宋体" w:eastAsia="宋体" w:cs="宋体"/>
                <w:b w:val="0"/>
                <w:i w:val="0"/>
                <w:color w:val="000000"/>
                <w:kern w:val="2"/>
                <w:sz w:val="24"/>
                <w:szCs w:val="24"/>
                <w:lang w:val="en-US" w:eastAsia="zh-CN" w:bidi="ar-SA"/>
              </w:rPr>
              <w:t>刷新频率≥120HZ；对比度</w:t>
            </w:r>
            <w:r>
              <w:rPr>
                <w:rFonts w:hint="eastAsia" w:ascii="宋体" w:hAnsi="宋体" w:eastAsia="宋体" w:cs="宋体"/>
                <w:b w:val="0"/>
                <w:i w:val="0"/>
                <w:color w:val="000000"/>
                <w:kern w:val="0"/>
                <w:sz w:val="24"/>
                <w:szCs w:val="24"/>
                <w:lang w:val="en-US" w:eastAsia="zh-CN" w:bidi="ar"/>
              </w:rPr>
              <w:t>≥</w:t>
            </w:r>
            <w:r>
              <w:rPr>
                <w:rFonts w:hint="eastAsia" w:ascii="宋体" w:hAnsi="宋体" w:eastAsia="宋体" w:cs="宋体"/>
                <w:b w:val="0"/>
                <w:i w:val="0"/>
                <w:color w:val="000000"/>
                <w:kern w:val="2"/>
                <w:sz w:val="24"/>
                <w:szCs w:val="24"/>
                <w:lang w:val="en-US" w:eastAsia="zh-CN" w:bidi="ar-SA"/>
              </w:rPr>
              <w:t>5000:1</w:t>
            </w:r>
          </w:p>
          <w:p w14:paraId="508DF775">
            <w:pPr>
              <w:keepNext/>
              <w:keepLines w:val="0"/>
              <w:widowControl/>
              <w:suppressLineNumbers w:val="0"/>
              <w:tabs>
                <w:tab w:val="left" w:pos="1478"/>
              </w:tabs>
              <w:snapToGrid w:val="0"/>
              <w:spacing w:before="0" w:beforeAutospacing="0" w:after="0" w:afterAutospacing="0" w:line="240" w:lineRule="auto"/>
              <w:ind w:left="0" w:leftChars="0" w:right="0" w:rightChars="0" w:firstLine="0" w:firstLineChars="0"/>
              <w:jc w:val="left"/>
              <w:rPr>
                <w:rFonts w:hint="eastAsia" w:ascii="宋体" w:hAnsi="宋体" w:eastAsia="宋体" w:cs="宋体"/>
                <w:b w:val="0"/>
                <w:i w:val="0"/>
                <w:color w:val="000000"/>
                <w:kern w:val="2"/>
                <w:sz w:val="24"/>
                <w:szCs w:val="24"/>
                <w:lang w:val="en-US" w:eastAsia="zh-CN" w:bidi="ar-SA"/>
              </w:rPr>
            </w:pPr>
            <w:r>
              <w:rPr>
                <w:rFonts w:hint="eastAsia" w:ascii="宋体" w:hAnsi="宋体" w:eastAsia="宋体" w:cs="宋体"/>
                <w:b w:val="0"/>
                <w:i w:val="0"/>
                <w:color w:val="000000"/>
                <w:kern w:val="2"/>
                <w:sz w:val="24"/>
                <w:szCs w:val="24"/>
                <w:lang w:val="en-US" w:eastAsia="zh-CN" w:bidi="ar-SA"/>
              </w:rPr>
              <w:t>换帧频率50&amp;60Hz</w:t>
            </w:r>
          </w:p>
        </w:tc>
        <w:tc>
          <w:tcPr>
            <w:tcW w:w="2079" w:type="dxa"/>
            <w:shd w:val="clear" w:color="auto" w:fill="FFFFFF"/>
            <w:vAlign w:val="center"/>
          </w:tcPr>
          <w:p w14:paraId="71F6CD5F">
            <w:pPr>
              <w:keepNext/>
              <w:keepLines w:val="0"/>
              <w:widowControl/>
              <w:suppressLineNumbers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b w:val="0"/>
                <w:i w:val="0"/>
                <w:color w:val="000000"/>
                <w:kern w:val="2"/>
                <w:sz w:val="24"/>
                <w:szCs w:val="24"/>
                <w:lang w:val="en-US" w:eastAsia="zh-CN" w:bidi="ar-SA"/>
              </w:rPr>
            </w:pPr>
            <w:r>
              <w:rPr>
                <w:rFonts w:hint="eastAsia" w:ascii="宋体" w:hAnsi="宋体" w:eastAsia="宋体" w:cs="宋体"/>
                <w:b w:val="0"/>
                <w:i w:val="0"/>
                <w:color w:val="000000"/>
                <w:kern w:val="0"/>
                <w:sz w:val="24"/>
                <w:szCs w:val="24"/>
                <w:lang w:val="en-US" w:eastAsia="zh-CN" w:bidi="ar"/>
              </w:rPr>
              <w:t>塞尺测量，目视检查，现场触摸确认</w:t>
            </w:r>
          </w:p>
        </w:tc>
      </w:tr>
      <w:tr w14:paraId="666B5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5" w:type="dxa"/>
            <w:shd w:val="clear" w:color="auto" w:fill="FFFFFF"/>
            <w:vAlign w:val="center"/>
          </w:tcPr>
          <w:p w14:paraId="1C3EB2C8">
            <w:pPr>
              <w:keepNext/>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val="0"/>
                <w:i w:val="0"/>
                <w:color w:val="000000"/>
                <w:kern w:val="2"/>
                <w:sz w:val="24"/>
                <w:szCs w:val="24"/>
                <w:lang w:val="en-US" w:eastAsia="zh-CN" w:bidi="ar-SA"/>
              </w:rPr>
            </w:pPr>
            <w:r>
              <w:rPr>
                <w:rFonts w:hint="eastAsia" w:ascii="宋体" w:hAnsi="宋体" w:eastAsia="宋体" w:cs="宋体"/>
                <w:b w:val="0"/>
                <w:i w:val="0"/>
                <w:color w:val="000000"/>
                <w:kern w:val="0"/>
                <w:sz w:val="24"/>
                <w:szCs w:val="24"/>
                <w:lang w:val="en-US" w:eastAsia="zh-CN" w:bidi="ar"/>
              </w:rPr>
              <w:t>能效与节能</w:t>
            </w:r>
          </w:p>
        </w:tc>
        <w:tc>
          <w:tcPr>
            <w:tcW w:w="4927" w:type="dxa"/>
            <w:shd w:val="clear" w:color="auto" w:fill="FFFFFF"/>
            <w:vAlign w:val="center"/>
          </w:tcPr>
          <w:p w14:paraId="115FB659">
            <w:pPr>
              <w:keepNext/>
              <w:keepLines w:val="0"/>
              <w:widowControl/>
              <w:suppressLineNumbers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b w:val="0"/>
                <w:i w:val="0"/>
                <w:color w:val="000000"/>
                <w:kern w:val="2"/>
                <w:sz w:val="24"/>
                <w:szCs w:val="24"/>
                <w:lang w:val="en-US" w:eastAsia="zh-CN" w:bidi="ar-SA"/>
              </w:rPr>
            </w:pPr>
            <w:r>
              <w:rPr>
                <w:rFonts w:hint="eastAsia" w:ascii="宋体" w:hAnsi="宋体" w:eastAsia="宋体" w:cs="宋体"/>
                <w:b w:val="0"/>
                <w:i w:val="0"/>
                <w:color w:val="000000"/>
                <w:kern w:val="0"/>
                <w:sz w:val="24"/>
                <w:szCs w:val="24"/>
                <w:lang w:val="en-US" w:eastAsia="zh-CN" w:bidi="ar"/>
              </w:rPr>
              <w:t>峰值功耗：≤320W/㎡；平均功耗：≤110W/㎡</w:t>
            </w:r>
          </w:p>
        </w:tc>
        <w:tc>
          <w:tcPr>
            <w:tcW w:w="2079" w:type="dxa"/>
            <w:shd w:val="clear" w:color="auto" w:fill="FFFFFF"/>
            <w:vAlign w:val="center"/>
          </w:tcPr>
          <w:p w14:paraId="12C8F9C4">
            <w:pPr>
              <w:keepNext/>
              <w:keepLines w:val="0"/>
              <w:widowControl/>
              <w:suppressLineNumbers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b w:val="0"/>
                <w:i w:val="0"/>
                <w:color w:val="000000"/>
                <w:kern w:val="2"/>
                <w:sz w:val="24"/>
                <w:szCs w:val="24"/>
                <w:lang w:val="en-US" w:eastAsia="zh-CN" w:bidi="ar-SA"/>
              </w:rPr>
            </w:pPr>
            <w:r>
              <w:rPr>
                <w:rFonts w:hint="eastAsia" w:ascii="宋体" w:hAnsi="宋体" w:eastAsia="宋体" w:cs="宋体"/>
                <w:b w:val="0"/>
                <w:i w:val="0"/>
                <w:color w:val="000000"/>
                <w:kern w:val="0"/>
                <w:sz w:val="24"/>
                <w:szCs w:val="24"/>
                <w:lang w:val="en-US" w:eastAsia="zh-CN" w:bidi="ar"/>
              </w:rPr>
              <w:t>功率计现场测试，查阅能效检测报告</w:t>
            </w:r>
          </w:p>
        </w:tc>
      </w:tr>
    </w:tbl>
    <w:p w14:paraId="7641D2C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2.控制系统及配套设备验收标准</w:t>
      </w:r>
    </w:p>
    <w:p w14:paraId="20BF5DB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多媒体服务器：支持3840×2160@60Hz 3D视频播放，支持4台服务器拼接输出，设备热备份切换无黑屏、闪屏，平板/手机端控制功能正常。</w:t>
      </w:r>
    </w:p>
    <w:p w14:paraId="005E6D1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视频处理器：6路HDMI2.0输入、96网口输出、4路HDMI输出正，7英寸触摸屏显示及触摸操作正常，支持16个图层叠加漫游，4种画质模式切换正常。</w:t>
      </w:r>
    </w:p>
    <w:p w14:paraId="5D822D6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播放软件：支持屏体参数设置、远程控制配电柜、LED 灯珠点检、亮度校正、误码率检测功能，可升级接收卡/发送卡程序。</w:t>
      </w:r>
    </w:p>
    <w:p w14:paraId="1DAFF6F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辅助设备：75寸辅助显示屏4K显示正常，监听音响音质清晰无杂音，半球摄像机400万像素录像及人形检测正常，硬盘录像机存储及回放功能正常。</w:t>
      </w:r>
    </w:p>
    <w:p w14:paraId="1618F6A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3.移动侧屏舞台机械系统验收标准</w:t>
      </w:r>
    </w:p>
    <w:p w14:paraId="3CFAE48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机械装置：自行走传动正常，行程≥3m，速度0.05-0.5m/s 可调，定位精度±2mm，同步精度±3mm，运行噪音≤48dB(A)。</w:t>
      </w:r>
    </w:p>
    <w:p w14:paraId="071FA89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控制系统：触摸屏操作界面正常，点控、急停功能有效，侧屏左右移动平稳无卡顿、无异响。</w:t>
      </w:r>
    </w:p>
    <w:p w14:paraId="7AE4288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吊挂结构：安装牢固，符合9级抗震烈度要求，无松动、变形。</w:t>
      </w:r>
    </w:p>
    <w:p w14:paraId="14ADE7F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4.电动窗帘系统验收标准</w:t>
      </w:r>
    </w:p>
    <w:p w14:paraId="72D18B9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电机：额定扭矩1.2N.m，运行速度14cm/s，支持433射频、485、干触点控制，停电手拉、缓启缓停功能正常。</w:t>
      </w:r>
    </w:p>
    <w:p w14:paraId="1794322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轨道：镁铝合金材质，壁厚1.4mm，运行顺畅无卡顿，同步带传动无异响。</w:t>
      </w:r>
    </w:p>
    <w:p w14:paraId="5732F73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窗帘：遮光率100%，褶皱倍数≥2.0，颜色、样式与现场小样一致，防水、防紫外线、不缩水。</w:t>
      </w:r>
    </w:p>
    <w:p w14:paraId="322FE84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控制：墙面遥控器、手持式遥控器单控及群控功能正常，与中央控制系统对接正常。</w:t>
      </w:r>
    </w:p>
    <w:p w14:paraId="149D516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5.配电及布线系统验收标准</w:t>
      </w:r>
    </w:p>
    <w:p w14:paraId="68D8919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配电柜80KW PLC控制配电柜运行正常，三相五线制供电稳定，具备过压、欠压、短路保护功能。</w:t>
      </w:r>
    </w:p>
    <w:p w14:paraId="04CFAAB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布线：线缆规格符合招标文件要求，桥架、管材敷设规范，标识清晰，强弱电分离，无裸露线缆。</w:t>
      </w:r>
    </w:p>
    <w:p w14:paraId="1D2D24C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接地：系统接地电阻≤4Ω，电气设备绝缘性能符合GB 7000.1-2015要求。</w:t>
      </w:r>
    </w:p>
    <w:p w14:paraId="422A7ED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6.集成控制系统验收标准</w:t>
      </w:r>
    </w:p>
    <w:p w14:paraId="416CA83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实现大屏系统、电动窗帘、现有音响、灯光设备的一体化集中控制，平板远程控制功能正常。</w:t>
      </w:r>
    </w:p>
    <w:p w14:paraId="2E70AB9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支持灯光效果预设、设备状态实时显示、一键场景切换，操作界面简洁直观。</w:t>
      </w:r>
    </w:p>
    <w:p w14:paraId="0F82328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与原有中央控制主机无缝对接，无兼容性问题。</w:t>
      </w:r>
    </w:p>
    <w:p w14:paraId="5BD73D4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（三）试运行验收（连续试运行7个日历天）</w:t>
      </w:r>
    </w:p>
    <w:p w14:paraId="3F98DE9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安装调试验收合格后，系统进入7天连续试运行阶段，由采购人安排人员实际操作使用，中标人全程配合。</w:t>
      </w:r>
    </w:p>
    <w:p w14:paraId="42FFE43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试运行期间要求： </w:t>
      </w:r>
    </w:p>
    <w:p w14:paraId="35F949F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系统7×24小时连续稳定运行，无计划外宕机、崩溃。</w:t>
      </w:r>
    </w:p>
    <w:p w14:paraId="16AF111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累计故障停机时间≤8小时，无重大故障（指导致系统无法正常使用超过4小时的故障）。</w:t>
      </w:r>
    </w:p>
    <w:p w14:paraId="300FB9F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所有功能及性能指标保持稳定，无衰减。</w:t>
      </w:r>
    </w:p>
    <w:p w14:paraId="1301675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中标人须安排专人驻场保障，故障响应时间≤2小时，现场修复时间≤24小时。</w:t>
      </w:r>
    </w:p>
    <w:p w14:paraId="003EF37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试运行结束后，中标人提交《试运行报告》，详细记录试运行期间的运行数据、故障情况及处理结果。</w:t>
      </w:r>
    </w:p>
    <w:p w14:paraId="71E8712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（四）竣工验收（试运行合格后7个工作日内完成）</w:t>
      </w:r>
    </w:p>
    <w:p w14:paraId="5766E70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采购人组织验收小组，依据本标准对项目进行全面竣工验收。</w:t>
      </w:r>
    </w:p>
    <w:p w14:paraId="1EE707C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验收小组听取中标人项目实施汇报，查阅全套验收资料，对系统功能、性能进行抽样复测。</w:t>
      </w:r>
    </w:p>
    <w:p w14:paraId="211C03E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验收合格条件： </w:t>
      </w:r>
    </w:p>
    <w:p w14:paraId="15059F4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1.所有到货验收、安装调试验收项目全部合格。</w:t>
      </w:r>
    </w:p>
    <w:p w14:paraId="1F7A344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2.试运行期间运行稳定，满足上述试运行要求。</w:t>
      </w:r>
    </w:p>
    <w:p w14:paraId="3DF9179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3.全套验收资料齐全、规范，与实际系统一致。</w:t>
      </w:r>
    </w:p>
    <w:p w14:paraId="013523E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完成对采购人操作人员及管理员的培训，参训人员能独立操作及进行日常维护。</w:t>
      </w:r>
    </w:p>
    <w:p w14:paraId="2D15C1A2">
      <w:pPr>
        <w:rPr>
          <w:rFonts w:hint="eastAsia" w:ascii="宋体" w:hAnsi="宋体" w:eastAsia="宋体" w:cs="宋体"/>
          <w:sz w:val="24"/>
          <w:szCs w:val="24"/>
        </w:rPr>
      </w:pPr>
      <w:r>
        <w:rPr>
          <w:rFonts w:hint="eastAsia" w:ascii="黑体" w:hAnsi="黑体" w:eastAsia="黑体" w:cs="黑体"/>
          <w:sz w:val="24"/>
          <w:szCs w:val="24"/>
        </w:rPr>
        <w:t>四、验收资料要求</w:t>
      </w:r>
    </w:p>
    <w:p w14:paraId="118BE89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中标人须在最终竣工验收前提交以下纸质版（加盖公章）及电子版（U盘存储）资料各2套：</w:t>
      </w:r>
    </w:p>
    <w:p w14:paraId="50ED3C0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1.项目验收申请函</w:t>
      </w:r>
    </w:p>
    <w:p w14:paraId="70603AA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2.到货验收单及开箱检验记录</w:t>
      </w:r>
    </w:p>
    <w:p w14:paraId="57816F3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3.产品合格证、3C 认证证书、节能产品认证证书、第三方检测报告全套</w:t>
      </w:r>
    </w:p>
    <w:p w14:paraId="29F8705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4.LED屏原厂生产承诺函</w:t>
      </w:r>
    </w:p>
    <w:p w14:paraId="6A97528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5.安装调试记录、系统测试报告</w:t>
      </w:r>
    </w:p>
    <w:p w14:paraId="6CABC75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6.试运行报告及故障处理记录</w:t>
      </w:r>
    </w:p>
    <w:p w14:paraId="7BC93D9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7.技术文档： </w:t>
      </w:r>
    </w:p>
    <w:p w14:paraId="28FC35E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①用户操作手册、管理员维护手册</w:t>
      </w:r>
    </w:p>
    <w:p w14:paraId="2D595AD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②系统安装部署手册、数据库备份手册</w:t>
      </w:r>
    </w:p>
    <w:p w14:paraId="4433814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③接口文档、设备接线图、系统拓扑图</w:t>
      </w:r>
    </w:p>
    <w:p w14:paraId="15CCD6D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④培训资料及培训签到表、培训考核记录</w:t>
      </w:r>
    </w:p>
    <w:p w14:paraId="458F816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⑤售后服务承诺书、质保承诺书</w:t>
      </w:r>
    </w:p>
    <w:p w14:paraId="366A39A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⑥中标通知书、政府采购合同复印件</w:t>
      </w:r>
    </w:p>
    <w:p w14:paraId="4FAAF09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⑦其他需要提交的资料</w:t>
      </w:r>
    </w:p>
    <w:p w14:paraId="481CB9EF">
      <w:pPr>
        <w:rPr>
          <w:rFonts w:hint="eastAsia" w:ascii="宋体" w:hAnsi="宋体" w:eastAsia="宋体" w:cs="宋体"/>
          <w:sz w:val="24"/>
          <w:szCs w:val="24"/>
        </w:rPr>
      </w:pPr>
      <w:r>
        <w:rPr>
          <w:rFonts w:hint="eastAsia" w:ascii="黑体" w:hAnsi="黑体" w:eastAsia="黑体" w:cs="黑体"/>
          <w:sz w:val="24"/>
          <w:szCs w:val="24"/>
        </w:rPr>
        <w:t>五、验收结论与争议处理</w:t>
      </w:r>
    </w:p>
    <w:p w14:paraId="66A5C89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验收小组根据验收情况出具《项目验收意见书》，结论分为验收合格、限期整改后验收、验收不合格三种。</w:t>
      </w:r>
    </w:p>
    <w:p w14:paraId="6BB885A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验收合格：所有验收项目符合要求，验收小组签字确认，项目进入质保期。</w:t>
      </w:r>
    </w:p>
    <w:p w14:paraId="7CDA186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限期整改后验收：存在一般缺陷但不影响系统正常使用的，中标人须在15个日历天内完成整改，整改完成后重新申请验收。</w:t>
      </w:r>
    </w:p>
    <w:p w14:paraId="21D9624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验收不合格：存在重大质量问题、关键技术参数不达标或整改后仍不符合要求的，视为验收不合格，采购人有权解除合同，并追究中标人的违约责任。</w:t>
      </w:r>
    </w:p>
    <w:p w14:paraId="70A3254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验收过程中发生争议的，由双方协商解决；协商不成的，可向项目所在地政府采购监督管理部门申请调解，或依法向项目所在地人民法院提起诉讼。</w:t>
      </w:r>
    </w:p>
    <w:p w14:paraId="71E8EE4F">
      <w:pPr>
        <w:rPr>
          <w:rFonts w:hint="eastAsia" w:ascii="黑体" w:hAnsi="黑体" w:eastAsia="黑体" w:cs="黑体"/>
          <w:sz w:val="24"/>
          <w:szCs w:val="24"/>
        </w:rPr>
      </w:pPr>
      <w:r>
        <w:rPr>
          <w:rFonts w:hint="eastAsia" w:ascii="黑体" w:hAnsi="黑体" w:eastAsia="黑体" w:cs="黑体"/>
          <w:sz w:val="24"/>
          <w:szCs w:val="24"/>
        </w:rPr>
        <w:t>六、特殊条款</w:t>
      </w:r>
    </w:p>
    <w:p w14:paraId="73A149E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本项目免费质保期自最终验收合格之日起计算，质保期内中标人须提供7×24小时技术支持，故障响应时间≤24小时。</w:t>
      </w:r>
    </w:p>
    <w:p w14:paraId="0FC92D6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中标人须提供8年免费会议保障服务，根据采购人要求提前派驻人员到场进行设备调试及全程保障，保障次数及人员要求按采购人实际需求执行。</w:t>
      </w:r>
    </w:p>
    <w:p w14:paraId="6022B73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软件系统终身免费升级，中标人须及时提供新版本升级服务，确保系统功能持续完善。</w:t>
      </w:r>
    </w:p>
    <w:p w14:paraId="4FE6A386">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sz w:val="24"/>
          <w:szCs w:val="24"/>
          <w:lang w:val="en-US" w:eastAsia="zh-CN"/>
        </w:rPr>
      </w:pPr>
      <w:r>
        <w:rPr>
          <w:rFonts w:hint="eastAsia" w:ascii="宋体" w:hAnsi="宋体" w:eastAsia="宋体" w:cs="宋体"/>
          <w:sz w:val="24"/>
          <w:szCs w:val="24"/>
          <w:lang w:val="en-US" w:eastAsia="zh-CN"/>
        </w:rPr>
        <w:t>本验收标准未尽事宜，按照招标文件、投标文件及国家相关标准执行</w:t>
      </w:r>
      <w:r>
        <w:rPr>
          <w:rFonts w:hint="eastAsia" w:ascii="仿宋_GB2312" w:hAnsi="仿宋_GB2312" w:eastAsia="仿宋_GB2312" w:cs="仿宋_GB2312"/>
          <w:sz w:val="24"/>
          <w:szCs w:val="24"/>
          <w:lang w:val="en-US" w:eastAsia="zh-CN"/>
        </w:rPr>
        <w:t>。</w:t>
      </w:r>
    </w:p>
    <w:p w14:paraId="03B0E4D0"/>
    <w:p w14:paraId="62B12219">
      <w:pPr>
        <w:rPr>
          <w:rFonts w:hint="eastAsia" w:asciiTheme="minorEastAsia" w:hAnsiTheme="minorEastAsia" w:eastAsiaTheme="minorEastAsia"/>
          <w:b/>
          <w:color w:val="auto"/>
          <w:sz w:val="28"/>
          <w:highlight w:val="none"/>
        </w:rPr>
      </w:pPr>
    </w:p>
    <w:p w14:paraId="682D4B74">
      <w:pPr>
        <w:keepNext w:val="0"/>
        <w:keepLines w:val="0"/>
        <w:pageBreakBefore/>
        <w:widowControl w:val="0"/>
        <w:kinsoku/>
        <w:wordWrap/>
        <w:overflowPunct/>
        <w:topLinePunct w:val="0"/>
        <w:autoSpaceDE/>
        <w:autoSpaceDN/>
        <w:bidi w:val="0"/>
        <w:adjustRightInd/>
        <w:snapToGrid/>
        <w:spacing w:line="360" w:lineRule="auto"/>
        <w:jc w:val="center"/>
        <w:textAlignment w:val="auto"/>
        <w:outlineLvl w:val="0"/>
        <w:rPr>
          <w:rFonts w:asciiTheme="minorEastAsia" w:hAnsiTheme="minorEastAsia" w:eastAsiaTheme="minorEastAsia"/>
          <w:b/>
          <w:color w:val="auto"/>
          <w:sz w:val="28"/>
          <w:highlight w:val="none"/>
        </w:rPr>
      </w:pPr>
      <w:bookmarkStart w:id="52" w:name="_Toc22711"/>
      <w:r>
        <w:rPr>
          <w:rFonts w:hint="eastAsia" w:asciiTheme="minorEastAsia" w:hAnsiTheme="minorEastAsia" w:eastAsiaTheme="minorEastAsia"/>
          <w:b/>
          <w:color w:val="auto"/>
          <w:sz w:val="28"/>
          <w:highlight w:val="none"/>
        </w:rPr>
        <w:t>第六章  投标文件格式</w:t>
      </w:r>
      <w:bookmarkEnd w:id="52"/>
    </w:p>
    <w:p w14:paraId="597E24F1">
      <w:pPr>
        <w:spacing w:line="900" w:lineRule="exact"/>
        <w:jc w:val="center"/>
        <w:rPr>
          <w:rFonts w:asciiTheme="minorEastAsia" w:hAnsiTheme="minorEastAsia" w:eastAsiaTheme="minorEastAsia"/>
          <w:b/>
          <w:color w:val="auto"/>
          <w:sz w:val="72"/>
          <w:highlight w:val="none"/>
        </w:rPr>
      </w:pPr>
    </w:p>
    <w:p w14:paraId="5F1B657B">
      <w:pPr>
        <w:spacing w:line="900" w:lineRule="exact"/>
        <w:jc w:val="center"/>
        <w:outlineLvl w:val="1"/>
        <w:rPr>
          <w:rFonts w:asciiTheme="minorEastAsia" w:hAnsiTheme="minorEastAsia" w:eastAsiaTheme="minorEastAsia"/>
          <w:b/>
          <w:color w:val="auto"/>
          <w:sz w:val="72"/>
          <w:highlight w:val="none"/>
        </w:rPr>
      </w:pPr>
      <w:bookmarkStart w:id="53" w:name="_Toc651"/>
      <w:bookmarkStart w:id="54" w:name="_Toc11140"/>
      <w:r>
        <w:rPr>
          <w:rFonts w:hint="eastAsia" w:asciiTheme="minorEastAsia" w:hAnsiTheme="minorEastAsia" w:eastAsiaTheme="minorEastAsia"/>
          <w:b/>
          <w:color w:val="auto"/>
          <w:sz w:val="72"/>
          <w:highlight w:val="none"/>
        </w:rPr>
        <w:t>投</w:t>
      </w:r>
      <w:bookmarkEnd w:id="53"/>
      <w:bookmarkEnd w:id="54"/>
    </w:p>
    <w:p w14:paraId="151E7C31">
      <w:pPr>
        <w:spacing w:line="900" w:lineRule="exact"/>
        <w:jc w:val="center"/>
        <w:rPr>
          <w:rFonts w:asciiTheme="minorEastAsia" w:hAnsiTheme="minorEastAsia" w:eastAsiaTheme="minorEastAsia"/>
          <w:b/>
          <w:color w:val="auto"/>
          <w:sz w:val="72"/>
          <w:highlight w:val="none"/>
        </w:rPr>
      </w:pPr>
    </w:p>
    <w:p w14:paraId="2562A624">
      <w:pPr>
        <w:spacing w:line="900" w:lineRule="exact"/>
        <w:jc w:val="center"/>
        <w:outlineLvl w:val="1"/>
        <w:rPr>
          <w:rFonts w:asciiTheme="minorEastAsia" w:hAnsiTheme="minorEastAsia" w:eastAsiaTheme="minorEastAsia"/>
          <w:b/>
          <w:color w:val="auto"/>
          <w:sz w:val="72"/>
          <w:highlight w:val="none"/>
        </w:rPr>
      </w:pPr>
      <w:bookmarkStart w:id="55" w:name="_Toc6275"/>
      <w:bookmarkStart w:id="56" w:name="_Toc6148"/>
      <w:r>
        <w:rPr>
          <w:rFonts w:hint="eastAsia" w:asciiTheme="minorEastAsia" w:hAnsiTheme="minorEastAsia" w:eastAsiaTheme="minorEastAsia"/>
          <w:b/>
          <w:color w:val="auto"/>
          <w:sz w:val="72"/>
          <w:highlight w:val="none"/>
        </w:rPr>
        <w:t>标</w:t>
      </w:r>
      <w:bookmarkEnd w:id="55"/>
      <w:bookmarkEnd w:id="56"/>
    </w:p>
    <w:p w14:paraId="194745C5">
      <w:pPr>
        <w:spacing w:line="900" w:lineRule="exact"/>
        <w:jc w:val="center"/>
        <w:rPr>
          <w:rFonts w:asciiTheme="minorEastAsia" w:hAnsiTheme="minorEastAsia" w:eastAsiaTheme="minorEastAsia"/>
          <w:b/>
          <w:color w:val="auto"/>
          <w:sz w:val="72"/>
          <w:highlight w:val="none"/>
        </w:rPr>
      </w:pPr>
    </w:p>
    <w:p w14:paraId="41E80372">
      <w:pPr>
        <w:spacing w:line="900" w:lineRule="exact"/>
        <w:jc w:val="center"/>
        <w:outlineLvl w:val="1"/>
        <w:rPr>
          <w:rFonts w:asciiTheme="minorEastAsia" w:hAnsiTheme="minorEastAsia" w:eastAsiaTheme="minorEastAsia"/>
          <w:b/>
          <w:color w:val="auto"/>
          <w:sz w:val="72"/>
          <w:highlight w:val="none"/>
        </w:rPr>
      </w:pPr>
      <w:bookmarkStart w:id="57" w:name="_Toc1338"/>
      <w:bookmarkStart w:id="58" w:name="_Toc6016"/>
      <w:r>
        <w:rPr>
          <w:rFonts w:hint="eastAsia" w:asciiTheme="minorEastAsia" w:hAnsiTheme="minorEastAsia" w:eastAsiaTheme="minorEastAsia"/>
          <w:b/>
          <w:color w:val="auto"/>
          <w:sz w:val="72"/>
          <w:highlight w:val="none"/>
        </w:rPr>
        <w:t>文</w:t>
      </w:r>
      <w:bookmarkEnd w:id="57"/>
      <w:bookmarkEnd w:id="58"/>
    </w:p>
    <w:p w14:paraId="25463D15">
      <w:pPr>
        <w:spacing w:line="900" w:lineRule="exact"/>
        <w:jc w:val="center"/>
        <w:rPr>
          <w:rFonts w:asciiTheme="minorEastAsia" w:hAnsiTheme="minorEastAsia" w:eastAsiaTheme="minorEastAsia"/>
          <w:b/>
          <w:color w:val="auto"/>
          <w:sz w:val="72"/>
          <w:highlight w:val="none"/>
        </w:rPr>
      </w:pPr>
    </w:p>
    <w:p w14:paraId="10FE9B54">
      <w:pPr>
        <w:jc w:val="center"/>
        <w:outlineLvl w:val="1"/>
        <w:rPr>
          <w:rFonts w:asciiTheme="minorEastAsia" w:hAnsiTheme="minorEastAsia" w:eastAsiaTheme="minorEastAsia"/>
          <w:b/>
          <w:color w:val="auto"/>
          <w:sz w:val="72"/>
          <w:highlight w:val="none"/>
        </w:rPr>
      </w:pPr>
      <w:bookmarkStart w:id="59" w:name="_Toc9743"/>
      <w:bookmarkStart w:id="60" w:name="_Toc10796"/>
      <w:r>
        <w:rPr>
          <w:rFonts w:hint="eastAsia" w:asciiTheme="minorEastAsia" w:hAnsiTheme="minorEastAsia" w:eastAsiaTheme="minorEastAsia"/>
          <w:b/>
          <w:color w:val="auto"/>
          <w:sz w:val="72"/>
          <w:highlight w:val="none"/>
        </w:rPr>
        <w:t>件</w:t>
      </w:r>
      <w:bookmarkEnd w:id="59"/>
      <w:bookmarkEnd w:id="60"/>
    </w:p>
    <w:p w14:paraId="100863D2">
      <w:pPr>
        <w:spacing w:after="156" w:afterLines="50"/>
        <w:jc w:val="center"/>
        <w:rPr>
          <w:rFonts w:asciiTheme="minorEastAsia" w:hAnsiTheme="minorEastAsia" w:eastAsiaTheme="minorEastAsia"/>
          <w:b/>
          <w:color w:val="auto"/>
          <w:sz w:val="72"/>
          <w:highlight w:val="none"/>
        </w:rPr>
      </w:pPr>
    </w:p>
    <w:p w14:paraId="7543BA23">
      <w:pPr>
        <w:spacing w:before="156" w:beforeLines="50" w:after="156" w:afterLines="50"/>
        <w:jc w:val="center"/>
        <w:outlineLvl w:val="9"/>
        <w:rPr>
          <w:rFonts w:asciiTheme="minorEastAsia" w:hAnsiTheme="minorEastAsia" w:eastAsiaTheme="minorEastAsia"/>
          <w:b/>
          <w:color w:val="auto"/>
          <w:sz w:val="32"/>
          <w:szCs w:val="32"/>
          <w:highlight w:val="none"/>
        </w:rPr>
      </w:pPr>
    </w:p>
    <w:p w14:paraId="36F96B57">
      <w:pPr>
        <w:spacing w:after="156" w:afterLines="50" w:line="500" w:lineRule="exact"/>
        <w:jc w:val="center"/>
        <w:rPr>
          <w:rFonts w:asciiTheme="minorEastAsia" w:hAnsiTheme="minorEastAsia" w:eastAsiaTheme="minorEastAsia"/>
          <w:b/>
          <w:color w:val="auto"/>
          <w:sz w:val="28"/>
          <w:szCs w:val="28"/>
          <w:highlight w:val="none"/>
        </w:rPr>
      </w:pPr>
    </w:p>
    <w:p w14:paraId="52203803">
      <w:pPr>
        <w:tabs>
          <w:tab w:val="left" w:pos="2410"/>
        </w:tabs>
        <w:autoSpaceDE w:val="0"/>
        <w:autoSpaceDN w:val="0"/>
        <w:adjustRightInd w:val="0"/>
        <w:snapToGrid w:val="0"/>
        <w:spacing w:line="360" w:lineRule="auto"/>
        <w:ind w:firstLine="643" w:firstLineChars="200"/>
        <w:jc w:val="both"/>
        <w:outlineLvl w:val="9"/>
        <w:rPr>
          <w:rFonts w:hint="default" w:ascii="宋体" w:hAnsi="宋体" w:eastAsia="宋体"/>
          <w:b/>
          <w:color w:val="auto"/>
          <w:spacing w:val="20"/>
          <w:kern w:val="0"/>
          <w:sz w:val="32"/>
          <w:szCs w:val="32"/>
          <w:highlight w:val="none"/>
          <w:lang w:val="en-US" w:eastAsia="zh-CN"/>
        </w:rPr>
      </w:pPr>
      <w:r>
        <w:rPr>
          <w:rFonts w:hint="eastAsia" w:asciiTheme="minorEastAsia" w:hAnsiTheme="minorEastAsia" w:eastAsiaTheme="minorEastAsia"/>
          <w:b/>
          <w:color w:val="auto"/>
          <w:sz w:val="32"/>
          <w:highlight w:val="none"/>
        </w:rPr>
        <w:t>项目名称：</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p>
    <w:p w14:paraId="3B035378">
      <w:pPr>
        <w:tabs>
          <w:tab w:val="left" w:pos="2410"/>
        </w:tabs>
        <w:autoSpaceDE w:val="0"/>
        <w:autoSpaceDN w:val="0"/>
        <w:adjustRightInd w:val="0"/>
        <w:snapToGrid w:val="0"/>
        <w:spacing w:line="360" w:lineRule="auto"/>
        <w:ind w:firstLine="643" w:firstLineChars="200"/>
        <w:jc w:val="both"/>
        <w:outlineLvl w:val="9"/>
        <w:rPr>
          <w:rFonts w:hint="eastAsia" w:asciiTheme="minorEastAsia" w:hAnsiTheme="minorEastAsia" w:eastAsiaTheme="minorEastAsia"/>
          <w:b/>
          <w:color w:val="auto"/>
          <w:sz w:val="32"/>
          <w:highlight w:val="none"/>
          <w:u w:val="single"/>
        </w:rPr>
      </w:pPr>
      <w:r>
        <w:rPr>
          <w:rFonts w:hint="eastAsia" w:asciiTheme="minorEastAsia" w:hAnsiTheme="minorEastAsia" w:eastAsiaTheme="minorEastAsia"/>
          <w:b/>
          <w:color w:val="auto"/>
          <w:sz w:val="32"/>
          <w:highlight w:val="none"/>
        </w:rPr>
        <w:t>项目编号：</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p>
    <w:p w14:paraId="1E81238D">
      <w:pPr>
        <w:tabs>
          <w:tab w:val="left" w:pos="2410"/>
        </w:tabs>
        <w:autoSpaceDE w:val="0"/>
        <w:autoSpaceDN w:val="0"/>
        <w:adjustRightInd w:val="0"/>
        <w:snapToGrid w:val="0"/>
        <w:spacing w:line="360" w:lineRule="auto"/>
        <w:ind w:firstLine="643" w:firstLineChars="200"/>
        <w:jc w:val="both"/>
        <w:outlineLvl w:val="9"/>
        <w:rPr>
          <w:rFonts w:asciiTheme="minorEastAsia" w:hAnsiTheme="minorEastAsia" w:eastAsiaTheme="minorEastAsia"/>
          <w:b/>
          <w:color w:val="auto"/>
          <w:sz w:val="32"/>
          <w:highlight w:val="none"/>
          <w:u w:val="single"/>
        </w:rPr>
      </w:pPr>
      <w:r>
        <w:rPr>
          <w:rFonts w:hint="eastAsia" w:asciiTheme="minorEastAsia" w:hAnsiTheme="minorEastAsia" w:eastAsiaTheme="minorEastAsia"/>
          <w:b/>
          <w:color w:val="auto"/>
          <w:sz w:val="32"/>
          <w:highlight w:val="none"/>
          <w:lang w:val="en-US" w:eastAsia="zh-CN"/>
        </w:rPr>
        <w:t xml:space="preserve">投 </w:t>
      </w:r>
      <w:r>
        <w:rPr>
          <w:rFonts w:hint="eastAsia" w:asciiTheme="minorEastAsia" w:hAnsiTheme="minorEastAsia" w:eastAsiaTheme="minorEastAsia"/>
          <w:b/>
          <w:color w:val="auto"/>
          <w:sz w:val="32"/>
          <w:highlight w:val="none"/>
        </w:rPr>
        <w:t>标</w:t>
      </w:r>
      <w:r>
        <w:rPr>
          <w:rFonts w:hint="eastAsia" w:asciiTheme="minorEastAsia" w:hAnsiTheme="minorEastAsia" w:eastAsiaTheme="minorEastAsia"/>
          <w:b/>
          <w:color w:val="auto"/>
          <w:sz w:val="32"/>
          <w:highlight w:val="none"/>
          <w:lang w:val="en-US" w:eastAsia="zh-CN"/>
        </w:rPr>
        <w:t xml:space="preserve"> </w:t>
      </w:r>
      <w:r>
        <w:rPr>
          <w:rFonts w:hint="eastAsia" w:asciiTheme="minorEastAsia" w:hAnsiTheme="minorEastAsia" w:eastAsiaTheme="minorEastAsia"/>
          <w:b/>
          <w:color w:val="auto"/>
          <w:sz w:val="32"/>
          <w:highlight w:val="none"/>
        </w:rPr>
        <w:t>人：</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p>
    <w:p w14:paraId="7A1AA654">
      <w:pPr>
        <w:spacing w:after="156" w:afterLines="50" w:line="500" w:lineRule="exact"/>
        <w:jc w:val="center"/>
        <w:outlineLvl w:val="1"/>
        <w:rPr>
          <w:rFonts w:asciiTheme="minorEastAsia" w:hAnsiTheme="minorEastAsia" w:eastAsiaTheme="minorEastAsia"/>
          <w:b/>
          <w:color w:val="auto"/>
          <w:sz w:val="32"/>
          <w:highlight w:val="none"/>
        </w:rPr>
      </w:pPr>
      <w:r>
        <w:rPr>
          <w:rFonts w:hint="eastAsia" w:asciiTheme="minorEastAsia" w:hAnsiTheme="minorEastAsia" w:eastAsiaTheme="minorEastAsia"/>
          <w:b/>
          <w:color w:val="auto"/>
          <w:sz w:val="32"/>
          <w:highlight w:val="none"/>
          <w:u w:val="single"/>
        </w:rPr>
        <w:t xml:space="preserve">  </w:t>
      </w:r>
      <w:bookmarkStart w:id="61" w:name="_Toc32639"/>
      <w:bookmarkStart w:id="62" w:name="_Toc9994"/>
      <w:bookmarkStart w:id="63" w:name="_Toc8037"/>
      <w:r>
        <w:rPr>
          <w:rFonts w:hint="eastAsia" w:asciiTheme="minorEastAsia" w:hAnsiTheme="minorEastAsia" w:eastAsiaTheme="minorEastAsia"/>
          <w:b/>
          <w:color w:val="auto"/>
          <w:sz w:val="32"/>
          <w:highlight w:val="none"/>
        </w:rPr>
        <w:t>年</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rPr>
        <w:t>月</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rPr>
        <w:t>日</w:t>
      </w:r>
      <w:bookmarkEnd w:id="61"/>
      <w:bookmarkEnd w:id="62"/>
      <w:bookmarkEnd w:id="63"/>
    </w:p>
    <w:p w14:paraId="79FBBE57">
      <w:pPr>
        <w:widowControl/>
        <w:jc w:val="left"/>
        <w:rPr>
          <w:rFonts w:asciiTheme="minorEastAsia" w:hAnsiTheme="minorEastAsia" w:eastAsiaTheme="minorEastAsia"/>
          <w:b/>
          <w:color w:val="auto"/>
          <w:sz w:val="28"/>
          <w:highlight w:val="none"/>
        </w:rPr>
      </w:pPr>
      <w:r>
        <w:rPr>
          <w:rFonts w:asciiTheme="minorEastAsia" w:hAnsiTheme="minorEastAsia" w:eastAsiaTheme="minorEastAsia"/>
          <w:b/>
          <w:color w:val="auto"/>
          <w:sz w:val="28"/>
          <w:highlight w:val="none"/>
        </w:rPr>
        <w:br w:type="page"/>
      </w:r>
    </w:p>
    <w:p w14:paraId="215D400B">
      <w:pPr>
        <w:keepNext w:val="0"/>
        <w:keepLines w:val="0"/>
        <w:widowControl w:val="0"/>
        <w:suppressLineNumbers w:val="0"/>
        <w:spacing w:before="0" w:beforeAutospacing="0" w:after="0" w:afterAutospacing="0"/>
        <w:ind w:left="0" w:right="0"/>
        <w:jc w:val="both"/>
        <w:rPr>
          <w:rFonts w:hint="eastAsia" w:ascii="宋体" w:hAnsi="宋体" w:eastAsia="宋体" w:cs="宋体"/>
          <w:b/>
          <w:bCs w:val="0"/>
          <w:color w:val="auto"/>
          <w:kern w:val="2"/>
          <w:sz w:val="28"/>
          <w:szCs w:val="28"/>
          <w:highlight w:val="none"/>
        </w:rPr>
      </w:pPr>
      <w:bookmarkStart w:id="64" w:name="_Toc5555"/>
      <w:bookmarkStart w:id="65" w:name="_Toc28960"/>
      <w:r>
        <w:rPr>
          <w:rFonts w:hint="eastAsia" w:ascii="宋体" w:hAnsi="宋体" w:eastAsia="宋体" w:cs="宋体"/>
          <w:b/>
          <w:bCs w:val="0"/>
          <w:color w:val="auto"/>
          <w:kern w:val="2"/>
          <w:sz w:val="28"/>
          <w:szCs w:val="28"/>
          <w:highlight w:val="none"/>
          <w:lang w:val="en-US" w:eastAsia="zh-CN" w:bidi="ar"/>
        </w:rPr>
        <w:t>一、资信证明格式文件</w:t>
      </w:r>
    </w:p>
    <w:p w14:paraId="6E693C94">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auto"/>
          <w:kern w:val="2"/>
          <w:sz w:val="44"/>
          <w:szCs w:val="44"/>
          <w:highlight w:val="none"/>
        </w:rPr>
      </w:pPr>
      <w:r>
        <w:rPr>
          <w:rFonts w:hint="eastAsia" w:ascii="宋体" w:hAnsi="宋体" w:eastAsia="宋体" w:cs="宋体"/>
          <w:b/>
          <w:bCs w:val="0"/>
          <w:color w:val="auto"/>
          <w:kern w:val="2"/>
          <w:sz w:val="44"/>
          <w:szCs w:val="44"/>
          <w:highlight w:val="none"/>
          <w:lang w:val="en-US" w:eastAsia="zh-CN" w:bidi="ar"/>
        </w:rPr>
        <w:t xml:space="preserve"> </w:t>
      </w:r>
    </w:p>
    <w:p w14:paraId="1D11EA15">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auto"/>
          <w:kern w:val="2"/>
          <w:sz w:val="44"/>
          <w:szCs w:val="44"/>
          <w:highlight w:val="none"/>
        </w:rPr>
      </w:pPr>
      <w:r>
        <w:rPr>
          <w:rFonts w:hint="eastAsia" w:ascii="宋体" w:hAnsi="宋体" w:eastAsia="宋体" w:cs="宋体"/>
          <w:b/>
          <w:bCs w:val="0"/>
          <w:color w:val="auto"/>
          <w:kern w:val="2"/>
          <w:sz w:val="44"/>
          <w:szCs w:val="44"/>
          <w:highlight w:val="none"/>
          <w:lang w:val="en-US" w:eastAsia="zh-CN" w:bidi="ar"/>
        </w:rPr>
        <w:t xml:space="preserve"> </w:t>
      </w:r>
    </w:p>
    <w:p w14:paraId="69C88FDC">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auto"/>
          <w:kern w:val="2"/>
          <w:sz w:val="44"/>
          <w:szCs w:val="44"/>
          <w:highlight w:val="none"/>
        </w:rPr>
      </w:pPr>
      <w:r>
        <w:rPr>
          <w:rFonts w:hint="eastAsia" w:ascii="宋体" w:hAnsi="宋体" w:eastAsia="宋体" w:cs="宋体"/>
          <w:b/>
          <w:bCs w:val="0"/>
          <w:color w:val="auto"/>
          <w:kern w:val="2"/>
          <w:sz w:val="44"/>
          <w:szCs w:val="44"/>
          <w:highlight w:val="none"/>
          <w:lang w:val="en-US" w:eastAsia="zh-CN" w:bidi="ar"/>
        </w:rPr>
        <w:t xml:space="preserve"> </w:t>
      </w:r>
    </w:p>
    <w:p w14:paraId="0313B5CC">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auto"/>
          <w:kern w:val="2"/>
          <w:sz w:val="44"/>
          <w:szCs w:val="44"/>
          <w:highlight w:val="none"/>
        </w:rPr>
      </w:pPr>
      <w:r>
        <w:rPr>
          <w:rFonts w:hint="eastAsia" w:ascii="宋体" w:hAnsi="宋体" w:eastAsia="宋体" w:cs="宋体"/>
          <w:b/>
          <w:bCs w:val="0"/>
          <w:color w:val="auto"/>
          <w:kern w:val="2"/>
          <w:sz w:val="44"/>
          <w:szCs w:val="44"/>
          <w:highlight w:val="none"/>
          <w:lang w:val="en-US" w:eastAsia="zh-CN" w:bidi="ar"/>
        </w:rPr>
        <w:t>资信证明文件</w:t>
      </w:r>
    </w:p>
    <w:p w14:paraId="0A8EF7D3">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32"/>
          <w:szCs w:val="32"/>
          <w:highlight w:val="none"/>
        </w:rPr>
      </w:pPr>
      <w:r>
        <w:rPr>
          <w:rFonts w:hint="eastAsia" w:ascii="宋体" w:hAnsi="宋体" w:eastAsia="宋体" w:cs="宋体"/>
          <w:color w:val="auto"/>
          <w:kern w:val="2"/>
          <w:sz w:val="32"/>
          <w:szCs w:val="32"/>
          <w:highlight w:val="none"/>
          <w:lang w:val="en-US" w:eastAsia="zh-CN" w:bidi="ar"/>
        </w:rPr>
        <w:t xml:space="preserve"> </w:t>
      </w:r>
    </w:p>
    <w:p w14:paraId="04169E3B">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32"/>
          <w:szCs w:val="32"/>
          <w:highlight w:val="none"/>
        </w:rPr>
      </w:pPr>
      <w:r>
        <w:rPr>
          <w:rFonts w:hint="eastAsia" w:ascii="宋体" w:hAnsi="宋体" w:eastAsia="宋体" w:cs="宋体"/>
          <w:color w:val="auto"/>
          <w:kern w:val="2"/>
          <w:sz w:val="32"/>
          <w:szCs w:val="32"/>
          <w:highlight w:val="none"/>
          <w:lang w:val="en-US" w:eastAsia="zh-CN" w:bidi="ar"/>
        </w:rPr>
        <w:t>（投标文件一）</w:t>
      </w:r>
    </w:p>
    <w:p w14:paraId="714E3FBE">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44"/>
          <w:szCs w:val="44"/>
          <w:highlight w:val="none"/>
        </w:rPr>
      </w:pPr>
      <w:r>
        <w:rPr>
          <w:rFonts w:hint="eastAsia" w:ascii="宋体" w:hAnsi="宋体" w:eastAsia="宋体" w:cs="宋体"/>
          <w:color w:val="auto"/>
          <w:kern w:val="2"/>
          <w:sz w:val="44"/>
          <w:szCs w:val="44"/>
          <w:highlight w:val="none"/>
          <w:lang w:val="en-US" w:eastAsia="zh-CN" w:bidi="ar"/>
        </w:rPr>
        <w:t xml:space="preserve"> </w:t>
      </w:r>
    </w:p>
    <w:p w14:paraId="3B33E00F">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32"/>
          <w:szCs w:val="32"/>
          <w:highlight w:val="none"/>
        </w:rPr>
      </w:pPr>
      <w:r>
        <w:rPr>
          <w:rFonts w:hint="eastAsia" w:ascii="宋体" w:hAnsi="宋体" w:eastAsia="宋体" w:cs="宋体"/>
          <w:color w:val="auto"/>
          <w:kern w:val="2"/>
          <w:sz w:val="32"/>
          <w:szCs w:val="32"/>
          <w:highlight w:val="none"/>
          <w:u w:val="single"/>
          <w:lang w:val="en-US" w:eastAsia="zh-CN" w:bidi="ar"/>
        </w:rPr>
        <w:t xml:space="preserve">        </w:t>
      </w:r>
      <w:r>
        <w:rPr>
          <w:rFonts w:hint="eastAsia" w:ascii="宋体" w:hAnsi="宋体" w:eastAsia="宋体" w:cs="宋体"/>
          <w:color w:val="auto"/>
          <w:kern w:val="2"/>
          <w:sz w:val="32"/>
          <w:szCs w:val="32"/>
          <w:highlight w:val="none"/>
          <w:lang w:val="en-US" w:eastAsia="zh-CN" w:bidi="ar"/>
        </w:rPr>
        <w:t>项目</w:t>
      </w:r>
    </w:p>
    <w:p w14:paraId="2AC61F93">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lang w:val="en-US" w:eastAsia="zh-CN" w:bidi="ar"/>
        </w:rPr>
        <w:t xml:space="preserve"> </w:t>
      </w:r>
    </w:p>
    <w:p w14:paraId="3C005D5F">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44"/>
          <w:szCs w:val="44"/>
          <w:highlight w:val="none"/>
        </w:rPr>
      </w:pPr>
      <w:r>
        <w:rPr>
          <w:rFonts w:hint="eastAsia" w:ascii="宋体" w:hAnsi="宋体" w:eastAsia="宋体" w:cs="宋体"/>
          <w:color w:val="auto"/>
          <w:kern w:val="2"/>
          <w:sz w:val="28"/>
          <w:szCs w:val="28"/>
          <w:highlight w:val="none"/>
          <w:lang w:val="en-US" w:eastAsia="zh-CN" w:bidi="ar"/>
        </w:rPr>
        <w:t>项目编号：</w:t>
      </w:r>
      <w:r>
        <w:rPr>
          <w:rFonts w:hint="eastAsia" w:ascii="宋体" w:hAnsi="宋体" w:eastAsia="宋体" w:cs="宋体"/>
          <w:color w:val="auto"/>
          <w:kern w:val="2"/>
          <w:sz w:val="28"/>
          <w:szCs w:val="28"/>
          <w:highlight w:val="none"/>
          <w:u w:val="single"/>
          <w:lang w:val="en-US" w:eastAsia="zh-CN" w:bidi="ar"/>
        </w:rPr>
        <w:t xml:space="preserve">     </w:t>
      </w:r>
    </w:p>
    <w:p w14:paraId="3FFA13DA">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lang w:val="en-US" w:eastAsia="zh-CN" w:bidi="ar"/>
        </w:rPr>
        <w:t xml:space="preserve"> </w:t>
      </w:r>
    </w:p>
    <w:p w14:paraId="50C2FC5B">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lang w:val="en-US" w:eastAsia="zh-CN" w:bidi="ar"/>
        </w:rPr>
        <w:t xml:space="preserve"> </w:t>
      </w:r>
    </w:p>
    <w:p w14:paraId="32A8359C">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lang w:val="en-US" w:eastAsia="zh-CN" w:bidi="ar"/>
        </w:rPr>
        <w:t xml:space="preserve"> </w:t>
      </w:r>
    </w:p>
    <w:p w14:paraId="32484DC7">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lang w:val="en-US" w:eastAsia="zh-CN" w:bidi="ar"/>
        </w:rPr>
        <w:t xml:space="preserve"> </w:t>
      </w:r>
    </w:p>
    <w:p w14:paraId="3B75F2C4">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lang w:val="en-US" w:eastAsia="zh-CN" w:bidi="ar"/>
        </w:rPr>
        <w:t xml:space="preserve"> </w:t>
      </w:r>
    </w:p>
    <w:p w14:paraId="452A4C82">
      <w:pPr>
        <w:keepNext w:val="0"/>
        <w:keepLines w:val="0"/>
        <w:widowControl w:val="0"/>
        <w:suppressLineNumbers w:val="0"/>
        <w:autoSpaceDE w:val="0"/>
        <w:autoSpaceDN/>
        <w:spacing w:before="0" w:beforeAutospacing="0" w:after="0" w:afterAutospacing="0" w:line="360" w:lineRule="auto"/>
        <w:ind w:left="0" w:right="0"/>
        <w:jc w:val="center"/>
        <w:rPr>
          <w:rFonts w:hint="eastAsia" w:ascii="宋体" w:hAnsi="宋体" w:eastAsia="宋体" w:cs="宋体"/>
          <w:color w:val="auto"/>
          <w:kern w:val="2"/>
          <w:sz w:val="28"/>
          <w:szCs w:val="28"/>
          <w:highlight w:val="none"/>
          <w:u w:val="single"/>
        </w:rPr>
      </w:pPr>
      <w:r>
        <w:rPr>
          <w:rFonts w:hint="eastAsia" w:ascii="宋体" w:hAnsi="宋体" w:eastAsia="宋体" w:cs="宋体"/>
          <w:color w:val="auto"/>
          <w:kern w:val="2"/>
          <w:sz w:val="28"/>
          <w:szCs w:val="28"/>
          <w:highlight w:val="none"/>
          <w:lang w:val="en-US" w:eastAsia="zh-CN" w:bidi="ar"/>
        </w:rPr>
        <w:t>投标人：</w:t>
      </w:r>
      <w:r>
        <w:rPr>
          <w:rFonts w:hint="eastAsia" w:ascii="宋体" w:hAnsi="宋体" w:eastAsia="宋体" w:cs="宋体"/>
          <w:color w:val="auto"/>
          <w:kern w:val="2"/>
          <w:sz w:val="28"/>
          <w:szCs w:val="28"/>
          <w:highlight w:val="none"/>
          <w:u w:val="single"/>
          <w:lang w:val="en-US" w:eastAsia="zh-CN" w:bidi="ar"/>
        </w:rPr>
        <w:t xml:space="preserve">                           </w:t>
      </w:r>
      <w:r>
        <w:rPr>
          <w:rFonts w:hint="eastAsia" w:ascii="宋体" w:hAnsi="宋体" w:eastAsia="宋体" w:cs="宋体"/>
          <w:color w:val="auto"/>
          <w:kern w:val="2"/>
          <w:sz w:val="28"/>
          <w:szCs w:val="28"/>
          <w:highlight w:val="none"/>
          <w:lang w:val="en-US" w:eastAsia="zh-CN" w:bidi="ar"/>
        </w:rPr>
        <w:t>（签章）</w:t>
      </w:r>
    </w:p>
    <w:p w14:paraId="6435BB00">
      <w:pPr>
        <w:keepNext w:val="0"/>
        <w:keepLines w:val="0"/>
        <w:widowControl w:val="0"/>
        <w:suppressLineNumbers w:val="0"/>
        <w:autoSpaceDE w:val="0"/>
        <w:autoSpaceDN/>
        <w:spacing w:before="0" w:beforeAutospacing="0" w:after="0" w:afterAutospacing="0" w:line="360" w:lineRule="auto"/>
        <w:ind w:left="0" w:right="0"/>
        <w:jc w:val="center"/>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lang w:val="en-US" w:eastAsia="zh-CN" w:bidi="ar"/>
        </w:rPr>
        <w:t>法定代表人：</w:t>
      </w:r>
      <w:r>
        <w:rPr>
          <w:rFonts w:hint="eastAsia" w:ascii="宋体" w:hAnsi="宋体" w:eastAsia="宋体" w:cs="宋体"/>
          <w:color w:val="auto"/>
          <w:kern w:val="2"/>
          <w:sz w:val="28"/>
          <w:szCs w:val="28"/>
          <w:highlight w:val="none"/>
          <w:u w:val="single"/>
          <w:lang w:val="en-US" w:eastAsia="zh-CN" w:bidi="ar"/>
        </w:rPr>
        <w:t xml:space="preserve">                       </w:t>
      </w:r>
      <w:r>
        <w:rPr>
          <w:rFonts w:hint="eastAsia" w:ascii="宋体" w:hAnsi="宋体" w:eastAsia="宋体" w:cs="宋体"/>
          <w:color w:val="auto"/>
          <w:kern w:val="2"/>
          <w:sz w:val="28"/>
          <w:szCs w:val="28"/>
          <w:highlight w:val="none"/>
          <w:lang w:val="en-US" w:eastAsia="zh-CN" w:bidi="ar"/>
        </w:rPr>
        <w:t>（签章）</w:t>
      </w:r>
    </w:p>
    <w:p w14:paraId="51E3C24D">
      <w:pPr>
        <w:keepNext w:val="0"/>
        <w:keepLines w:val="0"/>
        <w:widowControl w:val="0"/>
        <w:suppressLineNumbers w:val="0"/>
        <w:autoSpaceDE w:val="0"/>
        <w:autoSpaceDN/>
        <w:spacing w:before="0" w:beforeAutospacing="0" w:after="0" w:afterAutospacing="0" w:line="360" w:lineRule="auto"/>
        <w:ind w:left="0" w:right="0"/>
        <w:jc w:val="center"/>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u w:val="single"/>
          <w:lang w:val="en-US" w:eastAsia="zh-CN" w:bidi="ar"/>
        </w:rPr>
        <w:t xml:space="preserve">        </w:t>
      </w:r>
      <w:r>
        <w:rPr>
          <w:rFonts w:hint="eastAsia" w:ascii="宋体" w:hAnsi="宋体" w:eastAsia="宋体" w:cs="宋体"/>
          <w:color w:val="auto"/>
          <w:kern w:val="2"/>
          <w:sz w:val="28"/>
          <w:szCs w:val="28"/>
          <w:highlight w:val="none"/>
          <w:lang w:val="en-US" w:eastAsia="zh-CN" w:bidi="ar"/>
        </w:rPr>
        <w:t>年</w:t>
      </w:r>
      <w:r>
        <w:rPr>
          <w:rFonts w:hint="eastAsia" w:ascii="宋体" w:hAnsi="宋体" w:eastAsia="宋体" w:cs="宋体"/>
          <w:color w:val="auto"/>
          <w:kern w:val="2"/>
          <w:sz w:val="28"/>
          <w:szCs w:val="28"/>
          <w:highlight w:val="none"/>
          <w:u w:val="single"/>
          <w:lang w:val="en-US" w:eastAsia="zh-CN" w:bidi="ar"/>
        </w:rPr>
        <w:t xml:space="preserve">        </w:t>
      </w:r>
      <w:r>
        <w:rPr>
          <w:rFonts w:hint="eastAsia" w:ascii="宋体" w:hAnsi="宋体" w:eastAsia="宋体" w:cs="宋体"/>
          <w:color w:val="auto"/>
          <w:kern w:val="2"/>
          <w:sz w:val="28"/>
          <w:szCs w:val="28"/>
          <w:highlight w:val="none"/>
          <w:lang w:val="en-US" w:eastAsia="zh-CN" w:bidi="ar"/>
        </w:rPr>
        <w:t>月</w:t>
      </w:r>
      <w:r>
        <w:rPr>
          <w:rFonts w:hint="eastAsia" w:ascii="宋体" w:hAnsi="宋体" w:eastAsia="宋体" w:cs="宋体"/>
          <w:color w:val="auto"/>
          <w:kern w:val="2"/>
          <w:sz w:val="28"/>
          <w:szCs w:val="28"/>
          <w:highlight w:val="none"/>
          <w:u w:val="single"/>
          <w:lang w:val="en-US" w:eastAsia="zh-CN" w:bidi="ar"/>
        </w:rPr>
        <w:t xml:space="preserve">        </w:t>
      </w:r>
      <w:r>
        <w:rPr>
          <w:rFonts w:hint="eastAsia" w:ascii="宋体" w:hAnsi="宋体" w:eastAsia="宋体" w:cs="宋体"/>
          <w:color w:val="auto"/>
          <w:kern w:val="2"/>
          <w:sz w:val="28"/>
          <w:szCs w:val="28"/>
          <w:highlight w:val="none"/>
          <w:lang w:val="en-US" w:eastAsia="zh-CN" w:bidi="ar"/>
        </w:rPr>
        <w:t>日</w:t>
      </w:r>
    </w:p>
    <w:p w14:paraId="2EDB2811">
      <w:pPr>
        <w:keepNext w:val="0"/>
        <w:keepLines w:val="0"/>
        <w:widowControl w:val="0"/>
        <w:suppressLineNumbers w:val="0"/>
        <w:spacing w:before="0" w:beforeAutospacing="0" w:after="0" w:afterAutospacing="0" w:line="400" w:lineRule="exact"/>
        <w:ind w:left="0" w:right="0" w:firstLine="4130" w:firstLineChars="935"/>
        <w:jc w:val="both"/>
        <w:rPr>
          <w:rFonts w:hint="eastAsia" w:ascii="宋体" w:hAnsi="宋体" w:eastAsia="宋体" w:cs="宋体"/>
          <w:b/>
          <w:bCs w:val="0"/>
          <w:color w:val="auto"/>
          <w:kern w:val="2"/>
          <w:sz w:val="44"/>
          <w:szCs w:val="44"/>
          <w:highlight w:val="none"/>
        </w:rPr>
      </w:pPr>
      <w:r>
        <w:rPr>
          <w:rFonts w:hint="eastAsia" w:ascii="宋体" w:hAnsi="宋体" w:eastAsia="宋体" w:cs="宋体"/>
          <w:b/>
          <w:bCs w:val="0"/>
          <w:color w:val="auto"/>
          <w:kern w:val="2"/>
          <w:sz w:val="44"/>
          <w:szCs w:val="44"/>
          <w:highlight w:val="none"/>
          <w:lang w:val="en-US" w:eastAsia="zh-CN" w:bidi="ar"/>
        </w:rPr>
        <w:t xml:space="preserve"> </w:t>
      </w:r>
    </w:p>
    <w:p w14:paraId="1ECAFEC6">
      <w:pPr>
        <w:keepNext w:val="0"/>
        <w:keepLines w:val="0"/>
        <w:widowControl w:val="0"/>
        <w:suppressLineNumbers w:val="0"/>
        <w:spacing w:before="0" w:beforeAutospacing="0" w:after="0" w:afterAutospacing="0"/>
        <w:ind w:left="0" w:right="0"/>
        <w:jc w:val="both"/>
        <w:rPr>
          <w:rFonts w:hint="eastAsia" w:ascii="宋体" w:hAnsi="宋体" w:eastAsia="宋体" w:cs="宋体"/>
          <w:b/>
          <w:bCs w:val="0"/>
          <w:color w:val="auto"/>
          <w:kern w:val="2"/>
          <w:sz w:val="36"/>
          <w:szCs w:val="36"/>
          <w:highlight w:val="none"/>
        </w:rPr>
      </w:pPr>
      <w:r>
        <w:rPr>
          <w:rFonts w:hint="eastAsia" w:ascii="宋体" w:hAnsi="宋体" w:eastAsia="宋体" w:cs="宋体"/>
          <w:b/>
          <w:bCs w:val="0"/>
          <w:color w:val="auto"/>
          <w:kern w:val="2"/>
          <w:sz w:val="36"/>
          <w:szCs w:val="36"/>
          <w:highlight w:val="none"/>
          <w:lang w:val="en-US" w:eastAsia="zh-CN" w:bidi="ar"/>
        </w:rPr>
        <w:br w:type="page"/>
      </w:r>
    </w:p>
    <w:p w14:paraId="70597B21">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auto"/>
          <w:kern w:val="2"/>
          <w:sz w:val="44"/>
          <w:szCs w:val="44"/>
          <w:highlight w:val="none"/>
        </w:rPr>
      </w:pPr>
      <w:r>
        <w:rPr>
          <w:rFonts w:hint="eastAsia" w:ascii="宋体" w:hAnsi="宋体" w:eastAsia="宋体" w:cs="宋体"/>
          <w:b/>
          <w:bCs w:val="0"/>
          <w:color w:val="auto"/>
          <w:kern w:val="2"/>
          <w:sz w:val="36"/>
          <w:szCs w:val="36"/>
          <w:highlight w:val="none"/>
          <w:lang w:val="en-US" w:eastAsia="zh-CN" w:bidi="ar"/>
        </w:rPr>
        <w:t>目   录</w:t>
      </w:r>
    </w:p>
    <w:p w14:paraId="2CE276EE">
      <w:pPr>
        <w:keepNext w:val="0"/>
        <w:keepLines w:val="0"/>
        <w:widowControl w:val="0"/>
        <w:suppressLineNumbers w:val="0"/>
        <w:spacing w:before="0" w:beforeAutospacing="0" w:after="0" w:afterAutospacing="0" w:line="400" w:lineRule="exact"/>
        <w:ind w:left="0" w:right="0" w:firstLine="562" w:firstLineChars="200"/>
        <w:jc w:val="both"/>
        <w:rPr>
          <w:rFonts w:hint="eastAsia" w:ascii="宋体" w:hAnsi="宋体" w:eastAsia="宋体" w:cs="宋体"/>
          <w:b/>
          <w:bCs w:val="0"/>
          <w:color w:val="auto"/>
          <w:kern w:val="2"/>
          <w:sz w:val="28"/>
          <w:szCs w:val="28"/>
          <w:highlight w:val="none"/>
        </w:rPr>
      </w:pPr>
      <w:r>
        <w:rPr>
          <w:rFonts w:hint="eastAsia" w:ascii="宋体" w:hAnsi="宋体" w:eastAsia="宋体" w:cs="宋体"/>
          <w:b/>
          <w:bCs w:val="0"/>
          <w:color w:val="auto"/>
          <w:kern w:val="2"/>
          <w:sz w:val="28"/>
          <w:szCs w:val="28"/>
          <w:highlight w:val="none"/>
          <w:lang w:val="en-US" w:eastAsia="zh-CN" w:bidi="ar"/>
        </w:rPr>
        <w:t xml:space="preserve"> </w:t>
      </w:r>
    </w:p>
    <w:p w14:paraId="36CF22B9">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（1）投标人资格声明书（格式见附件）；</w:t>
      </w:r>
    </w:p>
    <w:p w14:paraId="12EC0744">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（2）授权书（格式见附件）；   </w:t>
      </w:r>
    </w:p>
    <w:p w14:paraId="2DC9C66B">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（3）投标人为企业（包括合伙企业）的，应提供有效的“营业执照”；</w:t>
      </w:r>
    </w:p>
    <w:p w14:paraId="1B47ECD6">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投标人为事业单位的，应提供有效的“事业单位法人证书”；</w:t>
      </w:r>
    </w:p>
    <w:p w14:paraId="63FB66C8">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投标人是非企业机构的，应提供有效的“执业许可证”、“登记证书”等证明文件；</w:t>
      </w:r>
    </w:p>
    <w:p w14:paraId="56F9BCCE">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投标人是个体工商户的，应提供有效的“个体工商户营业执照”；</w:t>
      </w:r>
    </w:p>
    <w:p w14:paraId="089F97E6">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投标人是自然人的，应提供有效的自然人身份证明；</w:t>
      </w:r>
    </w:p>
    <w:p w14:paraId="597B2B53">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（4）诚信投标承诺书（格式见附件）；</w:t>
      </w:r>
    </w:p>
    <w:p w14:paraId="285AE03E">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（5）招标文件中要求的资信评审和资信评分的支持资料；</w:t>
      </w:r>
    </w:p>
    <w:p w14:paraId="13D49864">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（6）投标人认为需要提供的其他资信证明材料；</w:t>
      </w:r>
    </w:p>
    <w:p w14:paraId="59346654">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（7）其他（如有）。</w:t>
      </w:r>
    </w:p>
    <w:p w14:paraId="611B84A1">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p>
    <w:p w14:paraId="69A65FC2">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p>
    <w:p w14:paraId="39B33C3B">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p>
    <w:p w14:paraId="1285691C">
      <w:pPr>
        <w:keepNext w:val="0"/>
        <w:keepLines w:val="0"/>
        <w:widowControl w:val="0"/>
        <w:suppressLineNumbers w:val="0"/>
        <w:spacing w:before="0" w:beforeAutospacing="0" w:after="0" w:afterAutospacing="0"/>
        <w:ind w:left="0" w:right="0"/>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br w:type="page"/>
      </w:r>
    </w:p>
    <w:p w14:paraId="4A5F1E03">
      <w:pPr>
        <w:spacing w:line="360" w:lineRule="auto"/>
        <w:jc w:val="center"/>
        <w:outlineLvl w:val="1"/>
        <w:rPr>
          <w:rFonts w:hint="eastAsia" w:asciiTheme="minorEastAsia" w:hAnsiTheme="minorEastAsia" w:eastAsiaTheme="minorEastAsia"/>
          <w:b/>
          <w:color w:val="auto"/>
          <w:sz w:val="24"/>
          <w:highlight w:val="none"/>
        </w:rPr>
      </w:pPr>
      <w:bookmarkStart w:id="66" w:name="_Toc1328"/>
      <w:bookmarkStart w:id="67" w:name="_Toc11464"/>
      <w:r>
        <w:rPr>
          <w:rFonts w:hint="eastAsia" w:asciiTheme="minorEastAsia" w:hAnsiTheme="minorEastAsia" w:eastAsiaTheme="minorEastAsia"/>
          <w:b/>
          <w:color w:val="auto"/>
          <w:sz w:val="24"/>
          <w:highlight w:val="none"/>
          <w:lang w:val="en-US" w:eastAsia="zh-CN"/>
        </w:rPr>
        <w:t>（1）投标人资格声明书</w:t>
      </w:r>
      <w:bookmarkEnd w:id="66"/>
      <w:bookmarkEnd w:id="67"/>
      <w:r>
        <w:rPr>
          <w:rFonts w:hint="eastAsia" w:asciiTheme="minorEastAsia" w:hAnsiTheme="minorEastAsia" w:eastAsiaTheme="minorEastAsia"/>
          <w:b/>
          <w:color w:val="auto"/>
          <w:sz w:val="24"/>
          <w:highlight w:val="none"/>
          <w:lang w:val="en-US" w:eastAsia="zh-CN"/>
        </w:rPr>
        <w:t xml:space="preserve"> </w:t>
      </w:r>
    </w:p>
    <w:p w14:paraId="0DD0F12C">
      <w:pPr>
        <w:pStyle w:val="13"/>
        <w:spacing w:line="360" w:lineRule="auto"/>
        <w:rPr>
          <w:rFonts w:hint="eastAsia" w:eastAsia="宋体" w:asciiTheme="minorEastAsia" w:hAnsiTheme="minorEastAsia" w:cstheme="minorEastAsia"/>
          <w:sz w:val="24"/>
          <w:szCs w:val="24"/>
          <w:highlight w:val="none"/>
          <w:lang w:eastAsia="zh-CN"/>
        </w:rPr>
      </w:pPr>
      <w:r>
        <w:rPr>
          <w:rFonts w:hint="eastAsia" w:ascii="宋体" w:hAnsi="宋体"/>
          <w:color w:val="auto"/>
          <w:sz w:val="24"/>
          <w:highlight w:val="none"/>
        </w:rPr>
        <w:t>致：</w:t>
      </w:r>
      <w:r>
        <w:rPr>
          <w:rFonts w:hint="eastAsia" w:ascii="宋体" w:hAnsi="宋体"/>
          <w:color w:val="auto"/>
          <w:sz w:val="24"/>
          <w:highlight w:val="none"/>
          <w:u w:val="single"/>
          <w:lang w:eastAsia="zh-CN"/>
        </w:rPr>
        <w:t>采购人</w:t>
      </w:r>
    </w:p>
    <w:p w14:paraId="6526424F">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在参与本次项目投标中，我单位承诺：</w:t>
      </w:r>
    </w:p>
    <w:p w14:paraId="719F4728">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（一）具有良好的商业信誉和健全的财务会计制度；</w:t>
      </w:r>
    </w:p>
    <w:p w14:paraId="0EEA7328">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（二）具有履行合同所必需的设备和专业技术能力；</w:t>
      </w:r>
    </w:p>
    <w:p w14:paraId="12B0F28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（三）有依法缴纳税收和社会保障资金的良好记录；</w:t>
      </w:r>
    </w:p>
    <w:p w14:paraId="0217E874">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6CCDDC55">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（五）我单位不存在为采购项目提供整体设计、规范编制或者项目管理、监理、检测等服务后，再参加该采购项目的其他采购活动的情形（单一来源采购项目除外）；</w:t>
      </w:r>
    </w:p>
    <w:p w14:paraId="0FCE22B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000000"/>
          <w:kern w:val="0"/>
          <w:sz w:val="24"/>
          <w:szCs w:val="24"/>
          <w:highlight w:val="none"/>
          <w:lang w:val="en-US" w:eastAsia="zh-CN" w:bidi="ar"/>
        </w:rPr>
      </w:pPr>
      <w:r>
        <w:rPr>
          <w:rFonts w:hint="eastAsia" w:asciiTheme="minorEastAsia" w:hAnsiTheme="minorEastAsia" w:eastAsiaTheme="minorEastAsia" w:cstheme="minorEastAsia"/>
          <w:color w:val="000000"/>
          <w:kern w:val="0"/>
          <w:sz w:val="24"/>
          <w:szCs w:val="24"/>
          <w:highlight w:val="none"/>
          <w:lang w:val="en-US" w:eastAsia="zh-CN" w:bidi="ar"/>
        </w:rPr>
        <w:t>（六）与我单位存在单位负责人为同一人或者存在直接控股、管理关系的其他法人单位信息如下（如有，不论其是否参加同一合同项下的政府采购活动均须填写）：</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5A9DF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69FB6358">
            <w:pPr>
              <w:keepNext w:val="0"/>
              <w:keepLines w:val="0"/>
              <w:pageBreakBefore w:val="0"/>
              <w:widowControl/>
              <w:suppressLineNumbers w:val="0"/>
              <w:kinsoku/>
              <w:wordWrap/>
              <w:overflowPunct/>
              <w:topLinePunct w:val="0"/>
              <w:autoSpaceDE/>
              <w:autoSpaceDN/>
              <w:bidi w:val="0"/>
              <w:adjustRightInd/>
              <w:snapToGrid/>
              <w:spacing w:before="0" w:beforeLines="50" w:after="10" w:line="240" w:lineRule="auto"/>
              <w:jc w:val="center"/>
              <w:textAlignment w:val="auto"/>
              <w:rPr>
                <w:rFonts w:hint="eastAsia" w:asciiTheme="minorEastAsia" w:hAnsiTheme="minorEastAsia" w:eastAsiaTheme="minorEastAsia" w:cstheme="minorEastAsia"/>
                <w:color w:val="000000"/>
                <w:kern w:val="0"/>
                <w:sz w:val="24"/>
                <w:szCs w:val="24"/>
                <w:highlight w:val="none"/>
                <w:vertAlign w:val="baseline"/>
                <w:lang w:val="en-US" w:eastAsia="zh-CN" w:bidi="ar"/>
              </w:rPr>
            </w:pPr>
            <w:r>
              <w:rPr>
                <w:rFonts w:hint="eastAsia" w:asciiTheme="minorEastAsia" w:hAnsiTheme="minorEastAsia" w:eastAsiaTheme="minorEastAsia" w:cstheme="minorEastAsia"/>
                <w:color w:val="000000"/>
                <w:kern w:val="0"/>
                <w:sz w:val="24"/>
                <w:szCs w:val="24"/>
                <w:highlight w:val="none"/>
                <w:lang w:val="en-US" w:eastAsia="zh-CN" w:bidi="ar"/>
              </w:rPr>
              <w:t>序号</w:t>
            </w:r>
          </w:p>
        </w:tc>
        <w:tc>
          <w:tcPr>
            <w:tcW w:w="2841" w:type="dxa"/>
          </w:tcPr>
          <w:p w14:paraId="65F27C22">
            <w:pPr>
              <w:pStyle w:val="9"/>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Theme="minorEastAsia" w:hAnsiTheme="minorEastAsia" w:eastAsiaTheme="minorEastAsia" w:cstheme="minorEastAsia"/>
                <w:color w:val="000000"/>
                <w:kern w:val="0"/>
                <w:sz w:val="24"/>
                <w:szCs w:val="24"/>
                <w:highlight w:val="none"/>
                <w:vertAlign w:val="baseline"/>
                <w:lang w:val="en-US" w:eastAsia="zh-CN" w:bidi="ar"/>
              </w:rPr>
            </w:pPr>
            <w:r>
              <w:rPr>
                <w:rFonts w:hint="eastAsia" w:asciiTheme="minorEastAsia" w:hAnsiTheme="minorEastAsia" w:eastAsiaTheme="minorEastAsia" w:cstheme="minorEastAsia"/>
                <w:color w:val="000000"/>
                <w:kern w:val="0"/>
                <w:sz w:val="24"/>
                <w:szCs w:val="24"/>
                <w:highlight w:val="none"/>
                <w:lang w:val="en-US" w:eastAsia="zh-CN" w:bidi="ar"/>
              </w:rPr>
              <w:t>单位名称</w:t>
            </w:r>
          </w:p>
        </w:tc>
        <w:tc>
          <w:tcPr>
            <w:tcW w:w="2841" w:type="dxa"/>
          </w:tcPr>
          <w:p w14:paraId="6AC703F8">
            <w:pPr>
              <w:pStyle w:val="9"/>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Theme="minorEastAsia" w:hAnsiTheme="minorEastAsia" w:eastAsiaTheme="minorEastAsia" w:cstheme="minorEastAsia"/>
                <w:color w:val="000000"/>
                <w:kern w:val="0"/>
                <w:sz w:val="24"/>
                <w:szCs w:val="24"/>
                <w:highlight w:val="none"/>
                <w:vertAlign w:val="baseline"/>
                <w:lang w:val="en-US" w:eastAsia="zh-CN" w:bidi="ar"/>
              </w:rPr>
            </w:pPr>
            <w:r>
              <w:rPr>
                <w:rFonts w:hint="eastAsia" w:asciiTheme="minorEastAsia" w:hAnsiTheme="minorEastAsia" w:eastAsiaTheme="minorEastAsia" w:cstheme="minorEastAsia"/>
                <w:color w:val="000000"/>
                <w:kern w:val="0"/>
                <w:sz w:val="24"/>
                <w:szCs w:val="24"/>
                <w:highlight w:val="none"/>
                <w:lang w:val="en-US" w:eastAsia="zh-CN" w:bidi="ar"/>
              </w:rPr>
              <w:t>相互关系</w:t>
            </w:r>
          </w:p>
        </w:tc>
      </w:tr>
      <w:tr w14:paraId="08308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073FDCD1">
            <w:pPr>
              <w:pStyle w:val="9"/>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default" w:asciiTheme="minorEastAsia" w:hAnsiTheme="minorEastAsia" w:eastAsiaTheme="minorEastAsia" w:cstheme="minorEastAsia"/>
                <w:color w:val="000000"/>
                <w:kern w:val="0"/>
                <w:sz w:val="24"/>
                <w:szCs w:val="24"/>
                <w:highlight w:val="none"/>
                <w:vertAlign w:val="baseline"/>
                <w:lang w:val="en-US" w:eastAsia="zh-CN" w:bidi="ar"/>
              </w:rPr>
            </w:pPr>
            <w:r>
              <w:rPr>
                <w:rFonts w:hint="eastAsia" w:asciiTheme="minorEastAsia" w:hAnsiTheme="minorEastAsia" w:eastAsiaTheme="minorEastAsia" w:cstheme="minorEastAsia"/>
                <w:color w:val="000000"/>
                <w:kern w:val="0"/>
                <w:sz w:val="24"/>
                <w:szCs w:val="24"/>
                <w:highlight w:val="none"/>
                <w:vertAlign w:val="baseline"/>
                <w:lang w:val="en-US" w:eastAsia="zh-CN" w:bidi="ar"/>
              </w:rPr>
              <w:t>1</w:t>
            </w:r>
          </w:p>
        </w:tc>
        <w:tc>
          <w:tcPr>
            <w:tcW w:w="2841" w:type="dxa"/>
          </w:tcPr>
          <w:p w14:paraId="4ED8B743">
            <w:pPr>
              <w:pStyle w:val="9"/>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Theme="minorEastAsia" w:hAnsiTheme="minorEastAsia" w:eastAsiaTheme="minorEastAsia" w:cstheme="minorEastAsia"/>
                <w:color w:val="000000"/>
                <w:kern w:val="0"/>
                <w:sz w:val="24"/>
                <w:szCs w:val="24"/>
                <w:highlight w:val="none"/>
                <w:vertAlign w:val="baseline"/>
                <w:lang w:val="en-US" w:eastAsia="zh-CN" w:bidi="ar"/>
              </w:rPr>
            </w:pPr>
          </w:p>
        </w:tc>
        <w:tc>
          <w:tcPr>
            <w:tcW w:w="2841" w:type="dxa"/>
          </w:tcPr>
          <w:p w14:paraId="5D6A7191">
            <w:pPr>
              <w:pStyle w:val="9"/>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Theme="minorEastAsia" w:hAnsiTheme="minorEastAsia" w:eastAsiaTheme="minorEastAsia" w:cstheme="minorEastAsia"/>
                <w:color w:val="000000"/>
                <w:kern w:val="0"/>
                <w:sz w:val="24"/>
                <w:szCs w:val="24"/>
                <w:highlight w:val="none"/>
                <w:vertAlign w:val="baseline"/>
                <w:lang w:val="en-US" w:eastAsia="zh-CN" w:bidi="ar"/>
              </w:rPr>
            </w:pPr>
          </w:p>
        </w:tc>
      </w:tr>
      <w:tr w14:paraId="603B8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71818B55">
            <w:pPr>
              <w:pStyle w:val="9"/>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default" w:asciiTheme="minorEastAsia" w:hAnsiTheme="minorEastAsia" w:eastAsiaTheme="minorEastAsia" w:cstheme="minorEastAsia"/>
                <w:color w:val="000000"/>
                <w:kern w:val="0"/>
                <w:sz w:val="24"/>
                <w:szCs w:val="24"/>
                <w:highlight w:val="none"/>
                <w:vertAlign w:val="baseline"/>
                <w:lang w:val="en-US" w:eastAsia="zh-CN" w:bidi="ar"/>
              </w:rPr>
            </w:pPr>
            <w:r>
              <w:rPr>
                <w:rFonts w:hint="eastAsia" w:asciiTheme="minorEastAsia" w:hAnsiTheme="minorEastAsia" w:eastAsiaTheme="minorEastAsia" w:cstheme="minorEastAsia"/>
                <w:color w:val="000000"/>
                <w:kern w:val="0"/>
                <w:sz w:val="24"/>
                <w:szCs w:val="24"/>
                <w:highlight w:val="none"/>
                <w:vertAlign w:val="baseline"/>
                <w:lang w:val="en-US" w:eastAsia="zh-CN" w:bidi="ar"/>
              </w:rPr>
              <w:t>2</w:t>
            </w:r>
          </w:p>
        </w:tc>
        <w:tc>
          <w:tcPr>
            <w:tcW w:w="2841" w:type="dxa"/>
          </w:tcPr>
          <w:p w14:paraId="58BDA913">
            <w:pPr>
              <w:pStyle w:val="9"/>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Theme="minorEastAsia" w:hAnsiTheme="minorEastAsia" w:eastAsiaTheme="minorEastAsia" w:cstheme="minorEastAsia"/>
                <w:color w:val="000000"/>
                <w:kern w:val="0"/>
                <w:sz w:val="24"/>
                <w:szCs w:val="24"/>
                <w:highlight w:val="none"/>
                <w:vertAlign w:val="baseline"/>
                <w:lang w:val="en-US" w:eastAsia="zh-CN" w:bidi="ar"/>
              </w:rPr>
            </w:pPr>
          </w:p>
        </w:tc>
        <w:tc>
          <w:tcPr>
            <w:tcW w:w="2841" w:type="dxa"/>
          </w:tcPr>
          <w:p w14:paraId="54B82C4E">
            <w:pPr>
              <w:pStyle w:val="9"/>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Theme="minorEastAsia" w:hAnsiTheme="minorEastAsia" w:eastAsiaTheme="minorEastAsia" w:cstheme="minorEastAsia"/>
                <w:color w:val="000000"/>
                <w:kern w:val="0"/>
                <w:sz w:val="24"/>
                <w:szCs w:val="24"/>
                <w:highlight w:val="none"/>
                <w:vertAlign w:val="baseline"/>
                <w:lang w:val="en-US" w:eastAsia="zh-CN" w:bidi="ar"/>
              </w:rPr>
            </w:pPr>
          </w:p>
        </w:tc>
      </w:tr>
    </w:tbl>
    <w:p w14:paraId="244BB1B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本单位对</w:t>
      </w:r>
      <w:r>
        <w:rPr>
          <w:rFonts w:hint="eastAsia" w:asciiTheme="minorEastAsia" w:hAnsiTheme="minorEastAsia" w:eastAsiaTheme="minorEastAsia"/>
          <w:color w:val="auto"/>
          <w:sz w:val="24"/>
          <w:highlight w:val="none"/>
        </w:rPr>
        <w:t>上述</w:t>
      </w:r>
      <w:r>
        <w:rPr>
          <w:rFonts w:hint="eastAsia" w:ascii="宋体" w:hAnsi="宋体" w:eastAsia="宋体"/>
          <w:color w:val="auto"/>
          <w:sz w:val="24"/>
          <w:highlight w:val="none"/>
        </w:rPr>
        <w:t>声明的真实性负责。如有虚假，将依法承担相应责任。</w:t>
      </w:r>
    </w:p>
    <w:p w14:paraId="604F7C1C">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投标人电子签章：</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53431728">
      <w:pPr>
        <w:tabs>
          <w:tab w:val="left" w:pos="630"/>
        </w:tabs>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 xml:space="preserve">日     </w:t>
      </w:r>
      <w:r>
        <w:rPr>
          <w:rFonts w:ascii="宋体" w:hAnsi="宋体" w:eastAsia="宋体"/>
          <w:color w:val="auto"/>
          <w:sz w:val="24"/>
          <w:highlight w:val="none"/>
        </w:rPr>
        <w:t xml:space="preserve">    </w:t>
      </w:r>
      <w:r>
        <w:rPr>
          <w:rFonts w:hint="eastAsia" w:ascii="宋体" w:hAnsi="宋体" w:eastAsia="宋体"/>
          <w:color w:val="auto"/>
          <w:sz w:val="24"/>
          <w:highlight w:val="none"/>
        </w:rPr>
        <w:t xml:space="preserve"> 期：</w:t>
      </w:r>
      <w:r>
        <w:rPr>
          <w:rFonts w:hint="eastAsia" w:ascii="宋体" w:hAnsi="宋体" w:eastAsia="宋体"/>
          <w:color w:val="auto"/>
          <w:sz w:val="24"/>
          <w:highlight w:val="none"/>
          <w:u w:val="single"/>
        </w:rPr>
        <w:t xml:space="preserve">             </w:t>
      </w:r>
    </w:p>
    <w:p w14:paraId="6204A067">
      <w:pPr>
        <w:pStyle w:val="9"/>
        <w:rPr>
          <w:rFonts w:hint="eastAsia" w:asciiTheme="minorEastAsia" w:hAnsiTheme="minorEastAsia" w:eastAsiaTheme="minorEastAsia" w:cstheme="minorEastAsia"/>
          <w:color w:val="000000"/>
          <w:kern w:val="0"/>
          <w:sz w:val="24"/>
          <w:szCs w:val="24"/>
          <w:highlight w:val="none"/>
          <w:lang w:val="en-US" w:eastAsia="zh-CN" w:bidi="ar"/>
        </w:rPr>
      </w:pPr>
    </w:p>
    <w:p w14:paraId="7C5B2A70">
      <w:pPr>
        <w:pStyle w:val="9"/>
        <w:rPr>
          <w:rFonts w:hint="eastAsia" w:asciiTheme="minorEastAsia" w:hAnsiTheme="minorEastAsia" w:eastAsiaTheme="minorEastAsia" w:cstheme="minorEastAsia"/>
          <w:color w:val="000000"/>
          <w:kern w:val="0"/>
          <w:sz w:val="24"/>
          <w:szCs w:val="24"/>
          <w:highlight w:val="none"/>
          <w:lang w:val="en-US" w:eastAsia="zh-CN" w:bidi="ar"/>
        </w:rPr>
      </w:pPr>
    </w:p>
    <w:p w14:paraId="1FE96098">
      <w:pPr>
        <w:pStyle w:val="9"/>
        <w:rPr>
          <w:rFonts w:hint="eastAsia" w:asciiTheme="minorEastAsia" w:hAnsiTheme="minorEastAsia" w:eastAsiaTheme="minorEastAsia" w:cstheme="minorEastAsia"/>
          <w:color w:val="000000"/>
          <w:kern w:val="0"/>
          <w:sz w:val="24"/>
          <w:szCs w:val="24"/>
          <w:highlight w:val="none"/>
          <w:lang w:val="en-US" w:eastAsia="zh-CN" w:bidi="ar"/>
        </w:rPr>
      </w:pPr>
    </w:p>
    <w:p w14:paraId="74C197B3">
      <w:pPr>
        <w:rPr>
          <w:rFonts w:hint="eastAsia" w:asciiTheme="minorEastAsia" w:hAnsiTheme="minorEastAsia" w:eastAsiaTheme="minorEastAsia"/>
          <w:b/>
          <w:color w:val="auto"/>
          <w:sz w:val="24"/>
          <w:highlight w:val="none"/>
        </w:rPr>
      </w:pPr>
      <w:bookmarkStart w:id="68" w:name="_Toc11607"/>
      <w:r>
        <w:rPr>
          <w:rFonts w:hint="eastAsia" w:asciiTheme="minorEastAsia" w:hAnsiTheme="minorEastAsia" w:eastAsiaTheme="minorEastAsia"/>
          <w:b/>
          <w:color w:val="auto"/>
          <w:sz w:val="24"/>
          <w:highlight w:val="none"/>
        </w:rPr>
        <w:br w:type="page"/>
      </w:r>
    </w:p>
    <w:p w14:paraId="6F22C782">
      <w:pPr>
        <w:spacing w:line="360" w:lineRule="auto"/>
        <w:jc w:val="center"/>
        <w:outlineLvl w:val="1"/>
        <w:rPr>
          <w:rFonts w:asciiTheme="minorEastAsia" w:hAnsiTheme="minorEastAsia" w:eastAsiaTheme="minorEastAsia"/>
          <w:b/>
          <w:color w:val="auto"/>
          <w:sz w:val="24"/>
          <w:highlight w:val="none"/>
        </w:rPr>
      </w:pPr>
      <w:bookmarkStart w:id="69" w:name="_Toc16960"/>
      <w:bookmarkStart w:id="70" w:name="_Toc23894"/>
      <w:r>
        <w:rPr>
          <w:rFonts w:hint="eastAsia" w:asciiTheme="minorEastAsia" w:hAnsiTheme="minorEastAsia" w:eastAsiaTheme="minorEastAsia"/>
          <w:b/>
          <w:color w:val="auto"/>
          <w:sz w:val="24"/>
          <w:highlight w:val="none"/>
          <w:lang w:eastAsia="zh-CN"/>
        </w:rPr>
        <w:t>（</w:t>
      </w:r>
      <w:r>
        <w:rPr>
          <w:rFonts w:hint="eastAsia" w:asciiTheme="minorEastAsia" w:hAnsiTheme="minorEastAsia" w:eastAsiaTheme="minorEastAsia"/>
          <w:b/>
          <w:color w:val="auto"/>
          <w:sz w:val="24"/>
          <w:highlight w:val="none"/>
          <w:lang w:val="en-US" w:eastAsia="zh-CN"/>
        </w:rPr>
        <w:t>2）</w:t>
      </w:r>
      <w:r>
        <w:rPr>
          <w:rFonts w:hint="eastAsia" w:asciiTheme="minorEastAsia" w:hAnsiTheme="minorEastAsia" w:eastAsiaTheme="minorEastAsia"/>
          <w:b/>
          <w:color w:val="auto"/>
          <w:sz w:val="24"/>
          <w:highlight w:val="none"/>
        </w:rPr>
        <w:t>授权书</w:t>
      </w:r>
      <w:bookmarkEnd w:id="68"/>
      <w:bookmarkEnd w:id="69"/>
      <w:bookmarkEnd w:id="70"/>
    </w:p>
    <w:p w14:paraId="0E7C8FE7">
      <w:pPr>
        <w:pStyle w:val="12"/>
        <w:snapToGrid w:val="0"/>
        <w:spacing w:line="360" w:lineRule="auto"/>
        <w:ind w:firstLine="480" w:firstLineChars="200"/>
        <w:jc w:val="left"/>
        <w:rPr>
          <w:rFonts w:hAnsi="宋体" w:eastAsia="宋体"/>
          <w:color w:val="auto"/>
          <w:sz w:val="24"/>
          <w:szCs w:val="28"/>
          <w:highlight w:val="none"/>
        </w:rPr>
      </w:pPr>
    </w:p>
    <w:p w14:paraId="7007E40D">
      <w:pPr>
        <w:spacing w:line="360" w:lineRule="auto"/>
        <w:ind w:firstLine="435"/>
        <w:rPr>
          <w:rFonts w:hAnsi="宋体" w:eastAsia="宋体"/>
          <w:color w:val="auto"/>
          <w:sz w:val="24"/>
          <w:szCs w:val="28"/>
          <w:highlight w:val="none"/>
        </w:rPr>
      </w:pPr>
      <w:r>
        <w:rPr>
          <w:rFonts w:hint="eastAsia" w:hAnsi="宋体" w:eastAsia="宋体"/>
          <w:color w:val="auto"/>
          <w:sz w:val="24"/>
          <w:szCs w:val="28"/>
          <w:highlight w:val="none"/>
        </w:rPr>
        <w:t>本</w:t>
      </w:r>
      <w:r>
        <w:rPr>
          <w:rFonts w:hint="eastAsia" w:asciiTheme="minorEastAsia" w:hAnsiTheme="minorEastAsia" w:eastAsiaTheme="minorEastAsia"/>
          <w:color w:val="auto"/>
          <w:sz w:val="24"/>
          <w:highlight w:val="none"/>
        </w:rPr>
        <w:t>授权</w:t>
      </w:r>
      <w:r>
        <w:rPr>
          <w:rFonts w:hint="eastAsia" w:hAnsi="宋体" w:eastAsia="宋体"/>
          <w:color w:val="auto"/>
          <w:sz w:val="24"/>
          <w:szCs w:val="28"/>
          <w:highlight w:val="none"/>
        </w:rPr>
        <w:t>书声明：</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（投标人名称）授权</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（投标人授权代表姓名）代表我方参加本项目</w:t>
      </w:r>
      <w:r>
        <w:rPr>
          <w:rFonts w:hint="eastAsia" w:hAnsi="宋体" w:eastAsia="宋体"/>
          <w:bCs/>
          <w:color w:val="auto"/>
          <w:sz w:val="24"/>
          <w:szCs w:val="28"/>
          <w:highlight w:val="none"/>
        </w:rPr>
        <w:t>采购活动</w:t>
      </w:r>
      <w:r>
        <w:rPr>
          <w:rFonts w:hint="eastAsia" w:hAnsi="宋体" w:eastAsia="宋体"/>
          <w:color w:val="auto"/>
          <w:sz w:val="24"/>
          <w:szCs w:val="28"/>
          <w:highlight w:val="none"/>
        </w:rPr>
        <w:t>，全权代表我方处理投标过程的一切事宜，包括但不限于：投标、参与开标、谈判、签约等。投标人授权代表在投标过程中所签署的一切文件和处理与之有关的一切事务，我方均予以认可并对此承担责任。投标人授权代表无转委托权。特此授权。</w:t>
      </w:r>
    </w:p>
    <w:p w14:paraId="1353F9C5">
      <w:pPr>
        <w:spacing w:line="360" w:lineRule="auto"/>
        <w:ind w:firstLine="435"/>
        <w:rPr>
          <w:rFonts w:hAnsi="宋体" w:eastAsia="宋体"/>
          <w:color w:val="auto"/>
          <w:sz w:val="24"/>
          <w:szCs w:val="28"/>
          <w:highlight w:val="none"/>
        </w:rPr>
      </w:pPr>
      <w:r>
        <w:rPr>
          <w:rFonts w:hint="eastAsia" w:hAnsi="宋体" w:eastAsia="宋体"/>
          <w:color w:val="auto"/>
          <w:sz w:val="24"/>
          <w:szCs w:val="28"/>
          <w:highlight w:val="none"/>
        </w:rPr>
        <w:t>本授权书自出具之日起生效。</w:t>
      </w:r>
    </w:p>
    <w:p w14:paraId="32F3664C">
      <w:pPr>
        <w:spacing w:line="360" w:lineRule="auto"/>
        <w:ind w:firstLine="435"/>
        <w:rPr>
          <w:rFonts w:hAnsi="宋体" w:eastAsia="宋体"/>
          <w:color w:val="auto"/>
          <w:sz w:val="24"/>
          <w:highlight w:val="none"/>
        </w:rPr>
      </w:pPr>
      <w:r>
        <w:rPr>
          <w:rFonts w:hint="eastAsia" w:hAnsi="宋体" w:eastAsia="宋体"/>
          <w:color w:val="auto"/>
          <w:sz w:val="24"/>
          <w:szCs w:val="28"/>
          <w:highlight w:val="none"/>
        </w:rPr>
        <w:t>授权</w:t>
      </w:r>
      <w:r>
        <w:rPr>
          <w:rFonts w:hint="eastAsia" w:asciiTheme="minorEastAsia" w:hAnsiTheme="minorEastAsia" w:eastAsiaTheme="minorEastAsia"/>
          <w:color w:val="auto"/>
          <w:sz w:val="24"/>
          <w:highlight w:val="none"/>
        </w:rPr>
        <w:t>代表</w:t>
      </w:r>
      <w:r>
        <w:rPr>
          <w:rFonts w:hint="eastAsia" w:hAnsi="宋体" w:eastAsia="宋体"/>
          <w:color w:val="auto"/>
          <w:sz w:val="24"/>
          <w:highlight w:val="none"/>
        </w:rPr>
        <w:t>身份证明扫描件：</w:t>
      </w:r>
    </w:p>
    <w:p w14:paraId="5680DB75">
      <w:pPr>
        <w:spacing w:line="360" w:lineRule="auto"/>
        <w:ind w:firstLine="435"/>
        <w:rPr>
          <w:rFonts w:asciiTheme="minorEastAsia" w:hAnsiTheme="minorEastAsia" w:eastAsiaTheme="minorEastAsia"/>
          <w:color w:val="auto"/>
          <w:sz w:val="24"/>
          <w:highlight w:val="none"/>
        </w:rPr>
      </w:pPr>
    </w:p>
    <w:p w14:paraId="00247B76">
      <w:pPr>
        <w:spacing w:line="360" w:lineRule="auto"/>
        <w:ind w:firstLine="435"/>
        <w:rPr>
          <w:rFonts w:asciiTheme="minorEastAsia" w:hAnsiTheme="minorEastAsia" w:eastAsiaTheme="minorEastAsia"/>
          <w:color w:val="auto"/>
          <w:sz w:val="24"/>
          <w:highlight w:val="none"/>
        </w:rPr>
      </w:pPr>
    </w:p>
    <w:p w14:paraId="52C8FC94">
      <w:pPr>
        <w:spacing w:line="360" w:lineRule="auto"/>
        <w:ind w:firstLine="435"/>
        <w:rPr>
          <w:rFonts w:asciiTheme="minorEastAsia" w:hAnsiTheme="minorEastAsia" w:eastAsiaTheme="minorEastAsia"/>
          <w:color w:val="auto"/>
          <w:sz w:val="24"/>
          <w:highlight w:val="none"/>
        </w:rPr>
      </w:pPr>
    </w:p>
    <w:p w14:paraId="1CA3DA45">
      <w:pPr>
        <w:spacing w:line="360" w:lineRule="auto"/>
        <w:ind w:firstLine="435"/>
        <w:rPr>
          <w:rFonts w:hAnsi="宋体" w:eastAsia="宋体"/>
          <w:color w:val="auto"/>
          <w:sz w:val="24"/>
          <w:szCs w:val="28"/>
          <w:highlight w:val="none"/>
          <w:u w:val="single"/>
          <w:lang w:val="zh-CN"/>
        </w:rPr>
      </w:pPr>
      <w:r>
        <w:rPr>
          <w:rFonts w:hint="eastAsia" w:hAnsi="宋体" w:eastAsia="宋体"/>
          <w:color w:val="auto"/>
          <w:sz w:val="24"/>
          <w:szCs w:val="28"/>
          <w:highlight w:val="none"/>
        </w:rPr>
        <w:t>授权代表联系方式：</w:t>
      </w:r>
      <w:r>
        <w:rPr>
          <w:rFonts w:hint="eastAsia" w:hAnsi="宋体" w:eastAsia="宋体"/>
          <w:color w:val="auto"/>
          <w:sz w:val="24"/>
          <w:szCs w:val="28"/>
          <w:highlight w:val="none"/>
          <w:u w:val="single"/>
        </w:rPr>
        <w:t xml:space="preserve">          （请填写手机号码）</w:t>
      </w:r>
    </w:p>
    <w:p w14:paraId="34253B8B">
      <w:pPr>
        <w:spacing w:line="360" w:lineRule="auto"/>
        <w:ind w:firstLine="435"/>
        <w:rPr>
          <w:rFonts w:hAnsi="宋体" w:eastAsia="宋体"/>
          <w:color w:val="auto"/>
          <w:sz w:val="24"/>
          <w:szCs w:val="28"/>
          <w:highlight w:val="none"/>
          <w:lang w:val="zh-CN"/>
        </w:rPr>
      </w:pPr>
    </w:p>
    <w:p w14:paraId="11F2B589">
      <w:pPr>
        <w:spacing w:line="360" w:lineRule="auto"/>
        <w:ind w:firstLine="435"/>
        <w:rPr>
          <w:rFonts w:ascii="宋体" w:hAnsi="宋体" w:eastAsia="宋体"/>
          <w:color w:val="auto"/>
          <w:sz w:val="24"/>
          <w:szCs w:val="28"/>
          <w:highlight w:val="none"/>
        </w:rPr>
      </w:pPr>
      <w:r>
        <w:rPr>
          <w:rFonts w:hint="eastAsia" w:asciiTheme="minorEastAsia" w:hAnsiTheme="minorEastAsia" w:eastAsiaTheme="minorEastAsia"/>
          <w:color w:val="auto"/>
          <w:sz w:val="24"/>
          <w:highlight w:val="none"/>
        </w:rPr>
        <w:t>特此</w:t>
      </w:r>
      <w:r>
        <w:rPr>
          <w:rFonts w:hint="eastAsia" w:ascii="宋体" w:hAnsi="宋体" w:eastAsia="宋体"/>
          <w:color w:val="auto"/>
          <w:sz w:val="24"/>
          <w:szCs w:val="28"/>
          <w:highlight w:val="none"/>
        </w:rPr>
        <w:t>声明。</w:t>
      </w:r>
    </w:p>
    <w:p w14:paraId="053E6A0C">
      <w:pPr>
        <w:spacing w:line="360" w:lineRule="auto"/>
        <w:rPr>
          <w:rFonts w:ascii="宋体" w:hAnsi="宋体" w:eastAsia="宋体"/>
          <w:color w:val="auto"/>
          <w:sz w:val="24"/>
          <w:szCs w:val="28"/>
          <w:highlight w:val="none"/>
        </w:rPr>
      </w:pPr>
    </w:p>
    <w:p w14:paraId="77866EEB">
      <w:pPr>
        <w:spacing w:line="360" w:lineRule="auto"/>
        <w:ind w:firstLine="435"/>
        <w:jc w:val="center"/>
        <w:rPr>
          <w:rFonts w:ascii="宋体" w:hAnsi="宋体" w:eastAsia="宋体"/>
          <w:bCs/>
          <w:color w:val="auto"/>
          <w:sz w:val="24"/>
          <w:szCs w:val="28"/>
          <w:highlight w:val="none"/>
        </w:rPr>
      </w:pPr>
      <w:r>
        <w:rPr>
          <w:rFonts w:hint="eastAsia" w:ascii="宋体" w:hAnsi="宋体" w:eastAsia="宋体"/>
          <w:bCs/>
          <w:color w:val="auto"/>
          <w:sz w:val="24"/>
          <w:szCs w:val="28"/>
          <w:highlight w:val="none"/>
          <w:lang w:val="en-US" w:eastAsia="zh-CN"/>
        </w:rPr>
        <w:t xml:space="preserve">                            </w:t>
      </w:r>
      <w:r>
        <w:rPr>
          <w:rFonts w:hint="eastAsia" w:ascii="宋体" w:hAnsi="宋体" w:eastAsia="宋体"/>
          <w:bCs/>
          <w:color w:val="auto"/>
          <w:sz w:val="24"/>
          <w:szCs w:val="28"/>
          <w:highlight w:val="none"/>
        </w:rPr>
        <w:t>投标人电子签章：</w:t>
      </w:r>
      <w:r>
        <w:rPr>
          <w:rFonts w:hint="eastAsia" w:ascii="宋体" w:hAnsi="宋体" w:eastAsia="宋体"/>
          <w:bCs/>
          <w:color w:val="auto"/>
          <w:sz w:val="24"/>
          <w:szCs w:val="28"/>
          <w:highlight w:val="none"/>
          <w:u w:val="single"/>
        </w:rPr>
        <w:t xml:space="preserve">                    </w:t>
      </w:r>
    </w:p>
    <w:p w14:paraId="7E27AC33">
      <w:pPr>
        <w:spacing w:line="360" w:lineRule="auto"/>
        <w:ind w:firstLine="435"/>
        <w:jc w:val="center"/>
        <w:rPr>
          <w:rFonts w:ascii="宋体" w:hAnsi="宋体" w:eastAsia="宋体"/>
          <w:color w:val="auto"/>
          <w:sz w:val="24"/>
          <w:szCs w:val="28"/>
          <w:highlight w:val="none"/>
        </w:rPr>
      </w:pPr>
      <w:r>
        <w:rPr>
          <w:rFonts w:hint="eastAsia" w:ascii="宋体" w:hAnsi="宋体" w:eastAsia="宋体"/>
          <w:color w:val="auto"/>
          <w:sz w:val="24"/>
          <w:szCs w:val="28"/>
          <w:highlight w:val="none"/>
          <w:lang w:val="en-US" w:eastAsia="zh-CN"/>
        </w:rPr>
        <w:t xml:space="preserve">                            </w:t>
      </w:r>
      <w:r>
        <w:rPr>
          <w:rFonts w:hint="eastAsia" w:ascii="宋体" w:hAnsi="宋体" w:eastAsia="宋体"/>
          <w:color w:val="auto"/>
          <w:sz w:val="24"/>
          <w:szCs w:val="28"/>
          <w:highlight w:val="none"/>
        </w:rPr>
        <w:t>日          期：</w:t>
      </w:r>
      <w:r>
        <w:rPr>
          <w:rFonts w:hint="eastAsia" w:ascii="宋体" w:hAnsi="宋体" w:eastAsia="宋体"/>
          <w:b/>
          <w:bCs/>
          <w:color w:val="auto"/>
          <w:sz w:val="24"/>
          <w:szCs w:val="28"/>
          <w:highlight w:val="none"/>
          <w:u w:val="single"/>
        </w:rPr>
        <w:t xml:space="preserve">                    </w:t>
      </w:r>
    </w:p>
    <w:p w14:paraId="755FF043">
      <w:pPr>
        <w:spacing w:line="360" w:lineRule="auto"/>
        <w:ind w:firstLine="435"/>
        <w:rPr>
          <w:rFonts w:asciiTheme="minorEastAsia" w:hAnsiTheme="minorEastAsia" w:eastAsiaTheme="minorEastAsia"/>
          <w:color w:val="auto"/>
          <w:sz w:val="24"/>
          <w:highlight w:val="none"/>
        </w:rPr>
      </w:pPr>
    </w:p>
    <w:p w14:paraId="54F544F6">
      <w:pPr>
        <w:spacing w:line="360" w:lineRule="auto"/>
        <w:ind w:firstLine="435"/>
        <w:rPr>
          <w:rFonts w:asciiTheme="minorEastAsia" w:hAnsiTheme="minorEastAsia" w:eastAsiaTheme="minorEastAsia"/>
          <w:color w:val="auto"/>
          <w:sz w:val="24"/>
          <w:highlight w:val="none"/>
        </w:rPr>
      </w:pPr>
    </w:p>
    <w:p w14:paraId="14043E32">
      <w:pPr>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注：</w:t>
      </w:r>
    </w:p>
    <w:p w14:paraId="7059075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1.本项目只允许有唯一的投标人授权代表，提供身份证明扫描件；</w:t>
      </w:r>
    </w:p>
    <w:p w14:paraId="7F237F0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2.法定代表人参加投标的无需提供授权书，提供身份证明扫描件。</w:t>
      </w:r>
    </w:p>
    <w:p w14:paraId="0F331198">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499772C2">
      <w:pPr>
        <w:keepNext w:val="0"/>
        <w:keepLines w:val="0"/>
        <w:widowControl w:val="0"/>
        <w:suppressLineNumbers w:val="0"/>
        <w:spacing w:before="0" w:beforeAutospacing="0" w:after="0" w:afterAutospacing="0" w:line="360" w:lineRule="auto"/>
        <w:ind w:left="0" w:right="0"/>
        <w:jc w:val="center"/>
        <w:outlineLvl w:val="1"/>
        <w:rPr>
          <w:rFonts w:hint="eastAsia" w:ascii="宋体" w:hAnsi="宋体" w:eastAsia="宋体" w:cs="宋体"/>
          <w:b/>
          <w:bCs w:val="0"/>
          <w:color w:val="auto"/>
          <w:kern w:val="2"/>
          <w:sz w:val="24"/>
          <w:szCs w:val="24"/>
          <w:highlight w:val="none"/>
        </w:rPr>
      </w:pPr>
      <w:bookmarkStart w:id="71" w:name="_Toc13022"/>
      <w:r>
        <w:rPr>
          <w:rFonts w:hint="eastAsia" w:ascii="宋体" w:hAnsi="宋体" w:eastAsia="宋体" w:cs="宋体"/>
          <w:b/>
          <w:bCs w:val="0"/>
          <w:color w:val="auto"/>
          <w:kern w:val="2"/>
          <w:sz w:val="24"/>
          <w:szCs w:val="24"/>
          <w:highlight w:val="none"/>
          <w:lang w:val="en-US" w:eastAsia="zh-CN" w:bidi="ar"/>
        </w:rPr>
        <w:t>（3）诚信投标承诺书</w:t>
      </w:r>
      <w:bookmarkEnd w:id="71"/>
    </w:p>
    <w:p w14:paraId="19A71A21">
      <w:pPr>
        <w:keepNext w:val="0"/>
        <w:keepLines w:val="0"/>
        <w:pageBreakBefore w:val="0"/>
        <w:kinsoku/>
        <w:wordWrap/>
        <w:overflowPunct/>
        <w:topLinePunct w:val="0"/>
        <w:autoSpaceDE/>
        <w:autoSpaceDN/>
        <w:bidi w:val="0"/>
        <w:spacing w:line="440" w:lineRule="exact"/>
        <w:ind w:firstLine="435"/>
        <w:textAlignment w:val="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lang w:val="en-US" w:eastAsia="zh-CN"/>
        </w:rPr>
        <w:t>本人以企业法定代表人的身份郑重承诺：</w:t>
      </w:r>
    </w:p>
    <w:p w14:paraId="731B573C">
      <w:pPr>
        <w:keepNext w:val="0"/>
        <w:keepLines w:val="0"/>
        <w:pageBreakBefore w:val="0"/>
        <w:kinsoku/>
        <w:wordWrap/>
        <w:overflowPunct/>
        <w:topLinePunct w:val="0"/>
        <w:autoSpaceDE/>
        <w:autoSpaceDN/>
        <w:bidi w:val="0"/>
        <w:spacing w:line="440" w:lineRule="exact"/>
        <w:ind w:firstLine="435"/>
        <w:textAlignment w:val="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lang w:val="en-US" w:eastAsia="zh-CN"/>
        </w:rPr>
        <w:t>一、将遵循公开、公正和诚实信用的原则自愿参加</w:t>
      </w:r>
      <w:r>
        <w:rPr>
          <w:rFonts w:hint="eastAsia" w:ascii="宋体" w:hAnsi="宋体" w:eastAsia="宋体" w:cs="宋体"/>
          <w:color w:val="auto"/>
          <w:sz w:val="24"/>
          <w:szCs w:val="28"/>
          <w:highlight w:val="none"/>
          <w:u w:val="single"/>
          <w:lang w:val="en-US" w:eastAsia="zh-CN"/>
        </w:rPr>
        <w:t xml:space="preserve">                  </w:t>
      </w:r>
      <w:r>
        <w:rPr>
          <w:rFonts w:hint="eastAsia" w:ascii="宋体" w:hAnsi="宋体" w:eastAsia="宋体" w:cs="宋体"/>
          <w:color w:val="auto"/>
          <w:sz w:val="24"/>
          <w:szCs w:val="28"/>
          <w:highlight w:val="none"/>
          <w:lang w:val="en-US" w:eastAsia="zh-CN"/>
        </w:rPr>
        <w:t xml:space="preserve"> 项目的投标，所提供的一切材料都是真实、有效、合法的；</w:t>
      </w:r>
    </w:p>
    <w:p w14:paraId="1F2AEB07">
      <w:pPr>
        <w:keepNext w:val="0"/>
        <w:keepLines w:val="0"/>
        <w:pageBreakBefore w:val="0"/>
        <w:kinsoku/>
        <w:wordWrap/>
        <w:overflowPunct/>
        <w:topLinePunct w:val="0"/>
        <w:autoSpaceDE/>
        <w:autoSpaceDN/>
        <w:bidi w:val="0"/>
        <w:spacing w:line="440" w:lineRule="exact"/>
        <w:ind w:firstLine="435"/>
        <w:textAlignment w:val="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lang w:val="en-US" w:eastAsia="zh-CN"/>
        </w:rPr>
        <w:t>二、本单位郑重声明，根据《中华人民共和国政府采购法》及《中华人民共和国政府采购法实施条例》的规定，我公司具有良好的商业信誉和健全的财务会计制度，具有履行合同所必需的设备和专业技术能力，有依法缴纳税收和社会保障资金的良好记录；参加政府采购活动前三年内，本单位在经营活动中没有重大违法记录，没有因违法经营受到刑事处罚或者责令停产停业、吊销许可证或者执照、较大数额罚款等行政处罚。</w:t>
      </w:r>
    </w:p>
    <w:p w14:paraId="40383333">
      <w:pPr>
        <w:keepNext w:val="0"/>
        <w:keepLines w:val="0"/>
        <w:pageBreakBefore w:val="0"/>
        <w:kinsoku/>
        <w:wordWrap/>
        <w:overflowPunct/>
        <w:topLinePunct w:val="0"/>
        <w:autoSpaceDE/>
        <w:autoSpaceDN/>
        <w:bidi w:val="0"/>
        <w:spacing w:line="440" w:lineRule="exact"/>
        <w:ind w:firstLine="435"/>
        <w:textAlignment w:val="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lang w:val="en-US" w:eastAsia="zh-CN"/>
        </w:rPr>
        <w:t>三、不出借、转让资质证书，不让他人挂靠投标，不以他人名义投标或者以其他方式弄虚作假，骗取中标；</w:t>
      </w:r>
    </w:p>
    <w:p w14:paraId="4458528F">
      <w:pPr>
        <w:keepNext w:val="0"/>
        <w:keepLines w:val="0"/>
        <w:pageBreakBefore w:val="0"/>
        <w:kinsoku/>
        <w:wordWrap/>
        <w:overflowPunct/>
        <w:topLinePunct w:val="0"/>
        <w:autoSpaceDE/>
        <w:autoSpaceDN/>
        <w:bidi w:val="0"/>
        <w:spacing w:line="440" w:lineRule="exact"/>
        <w:ind w:firstLine="435"/>
        <w:textAlignment w:val="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lang w:val="en-US" w:eastAsia="zh-CN"/>
        </w:rPr>
        <w:t>四、不与其他投标人相互串通投标报价，不排挤其他投标人的公平竞争、损害招标人的合法权益；</w:t>
      </w:r>
    </w:p>
    <w:p w14:paraId="715001E5">
      <w:pPr>
        <w:keepNext w:val="0"/>
        <w:keepLines w:val="0"/>
        <w:pageBreakBefore w:val="0"/>
        <w:kinsoku/>
        <w:wordWrap/>
        <w:overflowPunct/>
        <w:topLinePunct w:val="0"/>
        <w:autoSpaceDE/>
        <w:autoSpaceDN/>
        <w:bidi w:val="0"/>
        <w:spacing w:line="440" w:lineRule="exact"/>
        <w:ind w:firstLine="435"/>
        <w:textAlignment w:val="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lang w:val="en-US" w:eastAsia="zh-CN"/>
        </w:rPr>
        <w:t>五、不与招标人、招标代理机构或其他投标人串通投标，损害国家利益、社会公共利益或者他人的合法权益；</w:t>
      </w:r>
    </w:p>
    <w:p w14:paraId="52EDAFD8">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lang w:val="en-US" w:eastAsia="zh-CN"/>
        </w:rPr>
        <w:t>六、</w:t>
      </w:r>
      <w:r>
        <w:rPr>
          <w:rFonts w:hint="eastAsia" w:ascii="宋体" w:hAnsi="宋体" w:eastAsia="宋体" w:cs="宋体"/>
          <w:color w:val="auto"/>
          <w:kern w:val="2"/>
          <w:sz w:val="24"/>
          <w:szCs w:val="24"/>
          <w:highlight w:val="none"/>
          <w:u w:val="single"/>
          <w:lang w:val="en-US" w:eastAsia="zh-CN" w:bidi="ar"/>
        </w:rPr>
        <w:t xml:space="preserve">       （企业名称）</w:t>
      </w:r>
      <w:r>
        <w:rPr>
          <w:rFonts w:hint="eastAsia" w:ascii="宋体" w:hAnsi="宋体" w:eastAsia="宋体" w:cs="宋体"/>
          <w:color w:val="auto"/>
          <w:kern w:val="2"/>
          <w:sz w:val="24"/>
          <w:szCs w:val="24"/>
          <w:highlight w:val="none"/>
          <w:lang w:val="en-US" w:eastAsia="zh-CN" w:bidi="ar"/>
        </w:rPr>
        <w:t>或</w:t>
      </w:r>
      <w:r>
        <w:rPr>
          <w:rFonts w:hint="eastAsia" w:ascii="宋体" w:hAnsi="宋体" w:eastAsia="宋体" w:cs="宋体"/>
          <w:color w:val="auto"/>
          <w:kern w:val="2"/>
          <w:sz w:val="24"/>
          <w:szCs w:val="24"/>
          <w:highlight w:val="none"/>
          <w:u w:val="single"/>
          <w:lang w:val="en-US" w:eastAsia="zh-CN" w:bidi="ar"/>
        </w:rPr>
        <w:t xml:space="preserve">       （企业名称）</w:t>
      </w:r>
      <w:r>
        <w:rPr>
          <w:rFonts w:hint="eastAsia" w:ascii="宋体" w:hAnsi="宋体" w:eastAsia="宋体" w:cs="宋体"/>
          <w:color w:val="auto"/>
          <w:kern w:val="2"/>
          <w:sz w:val="24"/>
          <w:szCs w:val="24"/>
          <w:highlight w:val="none"/>
          <w:lang w:val="en-US" w:eastAsia="zh-CN" w:bidi="ar"/>
        </w:rPr>
        <w:t>法定代表人或拟派项目经理（负责人）</w:t>
      </w:r>
      <w:r>
        <w:rPr>
          <w:rFonts w:hint="eastAsia" w:ascii="宋体" w:hAnsi="宋体" w:eastAsia="宋体" w:cs="宋体"/>
          <w:color w:val="auto"/>
          <w:sz w:val="24"/>
          <w:szCs w:val="28"/>
          <w:highlight w:val="none"/>
          <w:lang w:val="en-US" w:eastAsia="zh-CN"/>
        </w:rPr>
        <w:t>没有下列情形：①被列入“信用中国”网站“失信被执行人”的；②被列入“信用中国”网站“重大税收违法失信主体”的；③被列入“信用中国”网站 “严重失信主体名单”的；④在“信用中国”网站上披露的仍在公示期的严重失信行为(具体行为类别及判定依据见“信用中国”查询的严重失信行为类别及判定依据)的。⑤被列入国家企业信用信息公示系统网站“经营异常名录”或者“严重违法失信名单”的。⑥被列入中国政府采购网站“政府采购严重违法失信行为信息记录”的。⑦前三年有行贿犯罪行为的单位和个人。（若采购文件对投标人所属分公司、办事处等分支机构有上述1-7项信誉要求，在此一并承诺我公司所属分公司、办事处等分支机构没有上述1-7项情形）</w:t>
      </w:r>
    </w:p>
    <w:p w14:paraId="49F7FE96">
      <w:pPr>
        <w:keepNext w:val="0"/>
        <w:keepLines w:val="0"/>
        <w:pageBreakBefore w:val="0"/>
        <w:kinsoku/>
        <w:wordWrap/>
        <w:overflowPunct/>
        <w:topLinePunct w:val="0"/>
        <w:autoSpaceDE/>
        <w:autoSpaceDN/>
        <w:bidi w:val="0"/>
        <w:spacing w:line="440" w:lineRule="exact"/>
        <w:ind w:firstLine="435"/>
        <w:textAlignment w:val="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lang w:val="en-US" w:eastAsia="zh-CN"/>
        </w:rPr>
        <w:t>七、严格遵守开标现场纪律，服从监管人员管理；</w:t>
      </w:r>
    </w:p>
    <w:p w14:paraId="66AEC09F">
      <w:pPr>
        <w:keepNext w:val="0"/>
        <w:keepLines w:val="0"/>
        <w:pageBreakBefore w:val="0"/>
        <w:kinsoku/>
        <w:wordWrap/>
        <w:overflowPunct/>
        <w:topLinePunct w:val="0"/>
        <w:autoSpaceDE/>
        <w:autoSpaceDN/>
        <w:bidi w:val="0"/>
        <w:spacing w:line="440" w:lineRule="exact"/>
        <w:ind w:firstLine="435"/>
        <w:textAlignment w:val="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lang w:val="en-US" w:eastAsia="zh-CN"/>
        </w:rPr>
        <w:t>八、保证中标后不转包，若有分包征得招标人同意；</w:t>
      </w:r>
    </w:p>
    <w:p w14:paraId="244B66FC">
      <w:pPr>
        <w:keepNext w:val="0"/>
        <w:keepLines w:val="0"/>
        <w:pageBreakBefore w:val="0"/>
        <w:kinsoku/>
        <w:wordWrap/>
        <w:overflowPunct/>
        <w:topLinePunct w:val="0"/>
        <w:autoSpaceDE/>
        <w:autoSpaceDN/>
        <w:bidi w:val="0"/>
        <w:spacing w:line="440" w:lineRule="exact"/>
        <w:ind w:firstLine="435"/>
        <w:textAlignment w:val="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lang w:val="en-US" w:eastAsia="zh-CN"/>
        </w:rPr>
        <w:t>九、保证中标之后，按照投标文件要求提供相关后续服务；</w:t>
      </w:r>
    </w:p>
    <w:p w14:paraId="05B98C5B">
      <w:pPr>
        <w:keepNext w:val="0"/>
        <w:keepLines w:val="0"/>
        <w:pageBreakBefore w:val="0"/>
        <w:kinsoku/>
        <w:wordWrap/>
        <w:overflowPunct/>
        <w:topLinePunct w:val="0"/>
        <w:autoSpaceDE/>
        <w:autoSpaceDN/>
        <w:bidi w:val="0"/>
        <w:spacing w:line="440" w:lineRule="exact"/>
        <w:ind w:firstLine="435"/>
        <w:textAlignment w:val="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lang w:val="en-US" w:eastAsia="zh-CN"/>
        </w:rPr>
        <w:t>十、保证企业及所属相关人员在本次投标中无行贿等犯罪行为；</w:t>
      </w:r>
    </w:p>
    <w:p w14:paraId="68177837">
      <w:pPr>
        <w:keepNext w:val="0"/>
        <w:keepLines w:val="0"/>
        <w:pageBreakBefore w:val="0"/>
        <w:kinsoku/>
        <w:wordWrap/>
        <w:overflowPunct/>
        <w:topLinePunct w:val="0"/>
        <w:autoSpaceDE/>
        <w:autoSpaceDN/>
        <w:bidi w:val="0"/>
        <w:spacing w:line="440" w:lineRule="exact"/>
        <w:ind w:firstLine="435"/>
        <w:textAlignment w:val="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lang w:val="en-US" w:eastAsia="zh-CN"/>
        </w:rPr>
        <w:t>十一、如在投标过程和公示期间发生投诉行为，保证按照相关规定要求进行。投诉内容符合要求，投诉材料加盖企业公章或由法定代表人授权委托人签字，并附有关身份证明复印件。不恶意投诉，对本公司提供的投诉线索的真实性负责，否则愿接受有关部门的处罚。</w:t>
      </w:r>
    </w:p>
    <w:p w14:paraId="691E2050">
      <w:pPr>
        <w:keepNext w:val="0"/>
        <w:keepLines w:val="0"/>
        <w:pageBreakBefore w:val="0"/>
        <w:kinsoku/>
        <w:wordWrap/>
        <w:overflowPunct/>
        <w:topLinePunct w:val="0"/>
        <w:autoSpaceDE/>
        <w:autoSpaceDN/>
        <w:bidi w:val="0"/>
        <w:spacing w:line="440" w:lineRule="exact"/>
        <w:ind w:firstLine="435"/>
        <w:textAlignment w:val="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lang w:val="en-US" w:eastAsia="zh-CN"/>
        </w:rPr>
        <w:t>以上内容我已仔细阅读，本公司若有违反承诺内容的行为，自愿接受取消投标或者中标资格、记入不良行为记录等有关处理，愿意承担法律责任，给招标人造成损失的，依法承担赔偿责任。</w:t>
      </w:r>
    </w:p>
    <w:p w14:paraId="6571B85D">
      <w:pPr>
        <w:keepNext w:val="0"/>
        <w:keepLines w:val="0"/>
        <w:pageBreakBefore w:val="0"/>
        <w:kinsoku/>
        <w:wordWrap/>
        <w:overflowPunct/>
        <w:topLinePunct w:val="0"/>
        <w:autoSpaceDE/>
        <w:autoSpaceDN/>
        <w:bidi w:val="0"/>
        <w:spacing w:line="440" w:lineRule="exact"/>
        <w:ind w:firstLine="435"/>
        <w:textAlignment w:val="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lang w:val="en-US" w:eastAsia="zh-CN"/>
        </w:rPr>
        <w:t xml:space="preserve"> </w:t>
      </w:r>
    </w:p>
    <w:p w14:paraId="3B6FA1DC">
      <w:pPr>
        <w:keepNext w:val="0"/>
        <w:keepLines w:val="0"/>
        <w:pageBreakBefore w:val="0"/>
        <w:kinsoku/>
        <w:wordWrap/>
        <w:overflowPunct/>
        <w:topLinePunct w:val="0"/>
        <w:autoSpaceDE/>
        <w:autoSpaceDN/>
        <w:bidi w:val="0"/>
        <w:spacing w:line="440" w:lineRule="exact"/>
        <w:ind w:firstLine="435"/>
        <w:textAlignment w:val="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lang w:val="en-US" w:eastAsia="zh-CN"/>
        </w:rPr>
        <w:t>开户银行：                      基本账户：</w:t>
      </w:r>
    </w:p>
    <w:p w14:paraId="04051248">
      <w:pPr>
        <w:keepNext w:val="0"/>
        <w:keepLines w:val="0"/>
        <w:pageBreakBefore w:val="0"/>
        <w:kinsoku/>
        <w:wordWrap/>
        <w:overflowPunct/>
        <w:topLinePunct w:val="0"/>
        <w:autoSpaceDE/>
        <w:autoSpaceDN/>
        <w:bidi w:val="0"/>
        <w:spacing w:line="440" w:lineRule="exact"/>
        <w:ind w:firstLine="435"/>
        <w:textAlignment w:val="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lang w:val="en-US" w:eastAsia="zh-CN"/>
        </w:rPr>
        <w:t>投标单位（签章）：              法定代表人（签章）：</w:t>
      </w:r>
    </w:p>
    <w:p w14:paraId="58BD4E83">
      <w:pPr>
        <w:keepNext w:val="0"/>
        <w:keepLines w:val="0"/>
        <w:pageBreakBefore w:val="0"/>
        <w:kinsoku/>
        <w:wordWrap/>
        <w:overflowPunct/>
        <w:topLinePunct w:val="0"/>
        <w:autoSpaceDE/>
        <w:autoSpaceDN/>
        <w:bidi w:val="0"/>
        <w:spacing w:line="440" w:lineRule="exact"/>
        <w:ind w:firstLine="435"/>
        <w:textAlignment w:val="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lang w:val="en-US" w:eastAsia="zh-CN"/>
        </w:rPr>
        <w:t xml:space="preserve"> </w:t>
      </w:r>
    </w:p>
    <w:p w14:paraId="2D18DBF8">
      <w:pPr>
        <w:keepNext w:val="0"/>
        <w:keepLines w:val="0"/>
        <w:pageBreakBefore w:val="0"/>
        <w:kinsoku/>
        <w:wordWrap/>
        <w:overflowPunct/>
        <w:topLinePunct w:val="0"/>
        <w:autoSpaceDE/>
        <w:autoSpaceDN/>
        <w:bidi w:val="0"/>
        <w:spacing w:line="440" w:lineRule="exact"/>
        <w:ind w:firstLine="435"/>
        <w:textAlignment w:val="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lang w:val="en-US" w:eastAsia="zh-CN"/>
        </w:rPr>
        <w:t>日期：           年            月             日</w:t>
      </w:r>
    </w:p>
    <w:p w14:paraId="20015735">
      <w:pPr>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br w:type="page"/>
      </w:r>
    </w:p>
    <w:p w14:paraId="286A7032">
      <w:pPr>
        <w:keepNext w:val="0"/>
        <w:keepLines w:val="0"/>
        <w:widowControl w:val="0"/>
        <w:suppressLineNumbers w:val="0"/>
        <w:spacing w:before="0" w:beforeAutospacing="0" w:after="0" w:afterAutospacing="0"/>
        <w:ind w:left="0" w:right="0"/>
        <w:jc w:val="both"/>
        <w:rPr>
          <w:rFonts w:hint="eastAsia" w:ascii="宋体" w:hAnsi="宋体" w:eastAsia="宋体" w:cs="宋体"/>
          <w:b/>
          <w:bCs w:val="0"/>
          <w:color w:val="auto"/>
          <w:kern w:val="2"/>
          <w:sz w:val="28"/>
          <w:szCs w:val="28"/>
          <w:highlight w:val="none"/>
        </w:rPr>
      </w:pPr>
      <w:r>
        <w:rPr>
          <w:rFonts w:hint="eastAsia" w:ascii="宋体" w:hAnsi="宋体" w:eastAsia="宋体" w:cs="宋体"/>
          <w:b/>
          <w:bCs w:val="0"/>
          <w:color w:val="auto"/>
          <w:kern w:val="2"/>
          <w:sz w:val="28"/>
          <w:szCs w:val="28"/>
          <w:highlight w:val="none"/>
          <w:lang w:val="en-US" w:eastAsia="zh-CN" w:bidi="ar"/>
        </w:rPr>
        <w:t>二、商务标格式文件</w:t>
      </w:r>
    </w:p>
    <w:p w14:paraId="01A09739">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0"/>
          <w:szCs w:val="20"/>
          <w:highlight w:val="none"/>
        </w:rPr>
      </w:pPr>
      <w:r>
        <w:rPr>
          <w:rFonts w:hint="eastAsia" w:ascii="宋体" w:hAnsi="宋体" w:eastAsia="宋体" w:cs="宋体"/>
          <w:color w:val="auto"/>
          <w:kern w:val="2"/>
          <w:sz w:val="20"/>
          <w:szCs w:val="20"/>
          <w:highlight w:val="none"/>
          <w:lang w:val="en-US" w:eastAsia="zh-CN" w:bidi="ar"/>
        </w:rPr>
        <w:t xml:space="preserve"> </w:t>
      </w:r>
    </w:p>
    <w:p w14:paraId="1AABA5E5">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0"/>
          <w:szCs w:val="20"/>
          <w:highlight w:val="none"/>
        </w:rPr>
      </w:pPr>
      <w:r>
        <w:rPr>
          <w:rFonts w:hint="eastAsia" w:ascii="宋体" w:hAnsi="宋体" w:eastAsia="宋体" w:cs="宋体"/>
          <w:color w:val="auto"/>
          <w:kern w:val="2"/>
          <w:sz w:val="20"/>
          <w:szCs w:val="20"/>
          <w:highlight w:val="none"/>
          <w:lang w:val="en-US" w:eastAsia="zh-CN" w:bidi="ar"/>
        </w:rPr>
        <w:t xml:space="preserve"> </w:t>
      </w:r>
    </w:p>
    <w:p w14:paraId="0D1B75DE">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auto"/>
          <w:kern w:val="2"/>
          <w:sz w:val="44"/>
          <w:szCs w:val="44"/>
          <w:highlight w:val="none"/>
        </w:rPr>
      </w:pPr>
      <w:r>
        <w:rPr>
          <w:rFonts w:hint="eastAsia" w:ascii="宋体" w:hAnsi="宋体" w:eastAsia="宋体" w:cs="宋体"/>
          <w:b/>
          <w:bCs w:val="0"/>
          <w:color w:val="auto"/>
          <w:kern w:val="2"/>
          <w:sz w:val="44"/>
          <w:szCs w:val="44"/>
          <w:highlight w:val="none"/>
          <w:lang w:val="en-US" w:eastAsia="zh-CN" w:bidi="ar"/>
        </w:rPr>
        <w:t xml:space="preserve"> </w:t>
      </w:r>
    </w:p>
    <w:p w14:paraId="3A238F95">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auto"/>
          <w:kern w:val="2"/>
          <w:sz w:val="44"/>
          <w:szCs w:val="44"/>
          <w:highlight w:val="none"/>
        </w:rPr>
      </w:pPr>
      <w:r>
        <w:rPr>
          <w:rFonts w:hint="eastAsia" w:ascii="宋体" w:hAnsi="宋体" w:eastAsia="宋体" w:cs="宋体"/>
          <w:b/>
          <w:bCs w:val="0"/>
          <w:color w:val="auto"/>
          <w:kern w:val="2"/>
          <w:sz w:val="44"/>
          <w:szCs w:val="44"/>
          <w:highlight w:val="none"/>
          <w:lang w:val="en-US" w:eastAsia="zh-CN" w:bidi="ar"/>
        </w:rPr>
        <w:t xml:space="preserve"> </w:t>
      </w:r>
    </w:p>
    <w:p w14:paraId="41ABFA77">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auto"/>
          <w:kern w:val="2"/>
          <w:sz w:val="44"/>
          <w:szCs w:val="44"/>
          <w:highlight w:val="none"/>
        </w:rPr>
      </w:pPr>
      <w:r>
        <w:rPr>
          <w:rFonts w:hint="eastAsia" w:ascii="宋体" w:hAnsi="宋体" w:eastAsia="宋体" w:cs="宋体"/>
          <w:b/>
          <w:bCs w:val="0"/>
          <w:color w:val="auto"/>
          <w:kern w:val="2"/>
          <w:sz w:val="44"/>
          <w:szCs w:val="44"/>
          <w:highlight w:val="none"/>
          <w:lang w:val="en-US" w:eastAsia="zh-CN" w:bidi="ar"/>
        </w:rPr>
        <w:t>技术标</w:t>
      </w:r>
    </w:p>
    <w:p w14:paraId="64419A8A">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32"/>
          <w:szCs w:val="32"/>
          <w:highlight w:val="none"/>
        </w:rPr>
      </w:pPr>
      <w:r>
        <w:rPr>
          <w:rFonts w:hint="eastAsia" w:ascii="宋体" w:hAnsi="宋体" w:eastAsia="宋体" w:cs="宋体"/>
          <w:color w:val="auto"/>
          <w:kern w:val="2"/>
          <w:sz w:val="32"/>
          <w:szCs w:val="32"/>
          <w:highlight w:val="none"/>
          <w:lang w:val="en-US" w:eastAsia="zh-CN" w:bidi="ar"/>
        </w:rPr>
        <w:t>（投标文件二）</w:t>
      </w:r>
    </w:p>
    <w:p w14:paraId="655909CD">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32"/>
          <w:szCs w:val="32"/>
          <w:highlight w:val="none"/>
          <w:u w:val="single"/>
        </w:rPr>
      </w:pPr>
    </w:p>
    <w:p w14:paraId="0D8060DE">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32"/>
          <w:szCs w:val="32"/>
          <w:highlight w:val="none"/>
        </w:rPr>
      </w:pPr>
      <w:r>
        <w:rPr>
          <w:rFonts w:hint="eastAsia" w:ascii="宋体" w:hAnsi="宋体" w:eastAsia="宋体" w:cs="宋体"/>
          <w:color w:val="auto"/>
          <w:kern w:val="2"/>
          <w:sz w:val="32"/>
          <w:szCs w:val="32"/>
          <w:highlight w:val="none"/>
          <w:u w:val="single"/>
          <w:lang w:val="en-US" w:eastAsia="zh-CN" w:bidi="ar"/>
        </w:rPr>
        <w:t xml:space="preserve">        </w:t>
      </w:r>
      <w:r>
        <w:rPr>
          <w:rFonts w:hint="eastAsia" w:ascii="宋体" w:hAnsi="宋体" w:eastAsia="宋体" w:cs="宋体"/>
          <w:color w:val="auto"/>
          <w:kern w:val="2"/>
          <w:sz w:val="32"/>
          <w:szCs w:val="32"/>
          <w:highlight w:val="none"/>
          <w:lang w:val="en-US" w:eastAsia="zh-CN" w:bidi="ar"/>
        </w:rPr>
        <w:t>项目</w:t>
      </w:r>
    </w:p>
    <w:p w14:paraId="17E8BFFB">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lang w:val="en-US" w:eastAsia="zh-CN" w:bidi="ar"/>
        </w:rPr>
        <w:t xml:space="preserve"> </w:t>
      </w:r>
    </w:p>
    <w:p w14:paraId="39F52B75">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44"/>
          <w:szCs w:val="44"/>
          <w:highlight w:val="none"/>
        </w:rPr>
      </w:pPr>
      <w:r>
        <w:rPr>
          <w:rFonts w:hint="eastAsia" w:ascii="宋体" w:hAnsi="宋体" w:eastAsia="宋体" w:cs="宋体"/>
          <w:color w:val="auto"/>
          <w:kern w:val="2"/>
          <w:sz w:val="28"/>
          <w:szCs w:val="28"/>
          <w:highlight w:val="none"/>
          <w:lang w:val="en-US" w:eastAsia="zh-CN" w:bidi="ar"/>
        </w:rPr>
        <w:t>项目编号：</w:t>
      </w:r>
      <w:r>
        <w:rPr>
          <w:rFonts w:hint="eastAsia" w:ascii="宋体" w:hAnsi="宋体" w:eastAsia="宋体" w:cs="宋体"/>
          <w:color w:val="auto"/>
          <w:kern w:val="2"/>
          <w:sz w:val="28"/>
          <w:szCs w:val="28"/>
          <w:highlight w:val="none"/>
          <w:u w:val="single"/>
          <w:lang w:val="en-US" w:eastAsia="zh-CN" w:bidi="ar"/>
        </w:rPr>
        <w:t xml:space="preserve">     </w:t>
      </w:r>
    </w:p>
    <w:p w14:paraId="1BC33A07">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lang w:val="en-US" w:eastAsia="zh-CN" w:bidi="ar"/>
        </w:rPr>
        <w:t xml:space="preserve"> </w:t>
      </w:r>
    </w:p>
    <w:p w14:paraId="273CEAAD">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lang w:val="en-US" w:eastAsia="zh-CN" w:bidi="ar"/>
        </w:rPr>
        <w:t xml:space="preserve"> </w:t>
      </w:r>
    </w:p>
    <w:p w14:paraId="3EB5C4AC">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8"/>
          <w:szCs w:val="28"/>
          <w:highlight w:val="none"/>
          <w:lang w:val="en-US" w:eastAsia="zh-CN" w:bidi="ar"/>
        </w:rPr>
      </w:pPr>
      <w:r>
        <w:rPr>
          <w:rFonts w:hint="eastAsia" w:ascii="宋体" w:hAnsi="宋体" w:eastAsia="宋体" w:cs="宋体"/>
          <w:color w:val="auto"/>
          <w:kern w:val="2"/>
          <w:sz w:val="28"/>
          <w:szCs w:val="28"/>
          <w:highlight w:val="none"/>
          <w:lang w:val="en-US" w:eastAsia="zh-CN" w:bidi="ar"/>
        </w:rPr>
        <w:t xml:space="preserve"> </w:t>
      </w:r>
    </w:p>
    <w:p w14:paraId="298694B9">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8"/>
          <w:szCs w:val="28"/>
          <w:highlight w:val="none"/>
          <w:lang w:val="en-US" w:eastAsia="zh-CN" w:bidi="ar"/>
        </w:rPr>
      </w:pPr>
    </w:p>
    <w:p w14:paraId="0C74289D">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8"/>
          <w:szCs w:val="28"/>
          <w:highlight w:val="none"/>
          <w:lang w:val="en-US" w:eastAsia="zh-CN" w:bidi="ar"/>
        </w:rPr>
      </w:pPr>
    </w:p>
    <w:p w14:paraId="2C1FEC2B">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lang w:val="en-US" w:eastAsia="zh-CN" w:bidi="ar"/>
        </w:rPr>
        <w:t xml:space="preserve"> </w:t>
      </w:r>
    </w:p>
    <w:p w14:paraId="75B67E96">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lang w:val="en-US" w:eastAsia="zh-CN" w:bidi="ar"/>
        </w:rPr>
        <w:t xml:space="preserve"> </w:t>
      </w:r>
    </w:p>
    <w:p w14:paraId="511DF768">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lang w:val="en-US" w:eastAsia="zh-CN" w:bidi="ar"/>
        </w:rPr>
        <w:t xml:space="preserve"> </w:t>
      </w:r>
    </w:p>
    <w:p w14:paraId="232CB885">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lang w:val="en-US" w:eastAsia="zh-CN" w:bidi="ar"/>
        </w:rPr>
        <w:t xml:space="preserve"> </w:t>
      </w:r>
    </w:p>
    <w:p w14:paraId="5980D886">
      <w:pPr>
        <w:keepNext w:val="0"/>
        <w:keepLines w:val="0"/>
        <w:widowControl w:val="0"/>
        <w:suppressLineNumbers w:val="0"/>
        <w:autoSpaceDE w:val="0"/>
        <w:autoSpaceDN/>
        <w:spacing w:before="0" w:beforeAutospacing="0" w:after="0" w:afterAutospacing="0" w:line="360" w:lineRule="auto"/>
        <w:ind w:left="0" w:right="0"/>
        <w:jc w:val="center"/>
        <w:rPr>
          <w:rFonts w:hint="eastAsia" w:ascii="宋体" w:hAnsi="宋体" w:eastAsia="宋体" w:cs="宋体"/>
          <w:color w:val="auto"/>
          <w:kern w:val="2"/>
          <w:sz w:val="28"/>
          <w:szCs w:val="28"/>
          <w:highlight w:val="none"/>
          <w:u w:val="single"/>
        </w:rPr>
      </w:pPr>
      <w:r>
        <w:rPr>
          <w:rFonts w:hint="eastAsia" w:ascii="宋体" w:hAnsi="宋体" w:eastAsia="宋体" w:cs="宋体"/>
          <w:color w:val="auto"/>
          <w:kern w:val="2"/>
          <w:sz w:val="28"/>
          <w:szCs w:val="28"/>
          <w:highlight w:val="none"/>
          <w:lang w:val="en-US" w:eastAsia="zh-CN" w:bidi="ar"/>
        </w:rPr>
        <w:t>投标人：</w:t>
      </w:r>
      <w:r>
        <w:rPr>
          <w:rFonts w:hint="eastAsia" w:ascii="宋体" w:hAnsi="宋体" w:eastAsia="宋体" w:cs="宋体"/>
          <w:color w:val="auto"/>
          <w:kern w:val="2"/>
          <w:sz w:val="28"/>
          <w:szCs w:val="28"/>
          <w:highlight w:val="none"/>
          <w:u w:val="single"/>
          <w:lang w:val="en-US" w:eastAsia="zh-CN" w:bidi="ar"/>
        </w:rPr>
        <w:t xml:space="preserve">                           </w:t>
      </w:r>
      <w:r>
        <w:rPr>
          <w:rFonts w:hint="eastAsia" w:ascii="宋体" w:hAnsi="宋体" w:eastAsia="宋体" w:cs="宋体"/>
          <w:color w:val="auto"/>
          <w:kern w:val="2"/>
          <w:sz w:val="28"/>
          <w:szCs w:val="28"/>
          <w:highlight w:val="none"/>
          <w:lang w:val="en-US" w:eastAsia="zh-CN" w:bidi="ar"/>
        </w:rPr>
        <w:t>（签章）</w:t>
      </w:r>
    </w:p>
    <w:p w14:paraId="051F9215">
      <w:pPr>
        <w:keepNext w:val="0"/>
        <w:keepLines w:val="0"/>
        <w:widowControl w:val="0"/>
        <w:suppressLineNumbers w:val="0"/>
        <w:autoSpaceDE w:val="0"/>
        <w:autoSpaceDN/>
        <w:spacing w:before="0" w:beforeAutospacing="0" w:after="0" w:afterAutospacing="0" w:line="360" w:lineRule="auto"/>
        <w:ind w:left="0" w:right="0"/>
        <w:jc w:val="center"/>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lang w:val="en-US" w:eastAsia="zh-CN" w:bidi="ar"/>
        </w:rPr>
        <w:t>法定代表人：</w:t>
      </w:r>
      <w:r>
        <w:rPr>
          <w:rFonts w:hint="eastAsia" w:ascii="宋体" w:hAnsi="宋体" w:eastAsia="宋体" w:cs="宋体"/>
          <w:color w:val="auto"/>
          <w:kern w:val="2"/>
          <w:sz w:val="28"/>
          <w:szCs w:val="28"/>
          <w:highlight w:val="none"/>
          <w:u w:val="single"/>
          <w:lang w:val="en-US" w:eastAsia="zh-CN" w:bidi="ar"/>
        </w:rPr>
        <w:t xml:space="preserve">                       </w:t>
      </w:r>
      <w:r>
        <w:rPr>
          <w:rFonts w:hint="eastAsia" w:ascii="宋体" w:hAnsi="宋体" w:eastAsia="宋体" w:cs="宋体"/>
          <w:color w:val="auto"/>
          <w:kern w:val="2"/>
          <w:sz w:val="28"/>
          <w:szCs w:val="28"/>
          <w:highlight w:val="none"/>
          <w:lang w:val="en-US" w:eastAsia="zh-CN" w:bidi="ar"/>
        </w:rPr>
        <w:t>（签章）</w:t>
      </w:r>
    </w:p>
    <w:p w14:paraId="6CB41106">
      <w:pPr>
        <w:keepNext w:val="0"/>
        <w:keepLines w:val="0"/>
        <w:widowControl w:val="0"/>
        <w:suppressLineNumbers w:val="0"/>
        <w:autoSpaceDE w:val="0"/>
        <w:autoSpaceDN/>
        <w:spacing w:before="0" w:beforeAutospacing="0" w:after="0" w:afterAutospacing="0" w:line="360" w:lineRule="auto"/>
        <w:ind w:left="0" w:right="0"/>
        <w:jc w:val="center"/>
        <w:rPr>
          <w:rFonts w:hint="eastAsia" w:ascii="宋体" w:hAnsi="宋体" w:eastAsia="宋体" w:cs="宋体"/>
          <w:color w:val="auto"/>
          <w:kern w:val="2"/>
          <w:sz w:val="28"/>
          <w:szCs w:val="28"/>
          <w:highlight w:val="none"/>
          <w:lang w:val="en-US" w:eastAsia="zh-CN" w:bidi="ar"/>
        </w:rPr>
      </w:pPr>
      <w:r>
        <w:rPr>
          <w:rFonts w:hint="eastAsia" w:ascii="宋体" w:hAnsi="宋体" w:eastAsia="宋体" w:cs="宋体"/>
          <w:color w:val="auto"/>
          <w:kern w:val="2"/>
          <w:sz w:val="28"/>
          <w:szCs w:val="28"/>
          <w:highlight w:val="none"/>
          <w:u w:val="single"/>
          <w:lang w:val="en-US" w:eastAsia="zh-CN" w:bidi="ar"/>
        </w:rPr>
        <w:t xml:space="preserve">        </w:t>
      </w:r>
      <w:r>
        <w:rPr>
          <w:rFonts w:hint="eastAsia" w:ascii="宋体" w:hAnsi="宋体" w:eastAsia="宋体" w:cs="宋体"/>
          <w:color w:val="auto"/>
          <w:kern w:val="2"/>
          <w:sz w:val="28"/>
          <w:szCs w:val="28"/>
          <w:highlight w:val="none"/>
          <w:lang w:val="en-US" w:eastAsia="zh-CN" w:bidi="ar"/>
        </w:rPr>
        <w:t>年</w:t>
      </w:r>
      <w:r>
        <w:rPr>
          <w:rFonts w:hint="eastAsia" w:ascii="宋体" w:hAnsi="宋体" w:eastAsia="宋体" w:cs="宋体"/>
          <w:color w:val="auto"/>
          <w:kern w:val="2"/>
          <w:sz w:val="28"/>
          <w:szCs w:val="28"/>
          <w:highlight w:val="none"/>
          <w:u w:val="single"/>
          <w:lang w:val="en-US" w:eastAsia="zh-CN" w:bidi="ar"/>
        </w:rPr>
        <w:t xml:space="preserve">        </w:t>
      </w:r>
      <w:r>
        <w:rPr>
          <w:rFonts w:hint="eastAsia" w:ascii="宋体" w:hAnsi="宋体" w:eastAsia="宋体" w:cs="宋体"/>
          <w:color w:val="auto"/>
          <w:kern w:val="2"/>
          <w:sz w:val="28"/>
          <w:szCs w:val="28"/>
          <w:highlight w:val="none"/>
          <w:lang w:val="en-US" w:eastAsia="zh-CN" w:bidi="ar"/>
        </w:rPr>
        <w:t>月</w:t>
      </w:r>
      <w:r>
        <w:rPr>
          <w:rFonts w:hint="eastAsia" w:ascii="宋体" w:hAnsi="宋体" w:eastAsia="宋体" w:cs="宋体"/>
          <w:color w:val="auto"/>
          <w:kern w:val="2"/>
          <w:sz w:val="28"/>
          <w:szCs w:val="28"/>
          <w:highlight w:val="none"/>
          <w:u w:val="single"/>
          <w:lang w:val="en-US" w:eastAsia="zh-CN" w:bidi="ar"/>
        </w:rPr>
        <w:t xml:space="preserve">        </w:t>
      </w:r>
      <w:r>
        <w:rPr>
          <w:rFonts w:hint="eastAsia" w:ascii="宋体" w:hAnsi="宋体" w:eastAsia="宋体" w:cs="宋体"/>
          <w:color w:val="auto"/>
          <w:kern w:val="2"/>
          <w:sz w:val="28"/>
          <w:szCs w:val="28"/>
          <w:highlight w:val="none"/>
          <w:lang w:val="en-US" w:eastAsia="zh-CN" w:bidi="ar"/>
        </w:rPr>
        <w:t>日</w:t>
      </w:r>
    </w:p>
    <w:p w14:paraId="2C0B2DAE">
      <w:pPr>
        <w:rPr>
          <w:rFonts w:hint="eastAsia" w:ascii="宋体" w:hAnsi="宋体" w:eastAsia="宋体" w:cs="宋体"/>
          <w:color w:val="auto"/>
          <w:kern w:val="2"/>
          <w:sz w:val="28"/>
          <w:szCs w:val="28"/>
          <w:highlight w:val="none"/>
          <w:lang w:val="en-US" w:eastAsia="zh-CN" w:bidi="ar"/>
        </w:rPr>
      </w:pPr>
      <w:r>
        <w:rPr>
          <w:rFonts w:hint="eastAsia" w:ascii="宋体" w:hAnsi="宋体" w:eastAsia="宋体" w:cs="宋体"/>
          <w:color w:val="auto"/>
          <w:kern w:val="2"/>
          <w:sz w:val="28"/>
          <w:szCs w:val="28"/>
          <w:highlight w:val="none"/>
          <w:lang w:val="en-US" w:eastAsia="zh-CN" w:bidi="ar"/>
        </w:rPr>
        <w:br w:type="page"/>
      </w:r>
    </w:p>
    <w:p w14:paraId="147451CC">
      <w:pPr>
        <w:keepNext w:val="0"/>
        <w:keepLines w:val="0"/>
        <w:widowControl w:val="0"/>
        <w:suppressLineNumbers w:val="0"/>
        <w:spacing w:before="0" w:beforeAutospacing="0" w:after="0" w:afterAutospacing="0" w:line="400" w:lineRule="exact"/>
        <w:ind w:left="0" w:right="0" w:firstLine="3379" w:firstLineChars="935"/>
        <w:jc w:val="left"/>
        <w:rPr>
          <w:rFonts w:hint="eastAsia" w:ascii="宋体" w:hAnsi="宋体" w:eastAsia="宋体" w:cs="宋体"/>
          <w:b/>
          <w:bCs w:val="0"/>
          <w:color w:val="auto"/>
          <w:kern w:val="2"/>
          <w:sz w:val="36"/>
          <w:szCs w:val="36"/>
          <w:highlight w:val="none"/>
        </w:rPr>
      </w:pPr>
      <w:r>
        <w:rPr>
          <w:rFonts w:hint="eastAsia" w:ascii="宋体" w:hAnsi="宋体" w:eastAsia="宋体" w:cs="宋体"/>
          <w:b/>
          <w:bCs w:val="0"/>
          <w:color w:val="auto"/>
          <w:kern w:val="2"/>
          <w:sz w:val="36"/>
          <w:szCs w:val="36"/>
          <w:highlight w:val="none"/>
          <w:lang w:val="en-US" w:eastAsia="zh-CN" w:bidi="ar"/>
        </w:rPr>
        <w:t>目   录</w:t>
      </w:r>
    </w:p>
    <w:p w14:paraId="573CAD82">
      <w:pPr>
        <w:keepNext w:val="0"/>
        <w:keepLines w:val="0"/>
        <w:widowControl w:val="0"/>
        <w:suppressLineNumbers w:val="0"/>
        <w:spacing w:before="0" w:beforeAutospacing="0" w:after="0" w:afterAutospacing="0" w:line="400" w:lineRule="exact"/>
        <w:ind w:left="0" w:right="0" w:firstLine="4130" w:firstLineChars="935"/>
        <w:jc w:val="both"/>
        <w:rPr>
          <w:rFonts w:hint="eastAsia" w:ascii="宋体" w:hAnsi="宋体" w:eastAsia="宋体" w:cs="宋体"/>
          <w:b/>
          <w:bCs w:val="0"/>
          <w:color w:val="auto"/>
          <w:kern w:val="2"/>
          <w:sz w:val="44"/>
          <w:szCs w:val="44"/>
          <w:highlight w:val="none"/>
        </w:rPr>
      </w:pPr>
      <w:r>
        <w:rPr>
          <w:rFonts w:hint="eastAsia" w:ascii="宋体" w:hAnsi="宋体" w:eastAsia="宋体" w:cs="宋体"/>
          <w:b/>
          <w:bCs w:val="0"/>
          <w:color w:val="auto"/>
          <w:kern w:val="2"/>
          <w:sz w:val="44"/>
          <w:szCs w:val="44"/>
          <w:highlight w:val="none"/>
          <w:lang w:val="en-US" w:eastAsia="zh-CN" w:bidi="ar"/>
        </w:rPr>
        <w:t xml:space="preserve"> </w:t>
      </w:r>
    </w:p>
    <w:p w14:paraId="674960E3">
      <w:pPr>
        <w:keepNext w:val="0"/>
        <w:keepLines w:val="0"/>
        <w:widowControl w:val="0"/>
        <w:suppressLineNumbers w:val="0"/>
        <w:spacing w:before="0" w:beforeAutospacing="0" w:after="0" w:afterAutospacing="0" w:line="440" w:lineRule="exact"/>
        <w:ind w:left="420" w:right="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（1）投标响应表（格式见附件）；</w:t>
      </w:r>
    </w:p>
    <w:p w14:paraId="7BE3677D">
      <w:pPr>
        <w:keepNext w:val="0"/>
        <w:keepLines w:val="0"/>
        <w:widowControl w:val="0"/>
        <w:suppressLineNumbers w:val="0"/>
        <w:spacing w:before="0" w:beforeAutospacing="0" w:after="0" w:afterAutospacing="0" w:line="440" w:lineRule="exact"/>
        <w:ind w:left="420" w:right="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（2）诚信履约承诺函（格式见附件）；</w:t>
      </w:r>
    </w:p>
    <w:p w14:paraId="0EAD6AB2">
      <w:pPr>
        <w:keepNext w:val="0"/>
        <w:keepLines w:val="0"/>
        <w:widowControl w:val="0"/>
        <w:suppressLineNumbers w:val="0"/>
        <w:spacing w:before="0" w:beforeAutospacing="0" w:after="0" w:afterAutospacing="0" w:line="440" w:lineRule="exact"/>
        <w:ind w:left="420" w:right="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（3）招标文件中要求的技术标评审及技术标评分的支持资料；</w:t>
      </w:r>
    </w:p>
    <w:p w14:paraId="7EA54125">
      <w:pPr>
        <w:keepNext w:val="0"/>
        <w:keepLines w:val="0"/>
        <w:widowControl w:val="0"/>
        <w:suppressLineNumbers w:val="0"/>
        <w:spacing w:before="0" w:beforeAutospacing="0" w:after="0" w:afterAutospacing="0" w:line="440" w:lineRule="exact"/>
        <w:ind w:left="420" w:right="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（4）投标人认为需要提供的其他材料。</w:t>
      </w:r>
    </w:p>
    <w:p w14:paraId="6AD03931">
      <w:pPr>
        <w:keepNext w:val="0"/>
        <w:keepLines w:val="0"/>
        <w:widowControl w:val="0"/>
        <w:suppressLineNumbers w:val="0"/>
        <w:autoSpaceDE w:val="0"/>
        <w:autoSpaceDN/>
        <w:spacing w:before="0" w:beforeAutospacing="0" w:after="0" w:afterAutospacing="0" w:line="360" w:lineRule="auto"/>
        <w:ind w:left="0" w:right="0"/>
        <w:jc w:val="center"/>
        <w:rPr>
          <w:rFonts w:hint="eastAsia" w:ascii="宋体" w:hAnsi="宋体" w:eastAsia="宋体" w:cs="宋体"/>
          <w:color w:val="auto"/>
          <w:kern w:val="2"/>
          <w:sz w:val="28"/>
          <w:szCs w:val="28"/>
          <w:highlight w:val="none"/>
          <w:lang w:val="en-US" w:eastAsia="zh-CN" w:bidi="ar"/>
        </w:rPr>
      </w:pPr>
    </w:p>
    <w:p w14:paraId="49F45BAE">
      <w:pPr>
        <w:keepNext w:val="0"/>
        <w:keepLines w:val="0"/>
        <w:pageBreakBefore/>
        <w:widowControl w:val="0"/>
        <w:kinsoku/>
        <w:wordWrap/>
        <w:overflowPunct/>
        <w:topLinePunct w:val="0"/>
        <w:autoSpaceDE/>
        <w:autoSpaceDN/>
        <w:bidi w:val="0"/>
        <w:adjustRightInd/>
        <w:snapToGrid/>
        <w:spacing w:line="360" w:lineRule="auto"/>
        <w:jc w:val="center"/>
        <w:textAlignment w:val="auto"/>
        <w:outlineLvl w:val="1"/>
        <w:rPr>
          <w:rFonts w:hint="default" w:asciiTheme="minorEastAsia" w:hAnsiTheme="minorEastAsia" w:eastAsiaTheme="minorEastAsia"/>
          <w:b/>
          <w:color w:val="auto"/>
          <w:sz w:val="24"/>
          <w:highlight w:val="none"/>
          <w:lang w:val="en-US" w:eastAsia="zh-CN"/>
        </w:rPr>
      </w:pPr>
      <w:bookmarkStart w:id="72" w:name="_Toc2906"/>
      <w:bookmarkStart w:id="73" w:name="_Toc11940"/>
      <w:bookmarkStart w:id="74" w:name="_Toc20329"/>
      <w:r>
        <w:rPr>
          <w:rFonts w:hint="eastAsia" w:asciiTheme="minorEastAsia" w:hAnsiTheme="minorEastAsia" w:eastAsiaTheme="minorEastAsia"/>
          <w:b/>
          <w:color w:val="auto"/>
          <w:sz w:val="24"/>
          <w:highlight w:val="none"/>
          <w:lang w:eastAsia="zh-CN"/>
        </w:rPr>
        <w:t>（</w:t>
      </w:r>
      <w:r>
        <w:rPr>
          <w:rFonts w:hint="eastAsia" w:asciiTheme="minorEastAsia" w:hAnsiTheme="minorEastAsia" w:eastAsiaTheme="minorEastAsia"/>
          <w:b/>
          <w:color w:val="auto"/>
          <w:sz w:val="24"/>
          <w:highlight w:val="none"/>
          <w:lang w:val="en-US" w:eastAsia="zh-CN"/>
        </w:rPr>
        <w:t>1）</w:t>
      </w:r>
      <w:r>
        <w:rPr>
          <w:rFonts w:hint="eastAsia" w:asciiTheme="minorEastAsia" w:hAnsiTheme="minorEastAsia" w:eastAsiaTheme="minorEastAsia"/>
          <w:b/>
          <w:color w:val="auto"/>
          <w:sz w:val="24"/>
          <w:highlight w:val="none"/>
        </w:rPr>
        <w:t>投标响应表</w:t>
      </w:r>
      <w:bookmarkEnd w:id="72"/>
      <w:bookmarkEnd w:id="73"/>
      <w:bookmarkEnd w:id="74"/>
    </w:p>
    <w:p w14:paraId="06736B2B">
      <w:pPr>
        <w:spacing w:line="360" w:lineRule="auto"/>
        <w:ind w:firstLine="435"/>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6</w:t>
      </w:r>
      <w:r>
        <w:rPr>
          <w:rFonts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rPr>
        <w:t>商务响应表</w:t>
      </w:r>
    </w:p>
    <w:tbl>
      <w:tblPr>
        <w:tblStyle w:val="2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7"/>
        <w:gridCol w:w="2089"/>
        <w:gridCol w:w="2723"/>
        <w:gridCol w:w="2806"/>
        <w:gridCol w:w="883"/>
      </w:tblGrid>
      <w:tr w14:paraId="5ECEC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24" w:type="pct"/>
            <w:vAlign w:val="center"/>
          </w:tcPr>
          <w:p w14:paraId="7C645B68">
            <w:pPr>
              <w:pStyle w:val="12"/>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序号</w:t>
            </w:r>
          </w:p>
        </w:tc>
        <w:tc>
          <w:tcPr>
            <w:tcW w:w="1124" w:type="pct"/>
            <w:vAlign w:val="center"/>
          </w:tcPr>
          <w:p w14:paraId="7EA4D93C">
            <w:pPr>
              <w:pStyle w:val="12"/>
              <w:jc w:val="center"/>
              <w:rPr>
                <w:rFonts w:cs="Wingdings" w:asciiTheme="minorEastAsia" w:hAnsiTheme="minorEastAsia"/>
                <w:b/>
                <w:color w:val="auto"/>
                <w:sz w:val="24"/>
                <w:highlight w:val="none"/>
              </w:rPr>
            </w:pPr>
            <w:r>
              <w:rPr>
                <w:rFonts w:hint="eastAsia" w:asciiTheme="minorEastAsia" w:hAnsiTheme="minorEastAsia"/>
                <w:b/>
                <w:bCs/>
                <w:color w:val="auto"/>
                <w:sz w:val="24"/>
                <w:szCs w:val="24"/>
                <w:highlight w:val="none"/>
              </w:rPr>
              <w:t>商务条款</w:t>
            </w:r>
          </w:p>
        </w:tc>
        <w:tc>
          <w:tcPr>
            <w:tcW w:w="1465" w:type="pct"/>
            <w:vAlign w:val="center"/>
          </w:tcPr>
          <w:p w14:paraId="4EF196FF">
            <w:pPr>
              <w:pStyle w:val="12"/>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招标文件要求</w:t>
            </w:r>
          </w:p>
        </w:tc>
        <w:tc>
          <w:tcPr>
            <w:tcW w:w="1510" w:type="pct"/>
            <w:vAlign w:val="center"/>
          </w:tcPr>
          <w:p w14:paraId="256292B9">
            <w:pPr>
              <w:pStyle w:val="12"/>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投标人承诺</w:t>
            </w:r>
          </w:p>
        </w:tc>
        <w:tc>
          <w:tcPr>
            <w:tcW w:w="475" w:type="pct"/>
            <w:vAlign w:val="center"/>
          </w:tcPr>
          <w:p w14:paraId="79DC9D6C">
            <w:pPr>
              <w:pStyle w:val="12"/>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偏离说明</w:t>
            </w:r>
          </w:p>
        </w:tc>
      </w:tr>
      <w:tr w14:paraId="6DBB2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47B26AA6">
            <w:pPr>
              <w:jc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p>
        </w:tc>
        <w:tc>
          <w:tcPr>
            <w:tcW w:w="1124" w:type="pct"/>
            <w:vAlign w:val="center"/>
          </w:tcPr>
          <w:p w14:paraId="7DCA2DAB">
            <w:pPr>
              <w:jc w:val="center"/>
              <w:rPr>
                <w:rFonts w:ascii="宋体" w:hAnsi="宋体" w:eastAsia="宋体"/>
                <w:color w:val="auto"/>
                <w:sz w:val="24"/>
                <w:highlight w:val="none"/>
              </w:rPr>
            </w:pPr>
            <w:r>
              <w:rPr>
                <w:rFonts w:asciiTheme="minorEastAsia" w:hAnsiTheme="minorEastAsia" w:eastAsiaTheme="minorEastAsia"/>
                <w:color w:val="auto"/>
                <w:sz w:val="24"/>
                <w:highlight w:val="none"/>
              </w:rPr>
              <w:t>付款方式</w:t>
            </w:r>
          </w:p>
        </w:tc>
        <w:tc>
          <w:tcPr>
            <w:tcW w:w="1465" w:type="pct"/>
            <w:vAlign w:val="center"/>
          </w:tcPr>
          <w:p w14:paraId="36A3120D">
            <w:pPr>
              <w:jc w:val="center"/>
              <w:rPr>
                <w:rFonts w:asciiTheme="minorEastAsia" w:hAnsiTheme="minorEastAsia" w:eastAsiaTheme="minorEastAsia"/>
                <w:color w:val="auto"/>
                <w:sz w:val="24"/>
                <w:highlight w:val="none"/>
              </w:rPr>
            </w:pPr>
          </w:p>
        </w:tc>
        <w:tc>
          <w:tcPr>
            <w:tcW w:w="1510" w:type="pct"/>
            <w:vAlign w:val="center"/>
          </w:tcPr>
          <w:p w14:paraId="7B46ABD8">
            <w:pPr>
              <w:jc w:val="center"/>
              <w:rPr>
                <w:rFonts w:asciiTheme="minorEastAsia" w:hAnsiTheme="minorEastAsia" w:eastAsiaTheme="minorEastAsia"/>
                <w:color w:val="auto"/>
                <w:sz w:val="24"/>
                <w:highlight w:val="none"/>
              </w:rPr>
            </w:pPr>
          </w:p>
        </w:tc>
        <w:tc>
          <w:tcPr>
            <w:tcW w:w="475" w:type="pct"/>
            <w:vAlign w:val="center"/>
          </w:tcPr>
          <w:p w14:paraId="42847397">
            <w:pPr>
              <w:jc w:val="center"/>
              <w:rPr>
                <w:rFonts w:asciiTheme="minorEastAsia" w:hAnsiTheme="minorEastAsia" w:eastAsiaTheme="minorEastAsia"/>
                <w:color w:val="auto"/>
                <w:sz w:val="24"/>
                <w:highlight w:val="none"/>
              </w:rPr>
            </w:pPr>
          </w:p>
        </w:tc>
      </w:tr>
      <w:tr w14:paraId="3E108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48362947">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1124" w:type="pct"/>
            <w:vAlign w:val="center"/>
          </w:tcPr>
          <w:p w14:paraId="50C5EDE1">
            <w:pPr>
              <w:jc w:val="center"/>
              <w:rPr>
                <w:rFonts w:ascii="宋体" w:hAnsi="宋体" w:eastAsia="宋体"/>
                <w:color w:val="auto"/>
                <w:sz w:val="24"/>
                <w:highlight w:val="none"/>
              </w:rPr>
            </w:pPr>
            <w:r>
              <w:rPr>
                <w:rFonts w:hint="eastAsia" w:ascii="宋体" w:hAnsi="宋体" w:eastAsia="宋体"/>
                <w:color w:val="auto"/>
                <w:sz w:val="24"/>
                <w:highlight w:val="none"/>
              </w:rPr>
              <w:t>供货及安装地点</w:t>
            </w:r>
          </w:p>
        </w:tc>
        <w:tc>
          <w:tcPr>
            <w:tcW w:w="1465" w:type="pct"/>
            <w:vAlign w:val="center"/>
          </w:tcPr>
          <w:p w14:paraId="57FBAA77">
            <w:pPr>
              <w:jc w:val="center"/>
              <w:rPr>
                <w:rFonts w:asciiTheme="minorEastAsia" w:hAnsiTheme="minorEastAsia" w:eastAsiaTheme="minorEastAsia"/>
                <w:color w:val="auto"/>
                <w:sz w:val="24"/>
                <w:highlight w:val="none"/>
              </w:rPr>
            </w:pPr>
          </w:p>
        </w:tc>
        <w:tc>
          <w:tcPr>
            <w:tcW w:w="1510" w:type="pct"/>
            <w:vAlign w:val="center"/>
          </w:tcPr>
          <w:p w14:paraId="65D2B5C7">
            <w:pPr>
              <w:jc w:val="center"/>
              <w:rPr>
                <w:rFonts w:asciiTheme="minorEastAsia" w:hAnsiTheme="minorEastAsia" w:eastAsiaTheme="minorEastAsia"/>
                <w:color w:val="auto"/>
                <w:sz w:val="24"/>
                <w:highlight w:val="none"/>
              </w:rPr>
            </w:pPr>
          </w:p>
        </w:tc>
        <w:tc>
          <w:tcPr>
            <w:tcW w:w="475" w:type="pct"/>
            <w:vAlign w:val="center"/>
          </w:tcPr>
          <w:p w14:paraId="5815578D">
            <w:pPr>
              <w:jc w:val="center"/>
              <w:rPr>
                <w:rFonts w:asciiTheme="minorEastAsia" w:hAnsiTheme="minorEastAsia" w:eastAsiaTheme="minorEastAsia"/>
                <w:color w:val="auto"/>
                <w:sz w:val="24"/>
                <w:highlight w:val="none"/>
              </w:rPr>
            </w:pPr>
          </w:p>
        </w:tc>
      </w:tr>
      <w:tr w14:paraId="7DC49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40A62626">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p>
        </w:tc>
        <w:tc>
          <w:tcPr>
            <w:tcW w:w="1124" w:type="pct"/>
            <w:vAlign w:val="center"/>
          </w:tcPr>
          <w:p w14:paraId="626678FD">
            <w:pPr>
              <w:jc w:val="center"/>
              <w:rPr>
                <w:rFonts w:ascii="宋体" w:hAnsi="宋体" w:eastAsia="宋体"/>
                <w:color w:val="auto"/>
                <w:sz w:val="24"/>
                <w:highlight w:val="none"/>
              </w:rPr>
            </w:pPr>
            <w:r>
              <w:rPr>
                <w:rFonts w:hint="eastAsia" w:ascii="宋体" w:hAnsi="宋体" w:eastAsia="宋体"/>
                <w:color w:val="auto"/>
                <w:sz w:val="24"/>
                <w:highlight w:val="none"/>
              </w:rPr>
              <w:t>供货及安装期限</w:t>
            </w:r>
          </w:p>
        </w:tc>
        <w:tc>
          <w:tcPr>
            <w:tcW w:w="1465" w:type="pct"/>
            <w:vAlign w:val="center"/>
          </w:tcPr>
          <w:p w14:paraId="209D13D0">
            <w:pPr>
              <w:jc w:val="center"/>
              <w:rPr>
                <w:rFonts w:asciiTheme="minorEastAsia" w:hAnsiTheme="minorEastAsia" w:eastAsiaTheme="minorEastAsia"/>
                <w:color w:val="auto"/>
                <w:sz w:val="24"/>
                <w:highlight w:val="none"/>
              </w:rPr>
            </w:pPr>
          </w:p>
        </w:tc>
        <w:tc>
          <w:tcPr>
            <w:tcW w:w="1510" w:type="pct"/>
            <w:vAlign w:val="center"/>
          </w:tcPr>
          <w:p w14:paraId="7C4D38E6">
            <w:pPr>
              <w:pStyle w:val="51"/>
              <w:jc w:val="center"/>
              <w:rPr>
                <w:rFonts w:asciiTheme="minorEastAsia" w:hAnsiTheme="minorEastAsia" w:eastAsiaTheme="minorEastAsia"/>
                <w:color w:val="auto"/>
                <w:highlight w:val="none"/>
              </w:rPr>
            </w:pPr>
          </w:p>
        </w:tc>
        <w:tc>
          <w:tcPr>
            <w:tcW w:w="475" w:type="pct"/>
            <w:vAlign w:val="center"/>
          </w:tcPr>
          <w:p w14:paraId="2D193D30">
            <w:pPr>
              <w:jc w:val="center"/>
              <w:rPr>
                <w:rFonts w:asciiTheme="minorEastAsia" w:hAnsiTheme="minorEastAsia" w:eastAsiaTheme="minorEastAsia"/>
                <w:color w:val="auto"/>
                <w:sz w:val="24"/>
                <w:highlight w:val="none"/>
              </w:rPr>
            </w:pPr>
          </w:p>
        </w:tc>
      </w:tr>
      <w:tr w14:paraId="5B688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4EA006BA">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p>
        </w:tc>
        <w:tc>
          <w:tcPr>
            <w:tcW w:w="1124" w:type="pct"/>
            <w:vAlign w:val="center"/>
          </w:tcPr>
          <w:p w14:paraId="01018351">
            <w:pPr>
              <w:jc w:val="center"/>
              <w:rPr>
                <w:rFonts w:ascii="宋体" w:hAnsi="宋体" w:eastAsia="宋体"/>
                <w:color w:val="auto"/>
                <w:sz w:val="24"/>
                <w:highlight w:val="none"/>
              </w:rPr>
            </w:pPr>
            <w:r>
              <w:rPr>
                <w:rFonts w:hint="eastAsia" w:ascii="宋体" w:hAnsi="宋体" w:eastAsia="宋体"/>
                <w:color w:val="auto"/>
                <w:sz w:val="24"/>
                <w:highlight w:val="none"/>
              </w:rPr>
              <w:t>免费质保期</w:t>
            </w:r>
          </w:p>
        </w:tc>
        <w:tc>
          <w:tcPr>
            <w:tcW w:w="1465" w:type="pct"/>
            <w:vAlign w:val="center"/>
          </w:tcPr>
          <w:p w14:paraId="7BB4924E">
            <w:pPr>
              <w:jc w:val="center"/>
              <w:rPr>
                <w:rFonts w:asciiTheme="minorEastAsia" w:hAnsiTheme="minorEastAsia" w:eastAsiaTheme="minorEastAsia"/>
                <w:color w:val="auto"/>
                <w:sz w:val="24"/>
                <w:highlight w:val="none"/>
              </w:rPr>
            </w:pPr>
          </w:p>
        </w:tc>
        <w:tc>
          <w:tcPr>
            <w:tcW w:w="1510" w:type="pct"/>
            <w:vAlign w:val="center"/>
          </w:tcPr>
          <w:p w14:paraId="364A1532">
            <w:pPr>
              <w:jc w:val="center"/>
              <w:rPr>
                <w:rFonts w:asciiTheme="minorEastAsia" w:hAnsiTheme="minorEastAsia" w:eastAsiaTheme="minorEastAsia"/>
                <w:color w:val="auto"/>
                <w:sz w:val="24"/>
                <w:highlight w:val="none"/>
              </w:rPr>
            </w:pPr>
          </w:p>
        </w:tc>
        <w:tc>
          <w:tcPr>
            <w:tcW w:w="475" w:type="pct"/>
            <w:vAlign w:val="center"/>
          </w:tcPr>
          <w:p w14:paraId="7E7A25FE">
            <w:pPr>
              <w:jc w:val="center"/>
              <w:rPr>
                <w:rFonts w:asciiTheme="minorEastAsia" w:hAnsiTheme="minorEastAsia" w:eastAsiaTheme="minorEastAsia"/>
                <w:color w:val="auto"/>
                <w:sz w:val="24"/>
                <w:highlight w:val="none"/>
              </w:rPr>
            </w:pPr>
          </w:p>
        </w:tc>
      </w:tr>
      <w:tr w14:paraId="5884D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5AAE7096">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p>
        </w:tc>
        <w:tc>
          <w:tcPr>
            <w:tcW w:w="1124" w:type="pct"/>
            <w:vAlign w:val="center"/>
          </w:tcPr>
          <w:p w14:paraId="58F32D89">
            <w:pPr>
              <w:jc w:val="center"/>
              <w:rPr>
                <w:rFonts w:ascii="宋体" w:hAnsi="宋体" w:eastAsia="宋体"/>
                <w:color w:val="auto"/>
                <w:sz w:val="24"/>
                <w:highlight w:val="none"/>
              </w:rPr>
            </w:pPr>
          </w:p>
        </w:tc>
        <w:tc>
          <w:tcPr>
            <w:tcW w:w="1465" w:type="pct"/>
            <w:vAlign w:val="center"/>
          </w:tcPr>
          <w:p w14:paraId="2F56881C">
            <w:pPr>
              <w:jc w:val="center"/>
              <w:rPr>
                <w:rFonts w:asciiTheme="minorEastAsia" w:hAnsiTheme="minorEastAsia" w:eastAsiaTheme="minorEastAsia"/>
                <w:color w:val="auto"/>
                <w:sz w:val="24"/>
                <w:highlight w:val="none"/>
              </w:rPr>
            </w:pPr>
          </w:p>
        </w:tc>
        <w:tc>
          <w:tcPr>
            <w:tcW w:w="1510" w:type="pct"/>
            <w:vAlign w:val="center"/>
          </w:tcPr>
          <w:p w14:paraId="640656AA">
            <w:pPr>
              <w:jc w:val="center"/>
              <w:rPr>
                <w:rFonts w:asciiTheme="minorEastAsia" w:hAnsiTheme="minorEastAsia" w:eastAsiaTheme="minorEastAsia"/>
                <w:color w:val="auto"/>
                <w:sz w:val="24"/>
                <w:highlight w:val="none"/>
              </w:rPr>
            </w:pPr>
          </w:p>
        </w:tc>
        <w:tc>
          <w:tcPr>
            <w:tcW w:w="475" w:type="pct"/>
            <w:vAlign w:val="center"/>
          </w:tcPr>
          <w:p w14:paraId="742F655D">
            <w:pPr>
              <w:jc w:val="center"/>
              <w:rPr>
                <w:rFonts w:asciiTheme="minorEastAsia" w:hAnsiTheme="minorEastAsia" w:eastAsiaTheme="minorEastAsia"/>
                <w:color w:val="auto"/>
                <w:sz w:val="24"/>
                <w:highlight w:val="none"/>
              </w:rPr>
            </w:pPr>
          </w:p>
        </w:tc>
      </w:tr>
    </w:tbl>
    <w:p w14:paraId="7ED39428">
      <w:pPr>
        <w:spacing w:line="360" w:lineRule="auto"/>
        <w:ind w:firstLine="435"/>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6</w:t>
      </w:r>
      <w:r>
        <w:rPr>
          <w:rFonts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rPr>
        <w:t>技术响应表</w:t>
      </w:r>
    </w:p>
    <w:tbl>
      <w:tblPr>
        <w:tblStyle w:val="2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
        <w:gridCol w:w="1700"/>
        <w:gridCol w:w="3121"/>
        <w:gridCol w:w="2705"/>
        <w:gridCol w:w="933"/>
      </w:tblGrid>
      <w:tr w14:paraId="442A5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46" w:type="pct"/>
            <w:vAlign w:val="center"/>
          </w:tcPr>
          <w:p w14:paraId="20822291">
            <w:pPr>
              <w:pStyle w:val="12"/>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序号</w:t>
            </w:r>
          </w:p>
        </w:tc>
        <w:tc>
          <w:tcPr>
            <w:tcW w:w="915" w:type="pct"/>
            <w:vAlign w:val="center"/>
          </w:tcPr>
          <w:p w14:paraId="5D6771CC">
            <w:pPr>
              <w:pStyle w:val="12"/>
              <w:jc w:val="center"/>
              <w:rPr>
                <w:rFonts w:cs="Wingdings" w:asciiTheme="minorEastAsia" w:hAnsiTheme="minorEastAsia"/>
                <w:b/>
                <w:color w:val="auto"/>
                <w:sz w:val="24"/>
                <w:highlight w:val="none"/>
              </w:rPr>
            </w:pPr>
            <w:r>
              <w:rPr>
                <w:rFonts w:hint="eastAsia" w:asciiTheme="minorEastAsia" w:hAnsiTheme="minorEastAsia"/>
                <w:b/>
                <w:bCs/>
                <w:color w:val="auto"/>
                <w:sz w:val="24"/>
                <w:szCs w:val="24"/>
                <w:highlight w:val="none"/>
              </w:rPr>
              <w:t>货物名称</w:t>
            </w:r>
          </w:p>
        </w:tc>
        <w:tc>
          <w:tcPr>
            <w:tcW w:w="1680" w:type="pct"/>
            <w:vAlign w:val="center"/>
          </w:tcPr>
          <w:p w14:paraId="37173BF9">
            <w:pPr>
              <w:pStyle w:val="12"/>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招标文件规定的技术参数及要求</w:t>
            </w:r>
          </w:p>
        </w:tc>
        <w:tc>
          <w:tcPr>
            <w:tcW w:w="1456" w:type="pct"/>
            <w:vAlign w:val="center"/>
          </w:tcPr>
          <w:p w14:paraId="50E6294D">
            <w:pPr>
              <w:pStyle w:val="12"/>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所投产品的品牌、型号及技术参数</w:t>
            </w:r>
          </w:p>
        </w:tc>
        <w:tc>
          <w:tcPr>
            <w:tcW w:w="502" w:type="pct"/>
            <w:vAlign w:val="center"/>
          </w:tcPr>
          <w:p w14:paraId="0FFE2A72">
            <w:pPr>
              <w:pStyle w:val="12"/>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偏离说明</w:t>
            </w:r>
          </w:p>
        </w:tc>
      </w:tr>
      <w:tr w14:paraId="5DADE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6E1E9D86">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p>
        </w:tc>
        <w:tc>
          <w:tcPr>
            <w:tcW w:w="915" w:type="pct"/>
            <w:vAlign w:val="center"/>
          </w:tcPr>
          <w:p w14:paraId="1F8B1DB9">
            <w:pPr>
              <w:jc w:val="center"/>
              <w:rPr>
                <w:rFonts w:asciiTheme="minorEastAsia" w:hAnsiTheme="minorEastAsia" w:eastAsiaTheme="minorEastAsia"/>
                <w:color w:val="auto"/>
                <w:sz w:val="24"/>
                <w:highlight w:val="none"/>
              </w:rPr>
            </w:pPr>
          </w:p>
        </w:tc>
        <w:tc>
          <w:tcPr>
            <w:tcW w:w="1680" w:type="pct"/>
            <w:vAlign w:val="center"/>
          </w:tcPr>
          <w:p w14:paraId="1393664B">
            <w:pPr>
              <w:jc w:val="center"/>
              <w:rPr>
                <w:rFonts w:asciiTheme="minorEastAsia" w:hAnsiTheme="minorEastAsia" w:eastAsiaTheme="minorEastAsia"/>
                <w:color w:val="auto"/>
                <w:sz w:val="24"/>
                <w:highlight w:val="none"/>
              </w:rPr>
            </w:pPr>
          </w:p>
        </w:tc>
        <w:tc>
          <w:tcPr>
            <w:tcW w:w="1456" w:type="pct"/>
            <w:vAlign w:val="center"/>
          </w:tcPr>
          <w:p w14:paraId="52E19504">
            <w:pPr>
              <w:jc w:val="center"/>
              <w:rPr>
                <w:rFonts w:asciiTheme="minorEastAsia" w:hAnsiTheme="minorEastAsia" w:eastAsiaTheme="minorEastAsia"/>
                <w:color w:val="auto"/>
                <w:sz w:val="24"/>
                <w:highlight w:val="none"/>
              </w:rPr>
            </w:pPr>
          </w:p>
        </w:tc>
        <w:tc>
          <w:tcPr>
            <w:tcW w:w="502" w:type="pct"/>
            <w:vAlign w:val="center"/>
          </w:tcPr>
          <w:p w14:paraId="010A948C">
            <w:pPr>
              <w:jc w:val="center"/>
              <w:rPr>
                <w:rFonts w:asciiTheme="minorEastAsia" w:hAnsiTheme="minorEastAsia" w:eastAsiaTheme="minorEastAsia"/>
                <w:color w:val="auto"/>
                <w:sz w:val="24"/>
                <w:highlight w:val="none"/>
              </w:rPr>
            </w:pPr>
          </w:p>
        </w:tc>
      </w:tr>
      <w:tr w14:paraId="7556D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74898A9F">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915" w:type="pct"/>
            <w:vAlign w:val="center"/>
          </w:tcPr>
          <w:p w14:paraId="0A9C7071">
            <w:pPr>
              <w:jc w:val="center"/>
              <w:rPr>
                <w:rFonts w:asciiTheme="minorEastAsia" w:hAnsiTheme="minorEastAsia" w:eastAsiaTheme="minorEastAsia"/>
                <w:color w:val="auto"/>
                <w:sz w:val="24"/>
                <w:highlight w:val="none"/>
              </w:rPr>
            </w:pPr>
          </w:p>
        </w:tc>
        <w:tc>
          <w:tcPr>
            <w:tcW w:w="1680" w:type="pct"/>
            <w:vAlign w:val="center"/>
          </w:tcPr>
          <w:p w14:paraId="656C58B2">
            <w:pPr>
              <w:jc w:val="center"/>
              <w:rPr>
                <w:rFonts w:asciiTheme="minorEastAsia" w:hAnsiTheme="minorEastAsia" w:eastAsiaTheme="minorEastAsia"/>
                <w:color w:val="auto"/>
                <w:sz w:val="24"/>
                <w:highlight w:val="none"/>
              </w:rPr>
            </w:pPr>
          </w:p>
        </w:tc>
        <w:tc>
          <w:tcPr>
            <w:tcW w:w="1456" w:type="pct"/>
            <w:vAlign w:val="center"/>
          </w:tcPr>
          <w:p w14:paraId="57754154">
            <w:pPr>
              <w:jc w:val="center"/>
              <w:rPr>
                <w:rFonts w:asciiTheme="minorEastAsia" w:hAnsiTheme="minorEastAsia" w:eastAsiaTheme="minorEastAsia"/>
                <w:color w:val="auto"/>
                <w:sz w:val="24"/>
                <w:highlight w:val="none"/>
              </w:rPr>
            </w:pPr>
          </w:p>
        </w:tc>
        <w:tc>
          <w:tcPr>
            <w:tcW w:w="502" w:type="pct"/>
            <w:vAlign w:val="center"/>
          </w:tcPr>
          <w:p w14:paraId="44DDDC65">
            <w:pPr>
              <w:jc w:val="center"/>
              <w:rPr>
                <w:rFonts w:asciiTheme="minorEastAsia" w:hAnsiTheme="minorEastAsia" w:eastAsiaTheme="minorEastAsia"/>
                <w:color w:val="auto"/>
                <w:sz w:val="24"/>
                <w:highlight w:val="none"/>
              </w:rPr>
            </w:pPr>
          </w:p>
        </w:tc>
      </w:tr>
      <w:tr w14:paraId="7B6BD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1E07652B">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p>
        </w:tc>
        <w:tc>
          <w:tcPr>
            <w:tcW w:w="915" w:type="pct"/>
            <w:vAlign w:val="center"/>
          </w:tcPr>
          <w:p w14:paraId="066C9A8A">
            <w:pPr>
              <w:jc w:val="center"/>
              <w:rPr>
                <w:rFonts w:asciiTheme="minorEastAsia" w:hAnsiTheme="minorEastAsia" w:eastAsiaTheme="minorEastAsia"/>
                <w:color w:val="auto"/>
                <w:sz w:val="24"/>
                <w:highlight w:val="none"/>
              </w:rPr>
            </w:pPr>
          </w:p>
        </w:tc>
        <w:tc>
          <w:tcPr>
            <w:tcW w:w="1680" w:type="pct"/>
            <w:vAlign w:val="center"/>
          </w:tcPr>
          <w:p w14:paraId="4ED921C8">
            <w:pPr>
              <w:jc w:val="center"/>
              <w:rPr>
                <w:rFonts w:asciiTheme="minorEastAsia" w:hAnsiTheme="minorEastAsia" w:eastAsiaTheme="minorEastAsia"/>
                <w:color w:val="auto"/>
                <w:sz w:val="24"/>
                <w:highlight w:val="none"/>
              </w:rPr>
            </w:pPr>
          </w:p>
        </w:tc>
        <w:tc>
          <w:tcPr>
            <w:tcW w:w="1456" w:type="pct"/>
            <w:vAlign w:val="center"/>
          </w:tcPr>
          <w:p w14:paraId="27F269E3">
            <w:pPr>
              <w:pStyle w:val="51"/>
              <w:jc w:val="center"/>
              <w:rPr>
                <w:rFonts w:asciiTheme="minorEastAsia" w:hAnsiTheme="minorEastAsia" w:eastAsiaTheme="minorEastAsia"/>
                <w:color w:val="auto"/>
                <w:highlight w:val="none"/>
              </w:rPr>
            </w:pPr>
          </w:p>
        </w:tc>
        <w:tc>
          <w:tcPr>
            <w:tcW w:w="502" w:type="pct"/>
            <w:vAlign w:val="center"/>
          </w:tcPr>
          <w:p w14:paraId="43C80F97">
            <w:pPr>
              <w:jc w:val="center"/>
              <w:rPr>
                <w:rFonts w:asciiTheme="minorEastAsia" w:hAnsiTheme="minorEastAsia" w:eastAsiaTheme="minorEastAsia"/>
                <w:color w:val="auto"/>
                <w:sz w:val="24"/>
                <w:highlight w:val="none"/>
              </w:rPr>
            </w:pPr>
          </w:p>
        </w:tc>
      </w:tr>
      <w:tr w14:paraId="2C3D8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01B59B57">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p>
        </w:tc>
        <w:tc>
          <w:tcPr>
            <w:tcW w:w="915" w:type="pct"/>
            <w:vAlign w:val="center"/>
          </w:tcPr>
          <w:p w14:paraId="15250B72">
            <w:pPr>
              <w:jc w:val="center"/>
              <w:rPr>
                <w:rFonts w:asciiTheme="minorEastAsia" w:hAnsiTheme="minorEastAsia" w:eastAsiaTheme="minorEastAsia"/>
                <w:color w:val="auto"/>
                <w:sz w:val="24"/>
                <w:highlight w:val="none"/>
              </w:rPr>
            </w:pPr>
          </w:p>
        </w:tc>
        <w:tc>
          <w:tcPr>
            <w:tcW w:w="1680" w:type="pct"/>
            <w:vAlign w:val="center"/>
          </w:tcPr>
          <w:p w14:paraId="72524F30">
            <w:pPr>
              <w:jc w:val="center"/>
              <w:rPr>
                <w:rFonts w:asciiTheme="minorEastAsia" w:hAnsiTheme="minorEastAsia" w:eastAsiaTheme="minorEastAsia"/>
                <w:color w:val="auto"/>
                <w:sz w:val="24"/>
                <w:highlight w:val="none"/>
              </w:rPr>
            </w:pPr>
          </w:p>
        </w:tc>
        <w:tc>
          <w:tcPr>
            <w:tcW w:w="1456" w:type="pct"/>
            <w:vAlign w:val="center"/>
          </w:tcPr>
          <w:p w14:paraId="67584A8E">
            <w:pPr>
              <w:pStyle w:val="51"/>
              <w:jc w:val="center"/>
              <w:rPr>
                <w:rFonts w:asciiTheme="minorEastAsia" w:hAnsiTheme="minorEastAsia" w:eastAsiaTheme="minorEastAsia"/>
                <w:color w:val="auto"/>
                <w:highlight w:val="none"/>
              </w:rPr>
            </w:pPr>
          </w:p>
        </w:tc>
        <w:tc>
          <w:tcPr>
            <w:tcW w:w="502" w:type="pct"/>
            <w:vAlign w:val="center"/>
          </w:tcPr>
          <w:p w14:paraId="76F29476">
            <w:pPr>
              <w:jc w:val="center"/>
              <w:rPr>
                <w:rFonts w:asciiTheme="minorEastAsia" w:hAnsiTheme="minorEastAsia" w:eastAsiaTheme="minorEastAsia"/>
                <w:color w:val="auto"/>
                <w:sz w:val="24"/>
                <w:highlight w:val="none"/>
              </w:rPr>
            </w:pPr>
          </w:p>
        </w:tc>
      </w:tr>
      <w:tr w14:paraId="47BD0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567D2FF0">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p>
        </w:tc>
        <w:tc>
          <w:tcPr>
            <w:tcW w:w="915" w:type="pct"/>
            <w:vAlign w:val="center"/>
          </w:tcPr>
          <w:p w14:paraId="57383301">
            <w:pPr>
              <w:jc w:val="center"/>
              <w:rPr>
                <w:rFonts w:asciiTheme="minorEastAsia" w:hAnsiTheme="minorEastAsia" w:eastAsiaTheme="minorEastAsia"/>
                <w:color w:val="auto"/>
                <w:sz w:val="24"/>
                <w:highlight w:val="none"/>
              </w:rPr>
            </w:pPr>
          </w:p>
        </w:tc>
        <w:tc>
          <w:tcPr>
            <w:tcW w:w="1680" w:type="pct"/>
            <w:vAlign w:val="center"/>
          </w:tcPr>
          <w:p w14:paraId="2BCDD10A">
            <w:pPr>
              <w:jc w:val="center"/>
              <w:rPr>
                <w:rFonts w:asciiTheme="minorEastAsia" w:hAnsiTheme="minorEastAsia" w:eastAsiaTheme="minorEastAsia"/>
                <w:color w:val="auto"/>
                <w:sz w:val="24"/>
                <w:highlight w:val="none"/>
              </w:rPr>
            </w:pPr>
          </w:p>
        </w:tc>
        <w:tc>
          <w:tcPr>
            <w:tcW w:w="1456" w:type="pct"/>
            <w:vAlign w:val="center"/>
          </w:tcPr>
          <w:p w14:paraId="456822BF">
            <w:pPr>
              <w:jc w:val="center"/>
              <w:rPr>
                <w:rFonts w:asciiTheme="minorEastAsia" w:hAnsiTheme="minorEastAsia" w:eastAsiaTheme="minorEastAsia"/>
                <w:color w:val="auto"/>
                <w:sz w:val="24"/>
                <w:highlight w:val="none"/>
              </w:rPr>
            </w:pPr>
          </w:p>
        </w:tc>
        <w:tc>
          <w:tcPr>
            <w:tcW w:w="502" w:type="pct"/>
            <w:vAlign w:val="center"/>
          </w:tcPr>
          <w:p w14:paraId="018982AF">
            <w:pPr>
              <w:jc w:val="center"/>
              <w:rPr>
                <w:rFonts w:asciiTheme="minorEastAsia" w:hAnsiTheme="minorEastAsia" w:eastAsiaTheme="minorEastAsia"/>
                <w:color w:val="auto"/>
                <w:sz w:val="24"/>
                <w:highlight w:val="none"/>
              </w:rPr>
            </w:pPr>
          </w:p>
        </w:tc>
      </w:tr>
    </w:tbl>
    <w:p w14:paraId="48267207">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投标人电子签章：</w:t>
      </w:r>
      <w:r>
        <w:rPr>
          <w:rFonts w:hint="eastAsia" w:ascii="宋体" w:hAnsi="宋体" w:eastAsia="宋体"/>
          <w:color w:val="auto"/>
          <w:sz w:val="24"/>
          <w:highlight w:val="none"/>
          <w:u w:val="single"/>
        </w:rPr>
        <w:t xml:space="preserve">             </w:t>
      </w:r>
    </w:p>
    <w:p w14:paraId="570E981F">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5A93F45F">
      <w:pPr>
        <w:pStyle w:val="13"/>
        <w:spacing w:line="360" w:lineRule="auto"/>
        <w:rPr>
          <w:rFonts w:asciiTheme="minorEastAsia" w:hAnsiTheme="minorEastAsia" w:eastAsiaTheme="minorEastAsia"/>
          <w:b w:val="0"/>
          <w:color w:val="auto"/>
          <w:sz w:val="24"/>
          <w:highlight w:val="none"/>
        </w:rPr>
      </w:pPr>
      <w:r>
        <w:rPr>
          <w:rFonts w:asciiTheme="minorEastAsia" w:hAnsiTheme="minorEastAsia" w:eastAsiaTheme="minorEastAsia"/>
          <w:b w:val="0"/>
          <w:color w:val="auto"/>
          <w:sz w:val="24"/>
          <w:highlight w:val="none"/>
        </w:rPr>
        <w:br w:type="page"/>
      </w:r>
    </w:p>
    <w:p w14:paraId="46DAAD53">
      <w:pPr>
        <w:keepNext w:val="0"/>
        <w:keepLines w:val="0"/>
        <w:pageBreakBefore/>
        <w:widowControl w:val="0"/>
        <w:kinsoku/>
        <w:wordWrap/>
        <w:overflowPunct/>
        <w:topLinePunct w:val="0"/>
        <w:autoSpaceDE/>
        <w:autoSpaceDN/>
        <w:bidi w:val="0"/>
        <w:adjustRightInd/>
        <w:snapToGrid/>
        <w:spacing w:line="360" w:lineRule="auto"/>
        <w:jc w:val="center"/>
        <w:textAlignment w:val="auto"/>
        <w:outlineLvl w:val="1"/>
        <w:rPr>
          <w:rFonts w:hint="eastAsia" w:asciiTheme="minorEastAsia" w:hAnsiTheme="minorEastAsia" w:eastAsiaTheme="minorEastAsia"/>
          <w:b/>
          <w:color w:val="auto"/>
          <w:sz w:val="24"/>
          <w:highlight w:val="none"/>
          <w:lang w:val="en-US" w:eastAsia="zh-CN"/>
        </w:rPr>
      </w:pPr>
      <w:bookmarkStart w:id="75" w:name="_Toc2716"/>
      <w:r>
        <w:rPr>
          <w:rFonts w:hint="eastAsia" w:asciiTheme="minorEastAsia" w:hAnsiTheme="minorEastAsia" w:eastAsiaTheme="minorEastAsia"/>
          <w:b/>
          <w:color w:val="auto"/>
          <w:sz w:val="24"/>
          <w:highlight w:val="none"/>
          <w:lang w:val="en-US" w:eastAsia="zh-CN"/>
        </w:rPr>
        <w:t>（2）诚信履约承诺函</w:t>
      </w:r>
      <w:bookmarkEnd w:id="75"/>
    </w:p>
    <w:p w14:paraId="3DFA106F">
      <w:pPr>
        <w:spacing w:line="360" w:lineRule="auto"/>
        <w:rPr>
          <w:rFonts w:asciiTheme="minorEastAsia" w:hAnsiTheme="minorEastAsia" w:eastAsiaTheme="minorEastAsia"/>
          <w:b/>
          <w:bCs/>
          <w:color w:val="auto"/>
          <w:sz w:val="24"/>
          <w:highlight w:val="none"/>
        </w:rPr>
      </w:pPr>
    </w:p>
    <w:p w14:paraId="156F81CF">
      <w:pPr>
        <w:spacing w:line="360" w:lineRule="auto"/>
        <w:rPr>
          <w:rFonts w:hint="eastAsia" w:asciiTheme="minorEastAsia" w:hAnsiTheme="minorEastAsia" w:eastAsiaTheme="minorEastAsia"/>
          <w:b/>
          <w:bCs/>
          <w:color w:val="auto"/>
          <w:sz w:val="24"/>
          <w:highlight w:val="none"/>
          <w:u w:val="single"/>
          <w:lang w:eastAsia="zh-CN"/>
        </w:rPr>
      </w:pPr>
      <w:r>
        <w:rPr>
          <w:rFonts w:hint="eastAsia" w:asciiTheme="minorEastAsia" w:hAnsiTheme="minorEastAsia" w:eastAsiaTheme="minorEastAsia"/>
          <w:b/>
          <w:bCs/>
          <w:color w:val="auto"/>
          <w:sz w:val="24"/>
          <w:highlight w:val="none"/>
        </w:rPr>
        <w:t>致：</w:t>
      </w:r>
      <w:r>
        <w:rPr>
          <w:rFonts w:hint="eastAsia" w:asciiTheme="minorEastAsia" w:hAnsiTheme="minorEastAsia" w:eastAsiaTheme="minorEastAsia"/>
          <w:b/>
          <w:bCs/>
          <w:color w:val="auto"/>
          <w:sz w:val="24"/>
          <w:highlight w:val="none"/>
          <w:u w:val="none"/>
          <w:lang w:eastAsia="zh-CN"/>
        </w:rPr>
        <w:t>采购人</w:t>
      </w:r>
    </w:p>
    <w:p w14:paraId="20707CD5">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如我单位被确定为本项目中标人，我单位承诺在合同签订及履约过程中将严格执行《中华人民共和国政府采购法》、《中华人民共和国政府采购法实施条例》及本项目采购文件中关于合同签订及履约的相关规定，不出现以下情形：</w:t>
      </w:r>
    </w:p>
    <w:p w14:paraId="0DD86777">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（1）中标或者成交后无正当理由拒不与采购人签订政府采购合同；</w:t>
      </w:r>
    </w:p>
    <w:p w14:paraId="749F672B">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（2）未按照采购文件确定的事项签订政府采购合同；</w:t>
      </w:r>
    </w:p>
    <w:p w14:paraId="0D7AE90B">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（3）将政府采购合同转包；</w:t>
      </w:r>
    </w:p>
    <w:p w14:paraId="0C25243C">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（4）提供假冒伪劣产品；</w:t>
      </w:r>
    </w:p>
    <w:p w14:paraId="6E1AC1B8">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（5）擅自变更、中止或者终止政府采购合同。</w:t>
      </w:r>
    </w:p>
    <w:p w14:paraId="352D30F7">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5DB86AE1">
      <w:pPr>
        <w:spacing w:line="360" w:lineRule="auto"/>
        <w:rPr>
          <w:rFonts w:asciiTheme="minorEastAsia" w:hAnsiTheme="minorEastAsia" w:eastAsiaTheme="minorEastAsia"/>
          <w:bCs/>
          <w:color w:val="auto"/>
          <w:sz w:val="24"/>
          <w:highlight w:val="none"/>
        </w:rPr>
      </w:pPr>
    </w:p>
    <w:p w14:paraId="4567701F">
      <w:pPr>
        <w:spacing w:line="360" w:lineRule="auto"/>
        <w:rPr>
          <w:rFonts w:asciiTheme="minorEastAsia" w:hAnsiTheme="minorEastAsia" w:eastAsiaTheme="minorEastAsia"/>
          <w:bCs/>
          <w:color w:val="auto"/>
          <w:sz w:val="24"/>
          <w:highlight w:val="none"/>
        </w:rPr>
      </w:pPr>
    </w:p>
    <w:p w14:paraId="450EB78C">
      <w:pPr>
        <w:spacing w:line="360" w:lineRule="auto"/>
        <w:ind w:firstLine="4320" w:firstLineChars="1800"/>
        <w:rPr>
          <w:rFonts w:asciiTheme="minorEastAsia" w:hAnsiTheme="minorEastAsia" w:eastAsiaTheme="minorEastAsia"/>
          <w:bCs/>
          <w:color w:val="auto"/>
          <w:sz w:val="24"/>
          <w:highlight w:val="none"/>
          <w:u w:val="single"/>
        </w:rPr>
      </w:pPr>
      <w:r>
        <w:rPr>
          <w:rFonts w:hint="eastAsia" w:asciiTheme="minorEastAsia" w:hAnsiTheme="minorEastAsia" w:eastAsiaTheme="minorEastAsia"/>
          <w:bCs/>
          <w:color w:val="auto"/>
          <w:sz w:val="24"/>
          <w:highlight w:val="none"/>
        </w:rPr>
        <w:t>投标人电子签章：</w:t>
      </w:r>
      <w:r>
        <w:rPr>
          <w:rFonts w:hint="eastAsia" w:asciiTheme="minorEastAsia" w:hAnsiTheme="minorEastAsia" w:eastAsiaTheme="minorEastAsia"/>
          <w:bCs/>
          <w:color w:val="auto"/>
          <w:sz w:val="24"/>
          <w:highlight w:val="none"/>
          <w:u w:val="single"/>
        </w:rPr>
        <w:t xml:space="preserve">     </w:t>
      </w:r>
      <w:r>
        <w:rPr>
          <w:rFonts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u w:val="single"/>
        </w:rPr>
        <w:t xml:space="preserve">    </w:t>
      </w:r>
    </w:p>
    <w:p w14:paraId="1F968AC6">
      <w:pPr>
        <w:spacing w:line="360" w:lineRule="auto"/>
        <w:ind w:firstLine="4320" w:firstLineChars="18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日          期：</w:t>
      </w:r>
      <w:r>
        <w:rPr>
          <w:rFonts w:hint="eastAsia" w:asciiTheme="minorEastAsia" w:hAnsiTheme="minorEastAsia" w:eastAsiaTheme="minorEastAsia"/>
          <w:bCs/>
          <w:color w:val="auto"/>
          <w:sz w:val="24"/>
          <w:highlight w:val="none"/>
          <w:u w:val="single"/>
        </w:rPr>
        <w:t xml:space="preserve">             </w:t>
      </w:r>
    </w:p>
    <w:p w14:paraId="005BB192">
      <w:pPr>
        <w:widowControl/>
        <w:jc w:val="left"/>
        <w:rPr>
          <w:rFonts w:hint="eastAsia" w:ascii="宋体" w:hAnsi="宋体" w:eastAsia="宋体" w:cs="宋体"/>
          <w:b/>
          <w:bCs w:val="0"/>
          <w:color w:val="auto"/>
          <w:kern w:val="2"/>
          <w:sz w:val="28"/>
          <w:szCs w:val="28"/>
          <w:highlight w:val="none"/>
        </w:rPr>
      </w:pPr>
      <w:r>
        <w:rPr>
          <w:rFonts w:ascii="宋体" w:hAnsi="宋体" w:eastAsia="宋体" w:cs="Arial"/>
          <w:color w:val="auto"/>
          <w:sz w:val="24"/>
          <w:highlight w:val="none"/>
        </w:rPr>
        <w:br w:type="page"/>
      </w:r>
      <w:r>
        <w:rPr>
          <w:rFonts w:hint="eastAsia" w:ascii="宋体" w:hAnsi="宋体" w:eastAsia="宋体" w:cs="宋体"/>
          <w:b/>
          <w:bCs w:val="0"/>
          <w:color w:val="auto"/>
          <w:kern w:val="2"/>
          <w:sz w:val="28"/>
          <w:szCs w:val="28"/>
          <w:highlight w:val="none"/>
          <w:lang w:val="en-US" w:eastAsia="zh-CN" w:bidi="ar"/>
        </w:rPr>
        <w:t>三、商务标格式文件</w:t>
      </w:r>
    </w:p>
    <w:p w14:paraId="11FE2A16">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0"/>
          <w:szCs w:val="20"/>
          <w:highlight w:val="none"/>
        </w:rPr>
      </w:pPr>
      <w:r>
        <w:rPr>
          <w:rFonts w:hint="eastAsia" w:ascii="宋体" w:hAnsi="宋体" w:eastAsia="宋体" w:cs="宋体"/>
          <w:color w:val="auto"/>
          <w:kern w:val="2"/>
          <w:sz w:val="20"/>
          <w:szCs w:val="20"/>
          <w:highlight w:val="none"/>
          <w:lang w:val="en-US" w:eastAsia="zh-CN" w:bidi="ar"/>
        </w:rPr>
        <w:t xml:space="preserve"> </w:t>
      </w:r>
    </w:p>
    <w:p w14:paraId="47CEF531">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0"/>
          <w:szCs w:val="20"/>
          <w:highlight w:val="none"/>
        </w:rPr>
      </w:pPr>
      <w:r>
        <w:rPr>
          <w:rFonts w:hint="eastAsia" w:ascii="宋体" w:hAnsi="宋体" w:eastAsia="宋体" w:cs="宋体"/>
          <w:color w:val="auto"/>
          <w:kern w:val="2"/>
          <w:sz w:val="20"/>
          <w:szCs w:val="20"/>
          <w:highlight w:val="none"/>
          <w:lang w:val="en-US" w:eastAsia="zh-CN" w:bidi="ar"/>
        </w:rPr>
        <w:t xml:space="preserve"> </w:t>
      </w:r>
    </w:p>
    <w:p w14:paraId="7237A541">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auto"/>
          <w:kern w:val="2"/>
          <w:sz w:val="44"/>
          <w:szCs w:val="44"/>
          <w:highlight w:val="none"/>
        </w:rPr>
      </w:pPr>
      <w:r>
        <w:rPr>
          <w:rFonts w:hint="eastAsia" w:ascii="宋体" w:hAnsi="宋体" w:eastAsia="宋体" w:cs="宋体"/>
          <w:b/>
          <w:bCs w:val="0"/>
          <w:color w:val="auto"/>
          <w:kern w:val="2"/>
          <w:sz w:val="44"/>
          <w:szCs w:val="44"/>
          <w:highlight w:val="none"/>
          <w:lang w:val="en-US" w:eastAsia="zh-CN" w:bidi="ar"/>
        </w:rPr>
        <w:t xml:space="preserve"> </w:t>
      </w:r>
    </w:p>
    <w:p w14:paraId="22D8B3D6">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auto"/>
          <w:kern w:val="2"/>
          <w:sz w:val="44"/>
          <w:szCs w:val="44"/>
          <w:highlight w:val="none"/>
        </w:rPr>
      </w:pPr>
      <w:r>
        <w:rPr>
          <w:rFonts w:hint="eastAsia" w:ascii="宋体" w:hAnsi="宋体" w:eastAsia="宋体" w:cs="宋体"/>
          <w:b/>
          <w:bCs w:val="0"/>
          <w:color w:val="auto"/>
          <w:kern w:val="2"/>
          <w:sz w:val="44"/>
          <w:szCs w:val="44"/>
          <w:highlight w:val="none"/>
          <w:lang w:val="en-US" w:eastAsia="zh-CN" w:bidi="ar"/>
        </w:rPr>
        <w:t xml:space="preserve"> </w:t>
      </w:r>
    </w:p>
    <w:p w14:paraId="1A2B16C2">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auto"/>
          <w:kern w:val="2"/>
          <w:sz w:val="44"/>
          <w:szCs w:val="44"/>
          <w:highlight w:val="none"/>
        </w:rPr>
      </w:pPr>
      <w:r>
        <w:rPr>
          <w:rFonts w:hint="eastAsia" w:ascii="宋体" w:hAnsi="宋体" w:eastAsia="宋体" w:cs="宋体"/>
          <w:b/>
          <w:bCs w:val="0"/>
          <w:color w:val="auto"/>
          <w:kern w:val="2"/>
          <w:sz w:val="44"/>
          <w:szCs w:val="44"/>
          <w:highlight w:val="none"/>
          <w:lang w:val="en-US" w:eastAsia="zh-CN" w:bidi="ar"/>
        </w:rPr>
        <w:t>商务标</w:t>
      </w:r>
    </w:p>
    <w:p w14:paraId="54D11E2E">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32"/>
          <w:szCs w:val="32"/>
          <w:highlight w:val="none"/>
        </w:rPr>
      </w:pPr>
      <w:r>
        <w:rPr>
          <w:rFonts w:hint="eastAsia" w:ascii="宋体" w:hAnsi="宋体" w:eastAsia="宋体" w:cs="宋体"/>
          <w:color w:val="auto"/>
          <w:kern w:val="2"/>
          <w:sz w:val="32"/>
          <w:szCs w:val="32"/>
          <w:highlight w:val="none"/>
          <w:lang w:val="en-US" w:eastAsia="zh-CN" w:bidi="ar"/>
        </w:rPr>
        <w:t>（投标文件三）</w:t>
      </w:r>
    </w:p>
    <w:p w14:paraId="12F19C29">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32"/>
          <w:szCs w:val="32"/>
          <w:highlight w:val="none"/>
          <w:u w:val="single"/>
        </w:rPr>
      </w:pPr>
    </w:p>
    <w:p w14:paraId="5152C6AB">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32"/>
          <w:szCs w:val="32"/>
          <w:highlight w:val="none"/>
        </w:rPr>
      </w:pPr>
      <w:r>
        <w:rPr>
          <w:rFonts w:hint="eastAsia" w:ascii="宋体" w:hAnsi="宋体" w:eastAsia="宋体" w:cs="宋体"/>
          <w:color w:val="auto"/>
          <w:kern w:val="2"/>
          <w:sz w:val="32"/>
          <w:szCs w:val="32"/>
          <w:highlight w:val="none"/>
          <w:u w:val="single"/>
          <w:lang w:val="en-US" w:eastAsia="zh-CN" w:bidi="ar"/>
        </w:rPr>
        <w:t xml:space="preserve">        </w:t>
      </w:r>
      <w:r>
        <w:rPr>
          <w:rFonts w:hint="eastAsia" w:ascii="宋体" w:hAnsi="宋体" w:eastAsia="宋体" w:cs="宋体"/>
          <w:color w:val="auto"/>
          <w:kern w:val="2"/>
          <w:sz w:val="32"/>
          <w:szCs w:val="32"/>
          <w:highlight w:val="none"/>
          <w:lang w:val="en-US" w:eastAsia="zh-CN" w:bidi="ar"/>
        </w:rPr>
        <w:t>项目</w:t>
      </w:r>
    </w:p>
    <w:p w14:paraId="18883A54">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lang w:val="en-US" w:eastAsia="zh-CN" w:bidi="ar"/>
        </w:rPr>
        <w:t xml:space="preserve"> </w:t>
      </w:r>
    </w:p>
    <w:p w14:paraId="35BD4B9E">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44"/>
          <w:szCs w:val="44"/>
          <w:highlight w:val="none"/>
        </w:rPr>
      </w:pPr>
      <w:r>
        <w:rPr>
          <w:rFonts w:hint="eastAsia" w:ascii="宋体" w:hAnsi="宋体" w:eastAsia="宋体" w:cs="宋体"/>
          <w:color w:val="auto"/>
          <w:kern w:val="2"/>
          <w:sz w:val="28"/>
          <w:szCs w:val="28"/>
          <w:highlight w:val="none"/>
          <w:lang w:val="en-US" w:eastAsia="zh-CN" w:bidi="ar"/>
        </w:rPr>
        <w:t>项目编号：</w:t>
      </w:r>
      <w:r>
        <w:rPr>
          <w:rFonts w:hint="eastAsia" w:ascii="宋体" w:hAnsi="宋体" w:eastAsia="宋体" w:cs="宋体"/>
          <w:color w:val="auto"/>
          <w:kern w:val="2"/>
          <w:sz w:val="28"/>
          <w:szCs w:val="28"/>
          <w:highlight w:val="none"/>
          <w:u w:val="single"/>
          <w:lang w:val="en-US" w:eastAsia="zh-CN" w:bidi="ar"/>
        </w:rPr>
        <w:t xml:space="preserve">     </w:t>
      </w:r>
    </w:p>
    <w:p w14:paraId="7EE9BAA3">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lang w:val="en-US" w:eastAsia="zh-CN" w:bidi="ar"/>
        </w:rPr>
        <w:t xml:space="preserve"> </w:t>
      </w:r>
    </w:p>
    <w:p w14:paraId="20B7E9C7">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lang w:val="en-US" w:eastAsia="zh-CN" w:bidi="ar"/>
        </w:rPr>
        <w:t xml:space="preserve"> </w:t>
      </w:r>
    </w:p>
    <w:p w14:paraId="3EC03A6D">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8"/>
          <w:szCs w:val="28"/>
          <w:highlight w:val="none"/>
          <w:lang w:val="en-US" w:eastAsia="zh-CN" w:bidi="ar"/>
        </w:rPr>
      </w:pPr>
      <w:r>
        <w:rPr>
          <w:rFonts w:hint="eastAsia" w:ascii="宋体" w:hAnsi="宋体" w:eastAsia="宋体" w:cs="宋体"/>
          <w:color w:val="auto"/>
          <w:kern w:val="2"/>
          <w:sz w:val="28"/>
          <w:szCs w:val="28"/>
          <w:highlight w:val="none"/>
          <w:lang w:val="en-US" w:eastAsia="zh-CN" w:bidi="ar"/>
        </w:rPr>
        <w:t xml:space="preserve"> </w:t>
      </w:r>
    </w:p>
    <w:p w14:paraId="4A3C4266">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8"/>
          <w:szCs w:val="28"/>
          <w:highlight w:val="none"/>
          <w:lang w:val="en-US" w:eastAsia="zh-CN" w:bidi="ar"/>
        </w:rPr>
      </w:pPr>
    </w:p>
    <w:p w14:paraId="6EE915C3">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8"/>
          <w:szCs w:val="28"/>
          <w:highlight w:val="none"/>
          <w:lang w:val="en-US" w:eastAsia="zh-CN" w:bidi="ar"/>
        </w:rPr>
      </w:pPr>
    </w:p>
    <w:p w14:paraId="7A8BA3F7">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lang w:val="en-US" w:eastAsia="zh-CN" w:bidi="ar"/>
        </w:rPr>
        <w:t xml:space="preserve"> </w:t>
      </w:r>
    </w:p>
    <w:p w14:paraId="7BDD2C37">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lang w:val="en-US" w:eastAsia="zh-CN" w:bidi="ar"/>
        </w:rPr>
        <w:t xml:space="preserve"> </w:t>
      </w:r>
    </w:p>
    <w:p w14:paraId="363EA1F1">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lang w:val="en-US" w:eastAsia="zh-CN" w:bidi="ar"/>
        </w:rPr>
        <w:t xml:space="preserve"> </w:t>
      </w:r>
    </w:p>
    <w:p w14:paraId="19EE910C">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lang w:val="en-US" w:eastAsia="zh-CN" w:bidi="ar"/>
        </w:rPr>
        <w:t xml:space="preserve"> </w:t>
      </w:r>
    </w:p>
    <w:p w14:paraId="22F002EC">
      <w:pPr>
        <w:keepNext w:val="0"/>
        <w:keepLines w:val="0"/>
        <w:widowControl w:val="0"/>
        <w:suppressLineNumbers w:val="0"/>
        <w:autoSpaceDE w:val="0"/>
        <w:autoSpaceDN/>
        <w:spacing w:before="0" w:beforeAutospacing="0" w:after="0" w:afterAutospacing="0" w:line="360" w:lineRule="auto"/>
        <w:ind w:left="0" w:right="0"/>
        <w:jc w:val="center"/>
        <w:rPr>
          <w:rFonts w:hint="eastAsia" w:ascii="宋体" w:hAnsi="宋体" w:eastAsia="宋体" w:cs="宋体"/>
          <w:color w:val="auto"/>
          <w:kern w:val="2"/>
          <w:sz w:val="28"/>
          <w:szCs w:val="28"/>
          <w:highlight w:val="none"/>
          <w:u w:val="single"/>
        </w:rPr>
      </w:pPr>
      <w:r>
        <w:rPr>
          <w:rFonts w:hint="eastAsia" w:ascii="宋体" w:hAnsi="宋体" w:eastAsia="宋体" w:cs="宋体"/>
          <w:color w:val="auto"/>
          <w:kern w:val="2"/>
          <w:sz w:val="28"/>
          <w:szCs w:val="28"/>
          <w:highlight w:val="none"/>
          <w:lang w:val="en-US" w:eastAsia="zh-CN" w:bidi="ar"/>
        </w:rPr>
        <w:t>投标人：</w:t>
      </w:r>
      <w:r>
        <w:rPr>
          <w:rFonts w:hint="eastAsia" w:ascii="宋体" w:hAnsi="宋体" w:eastAsia="宋体" w:cs="宋体"/>
          <w:color w:val="auto"/>
          <w:kern w:val="2"/>
          <w:sz w:val="28"/>
          <w:szCs w:val="28"/>
          <w:highlight w:val="none"/>
          <w:u w:val="single"/>
          <w:lang w:val="en-US" w:eastAsia="zh-CN" w:bidi="ar"/>
        </w:rPr>
        <w:t xml:space="preserve">                           </w:t>
      </w:r>
      <w:r>
        <w:rPr>
          <w:rFonts w:hint="eastAsia" w:ascii="宋体" w:hAnsi="宋体" w:eastAsia="宋体" w:cs="宋体"/>
          <w:color w:val="auto"/>
          <w:kern w:val="2"/>
          <w:sz w:val="28"/>
          <w:szCs w:val="28"/>
          <w:highlight w:val="none"/>
          <w:lang w:val="en-US" w:eastAsia="zh-CN" w:bidi="ar"/>
        </w:rPr>
        <w:t>（签章）</w:t>
      </w:r>
    </w:p>
    <w:p w14:paraId="09B4C853">
      <w:pPr>
        <w:keepNext w:val="0"/>
        <w:keepLines w:val="0"/>
        <w:widowControl w:val="0"/>
        <w:suppressLineNumbers w:val="0"/>
        <w:autoSpaceDE w:val="0"/>
        <w:autoSpaceDN/>
        <w:spacing w:before="0" w:beforeAutospacing="0" w:after="0" w:afterAutospacing="0" w:line="360" w:lineRule="auto"/>
        <w:ind w:left="0" w:right="0"/>
        <w:jc w:val="center"/>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lang w:val="en-US" w:eastAsia="zh-CN" w:bidi="ar"/>
        </w:rPr>
        <w:t>法定代表人：</w:t>
      </w:r>
      <w:r>
        <w:rPr>
          <w:rFonts w:hint="eastAsia" w:ascii="宋体" w:hAnsi="宋体" w:eastAsia="宋体" w:cs="宋体"/>
          <w:color w:val="auto"/>
          <w:kern w:val="2"/>
          <w:sz w:val="28"/>
          <w:szCs w:val="28"/>
          <w:highlight w:val="none"/>
          <w:u w:val="single"/>
          <w:lang w:val="en-US" w:eastAsia="zh-CN" w:bidi="ar"/>
        </w:rPr>
        <w:t xml:space="preserve">                       </w:t>
      </w:r>
      <w:r>
        <w:rPr>
          <w:rFonts w:hint="eastAsia" w:ascii="宋体" w:hAnsi="宋体" w:eastAsia="宋体" w:cs="宋体"/>
          <w:color w:val="auto"/>
          <w:kern w:val="2"/>
          <w:sz w:val="28"/>
          <w:szCs w:val="28"/>
          <w:highlight w:val="none"/>
          <w:lang w:val="en-US" w:eastAsia="zh-CN" w:bidi="ar"/>
        </w:rPr>
        <w:t>（签章）</w:t>
      </w:r>
    </w:p>
    <w:p w14:paraId="7DF51500">
      <w:pPr>
        <w:keepNext w:val="0"/>
        <w:keepLines w:val="0"/>
        <w:widowControl w:val="0"/>
        <w:suppressLineNumbers w:val="0"/>
        <w:autoSpaceDE w:val="0"/>
        <w:autoSpaceDN/>
        <w:spacing w:before="0" w:beforeAutospacing="0" w:after="0" w:afterAutospacing="0" w:line="360" w:lineRule="auto"/>
        <w:ind w:left="0" w:right="0"/>
        <w:jc w:val="center"/>
        <w:rPr>
          <w:rFonts w:hint="eastAsia" w:ascii="宋体" w:hAnsi="宋体" w:eastAsia="宋体" w:cs="宋体"/>
          <w:color w:val="auto"/>
          <w:kern w:val="2"/>
          <w:sz w:val="28"/>
          <w:szCs w:val="28"/>
          <w:highlight w:val="none"/>
          <w:lang w:val="en-US" w:eastAsia="zh-CN" w:bidi="ar"/>
        </w:rPr>
      </w:pPr>
      <w:r>
        <w:rPr>
          <w:rFonts w:hint="eastAsia" w:ascii="宋体" w:hAnsi="宋体" w:eastAsia="宋体" w:cs="宋体"/>
          <w:color w:val="auto"/>
          <w:kern w:val="2"/>
          <w:sz w:val="28"/>
          <w:szCs w:val="28"/>
          <w:highlight w:val="none"/>
          <w:u w:val="single"/>
          <w:lang w:val="en-US" w:eastAsia="zh-CN" w:bidi="ar"/>
        </w:rPr>
        <w:t xml:space="preserve">        </w:t>
      </w:r>
      <w:r>
        <w:rPr>
          <w:rFonts w:hint="eastAsia" w:ascii="宋体" w:hAnsi="宋体" w:eastAsia="宋体" w:cs="宋体"/>
          <w:color w:val="auto"/>
          <w:kern w:val="2"/>
          <w:sz w:val="28"/>
          <w:szCs w:val="28"/>
          <w:highlight w:val="none"/>
          <w:lang w:val="en-US" w:eastAsia="zh-CN" w:bidi="ar"/>
        </w:rPr>
        <w:t>年</w:t>
      </w:r>
      <w:r>
        <w:rPr>
          <w:rFonts w:hint="eastAsia" w:ascii="宋体" w:hAnsi="宋体" w:eastAsia="宋体" w:cs="宋体"/>
          <w:color w:val="auto"/>
          <w:kern w:val="2"/>
          <w:sz w:val="28"/>
          <w:szCs w:val="28"/>
          <w:highlight w:val="none"/>
          <w:u w:val="single"/>
          <w:lang w:val="en-US" w:eastAsia="zh-CN" w:bidi="ar"/>
        </w:rPr>
        <w:t xml:space="preserve">        </w:t>
      </w:r>
      <w:r>
        <w:rPr>
          <w:rFonts w:hint="eastAsia" w:ascii="宋体" w:hAnsi="宋体" w:eastAsia="宋体" w:cs="宋体"/>
          <w:color w:val="auto"/>
          <w:kern w:val="2"/>
          <w:sz w:val="28"/>
          <w:szCs w:val="28"/>
          <w:highlight w:val="none"/>
          <w:lang w:val="en-US" w:eastAsia="zh-CN" w:bidi="ar"/>
        </w:rPr>
        <w:t>月</w:t>
      </w:r>
      <w:r>
        <w:rPr>
          <w:rFonts w:hint="eastAsia" w:ascii="宋体" w:hAnsi="宋体" w:eastAsia="宋体" w:cs="宋体"/>
          <w:color w:val="auto"/>
          <w:kern w:val="2"/>
          <w:sz w:val="28"/>
          <w:szCs w:val="28"/>
          <w:highlight w:val="none"/>
          <w:u w:val="single"/>
          <w:lang w:val="en-US" w:eastAsia="zh-CN" w:bidi="ar"/>
        </w:rPr>
        <w:t xml:space="preserve">        </w:t>
      </w:r>
      <w:r>
        <w:rPr>
          <w:rFonts w:hint="eastAsia" w:ascii="宋体" w:hAnsi="宋体" w:eastAsia="宋体" w:cs="宋体"/>
          <w:color w:val="auto"/>
          <w:kern w:val="2"/>
          <w:sz w:val="28"/>
          <w:szCs w:val="28"/>
          <w:highlight w:val="none"/>
          <w:lang w:val="en-US" w:eastAsia="zh-CN" w:bidi="ar"/>
        </w:rPr>
        <w:t>日</w:t>
      </w:r>
    </w:p>
    <w:p w14:paraId="5F9D4A9D">
      <w:pPr>
        <w:rPr>
          <w:rFonts w:hint="eastAsia" w:ascii="宋体" w:hAnsi="宋体" w:eastAsia="宋体" w:cs="宋体"/>
          <w:color w:val="auto"/>
          <w:kern w:val="2"/>
          <w:sz w:val="28"/>
          <w:szCs w:val="28"/>
          <w:highlight w:val="none"/>
          <w:lang w:val="en-US" w:eastAsia="zh-CN" w:bidi="ar"/>
        </w:rPr>
      </w:pPr>
      <w:r>
        <w:rPr>
          <w:rFonts w:hint="eastAsia" w:ascii="宋体" w:hAnsi="宋体" w:eastAsia="宋体" w:cs="宋体"/>
          <w:color w:val="auto"/>
          <w:kern w:val="2"/>
          <w:sz w:val="28"/>
          <w:szCs w:val="28"/>
          <w:highlight w:val="none"/>
          <w:lang w:val="en-US" w:eastAsia="zh-CN" w:bidi="ar"/>
        </w:rPr>
        <w:br w:type="page"/>
      </w:r>
    </w:p>
    <w:p w14:paraId="46578A0F">
      <w:pPr>
        <w:keepNext w:val="0"/>
        <w:keepLines w:val="0"/>
        <w:widowControl w:val="0"/>
        <w:suppressLineNumbers w:val="0"/>
        <w:spacing w:before="0" w:beforeAutospacing="0" w:after="0" w:afterAutospacing="0" w:line="400" w:lineRule="exact"/>
        <w:ind w:left="0" w:right="0" w:firstLine="3379" w:firstLineChars="935"/>
        <w:jc w:val="left"/>
        <w:rPr>
          <w:rFonts w:hint="eastAsia" w:ascii="宋体" w:hAnsi="宋体" w:eastAsia="宋体" w:cs="宋体"/>
          <w:b/>
          <w:bCs w:val="0"/>
          <w:color w:val="auto"/>
          <w:kern w:val="2"/>
          <w:sz w:val="36"/>
          <w:szCs w:val="36"/>
          <w:highlight w:val="none"/>
        </w:rPr>
      </w:pPr>
      <w:r>
        <w:rPr>
          <w:rFonts w:hint="eastAsia" w:ascii="宋体" w:hAnsi="宋体" w:eastAsia="宋体" w:cs="宋体"/>
          <w:b/>
          <w:bCs w:val="0"/>
          <w:color w:val="auto"/>
          <w:kern w:val="2"/>
          <w:sz w:val="36"/>
          <w:szCs w:val="36"/>
          <w:highlight w:val="none"/>
          <w:lang w:val="en-US" w:eastAsia="zh-CN" w:bidi="ar"/>
        </w:rPr>
        <w:t>目   录</w:t>
      </w:r>
    </w:p>
    <w:p w14:paraId="5FFBAA1F">
      <w:pPr>
        <w:keepNext w:val="0"/>
        <w:keepLines w:val="0"/>
        <w:widowControl w:val="0"/>
        <w:suppressLineNumbers w:val="0"/>
        <w:spacing w:before="0" w:beforeAutospacing="0" w:after="0" w:afterAutospacing="0" w:line="400" w:lineRule="exact"/>
        <w:ind w:left="0" w:right="0" w:firstLine="4130" w:firstLineChars="935"/>
        <w:jc w:val="both"/>
        <w:rPr>
          <w:rFonts w:hint="eastAsia" w:ascii="宋体" w:hAnsi="宋体" w:eastAsia="宋体" w:cs="宋体"/>
          <w:b/>
          <w:bCs w:val="0"/>
          <w:color w:val="auto"/>
          <w:kern w:val="2"/>
          <w:sz w:val="44"/>
          <w:szCs w:val="44"/>
          <w:highlight w:val="none"/>
        </w:rPr>
      </w:pPr>
      <w:r>
        <w:rPr>
          <w:rFonts w:hint="eastAsia" w:ascii="宋体" w:hAnsi="宋体" w:eastAsia="宋体" w:cs="宋体"/>
          <w:b/>
          <w:bCs w:val="0"/>
          <w:color w:val="auto"/>
          <w:kern w:val="2"/>
          <w:sz w:val="44"/>
          <w:szCs w:val="44"/>
          <w:highlight w:val="none"/>
          <w:lang w:val="en-US" w:eastAsia="zh-CN" w:bidi="ar"/>
        </w:rPr>
        <w:t xml:space="preserve"> </w:t>
      </w:r>
    </w:p>
    <w:p w14:paraId="17038B15">
      <w:pPr>
        <w:keepNext w:val="0"/>
        <w:keepLines w:val="0"/>
        <w:widowControl w:val="0"/>
        <w:suppressLineNumbers w:val="0"/>
        <w:spacing w:before="0" w:beforeAutospacing="0" w:after="0" w:afterAutospacing="0" w:line="440" w:lineRule="exact"/>
        <w:ind w:left="420" w:right="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（1）开标一览表（格式见附件）</w:t>
      </w:r>
    </w:p>
    <w:p w14:paraId="5B4D89EE">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（2）投标函（格式见附件）；</w:t>
      </w:r>
    </w:p>
    <w:p w14:paraId="1E83822A">
      <w:pPr>
        <w:keepNext w:val="0"/>
        <w:keepLines w:val="0"/>
        <w:widowControl w:val="0"/>
        <w:suppressLineNumbers w:val="0"/>
        <w:spacing w:before="0" w:beforeAutospacing="0" w:after="0" w:afterAutospacing="0" w:line="440" w:lineRule="exact"/>
        <w:ind w:left="42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（3）投标分项报价表（格式见附件）；</w:t>
      </w:r>
    </w:p>
    <w:p w14:paraId="2F989AD3">
      <w:pPr>
        <w:keepNext w:val="0"/>
        <w:keepLines w:val="0"/>
        <w:widowControl w:val="0"/>
        <w:suppressLineNumbers w:val="0"/>
        <w:spacing w:before="0" w:beforeAutospacing="0" w:after="0" w:afterAutospacing="0" w:line="440" w:lineRule="exact"/>
        <w:ind w:left="420" w:right="0"/>
        <w:jc w:val="both"/>
        <w:rPr>
          <w:rFonts w:hint="default"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（4）中小企业声明函，残疾人福利性企业（格式见附件）；（如是）</w:t>
      </w:r>
    </w:p>
    <w:p w14:paraId="503BA657">
      <w:pPr>
        <w:keepNext w:val="0"/>
        <w:keepLines w:val="0"/>
        <w:widowControl w:val="0"/>
        <w:suppressLineNumbers w:val="0"/>
        <w:spacing w:before="0" w:beforeAutospacing="0" w:after="0" w:afterAutospacing="0" w:line="440" w:lineRule="exact"/>
        <w:ind w:left="420" w:right="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（5）省级以上监狱管理局、戒毒管理局（含新疆生产建设兵团）出具的属于监狱企业的证明（格式见附件）；（如是）</w:t>
      </w:r>
    </w:p>
    <w:p w14:paraId="5FDDD6C2">
      <w:pPr>
        <w:keepNext w:val="0"/>
        <w:keepLines w:val="0"/>
        <w:widowControl w:val="0"/>
        <w:suppressLineNumbers w:val="0"/>
        <w:spacing w:before="0" w:beforeAutospacing="0" w:after="0" w:afterAutospacing="0" w:line="440" w:lineRule="exact"/>
        <w:ind w:left="420" w:right="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（6）关于符合本国产品标准的声明函（格式见附件）；（如是）</w:t>
      </w:r>
    </w:p>
    <w:p w14:paraId="13D523FE">
      <w:pPr>
        <w:keepNext w:val="0"/>
        <w:keepLines w:val="0"/>
        <w:widowControl w:val="0"/>
        <w:suppressLineNumbers w:val="0"/>
        <w:spacing w:before="0" w:beforeAutospacing="0" w:after="0" w:afterAutospacing="0" w:line="440" w:lineRule="exact"/>
        <w:ind w:left="420" w:right="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（7）招标文件商务评审中要求提供的其他相关资料；</w:t>
      </w:r>
    </w:p>
    <w:p w14:paraId="09E8718F">
      <w:pPr>
        <w:keepNext w:val="0"/>
        <w:keepLines w:val="0"/>
        <w:widowControl w:val="0"/>
        <w:suppressLineNumbers w:val="0"/>
        <w:spacing w:before="0" w:beforeAutospacing="0" w:after="0" w:afterAutospacing="0" w:line="440" w:lineRule="exact"/>
        <w:ind w:left="420" w:right="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（8）投标人认为需要提供的其他材料；</w:t>
      </w:r>
    </w:p>
    <w:p w14:paraId="65DE0945">
      <w:pPr>
        <w:keepNext w:val="0"/>
        <w:keepLines w:val="0"/>
        <w:widowControl w:val="0"/>
        <w:suppressLineNumbers w:val="0"/>
        <w:spacing w:before="0" w:beforeAutospacing="0" w:after="0" w:afterAutospacing="0" w:line="440" w:lineRule="exact"/>
        <w:ind w:left="420" w:right="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（9）其他（如有）。</w:t>
      </w:r>
    </w:p>
    <w:p w14:paraId="54D8DBA2">
      <w:pPr>
        <w:keepNext w:val="0"/>
        <w:keepLines w:val="0"/>
        <w:widowControl w:val="0"/>
        <w:suppressLineNumbers w:val="0"/>
        <w:autoSpaceDE w:val="0"/>
        <w:autoSpaceDN/>
        <w:spacing w:before="0" w:beforeAutospacing="0" w:after="0" w:afterAutospacing="0" w:line="360" w:lineRule="auto"/>
        <w:ind w:left="0" w:right="0"/>
        <w:jc w:val="center"/>
        <w:rPr>
          <w:rFonts w:hint="eastAsia" w:ascii="宋体" w:hAnsi="宋体" w:eastAsia="宋体" w:cs="宋体"/>
          <w:color w:val="auto"/>
          <w:kern w:val="2"/>
          <w:sz w:val="28"/>
          <w:szCs w:val="28"/>
          <w:highlight w:val="none"/>
          <w:lang w:val="en-US" w:eastAsia="zh-CN" w:bidi="ar"/>
        </w:rPr>
      </w:pPr>
    </w:p>
    <w:p w14:paraId="46C1FC89">
      <w:pPr>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br w:type="page"/>
      </w:r>
    </w:p>
    <w:p w14:paraId="2F69E07D">
      <w:pPr>
        <w:spacing w:line="360" w:lineRule="auto"/>
        <w:jc w:val="center"/>
        <w:outlineLvl w:val="1"/>
        <w:rPr>
          <w:rFonts w:asciiTheme="minorEastAsia" w:hAnsiTheme="minorEastAsia" w:eastAsiaTheme="minorEastAsia"/>
          <w:b/>
          <w:color w:val="auto"/>
          <w:sz w:val="24"/>
          <w:highlight w:val="none"/>
        </w:rPr>
      </w:pPr>
      <w:bookmarkStart w:id="76" w:name="_Toc30444"/>
      <w:r>
        <w:rPr>
          <w:rFonts w:hint="eastAsia" w:asciiTheme="minorEastAsia" w:hAnsiTheme="minorEastAsia" w:eastAsiaTheme="minorEastAsia"/>
          <w:b/>
          <w:color w:val="auto"/>
          <w:sz w:val="24"/>
          <w:highlight w:val="none"/>
          <w:lang w:eastAsia="zh-CN"/>
        </w:rPr>
        <w:t>（</w:t>
      </w:r>
      <w:r>
        <w:rPr>
          <w:rFonts w:hint="eastAsia" w:asciiTheme="minorEastAsia" w:hAnsiTheme="minorEastAsia" w:eastAsiaTheme="minorEastAsia"/>
          <w:b/>
          <w:color w:val="auto"/>
          <w:sz w:val="24"/>
          <w:highlight w:val="none"/>
          <w:lang w:val="en-US" w:eastAsia="zh-CN"/>
        </w:rPr>
        <w:t>1）</w:t>
      </w:r>
      <w:r>
        <w:rPr>
          <w:rFonts w:hint="eastAsia" w:asciiTheme="minorEastAsia" w:hAnsiTheme="minorEastAsia" w:eastAsiaTheme="minorEastAsia"/>
          <w:b/>
          <w:color w:val="auto"/>
          <w:sz w:val="24"/>
          <w:highlight w:val="none"/>
        </w:rPr>
        <w:t>开标一览表</w:t>
      </w:r>
      <w:bookmarkEnd w:id="64"/>
      <w:bookmarkEnd w:id="65"/>
      <w:bookmarkEnd w:id="76"/>
    </w:p>
    <w:tbl>
      <w:tblPr>
        <w:tblStyle w:val="2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1"/>
        <w:gridCol w:w="6777"/>
      </w:tblGrid>
      <w:tr w14:paraId="031EF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1352" w:type="pct"/>
            <w:tcBorders>
              <w:top w:val="single" w:color="auto" w:sz="4" w:space="0"/>
              <w:bottom w:val="single" w:color="auto" w:sz="4" w:space="0"/>
              <w:right w:val="single" w:color="auto" w:sz="4" w:space="0"/>
            </w:tcBorders>
            <w:vAlign w:val="center"/>
          </w:tcPr>
          <w:p w14:paraId="79199B50">
            <w:pPr>
              <w:widowControl/>
              <w:spacing w:line="360" w:lineRule="exact"/>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项目名称</w:t>
            </w:r>
          </w:p>
        </w:tc>
        <w:tc>
          <w:tcPr>
            <w:tcW w:w="3648" w:type="pct"/>
            <w:tcBorders>
              <w:top w:val="single" w:color="auto" w:sz="4" w:space="0"/>
              <w:bottom w:val="single" w:color="auto" w:sz="4" w:space="0"/>
              <w:right w:val="single" w:color="auto" w:sz="4" w:space="0"/>
            </w:tcBorders>
            <w:vAlign w:val="center"/>
          </w:tcPr>
          <w:p w14:paraId="6565E86D">
            <w:pPr>
              <w:spacing w:line="360" w:lineRule="exact"/>
              <w:jc w:val="center"/>
              <w:rPr>
                <w:rFonts w:asciiTheme="minorEastAsia" w:hAnsiTheme="minorEastAsia" w:eastAsiaTheme="minorEastAsia"/>
                <w:bCs/>
                <w:color w:val="auto"/>
                <w:sz w:val="24"/>
                <w:highlight w:val="none"/>
                <w:u w:val="single"/>
              </w:rPr>
            </w:pPr>
          </w:p>
        </w:tc>
      </w:tr>
      <w:tr w14:paraId="2E94E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1CDAA623">
            <w:pPr>
              <w:spacing w:line="360" w:lineRule="exact"/>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投标人全称</w:t>
            </w:r>
          </w:p>
        </w:tc>
        <w:tc>
          <w:tcPr>
            <w:tcW w:w="3648" w:type="pct"/>
            <w:tcBorders>
              <w:top w:val="nil"/>
            </w:tcBorders>
            <w:vAlign w:val="center"/>
          </w:tcPr>
          <w:p w14:paraId="520B849E">
            <w:pPr>
              <w:spacing w:line="360" w:lineRule="auto"/>
              <w:rPr>
                <w:rFonts w:asciiTheme="minorEastAsia" w:hAnsiTheme="minorEastAsia" w:eastAsiaTheme="minorEastAsia"/>
                <w:color w:val="auto"/>
                <w:sz w:val="24"/>
                <w:highlight w:val="none"/>
              </w:rPr>
            </w:pPr>
          </w:p>
        </w:tc>
      </w:tr>
      <w:tr w14:paraId="5AD26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1DF571CD">
            <w:pPr>
              <w:spacing w:line="360" w:lineRule="exact"/>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投标范围</w:t>
            </w:r>
          </w:p>
        </w:tc>
        <w:tc>
          <w:tcPr>
            <w:tcW w:w="3648" w:type="pct"/>
            <w:tcBorders>
              <w:top w:val="nil"/>
            </w:tcBorders>
            <w:vAlign w:val="center"/>
          </w:tcPr>
          <w:p w14:paraId="267FB2FE">
            <w:pPr>
              <w:keepNext w:val="0"/>
              <w:keepLines w:val="0"/>
              <w:pageBreakBefore w:val="0"/>
              <w:widowControl/>
              <w:kinsoku/>
              <w:wordWrap/>
              <w:overflowPunct/>
              <w:topLinePunct w:val="0"/>
              <w:autoSpaceDE/>
              <w:autoSpaceDN/>
              <w:bidi w:val="0"/>
              <w:adjustRightInd/>
              <w:spacing w:line="360" w:lineRule="auto"/>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szCs w:val="28"/>
                <w:highlight w:val="none"/>
              </w:rPr>
              <w:t>全部</w:t>
            </w:r>
          </w:p>
        </w:tc>
      </w:tr>
      <w:tr w14:paraId="672DD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51A72F9E">
            <w:pPr>
              <w:spacing w:line="360" w:lineRule="exact"/>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投标报价</w:t>
            </w:r>
          </w:p>
        </w:tc>
        <w:tc>
          <w:tcPr>
            <w:tcW w:w="3648" w:type="pct"/>
            <w:tcBorders>
              <w:top w:val="nil"/>
            </w:tcBorders>
            <w:vAlign w:val="center"/>
          </w:tcPr>
          <w:p w14:paraId="6C0B49FE">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大写：</w:t>
            </w:r>
            <w:r>
              <w:rPr>
                <w:rFonts w:hint="eastAsia" w:ascii="宋体" w:hAnsi="宋体" w:eastAsia="宋体" w:cs="宋体"/>
                <w:bCs/>
                <w:color w:val="auto"/>
                <w:sz w:val="24"/>
                <w:szCs w:val="24"/>
                <w:highlight w:val="none"/>
                <w:u w:val="single"/>
              </w:rPr>
              <w:t xml:space="preserve">                     </w:t>
            </w:r>
          </w:p>
          <w:p w14:paraId="0E6BEE16">
            <w:pPr>
              <w:keepNext w:val="0"/>
              <w:keepLines w:val="0"/>
              <w:pageBreakBefore w:val="0"/>
              <w:widowControl w:val="0"/>
              <w:kinsoku/>
              <w:wordWrap/>
              <w:overflowPunct/>
              <w:topLinePunct w:val="0"/>
              <w:autoSpaceDE/>
              <w:autoSpaceDN/>
              <w:bidi w:val="0"/>
              <w:adjustRightInd/>
              <w:spacing w:line="360" w:lineRule="auto"/>
              <w:ind w:right="-670"/>
              <w:textAlignment w:val="auto"/>
              <w:rPr>
                <w:rFonts w:asciiTheme="minorEastAsia" w:hAnsiTheme="minorEastAsia" w:eastAsiaTheme="minorEastAsia"/>
                <w:color w:val="auto"/>
                <w:sz w:val="24"/>
                <w:highlight w:val="none"/>
              </w:rPr>
            </w:pPr>
            <w:r>
              <w:rPr>
                <w:rFonts w:hint="eastAsia" w:ascii="宋体" w:hAnsi="宋体" w:eastAsia="宋体" w:cs="宋体"/>
                <w:bCs/>
                <w:color w:val="auto"/>
                <w:sz w:val="24"/>
                <w:szCs w:val="24"/>
                <w:highlight w:val="none"/>
              </w:rPr>
              <w:t>小写：</w:t>
            </w:r>
            <w:r>
              <w:rPr>
                <w:rFonts w:hint="eastAsia" w:ascii="宋体" w:hAnsi="宋体" w:eastAsia="宋体" w:cs="宋体"/>
                <w:bCs/>
                <w:color w:val="auto"/>
                <w:sz w:val="24"/>
                <w:szCs w:val="24"/>
                <w:highlight w:val="none"/>
                <w:u w:val="single"/>
              </w:rPr>
              <w:t xml:space="preserve">                     </w:t>
            </w:r>
          </w:p>
        </w:tc>
      </w:tr>
      <w:tr w14:paraId="60E5B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0" w:hRule="atLeast"/>
          <w:jc w:val="center"/>
        </w:trPr>
        <w:tc>
          <w:tcPr>
            <w:tcW w:w="1352" w:type="pct"/>
            <w:tcBorders>
              <w:top w:val="nil"/>
            </w:tcBorders>
            <w:vAlign w:val="center"/>
          </w:tcPr>
          <w:p w14:paraId="7389F92A">
            <w:pPr>
              <w:spacing w:line="360" w:lineRule="auto"/>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其他</w:t>
            </w:r>
          </w:p>
        </w:tc>
        <w:tc>
          <w:tcPr>
            <w:tcW w:w="3648" w:type="pct"/>
            <w:tcBorders>
              <w:top w:val="nil"/>
            </w:tcBorders>
            <w:vAlign w:val="center"/>
          </w:tcPr>
          <w:p w14:paraId="2C51E346">
            <w:pPr>
              <w:spacing w:line="360" w:lineRule="auto"/>
              <w:jc w:val="left"/>
              <w:rPr>
                <w:rFonts w:asciiTheme="minorEastAsia" w:hAnsiTheme="minorEastAsia" w:eastAsiaTheme="minorEastAsia"/>
                <w:color w:val="auto"/>
                <w:sz w:val="24"/>
                <w:szCs w:val="28"/>
                <w:highlight w:val="none"/>
              </w:rPr>
            </w:pPr>
          </w:p>
        </w:tc>
      </w:tr>
    </w:tbl>
    <w:p w14:paraId="63B8A796">
      <w:pPr>
        <w:spacing w:line="360" w:lineRule="auto"/>
        <w:ind w:firstLine="4320" w:firstLineChars="1800"/>
        <w:jc w:val="center"/>
        <w:rPr>
          <w:rFonts w:asciiTheme="minorEastAsia" w:hAnsiTheme="minorEastAsia" w:eastAsiaTheme="minorEastAsia"/>
          <w:bCs/>
          <w:color w:val="auto"/>
          <w:sz w:val="24"/>
          <w:highlight w:val="none"/>
          <w:u w:val="single"/>
        </w:rPr>
      </w:pPr>
      <w:r>
        <w:rPr>
          <w:rFonts w:hint="eastAsia" w:asciiTheme="minorEastAsia" w:hAnsiTheme="minorEastAsia" w:eastAsiaTheme="minorEastAsia"/>
          <w:bCs/>
          <w:color w:val="auto"/>
          <w:sz w:val="24"/>
          <w:highlight w:val="none"/>
          <w:lang w:val="en-US" w:eastAsia="zh-CN"/>
        </w:rPr>
        <w:t>投标人</w:t>
      </w:r>
      <w:r>
        <w:rPr>
          <w:rFonts w:hint="eastAsia" w:asciiTheme="minorEastAsia" w:hAnsiTheme="minorEastAsia" w:eastAsiaTheme="minorEastAsia"/>
          <w:bCs/>
          <w:color w:val="auto"/>
          <w:sz w:val="24"/>
          <w:highlight w:val="none"/>
        </w:rPr>
        <w:t>电子签章：</w:t>
      </w:r>
      <w:r>
        <w:rPr>
          <w:rFonts w:hint="eastAsia" w:asciiTheme="minorEastAsia" w:hAnsiTheme="minorEastAsia" w:eastAsiaTheme="minorEastAsia"/>
          <w:bCs/>
          <w:color w:val="auto"/>
          <w:sz w:val="24"/>
          <w:highlight w:val="none"/>
          <w:u w:val="single"/>
        </w:rPr>
        <w:t xml:space="preserve">     </w:t>
      </w:r>
      <w:r>
        <w:rPr>
          <w:rFonts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u w:val="single"/>
        </w:rPr>
        <w:t xml:space="preserve">    </w:t>
      </w:r>
    </w:p>
    <w:p w14:paraId="11AFE41F">
      <w:pPr>
        <w:spacing w:line="360" w:lineRule="auto"/>
        <w:ind w:firstLine="4320" w:firstLineChars="1800"/>
        <w:jc w:val="center"/>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日          期：</w:t>
      </w:r>
      <w:r>
        <w:rPr>
          <w:rFonts w:hint="eastAsia" w:asciiTheme="minorEastAsia" w:hAnsiTheme="minorEastAsia" w:eastAsiaTheme="minorEastAsia"/>
          <w:bCs/>
          <w:color w:val="auto"/>
          <w:sz w:val="24"/>
          <w:highlight w:val="none"/>
          <w:u w:val="single"/>
        </w:rPr>
        <w:t xml:space="preserve">             </w:t>
      </w:r>
    </w:p>
    <w:p w14:paraId="1DB3B321">
      <w:pPr>
        <w:spacing w:line="360" w:lineRule="auto"/>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xml:space="preserve">     </w:t>
      </w:r>
    </w:p>
    <w:p w14:paraId="1AE721FF">
      <w:pPr>
        <w:spacing w:line="360" w:lineRule="auto"/>
        <w:ind w:firstLine="360" w:firstLineChars="150"/>
        <w:rPr>
          <w:rFonts w:asciiTheme="minorEastAsia" w:hAnsiTheme="minorEastAsia" w:eastAsiaTheme="minorEastAsia"/>
          <w:color w:val="auto"/>
          <w:sz w:val="24"/>
          <w:highlight w:val="none"/>
        </w:rPr>
      </w:pPr>
    </w:p>
    <w:p w14:paraId="4FDB0254">
      <w:pPr>
        <w:spacing w:line="360" w:lineRule="auto"/>
        <w:rPr>
          <w:rFonts w:hint="eastAsia" w:asciiTheme="minorEastAsia" w:hAnsiTheme="minorEastAsia" w:eastAsiaTheme="minorEastAsia"/>
          <w:b/>
          <w:color w:val="auto"/>
          <w:sz w:val="24"/>
          <w:highlight w:val="none"/>
          <w:lang w:eastAsia="zh-CN"/>
        </w:rPr>
      </w:pPr>
      <w:r>
        <w:rPr>
          <w:rFonts w:hint="eastAsia" w:asciiTheme="minorEastAsia" w:hAnsiTheme="minorEastAsia" w:eastAsiaTheme="minorEastAsia"/>
          <w:b/>
          <w:color w:val="auto"/>
          <w:sz w:val="24"/>
          <w:highlight w:val="none"/>
          <w:lang w:eastAsia="zh-CN"/>
        </w:rPr>
        <w:t>注：</w:t>
      </w:r>
    </w:p>
    <w:p w14:paraId="20EF0F37">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此表用于开标唱标之用。</w:t>
      </w:r>
    </w:p>
    <w:p w14:paraId="0CED911A">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表中投标报价即为优惠后报价，并作为评审及定标依据。任何有选择或有条件的投标报价，或者表中某一包别填写多个报价，均为无效报价。</w:t>
      </w:r>
    </w:p>
    <w:p w14:paraId="33196BB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.表中大写金额与小写金额不一致的，以大写金额为准。</w:t>
      </w:r>
      <w:r>
        <w:rPr>
          <w:rFonts w:asciiTheme="minorEastAsia" w:hAnsiTheme="minorEastAsia" w:eastAsiaTheme="minorEastAsia"/>
          <w:color w:val="auto"/>
          <w:sz w:val="24"/>
          <w:highlight w:val="none"/>
        </w:rPr>
        <w:br w:type="page"/>
      </w:r>
    </w:p>
    <w:p w14:paraId="1FD95949">
      <w:pPr>
        <w:spacing w:line="360" w:lineRule="auto"/>
        <w:jc w:val="center"/>
        <w:outlineLvl w:val="1"/>
        <w:rPr>
          <w:rFonts w:asciiTheme="minorEastAsia" w:hAnsiTheme="minorEastAsia" w:eastAsiaTheme="minorEastAsia"/>
          <w:b/>
          <w:color w:val="auto"/>
          <w:sz w:val="24"/>
          <w:highlight w:val="none"/>
        </w:rPr>
      </w:pPr>
      <w:bookmarkStart w:id="77" w:name="_Toc18010"/>
      <w:bookmarkStart w:id="78" w:name="_Toc10025"/>
      <w:bookmarkStart w:id="79" w:name="_Toc6441"/>
      <w:r>
        <w:rPr>
          <w:rFonts w:hint="eastAsia" w:asciiTheme="minorEastAsia" w:hAnsiTheme="minorEastAsia" w:eastAsiaTheme="minorEastAsia"/>
          <w:b/>
          <w:color w:val="auto"/>
          <w:sz w:val="24"/>
          <w:highlight w:val="none"/>
          <w:lang w:eastAsia="zh-CN"/>
        </w:rPr>
        <w:t>（</w:t>
      </w:r>
      <w:r>
        <w:rPr>
          <w:rFonts w:hint="eastAsia" w:asciiTheme="minorEastAsia" w:hAnsiTheme="minorEastAsia" w:eastAsiaTheme="minorEastAsia"/>
          <w:b/>
          <w:color w:val="auto"/>
          <w:sz w:val="24"/>
          <w:highlight w:val="none"/>
          <w:lang w:val="en-US" w:eastAsia="zh-CN"/>
        </w:rPr>
        <w:t>2）</w:t>
      </w:r>
      <w:r>
        <w:rPr>
          <w:rFonts w:hint="eastAsia" w:asciiTheme="minorEastAsia" w:hAnsiTheme="minorEastAsia" w:eastAsiaTheme="minorEastAsia"/>
          <w:b/>
          <w:color w:val="auto"/>
          <w:sz w:val="24"/>
          <w:highlight w:val="none"/>
        </w:rPr>
        <w:t>投标函</w:t>
      </w:r>
      <w:bookmarkEnd w:id="77"/>
      <w:bookmarkEnd w:id="78"/>
      <w:bookmarkEnd w:id="79"/>
    </w:p>
    <w:p w14:paraId="5A91387F">
      <w:pPr>
        <w:pStyle w:val="13"/>
        <w:spacing w:line="360" w:lineRule="auto"/>
        <w:rPr>
          <w:rFonts w:hint="eastAsia" w:ascii="宋体" w:hAnsi="宋体" w:eastAsia="宋体"/>
          <w:color w:val="auto"/>
          <w:sz w:val="24"/>
          <w:highlight w:val="none"/>
          <w:u w:val="single"/>
          <w:lang w:eastAsia="zh-CN"/>
        </w:rPr>
      </w:pPr>
      <w:r>
        <w:rPr>
          <w:rFonts w:hint="eastAsia" w:ascii="宋体" w:hAnsi="宋体"/>
          <w:color w:val="auto"/>
          <w:sz w:val="24"/>
          <w:highlight w:val="none"/>
        </w:rPr>
        <w:t>致：</w:t>
      </w:r>
      <w:r>
        <w:rPr>
          <w:rFonts w:hint="eastAsia" w:ascii="宋体" w:hAnsi="宋体"/>
          <w:color w:val="auto"/>
          <w:sz w:val="24"/>
          <w:highlight w:val="none"/>
          <w:u w:val="single"/>
          <w:lang w:eastAsia="zh-CN"/>
        </w:rPr>
        <w:t>采购人</w:t>
      </w:r>
    </w:p>
    <w:p w14:paraId="75B5979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根据贵方的招标公告和投标邀请，我方兹宣布同意如下：</w:t>
      </w:r>
    </w:p>
    <w:p w14:paraId="4CF4E4F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w:t>
      </w:r>
      <w:r>
        <w:rPr>
          <w:rFonts w:hint="eastAsia" w:ascii="宋体" w:hAnsi="宋体" w:eastAsia="宋体" w:cs="宋体"/>
          <w:color w:val="auto"/>
          <w:sz w:val="24"/>
          <w:szCs w:val="24"/>
          <w:highlight w:val="none"/>
        </w:rPr>
        <w:t>我方根据招标文件的规定，严格履行合同的责任和义务,并保证于买方要求的日期内完成，并通过买方验收。</w:t>
      </w:r>
    </w:p>
    <w:p w14:paraId="4F5A9327">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.我方已详细审核全部招标文件，包括招标文件</w:t>
      </w:r>
      <w:r>
        <w:rPr>
          <w:rFonts w:hint="eastAsia" w:asciiTheme="minorEastAsia" w:hAnsiTheme="minorEastAsia" w:eastAsiaTheme="minorEastAsia"/>
          <w:color w:val="auto"/>
          <w:sz w:val="24"/>
          <w:highlight w:val="none"/>
          <w:lang w:val="en-US" w:eastAsia="zh-CN"/>
        </w:rPr>
        <w:t>附件及更正公告（如有）</w:t>
      </w:r>
      <w:r>
        <w:rPr>
          <w:rFonts w:hint="eastAsia" w:asciiTheme="minorEastAsia" w:hAnsiTheme="minorEastAsia" w:eastAsiaTheme="minorEastAsia"/>
          <w:color w:val="auto"/>
          <w:sz w:val="24"/>
          <w:highlight w:val="none"/>
        </w:rPr>
        <w:t>，我方正式认可并遵守本次招标文件，并对招标文件各项条款、规定及要求均无异议。</w:t>
      </w:r>
    </w:p>
    <w:p w14:paraId="3DACCE0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.我方同意从招标文件规定的开标日期起遵循本招标文件，并在招标文件规定的投标有效期之前均具有约束力。</w:t>
      </w:r>
    </w:p>
    <w:p w14:paraId="7258202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我方声明投标文件所提供的一切资料均真实无误、及时、有效，企业运营正常。由于我方提供资料不实而造成的责任和后果由我方承担。我方同意按照贵方提出的要求，提供与投标有关的任何证据、数据或资料。</w:t>
      </w:r>
    </w:p>
    <w:p w14:paraId="56CEA0D4">
      <w:pPr>
        <w:spacing w:line="360" w:lineRule="auto"/>
        <w:ind w:firstLine="4800" w:firstLineChars="2000"/>
        <w:rPr>
          <w:rFonts w:ascii="宋体" w:hAnsi="宋体" w:eastAsia="宋体"/>
          <w:color w:val="auto"/>
          <w:sz w:val="24"/>
          <w:highlight w:val="none"/>
        </w:rPr>
      </w:pPr>
    </w:p>
    <w:p w14:paraId="79C1ABB0">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投标人电子签章：</w:t>
      </w:r>
      <w:r>
        <w:rPr>
          <w:rFonts w:hint="eastAsia" w:ascii="宋体" w:hAnsi="宋体" w:eastAsia="宋体"/>
          <w:color w:val="auto"/>
          <w:sz w:val="24"/>
          <w:highlight w:val="none"/>
          <w:u w:val="single"/>
        </w:rPr>
        <w:t xml:space="preserve">             </w:t>
      </w:r>
    </w:p>
    <w:p w14:paraId="79A37600">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78385054">
      <w:pPr>
        <w:widowControl/>
        <w:jc w:val="left"/>
        <w:rPr>
          <w:rFonts w:ascii="宋体" w:hAnsi="宋体" w:eastAsia="宋体"/>
          <w:color w:val="auto"/>
          <w:sz w:val="24"/>
          <w:highlight w:val="none"/>
          <w:u w:val="single"/>
        </w:rPr>
      </w:pPr>
      <w:r>
        <w:rPr>
          <w:rFonts w:ascii="宋体" w:hAnsi="宋体" w:eastAsia="宋体"/>
          <w:color w:val="auto"/>
          <w:sz w:val="24"/>
          <w:highlight w:val="none"/>
          <w:u w:val="single"/>
        </w:rPr>
        <w:br w:type="page"/>
      </w:r>
    </w:p>
    <w:p w14:paraId="5CECE55C">
      <w:pPr>
        <w:spacing w:line="360" w:lineRule="auto"/>
        <w:jc w:val="center"/>
        <w:outlineLvl w:val="1"/>
        <w:rPr>
          <w:rFonts w:hint="eastAsia" w:asciiTheme="minorEastAsia" w:hAnsiTheme="minorEastAsia" w:eastAsiaTheme="minorEastAsia"/>
          <w:b/>
          <w:color w:val="auto"/>
          <w:sz w:val="24"/>
          <w:highlight w:val="none"/>
          <w:lang w:val="en-US" w:eastAsia="zh-CN"/>
        </w:rPr>
      </w:pPr>
      <w:bookmarkStart w:id="80" w:name="_Toc6796"/>
      <w:bookmarkStart w:id="81" w:name="_Toc31991"/>
      <w:bookmarkStart w:id="82" w:name="_Toc23705"/>
      <w:r>
        <w:rPr>
          <w:rFonts w:hint="eastAsia" w:asciiTheme="minorEastAsia" w:hAnsiTheme="minorEastAsia" w:eastAsiaTheme="minorEastAsia"/>
          <w:b/>
          <w:color w:val="auto"/>
          <w:sz w:val="24"/>
          <w:highlight w:val="none"/>
          <w:lang w:eastAsia="zh-CN"/>
        </w:rPr>
        <w:t>（</w:t>
      </w:r>
      <w:r>
        <w:rPr>
          <w:rFonts w:hint="eastAsia" w:asciiTheme="minorEastAsia" w:hAnsiTheme="minorEastAsia" w:eastAsiaTheme="minorEastAsia"/>
          <w:b/>
          <w:color w:val="auto"/>
          <w:sz w:val="24"/>
          <w:highlight w:val="none"/>
          <w:lang w:val="en-US" w:eastAsia="zh-CN"/>
        </w:rPr>
        <w:t>3）</w:t>
      </w:r>
      <w:r>
        <w:rPr>
          <w:rFonts w:hint="eastAsia" w:asciiTheme="minorEastAsia" w:hAnsiTheme="minorEastAsia" w:eastAsiaTheme="minorEastAsia"/>
          <w:b/>
          <w:color w:val="auto"/>
          <w:sz w:val="24"/>
          <w:highlight w:val="none"/>
        </w:rPr>
        <w:t>投标分项报价表</w:t>
      </w:r>
      <w:bookmarkEnd w:id="80"/>
      <w:bookmarkEnd w:id="81"/>
      <w:bookmarkEnd w:id="82"/>
    </w:p>
    <w:p w14:paraId="7BFA8A4B">
      <w:pPr>
        <w:pStyle w:val="51"/>
        <w:jc w:val="left"/>
        <w:rPr>
          <w:rFonts w:hint="default" w:ascii="宋体" w:hAnsi="宋体" w:eastAsia="宋体"/>
          <w:b/>
          <w:bCs/>
          <w:highlight w:val="none"/>
          <w:lang w:val="en-US" w:eastAsia="zh-CN"/>
        </w:rPr>
      </w:pPr>
      <w:r>
        <w:rPr>
          <w:rFonts w:hint="eastAsia" w:ascii="宋体" w:hAnsi="宋体" w:eastAsia="宋体"/>
          <w:b/>
          <w:bCs/>
          <w:highlight w:val="none"/>
          <w:lang w:val="en-US" w:eastAsia="zh-CN"/>
        </w:rPr>
        <w:t>5-1货物部分</w:t>
      </w:r>
    </w:p>
    <w:tbl>
      <w:tblPr>
        <w:tblStyle w:val="2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1442"/>
        <w:gridCol w:w="1434"/>
        <w:gridCol w:w="1434"/>
        <w:gridCol w:w="732"/>
        <w:gridCol w:w="732"/>
        <w:gridCol w:w="1024"/>
        <w:gridCol w:w="1024"/>
        <w:gridCol w:w="730"/>
      </w:tblGrid>
      <w:tr w14:paraId="29F85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3" w:type="pct"/>
            <w:noWrap w:val="0"/>
            <w:vAlign w:val="center"/>
          </w:tcPr>
          <w:p w14:paraId="02EB3403">
            <w:pPr>
              <w:pStyle w:val="43"/>
              <w:widowControl w:val="0"/>
              <w:spacing w:before="0" w:beforeAutospacing="0" w:after="0" w:afterAutospacing="0"/>
              <w:rPr>
                <w:rFonts w:ascii="宋体" w:hAnsi="宋体" w:eastAsia="宋体"/>
                <w:bCs w:val="0"/>
                <w:kern w:val="2"/>
                <w:sz w:val="24"/>
                <w:szCs w:val="20"/>
                <w:highlight w:val="none"/>
              </w:rPr>
            </w:pPr>
            <w:r>
              <w:rPr>
                <w:rFonts w:hint="eastAsia" w:ascii="宋体" w:hAnsi="宋体" w:eastAsia="宋体"/>
                <w:bCs w:val="0"/>
                <w:kern w:val="2"/>
                <w:sz w:val="24"/>
                <w:szCs w:val="20"/>
                <w:highlight w:val="none"/>
              </w:rPr>
              <w:t>序号</w:t>
            </w:r>
          </w:p>
        </w:tc>
        <w:tc>
          <w:tcPr>
            <w:tcW w:w="776" w:type="pct"/>
            <w:noWrap w:val="0"/>
            <w:vAlign w:val="center"/>
          </w:tcPr>
          <w:p w14:paraId="73FB9F55">
            <w:pPr>
              <w:jc w:val="center"/>
              <w:rPr>
                <w:rFonts w:ascii="宋体" w:hAnsi="宋体" w:eastAsia="宋体"/>
                <w:b/>
                <w:sz w:val="24"/>
                <w:highlight w:val="none"/>
              </w:rPr>
            </w:pPr>
            <w:r>
              <w:rPr>
                <w:rFonts w:hint="eastAsia" w:ascii="宋体" w:hAnsi="宋体" w:eastAsia="宋体"/>
                <w:b/>
                <w:sz w:val="24"/>
                <w:highlight w:val="none"/>
              </w:rPr>
              <w:t>货物名称</w:t>
            </w:r>
          </w:p>
        </w:tc>
        <w:tc>
          <w:tcPr>
            <w:tcW w:w="772" w:type="pct"/>
            <w:noWrap w:val="0"/>
            <w:vAlign w:val="center"/>
          </w:tcPr>
          <w:p w14:paraId="74F9288A">
            <w:pPr>
              <w:jc w:val="center"/>
              <w:rPr>
                <w:rFonts w:ascii="宋体" w:hAnsi="宋体" w:eastAsia="宋体"/>
                <w:b/>
                <w:sz w:val="24"/>
                <w:highlight w:val="none"/>
              </w:rPr>
            </w:pPr>
            <w:r>
              <w:rPr>
                <w:rFonts w:hint="eastAsia" w:ascii="宋体" w:hAnsi="宋体" w:eastAsia="宋体"/>
                <w:b/>
                <w:sz w:val="24"/>
                <w:highlight w:val="none"/>
              </w:rPr>
              <w:t>品牌、型</w:t>
            </w:r>
          </w:p>
          <w:p w14:paraId="75AB3D77">
            <w:pPr>
              <w:jc w:val="center"/>
              <w:rPr>
                <w:rFonts w:ascii="宋体" w:hAnsi="宋体" w:eastAsia="宋体"/>
                <w:b/>
                <w:sz w:val="24"/>
                <w:highlight w:val="none"/>
              </w:rPr>
            </w:pPr>
            <w:r>
              <w:rPr>
                <w:rFonts w:hint="eastAsia" w:ascii="宋体" w:hAnsi="宋体" w:eastAsia="宋体"/>
                <w:b/>
                <w:sz w:val="24"/>
                <w:highlight w:val="none"/>
              </w:rPr>
              <w:t>号规格</w:t>
            </w:r>
          </w:p>
        </w:tc>
        <w:tc>
          <w:tcPr>
            <w:tcW w:w="772" w:type="pct"/>
            <w:noWrap w:val="0"/>
            <w:vAlign w:val="center"/>
          </w:tcPr>
          <w:p w14:paraId="3FC9B9D4">
            <w:pPr>
              <w:jc w:val="center"/>
              <w:rPr>
                <w:rFonts w:ascii="宋体" w:hAnsi="宋体" w:eastAsia="宋体"/>
                <w:b/>
                <w:sz w:val="24"/>
                <w:highlight w:val="none"/>
              </w:rPr>
            </w:pPr>
            <w:r>
              <w:rPr>
                <w:rFonts w:hint="eastAsia" w:ascii="宋体" w:hAnsi="宋体" w:eastAsia="宋体"/>
                <w:b/>
                <w:sz w:val="24"/>
                <w:highlight w:val="none"/>
              </w:rPr>
              <w:t>原产地及</w:t>
            </w:r>
          </w:p>
          <w:p w14:paraId="69A6F33E">
            <w:pPr>
              <w:jc w:val="center"/>
              <w:rPr>
                <w:rFonts w:ascii="宋体" w:hAnsi="宋体" w:eastAsia="宋体"/>
                <w:b/>
                <w:sz w:val="24"/>
                <w:highlight w:val="none"/>
              </w:rPr>
            </w:pPr>
            <w:r>
              <w:rPr>
                <w:rFonts w:hint="eastAsia" w:ascii="宋体" w:hAnsi="宋体" w:eastAsia="宋体"/>
                <w:b/>
                <w:sz w:val="24"/>
                <w:highlight w:val="none"/>
              </w:rPr>
              <w:t>生产厂商</w:t>
            </w:r>
          </w:p>
        </w:tc>
        <w:tc>
          <w:tcPr>
            <w:tcW w:w="394" w:type="pct"/>
            <w:noWrap w:val="0"/>
            <w:vAlign w:val="center"/>
          </w:tcPr>
          <w:p w14:paraId="5E220F61">
            <w:pPr>
              <w:jc w:val="center"/>
              <w:rPr>
                <w:rFonts w:ascii="宋体" w:hAnsi="宋体" w:eastAsia="宋体"/>
                <w:b/>
                <w:sz w:val="24"/>
                <w:highlight w:val="none"/>
              </w:rPr>
            </w:pPr>
            <w:r>
              <w:rPr>
                <w:rFonts w:hint="eastAsia" w:ascii="宋体" w:hAnsi="宋体" w:eastAsia="宋体"/>
                <w:b/>
                <w:sz w:val="24"/>
                <w:highlight w:val="none"/>
              </w:rPr>
              <w:t>单位</w:t>
            </w:r>
          </w:p>
        </w:tc>
        <w:tc>
          <w:tcPr>
            <w:tcW w:w="394" w:type="pct"/>
            <w:noWrap w:val="0"/>
            <w:vAlign w:val="center"/>
          </w:tcPr>
          <w:p w14:paraId="320CC90F">
            <w:pPr>
              <w:jc w:val="center"/>
              <w:rPr>
                <w:rFonts w:ascii="宋体" w:hAnsi="宋体" w:eastAsia="宋体"/>
                <w:b/>
                <w:sz w:val="24"/>
                <w:highlight w:val="none"/>
              </w:rPr>
            </w:pPr>
            <w:r>
              <w:rPr>
                <w:rFonts w:hint="eastAsia" w:ascii="宋体" w:hAnsi="宋体" w:eastAsia="宋体"/>
                <w:b/>
                <w:sz w:val="24"/>
                <w:highlight w:val="none"/>
              </w:rPr>
              <w:t>数量</w:t>
            </w:r>
          </w:p>
        </w:tc>
        <w:tc>
          <w:tcPr>
            <w:tcW w:w="551" w:type="pct"/>
            <w:noWrap w:val="0"/>
            <w:vAlign w:val="center"/>
          </w:tcPr>
          <w:p w14:paraId="57B37F39">
            <w:pPr>
              <w:jc w:val="center"/>
              <w:rPr>
                <w:rFonts w:ascii="宋体" w:hAnsi="宋体" w:eastAsia="宋体"/>
                <w:b/>
                <w:sz w:val="24"/>
                <w:highlight w:val="none"/>
              </w:rPr>
            </w:pPr>
            <w:r>
              <w:rPr>
                <w:rFonts w:hint="eastAsia" w:ascii="宋体" w:hAnsi="宋体" w:eastAsia="宋体"/>
                <w:b/>
                <w:sz w:val="24"/>
                <w:highlight w:val="none"/>
              </w:rPr>
              <w:t>单价</w:t>
            </w:r>
          </w:p>
          <w:p w14:paraId="39894848">
            <w:pPr>
              <w:jc w:val="center"/>
              <w:rPr>
                <w:rFonts w:ascii="宋体" w:hAnsi="宋体" w:eastAsia="宋体"/>
                <w:b/>
                <w:sz w:val="24"/>
                <w:highlight w:val="none"/>
              </w:rPr>
            </w:pPr>
            <w:r>
              <w:rPr>
                <w:rFonts w:hint="eastAsia" w:ascii="宋体" w:hAnsi="宋体" w:eastAsia="宋体"/>
                <w:b/>
                <w:sz w:val="24"/>
                <w:highlight w:val="none"/>
              </w:rPr>
              <w:t>（元）</w:t>
            </w:r>
          </w:p>
        </w:tc>
        <w:tc>
          <w:tcPr>
            <w:tcW w:w="551" w:type="pct"/>
            <w:noWrap w:val="0"/>
            <w:vAlign w:val="center"/>
          </w:tcPr>
          <w:p w14:paraId="3425285D">
            <w:pPr>
              <w:jc w:val="center"/>
              <w:rPr>
                <w:rFonts w:ascii="宋体" w:hAnsi="宋体" w:eastAsia="宋体"/>
                <w:b/>
                <w:sz w:val="24"/>
                <w:highlight w:val="none"/>
              </w:rPr>
            </w:pPr>
            <w:r>
              <w:rPr>
                <w:rFonts w:hint="eastAsia" w:ascii="宋体" w:hAnsi="宋体" w:eastAsia="宋体"/>
                <w:b/>
                <w:sz w:val="24"/>
                <w:highlight w:val="none"/>
              </w:rPr>
              <w:t>小计</w:t>
            </w:r>
          </w:p>
          <w:p w14:paraId="57010817">
            <w:pPr>
              <w:jc w:val="center"/>
              <w:rPr>
                <w:rFonts w:ascii="宋体" w:hAnsi="宋体" w:eastAsia="宋体"/>
                <w:b/>
                <w:sz w:val="24"/>
                <w:highlight w:val="none"/>
              </w:rPr>
            </w:pPr>
            <w:r>
              <w:rPr>
                <w:rFonts w:hint="eastAsia" w:ascii="宋体" w:hAnsi="宋体" w:eastAsia="宋体"/>
                <w:b/>
                <w:sz w:val="24"/>
                <w:highlight w:val="none"/>
              </w:rPr>
              <w:t>（元）</w:t>
            </w:r>
          </w:p>
        </w:tc>
        <w:tc>
          <w:tcPr>
            <w:tcW w:w="393" w:type="pct"/>
            <w:noWrap w:val="0"/>
            <w:vAlign w:val="center"/>
          </w:tcPr>
          <w:p w14:paraId="47A63804">
            <w:pPr>
              <w:jc w:val="center"/>
              <w:rPr>
                <w:rFonts w:ascii="宋体" w:hAnsi="宋体" w:eastAsia="宋体"/>
                <w:b/>
                <w:sz w:val="24"/>
                <w:highlight w:val="none"/>
              </w:rPr>
            </w:pPr>
            <w:r>
              <w:rPr>
                <w:rFonts w:hint="eastAsia" w:ascii="宋体" w:hAnsi="宋体" w:eastAsia="宋体"/>
                <w:b/>
                <w:sz w:val="24"/>
                <w:highlight w:val="none"/>
              </w:rPr>
              <w:t>备注</w:t>
            </w:r>
          </w:p>
        </w:tc>
      </w:tr>
      <w:tr w14:paraId="7492F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3" w:type="pct"/>
            <w:tcBorders>
              <w:bottom w:val="single" w:color="auto" w:sz="4" w:space="0"/>
            </w:tcBorders>
            <w:noWrap w:val="0"/>
            <w:vAlign w:val="top"/>
          </w:tcPr>
          <w:p w14:paraId="081E0F3E">
            <w:pPr>
              <w:jc w:val="center"/>
              <w:rPr>
                <w:rFonts w:ascii="宋体" w:hAnsi="宋体" w:eastAsia="宋体"/>
                <w:sz w:val="24"/>
                <w:highlight w:val="none"/>
              </w:rPr>
            </w:pPr>
            <w:r>
              <w:rPr>
                <w:rFonts w:hint="eastAsia" w:ascii="宋体" w:hAnsi="宋体" w:eastAsia="宋体"/>
                <w:sz w:val="24"/>
                <w:highlight w:val="none"/>
              </w:rPr>
              <w:t>1</w:t>
            </w:r>
          </w:p>
        </w:tc>
        <w:tc>
          <w:tcPr>
            <w:tcW w:w="776" w:type="pct"/>
            <w:noWrap w:val="0"/>
            <w:vAlign w:val="top"/>
          </w:tcPr>
          <w:p w14:paraId="7761E195">
            <w:pPr>
              <w:rPr>
                <w:rFonts w:ascii="宋体" w:hAnsi="宋体" w:eastAsia="宋体"/>
                <w:sz w:val="24"/>
                <w:highlight w:val="none"/>
              </w:rPr>
            </w:pPr>
          </w:p>
        </w:tc>
        <w:tc>
          <w:tcPr>
            <w:tcW w:w="772" w:type="pct"/>
            <w:noWrap w:val="0"/>
            <w:vAlign w:val="top"/>
          </w:tcPr>
          <w:p w14:paraId="0375DE1C">
            <w:pPr>
              <w:rPr>
                <w:rFonts w:ascii="宋体" w:hAnsi="宋体" w:eastAsia="宋体"/>
                <w:sz w:val="24"/>
                <w:highlight w:val="none"/>
              </w:rPr>
            </w:pPr>
          </w:p>
        </w:tc>
        <w:tc>
          <w:tcPr>
            <w:tcW w:w="772" w:type="pct"/>
            <w:noWrap w:val="0"/>
            <w:vAlign w:val="top"/>
          </w:tcPr>
          <w:p w14:paraId="52FF1C92">
            <w:pPr>
              <w:rPr>
                <w:rFonts w:ascii="宋体" w:hAnsi="宋体" w:eastAsia="宋体"/>
                <w:sz w:val="24"/>
                <w:highlight w:val="none"/>
              </w:rPr>
            </w:pPr>
          </w:p>
        </w:tc>
        <w:tc>
          <w:tcPr>
            <w:tcW w:w="394" w:type="pct"/>
            <w:noWrap w:val="0"/>
            <w:vAlign w:val="top"/>
          </w:tcPr>
          <w:p w14:paraId="7C01FFE9">
            <w:pPr>
              <w:rPr>
                <w:rFonts w:ascii="宋体" w:hAnsi="宋体" w:eastAsia="宋体"/>
                <w:sz w:val="24"/>
                <w:highlight w:val="none"/>
              </w:rPr>
            </w:pPr>
          </w:p>
        </w:tc>
        <w:tc>
          <w:tcPr>
            <w:tcW w:w="394" w:type="pct"/>
            <w:noWrap w:val="0"/>
            <w:vAlign w:val="top"/>
          </w:tcPr>
          <w:p w14:paraId="4DE5AC10">
            <w:pPr>
              <w:rPr>
                <w:rFonts w:ascii="宋体" w:hAnsi="宋体" w:eastAsia="宋体"/>
                <w:sz w:val="24"/>
                <w:highlight w:val="none"/>
              </w:rPr>
            </w:pPr>
          </w:p>
        </w:tc>
        <w:tc>
          <w:tcPr>
            <w:tcW w:w="551" w:type="pct"/>
            <w:noWrap w:val="0"/>
            <w:vAlign w:val="top"/>
          </w:tcPr>
          <w:p w14:paraId="21DA4597">
            <w:pPr>
              <w:rPr>
                <w:rFonts w:ascii="宋体" w:hAnsi="宋体" w:eastAsia="宋体"/>
                <w:sz w:val="24"/>
                <w:highlight w:val="none"/>
              </w:rPr>
            </w:pPr>
          </w:p>
        </w:tc>
        <w:tc>
          <w:tcPr>
            <w:tcW w:w="551" w:type="pct"/>
            <w:noWrap w:val="0"/>
            <w:vAlign w:val="top"/>
          </w:tcPr>
          <w:p w14:paraId="2A9B41D8">
            <w:pPr>
              <w:rPr>
                <w:rFonts w:ascii="宋体" w:hAnsi="宋体" w:eastAsia="宋体"/>
                <w:sz w:val="24"/>
                <w:highlight w:val="none"/>
              </w:rPr>
            </w:pPr>
          </w:p>
        </w:tc>
        <w:tc>
          <w:tcPr>
            <w:tcW w:w="393" w:type="pct"/>
            <w:noWrap w:val="0"/>
            <w:vAlign w:val="top"/>
          </w:tcPr>
          <w:p w14:paraId="2B68B0FE">
            <w:pPr>
              <w:rPr>
                <w:rFonts w:ascii="宋体" w:hAnsi="宋体" w:eastAsia="宋体"/>
                <w:sz w:val="24"/>
                <w:highlight w:val="none"/>
              </w:rPr>
            </w:pPr>
          </w:p>
        </w:tc>
      </w:tr>
      <w:tr w14:paraId="6C4B5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3" w:type="pct"/>
            <w:noWrap w:val="0"/>
            <w:vAlign w:val="top"/>
          </w:tcPr>
          <w:p w14:paraId="01A75D3A">
            <w:pPr>
              <w:jc w:val="center"/>
              <w:rPr>
                <w:rFonts w:ascii="宋体" w:hAnsi="宋体" w:eastAsia="宋体"/>
                <w:sz w:val="24"/>
                <w:highlight w:val="none"/>
              </w:rPr>
            </w:pPr>
            <w:r>
              <w:rPr>
                <w:rFonts w:hint="eastAsia" w:ascii="宋体" w:hAnsi="宋体" w:eastAsia="宋体"/>
                <w:sz w:val="24"/>
                <w:highlight w:val="none"/>
              </w:rPr>
              <w:t>2</w:t>
            </w:r>
          </w:p>
        </w:tc>
        <w:tc>
          <w:tcPr>
            <w:tcW w:w="776" w:type="pct"/>
            <w:noWrap w:val="0"/>
            <w:vAlign w:val="top"/>
          </w:tcPr>
          <w:p w14:paraId="1C5F27B4">
            <w:pPr>
              <w:rPr>
                <w:rFonts w:ascii="宋体" w:hAnsi="宋体" w:eastAsia="宋体"/>
                <w:sz w:val="24"/>
                <w:highlight w:val="none"/>
              </w:rPr>
            </w:pPr>
          </w:p>
        </w:tc>
        <w:tc>
          <w:tcPr>
            <w:tcW w:w="772" w:type="pct"/>
            <w:noWrap w:val="0"/>
            <w:vAlign w:val="top"/>
          </w:tcPr>
          <w:p w14:paraId="439F3115">
            <w:pPr>
              <w:rPr>
                <w:rFonts w:ascii="宋体" w:hAnsi="宋体" w:eastAsia="宋体"/>
                <w:sz w:val="24"/>
                <w:highlight w:val="none"/>
              </w:rPr>
            </w:pPr>
          </w:p>
        </w:tc>
        <w:tc>
          <w:tcPr>
            <w:tcW w:w="772" w:type="pct"/>
            <w:noWrap w:val="0"/>
            <w:vAlign w:val="top"/>
          </w:tcPr>
          <w:p w14:paraId="0B5EF6A2">
            <w:pPr>
              <w:rPr>
                <w:rFonts w:ascii="宋体" w:hAnsi="宋体" w:eastAsia="宋体"/>
                <w:sz w:val="24"/>
                <w:highlight w:val="none"/>
              </w:rPr>
            </w:pPr>
          </w:p>
        </w:tc>
        <w:tc>
          <w:tcPr>
            <w:tcW w:w="394" w:type="pct"/>
            <w:noWrap w:val="0"/>
            <w:vAlign w:val="top"/>
          </w:tcPr>
          <w:p w14:paraId="66BA4716">
            <w:pPr>
              <w:rPr>
                <w:rFonts w:ascii="宋体" w:hAnsi="宋体" w:eastAsia="宋体"/>
                <w:sz w:val="24"/>
                <w:highlight w:val="none"/>
              </w:rPr>
            </w:pPr>
          </w:p>
        </w:tc>
        <w:tc>
          <w:tcPr>
            <w:tcW w:w="394" w:type="pct"/>
            <w:noWrap w:val="0"/>
            <w:vAlign w:val="top"/>
          </w:tcPr>
          <w:p w14:paraId="4981F119">
            <w:pPr>
              <w:rPr>
                <w:rFonts w:ascii="宋体" w:hAnsi="宋体" w:eastAsia="宋体"/>
                <w:sz w:val="24"/>
                <w:highlight w:val="none"/>
              </w:rPr>
            </w:pPr>
          </w:p>
        </w:tc>
        <w:tc>
          <w:tcPr>
            <w:tcW w:w="551" w:type="pct"/>
            <w:noWrap w:val="0"/>
            <w:vAlign w:val="top"/>
          </w:tcPr>
          <w:p w14:paraId="6A08DEBB">
            <w:pPr>
              <w:rPr>
                <w:rFonts w:ascii="宋体" w:hAnsi="宋体" w:eastAsia="宋体"/>
                <w:sz w:val="24"/>
                <w:highlight w:val="none"/>
              </w:rPr>
            </w:pPr>
          </w:p>
        </w:tc>
        <w:tc>
          <w:tcPr>
            <w:tcW w:w="551" w:type="pct"/>
            <w:noWrap w:val="0"/>
            <w:vAlign w:val="top"/>
          </w:tcPr>
          <w:p w14:paraId="21EA39CE">
            <w:pPr>
              <w:rPr>
                <w:rFonts w:ascii="宋体" w:hAnsi="宋体" w:eastAsia="宋体"/>
                <w:sz w:val="24"/>
                <w:highlight w:val="none"/>
              </w:rPr>
            </w:pPr>
          </w:p>
        </w:tc>
        <w:tc>
          <w:tcPr>
            <w:tcW w:w="393" w:type="pct"/>
            <w:noWrap w:val="0"/>
            <w:vAlign w:val="top"/>
          </w:tcPr>
          <w:p w14:paraId="2599FD7C">
            <w:pPr>
              <w:rPr>
                <w:rFonts w:ascii="宋体" w:hAnsi="宋体" w:eastAsia="宋体"/>
                <w:sz w:val="24"/>
                <w:highlight w:val="none"/>
              </w:rPr>
            </w:pPr>
          </w:p>
        </w:tc>
      </w:tr>
      <w:tr w14:paraId="3B9FB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3" w:type="pct"/>
            <w:noWrap w:val="0"/>
            <w:vAlign w:val="top"/>
          </w:tcPr>
          <w:p w14:paraId="3EF7B92A">
            <w:pPr>
              <w:jc w:val="center"/>
              <w:rPr>
                <w:rFonts w:ascii="宋体" w:hAnsi="宋体" w:eastAsia="宋体"/>
                <w:sz w:val="24"/>
                <w:highlight w:val="none"/>
              </w:rPr>
            </w:pPr>
            <w:r>
              <w:rPr>
                <w:rFonts w:hint="eastAsia" w:ascii="宋体" w:hAnsi="宋体" w:eastAsia="宋体"/>
                <w:sz w:val="24"/>
                <w:highlight w:val="none"/>
              </w:rPr>
              <w:t>3</w:t>
            </w:r>
          </w:p>
        </w:tc>
        <w:tc>
          <w:tcPr>
            <w:tcW w:w="776" w:type="pct"/>
            <w:noWrap w:val="0"/>
            <w:vAlign w:val="top"/>
          </w:tcPr>
          <w:p w14:paraId="3F508895">
            <w:pPr>
              <w:rPr>
                <w:rFonts w:ascii="宋体" w:hAnsi="宋体" w:eastAsia="宋体"/>
                <w:sz w:val="24"/>
                <w:highlight w:val="none"/>
              </w:rPr>
            </w:pPr>
          </w:p>
        </w:tc>
        <w:tc>
          <w:tcPr>
            <w:tcW w:w="772" w:type="pct"/>
            <w:noWrap w:val="0"/>
            <w:vAlign w:val="top"/>
          </w:tcPr>
          <w:p w14:paraId="20B310BD">
            <w:pPr>
              <w:rPr>
                <w:rFonts w:ascii="宋体" w:hAnsi="宋体" w:eastAsia="宋体"/>
                <w:sz w:val="24"/>
                <w:highlight w:val="none"/>
              </w:rPr>
            </w:pPr>
          </w:p>
        </w:tc>
        <w:tc>
          <w:tcPr>
            <w:tcW w:w="772" w:type="pct"/>
            <w:noWrap w:val="0"/>
            <w:vAlign w:val="top"/>
          </w:tcPr>
          <w:p w14:paraId="09A7230D">
            <w:pPr>
              <w:rPr>
                <w:rFonts w:ascii="宋体" w:hAnsi="宋体" w:eastAsia="宋体"/>
                <w:sz w:val="24"/>
                <w:highlight w:val="none"/>
              </w:rPr>
            </w:pPr>
          </w:p>
        </w:tc>
        <w:tc>
          <w:tcPr>
            <w:tcW w:w="394" w:type="pct"/>
            <w:noWrap w:val="0"/>
            <w:vAlign w:val="top"/>
          </w:tcPr>
          <w:p w14:paraId="275F91C4">
            <w:pPr>
              <w:rPr>
                <w:rFonts w:ascii="宋体" w:hAnsi="宋体" w:eastAsia="宋体"/>
                <w:sz w:val="24"/>
                <w:highlight w:val="none"/>
              </w:rPr>
            </w:pPr>
          </w:p>
        </w:tc>
        <w:tc>
          <w:tcPr>
            <w:tcW w:w="394" w:type="pct"/>
            <w:noWrap w:val="0"/>
            <w:vAlign w:val="top"/>
          </w:tcPr>
          <w:p w14:paraId="6E9B5D37">
            <w:pPr>
              <w:rPr>
                <w:rFonts w:ascii="宋体" w:hAnsi="宋体" w:eastAsia="宋体"/>
                <w:sz w:val="24"/>
                <w:highlight w:val="none"/>
              </w:rPr>
            </w:pPr>
          </w:p>
        </w:tc>
        <w:tc>
          <w:tcPr>
            <w:tcW w:w="551" w:type="pct"/>
            <w:noWrap w:val="0"/>
            <w:vAlign w:val="top"/>
          </w:tcPr>
          <w:p w14:paraId="7D351FDC">
            <w:pPr>
              <w:rPr>
                <w:rFonts w:ascii="宋体" w:hAnsi="宋体" w:eastAsia="宋体"/>
                <w:sz w:val="24"/>
                <w:highlight w:val="none"/>
              </w:rPr>
            </w:pPr>
          </w:p>
        </w:tc>
        <w:tc>
          <w:tcPr>
            <w:tcW w:w="551" w:type="pct"/>
            <w:noWrap w:val="0"/>
            <w:vAlign w:val="top"/>
          </w:tcPr>
          <w:p w14:paraId="68D6AC0F">
            <w:pPr>
              <w:rPr>
                <w:rFonts w:ascii="宋体" w:hAnsi="宋体" w:eastAsia="宋体"/>
                <w:sz w:val="24"/>
                <w:highlight w:val="none"/>
              </w:rPr>
            </w:pPr>
          </w:p>
        </w:tc>
        <w:tc>
          <w:tcPr>
            <w:tcW w:w="393" w:type="pct"/>
            <w:noWrap w:val="0"/>
            <w:vAlign w:val="top"/>
          </w:tcPr>
          <w:p w14:paraId="2EB92AF3">
            <w:pPr>
              <w:rPr>
                <w:rFonts w:ascii="宋体" w:hAnsi="宋体" w:eastAsia="宋体"/>
                <w:sz w:val="24"/>
                <w:highlight w:val="none"/>
              </w:rPr>
            </w:pPr>
          </w:p>
        </w:tc>
      </w:tr>
      <w:tr w14:paraId="6233C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3" w:type="pct"/>
            <w:noWrap w:val="0"/>
            <w:vAlign w:val="top"/>
          </w:tcPr>
          <w:p w14:paraId="7DD361CA">
            <w:pPr>
              <w:jc w:val="center"/>
              <w:rPr>
                <w:rFonts w:ascii="宋体" w:hAnsi="宋体" w:eastAsia="宋体"/>
                <w:sz w:val="24"/>
                <w:highlight w:val="none"/>
              </w:rPr>
            </w:pPr>
            <w:r>
              <w:rPr>
                <w:rFonts w:hint="eastAsia" w:ascii="宋体" w:hAnsi="宋体" w:eastAsia="宋体"/>
                <w:sz w:val="24"/>
                <w:highlight w:val="none"/>
              </w:rPr>
              <w:t>…</w:t>
            </w:r>
          </w:p>
        </w:tc>
        <w:tc>
          <w:tcPr>
            <w:tcW w:w="776" w:type="pct"/>
            <w:noWrap w:val="0"/>
            <w:vAlign w:val="top"/>
          </w:tcPr>
          <w:p w14:paraId="52FDDD29">
            <w:pPr>
              <w:rPr>
                <w:rFonts w:ascii="宋体" w:hAnsi="宋体" w:eastAsia="宋体"/>
                <w:sz w:val="24"/>
                <w:highlight w:val="none"/>
              </w:rPr>
            </w:pPr>
          </w:p>
        </w:tc>
        <w:tc>
          <w:tcPr>
            <w:tcW w:w="772" w:type="pct"/>
            <w:noWrap w:val="0"/>
            <w:vAlign w:val="top"/>
          </w:tcPr>
          <w:p w14:paraId="0F448206">
            <w:pPr>
              <w:rPr>
                <w:rFonts w:ascii="宋体" w:hAnsi="宋体" w:eastAsia="宋体"/>
                <w:sz w:val="24"/>
                <w:highlight w:val="none"/>
              </w:rPr>
            </w:pPr>
          </w:p>
        </w:tc>
        <w:tc>
          <w:tcPr>
            <w:tcW w:w="772" w:type="pct"/>
            <w:noWrap w:val="0"/>
            <w:vAlign w:val="top"/>
          </w:tcPr>
          <w:p w14:paraId="6F4523F1">
            <w:pPr>
              <w:rPr>
                <w:rFonts w:ascii="宋体" w:hAnsi="宋体" w:eastAsia="宋体"/>
                <w:sz w:val="24"/>
                <w:highlight w:val="none"/>
              </w:rPr>
            </w:pPr>
          </w:p>
        </w:tc>
        <w:tc>
          <w:tcPr>
            <w:tcW w:w="394" w:type="pct"/>
            <w:noWrap w:val="0"/>
            <w:vAlign w:val="top"/>
          </w:tcPr>
          <w:p w14:paraId="5713503A">
            <w:pPr>
              <w:rPr>
                <w:rFonts w:ascii="宋体" w:hAnsi="宋体" w:eastAsia="宋体"/>
                <w:sz w:val="24"/>
                <w:highlight w:val="none"/>
              </w:rPr>
            </w:pPr>
          </w:p>
        </w:tc>
        <w:tc>
          <w:tcPr>
            <w:tcW w:w="394" w:type="pct"/>
            <w:noWrap w:val="0"/>
            <w:vAlign w:val="top"/>
          </w:tcPr>
          <w:p w14:paraId="44B66D33">
            <w:pPr>
              <w:rPr>
                <w:rFonts w:ascii="宋体" w:hAnsi="宋体" w:eastAsia="宋体"/>
                <w:sz w:val="24"/>
                <w:highlight w:val="none"/>
              </w:rPr>
            </w:pPr>
          </w:p>
        </w:tc>
        <w:tc>
          <w:tcPr>
            <w:tcW w:w="551" w:type="pct"/>
            <w:noWrap w:val="0"/>
            <w:vAlign w:val="top"/>
          </w:tcPr>
          <w:p w14:paraId="4D3028A2">
            <w:pPr>
              <w:rPr>
                <w:rFonts w:ascii="宋体" w:hAnsi="宋体" w:eastAsia="宋体"/>
                <w:sz w:val="24"/>
                <w:highlight w:val="none"/>
              </w:rPr>
            </w:pPr>
          </w:p>
        </w:tc>
        <w:tc>
          <w:tcPr>
            <w:tcW w:w="551" w:type="pct"/>
            <w:noWrap w:val="0"/>
            <w:vAlign w:val="top"/>
          </w:tcPr>
          <w:p w14:paraId="1790092E">
            <w:pPr>
              <w:rPr>
                <w:rFonts w:ascii="宋体" w:hAnsi="宋体" w:eastAsia="宋体"/>
                <w:sz w:val="24"/>
                <w:highlight w:val="none"/>
              </w:rPr>
            </w:pPr>
          </w:p>
        </w:tc>
        <w:tc>
          <w:tcPr>
            <w:tcW w:w="393" w:type="pct"/>
            <w:noWrap w:val="0"/>
            <w:vAlign w:val="top"/>
          </w:tcPr>
          <w:p w14:paraId="578F6552">
            <w:pPr>
              <w:rPr>
                <w:rFonts w:ascii="宋体" w:hAnsi="宋体" w:eastAsia="宋体"/>
                <w:sz w:val="24"/>
                <w:highlight w:val="none"/>
              </w:rPr>
            </w:pPr>
          </w:p>
        </w:tc>
      </w:tr>
      <w:tr w14:paraId="388BB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4054" w:type="pct"/>
            <w:gridSpan w:val="7"/>
            <w:noWrap w:val="0"/>
            <w:vAlign w:val="center"/>
          </w:tcPr>
          <w:p w14:paraId="5461A2A8">
            <w:pPr>
              <w:jc w:val="center"/>
              <w:rPr>
                <w:rFonts w:ascii="宋体" w:hAnsi="宋体" w:eastAsia="宋体"/>
                <w:sz w:val="24"/>
                <w:highlight w:val="none"/>
              </w:rPr>
            </w:pPr>
            <w:r>
              <w:rPr>
                <w:rFonts w:hint="eastAsia" w:ascii="宋体" w:hAnsi="宋体" w:eastAsia="宋体"/>
                <w:b/>
                <w:sz w:val="24"/>
                <w:highlight w:val="none"/>
              </w:rPr>
              <w:t>合计</w:t>
            </w:r>
            <w:r>
              <w:rPr>
                <w:rFonts w:hint="eastAsia" w:ascii="宋体" w:hAnsi="宋体" w:eastAsia="宋体"/>
                <w:b/>
                <w:sz w:val="24"/>
                <w:highlight w:val="none"/>
                <w:lang w:val="en-US" w:eastAsia="zh-CN"/>
              </w:rPr>
              <w:t>金额</w:t>
            </w:r>
            <w:r>
              <w:rPr>
                <w:rFonts w:hint="eastAsia" w:ascii="宋体" w:hAnsi="宋体" w:eastAsia="宋体"/>
                <w:b/>
                <w:sz w:val="24"/>
                <w:highlight w:val="none"/>
              </w:rPr>
              <w:t>（元）</w:t>
            </w:r>
          </w:p>
        </w:tc>
        <w:tc>
          <w:tcPr>
            <w:tcW w:w="945" w:type="pct"/>
            <w:gridSpan w:val="2"/>
            <w:noWrap w:val="0"/>
            <w:vAlign w:val="top"/>
          </w:tcPr>
          <w:p w14:paraId="559957D4">
            <w:pPr>
              <w:rPr>
                <w:rFonts w:ascii="宋体" w:hAnsi="宋体" w:eastAsia="宋体"/>
                <w:sz w:val="24"/>
                <w:highlight w:val="none"/>
              </w:rPr>
            </w:pPr>
          </w:p>
        </w:tc>
      </w:tr>
    </w:tbl>
    <w:p w14:paraId="4C7090A7">
      <w:pPr>
        <w:pStyle w:val="51"/>
        <w:jc w:val="both"/>
        <w:rPr>
          <w:rFonts w:hint="default" w:ascii="宋体" w:hAnsi="宋体" w:eastAsia="宋体"/>
          <w:b/>
          <w:bCs/>
          <w:i/>
          <w:iCs/>
          <w:highlight w:val="none"/>
          <w:lang w:val="en-US" w:eastAsia="zh-CN"/>
        </w:rPr>
      </w:pPr>
      <w:r>
        <w:rPr>
          <w:rFonts w:hint="eastAsia" w:ascii="宋体" w:hAnsi="宋体" w:eastAsia="宋体"/>
          <w:b/>
          <w:bCs/>
          <w:highlight w:val="none"/>
          <w:lang w:val="en-US" w:eastAsia="zh-CN"/>
        </w:rPr>
        <w:t>5-2服务部分</w:t>
      </w:r>
      <w:r>
        <w:rPr>
          <w:rFonts w:hint="eastAsia" w:ascii="宋体" w:hAnsi="宋体" w:eastAsia="宋体"/>
          <w:b/>
          <w:bCs/>
          <w:i/>
          <w:iCs/>
          <w:highlight w:val="none"/>
        </w:rPr>
        <w:t>（仅供参考，投标人可自行制作格式）</w:t>
      </w:r>
    </w:p>
    <w:tbl>
      <w:tblPr>
        <w:tblStyle w:val="2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3388"/>
        <w:gridCol w:w="1479"/>
        <w:gridCol w:w="1850"/>
        <w:gridCol w:w="1706"/>
      </w:tblGrid>
      <w:tr w14:paraId="4A9E4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463" w:type="pct"/>
            <w:noWrap w:val="0"/>
            <w:vAlign w:val="center"/>
          </w:tcPr>
          <w:p w14:paraId="1CDA59DE">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b/>
                <w:sz w:val="24"/>
                <w:highlight w:val="none"/>
              </w:rPr>
            </w:pPr>
            <w:r>
              <w:rPr>
                <w:rFonts w:hint="eastAsia" w:ascii="宋体" w:hAnsi="宋体" w:eastAsia="宋体"/>
                <w:b/>
                <w:sz w:val="24"/>
                <w:highlight w:val="none"/>
              </w:rPr>
              <w:t>序号</w:t>
            </w:r>
          </w:p>
        </w:tc>
        <w:tc>
          <w:tcPr>
            <w:tcW w:w="1824" w:type="pct"/>
            <w:noWrap w:val="0"/>
            <w:vAlign w:val="center"/>
          </w:tcPr>
          <w:p w14:paraId="17CB7DC2">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b/>
                <w:sz w:val="24"/>
                <w:highlight w:val="none"/>
              </w:rPr>
            </w:pPr>
            <w:r>
              <w:rPr>
                <w:rFonts w:hint="eastAsia" w:ascii="宋体" w:hAnsi="宋体" w:eastAsia="宋体"/>
                <w:b/>
                <w:sz w:val="24"/>
                <w:highlight w:val="none"/>
              </w:rPr>
              <w:t>服务内容</w:t>
            </w:r>
          </w:p>
        </w:tc>
        <w:tc>
          <w:tcPr>
            <w:tcW w:w="796" w:type="pct"/>
            <w:noWrap w:val="0"/>
            <w:vAlign w:val="center"/>
          </w:tcPr>
          <w:p w14:paraId="69CD1F09">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b/>
                <w:sz w:val="24"/>
                <w:highlight w:val="none"/>
              </w:rPr>
            </w:pPr>
            <w:r>
              <w:rPr>
                <w:rFonts w:hint="eastAsia" w:ascii="宋体" w:hAnsi="宋体" w:eastAsia="宋体"/>
                <w:b/>
                <w:sz w:val="24"/>
                <w:highlight w:val="none"/>
              </w:rPr>
              <w:t>项</w:t>
            </w:r>
          </w:p>
        </w:tc>
        <w:tc>
          <w:tcPr>
            <w:tcW w:w="996" w:type="pct"/>
            <w:noWrap w:val="0"/>
            <w:vAlign w:val="center"/>
          </w:tcPr>
          <w:p w14:paraId="3C73F4D9">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b/>
                <w:sz w:val="24"/>
                <w:highlight w:val="none"/>
              </w:rPr>
            </w:pPr>
            <w:r>
              <w:rPr>
                <w:rFonts w:hint="eastAsia" w:ascii="宋体" w:hAnsi="宋体" w:eastAsia="宋体"/>
                <w:b/>
                <w:sz w:val="24"/>
                <w:highlight w:val="none"/>
              </w:rPr>
              <w:t>单价</w:t>
            </w:r>
          </w:p>
        </w:tc>
        <w:tc>
          <w:tcPr>
            <w:tcW w:w="919" w:type="pct"/>
            <w:noWrap w:val="0"/>
            <w:vAlign w:val="center"/>
          </w:tcPr>
          <w:p w14:paraId="18231BFF">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b/>
                <w:sz w:val="24"/>
                <w:highlight w:val="none"/>
              </w:rPr>
            </w:pPr>
            <w:r>
              <w:rPr>
                <w:rFonts w:hint="eastAsia" w:ascii="宋体" w:hAnsi="宋体" w:eastAsia="宋体"/>
                <w:b/>
                <w:sz w:val="24"/>
                <w:highlight w:val="none"/>
              </w:rPr>
              <w:t>小计（元）</w:t>
            </w:r>
          </w:p>
        </w:tc>
      </w:tr>
      <w:tr w14:paraId="4603F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3" w:type="pct"/>
            <w:tcBorders>
              <w:bottom w:val="single" w:color="auto" w:sz="4" w:space="0"/>
            </w:tcBorders>
            <w:noWrap w:val="0"/>
            <w:vAlign w:val="center"/>
          </w:tcPr>
          <w:p w14:paraId="3C2A5816">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highlight w:val="none"/>
              </w:rPr>
            </w:pPr>
            <w:r>
              <w:rPr>
                <w:rFonts w:hint="eastAsia" w:ascii="宋体" w:hAnsi="宋体" w:eastAsia="宋体"/>
                <w:sz w:val="24"/>
                <w:highlight w:val="none"/>
              </w:rPr>
              <w:t>1</w:t>
            </w:r>
          </w:p>
        </w:tc>
        <w:tc>
          <w:tcPr>
            <w:tcW w:w="1824" w:type="pct"/>
            <w:noWrap w:val="0"/>
            <w:vAlign w:val="center"/>
          </w:tcPr>
          <w:p w14:paraId="176E8AA8">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highlight w:val="none"/>
              </w:rPr>
            </w:pPr>
          </w:p>
        </w:tc>
        <w:tc>
          <w:tcPr>
            <w:tcW w:w="796" w:type="pct"/>
            <w:noWrap w:val="0"/>
            <w:vAlign w:val="center"/>
          </w:tcPr>
          <w:p w14:paraId="2C5909C3">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highlight w:val="none"/>
              </w:rPr>
            </w:pPr>
          </w:p>
        </w:tc>
        <w:tc>
          <w:tcPr>
            <w:tcW w:w="996" w:type="pct"/>
            <w:noWrap w:val="0"/>
            <w:vAlign w:val="center"/>
          </w:tcPr>
          <w:p w14:paraId="575AA4E9">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highlight w:val="none"/>
              </w:rPr>
            </w:pPr>
          </w:p>
        </w:tc>
        <w:tc>
          <w:tcPr>
            <w:tcW w:w="919" w:type="pct"/>
            <w:noWrap w:val="0"/>
            <w:vAlign w:val="center"/>
          </w:tcPr>
          <w:p w14:paraId="60C54B4C">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highlight w:val="none"/>
              </w:rPr>
            </w:pPr>
          </w:p>
        </w:tc>
      </w:tr>
      <w:tr w14:paraId="3CDC4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3" w:type="pct"/>
            <w:noWrap w:val="0"/>
            <w:vAlign w:val="center"/>
          </w:tcPr>
          <w:p w14:paraId="1D70D3F5">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highlight w:val="none"/>
              </w:rPr>
            </w:pPr>
            <w:r>
              <w:rPr>
                <w:rFonts w:hint="eastAsia" w:ascii="宋体" w:hAnsi="宋体" w:eastAsia="宋体"/>
                <w:sz w:val="24"/>
                <w:highlight w:val="none"/>
              </w:rPr>
              <w:t>2</w:t>
            </w:r>
          </w:p>
        </w:tc>
        <w:tc>
          <w:tcPr>
            <w:tcW w:w="1824" w:type="pct"/>
            <w:noWrap w:val="0"/>
            <w:vAlign w:val="center"/>
          </w:tcPr>
          <w:p w14:paraId="72BE9378">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highlight w:val="none"/>
              </w:rPr>
            </w:pPr>
          </w:p>
        </w:tc>
        <w:tc>
          <w:tcPr>
            <w:tcW w:w="796" w:type="pct"/>
            <w:noWrap w:val="0"/>
            <w:vAlign w:val="center"/>
          </w:tcPr>
          <w:p w14:paraId="6158F3CC">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highlight w:val="none"/>
              </w:rPr>
            </w:pPr>
          </w:p>
        </w:tc>
        <w:tc>
          <w:tcPr>
            <w:tcW w:w="996" w:type="pct"/>
            <w:noWrap w:val="0"/>
            <w:vAlign w:val="center"/>
          </w:tcPr>
          <w:p w14:paraId="6122CBD2">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highlight w:val="none"/>
              </w:rPr>
            </w:pPr>
          </w:p>
        </w:tc>
        <w:tc>
          <w:tcPr>
            <w:tcW w:w="919" w:type="pct"/>
            <w:noWrap w:val="0"/>
            <w:vAlign w:val="center"/>
          </w:tcPr>
          <w:p w14:paraId="560FF55C">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highlight w:val="none"/>
              </w:rPr>
            </w:pPr>
          </w:p>
        </w:tc>
      </w:tr>
      <w:tr w14:paraId="00EF4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3" w:type="pct"/>
            <w:noWrap w:val="0"/>
            <w:vAlign w:val="center"/>
          </w:tcPr>
          <w:p w14:paraId="63730EC5">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highlight w:val="none"/>
              </w:rPr>
            </w:pPr>
            <w:r>
              <w:rPr>
                <w:rFonts w:hint="eastAsia" w:ascii="宋体" w:hAnsi="宋体" w:eastAsia="宋体"/>
                <w:sz w:val="24"/>
                <w:highlight w:val="none"/>
              </w:rPr>
              <w:t>3</w:t>
            </w:r>
          </w:p>
        </w:tc>
        <w:tc>
          <w:tcPr>
            <w:tcW w:w="1824" w:type="pct"/>
            <w:noWrap w:val="0"/>
            <w:vAlign w:val="center"/>
          </w:tcPr>
          <w:p w14:paraId="666FC2C9">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highlight w:val="none"/>
              </w:rPr>
            </w:pPr>
          </w:p>
        </w:tc>
        <w:tc>
          <w:tcPr>
            <w:tcW w:w="796" w:type="pct"/>
            <w:noWrap w:val="0"/>
            <w:vAlign w:val="center"/>
          </w:tcPr>
          <w:p w14:paraId="210A8638">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highlight w:val="none"/>
              </w:rPr>
            </w:pPr>
          </w:p>
        </w:tc>
        <w:tc>
          <w:tcPr>
            <w:tcW w:w="996" w:type="pct"/>
            <w:noWrap w:val="0"/>
            <w:vAlign w:val="center"/>
          </w:tcPr>
          <w:p w14:paraId="6D90EEB9">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highlight w:val="none"/>
              </w:rPr>
            </w:pPr>
          </w:p>
        </w:tc>
        <w:tc>
          <w:tcPr>
            <w:tcW w:w="919" w:type="pct"/>
            <w:noWrap w:val="0"/>
            <w:vAlign w:val="center"/>
          </w:tcPr>
          <w:p w14:paraId="2087A30E">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highlight w:val="none"/>
              </w:rPr>
            </w:pPr>
          </w:p>
        </w:tc>
      </w:tr>
      <w:tr w14:paraId="23B5F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3" w:type="pct"/>
            <w:noWrap w:val="0"/>
            <w:vAlign w:val="center"/>
          </w:tcPr>
          <w:p w14:paraId="7A4BB65E">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highlight w:val="none"/>
              </w:rPr>
            </w:pPr>
            <w:r>
              <w:rPr>
                <w:rFonts w:ascii="宋体" w:hAnsi="宋体" w:eastAsia="宋体"/>
                <w:sz w:val="24"/>
                <w:highlight w:val="none"/>
              </w:rPr>
              <w:t>…</w:t>
            </w:r>
          </w:p>
        </w:tc>
        <w:tc>
          <w:tcPr>
            <w:tcW w:w="1824" w:type="pct"/>
            <w:noWrap w:val="0"/>
            <w:vAlign w:val="center"/>
          </w:tcPr>
          <w:p w14:paraId="1508F16C">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highlight w:val="none"/>
              </w:rPr>
            </w:pPr>
          </w:p>
        </w:tc>
        <w:tc>
          <w:tcPr>
            <w:tcW w:w="796" w:type="pct"/>
            <w:noWrap w:val="0"/>
            <w:vAlign w:val="center"/>
          </w:tcPr>
          <w:p w14:paraId="2DA9BCCD">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highlight w:val="none"/>
              </w:rPr>
            </w:pPr>
          </w:p>
        </w:tc>
        <w:tc>
          <w:tcPr>
            <w:tcW w:w="996" w:type="pct"/>
            <w:noWrap w:val="0"/>
            <w:vAlign w:val="center"/>
          </w:tcPr>
          <w:p w14:paraId="3AC80858">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highlight w:val="none"/>
              </w:rPr>
            </w:pPr>
          </w:p>
        </w:tc>
        <w:tc>
          <w:tcPr>
            <w:tcW w:w="919" w:type="pct"/>
            <w:noWrap w:val="0"/>
            <w:vAlign w:val="center"/>
          </w:tcPr>
          <w:p w14:paraId="7CCB6ABB">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highlight w:val="none"/>
              </w:rPr>
            </w:pPr>
          </w:p>
        </w:tc>
      </w:tr>
      <w:tr w14:paraId="6C5FE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080" w:type="pct"/>
            <w:gridSpan w:val="4"/>
            <w:noWrap w:val="0"/>
            <w:vAlign w:val="center"/>
          </w:tcPr>
          <w:p w14:paraId="6FBEAEBD">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highlight w:val="none"/>
              </w:rPr>
            </w:pPr>
            <w:r>
              <w:rPr>
                <w:rFonts w:hint="eastAsia" w:ascii="宋体" w:hAnsi="宋体" w:eastAsia="宋体"/>
                <w:b/>
                <w:sz w:val="24"/>
                <w:highlight w:val="none"/>
              </w:rPr>
              <w:t>合计金额（元）</w:t>
            </w:r>
          </w:p>
        </w:tc>
        <w:tc>
          <w:tcPr>
            <w:tcW w:w="919" w:type="pct"/>
            <w:noWrap w:val="0"/>
            <w:vAlign w:val="center"/>
          </w:tcPr>
          <w:p w14:paraId="5005406A">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highlight w:val="none"/>
              </w:rPr>
            </w:pPr>
          </w:p>
        </w:tc>
      </w:tr>
    </w:tbl>
    <w:p w14:paraId="7C354805">
      <w:pPr>
        <w:pStyle w:val="51"/>
        <w:jc w:val="both"/>
        <w:rPr>
          <w:rFonts w:hint="eastAsia" w:ascii="宋体" w:hAnsi="宋体" w:eastAsia="宋体"/>
          <w:b/>
          <w:bCs/>
          <w:highlight w:val="none"/>
          <w:lang w:val="en-US" w:eastAsia="zh-CN"/>
        </w:rPr>
      </w:pPr>
      <w:r>
        <w:rPr>
          <w:rFonts w:hint="eastAsia" w:ascii="宋体" w:hAnsi="宋体" w:eastAsia="宋体"/>
          <w:b/>
          <w:bCs/>
          <w:highlight w:val="none"/>
          <w:lang w:val="en-US" w:eastAsia="zh-CN"/>
        </w:rPr>
        <w:t>5-3 符合本国产品标准的产品成本之和占比</w:t>
      </w:r>
    </w:p>
    <w:tbl>
      <w:tblPr>
        <w:tblStyle w:val="26"/>
        <w:tblW w:w="93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8"/>
        <w:gridCol w:w="1766"/>
      </w:tblGrid>
      <w:tr w14:paraId="73E19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trPr>
        <w:tc>
          <w:tcPr>
            <w:tcW w:w="7588" w:type="dxa"/>
            <w:noWrap w:val="0"/>
            <w:vAlign w:val="top"/>
          </w:tcPr>
          <w:p w14:paraId="4DECA2F7">
            <w:pPr>
              <w:spacing w:line="360" w:lineRule="auto"/>
              <w:rPr>
                <w:rFonts w:hint="eastAsia" w:ascii="宋体" w:hAnsi="宋体" w:eastAsia="宋体"/>
                <w:b/>
                <w:bCs/>
                <w:sz w:val="21"/>
                <w:szCs w:val="21"/>
                <w:highlight w:val="none"/>
                <w:vertAlign w:val="baseline"/>
                <w:lang w:eastAsia="zh-CN"/>
              </w:rPr>
            </w:pPr>
            <w:r>
              <w:rPr>
                <w:rFonts w:hint="eastAsia" w:ascii="宋体" w:hAnsi="宋体" w:eastAsia="宋体" w:cs="宋体"/>
                <w:color w:val="auto"/>
                <w:sz w:val="24"/>
                <w:szCs w:val="24"/>
                <w:highlight w:val="none"/>
              </w:rPr>
              <w:t>本公司（单位）提供的符合本国产品标准的产品成本之和占提供的全部产品成本之和的比例</w:t>
            </w:r>
          </w:p>
        </w:tc>
        <w:tc>
          <w:tcPr>
            <w:tcW w:w="1766" w:type="dxa"/>
            <w:noWrap w:val="0"/>
            <w:vAlign w:val="top"/>
          </w:tcPr>
          <w:p w14:paraId="6345AD47">
            <w:pPr>
              <w:spacing w:line="360" w:lineRule="auto"/>
              <w:rPr>
                <w:rFonts w:hint="eastAsia" w:ascii="宋体" w:hAnsi="宋体" w:eastAsia="宋体" w:cs="宋体"/>
                <w:color w:val="auto"/>
                <w:sz w:val="24"/>
                <w:szCs w:val="24"/>
                <w:highlight w:val="none"/>
                <w:u w:val="single"/>
                <w:lang w:val="en-US" w:eastAsia="zh-CN"/>
              </w:rPr>
            </w:pPr>
          </w:p>
          <w:p w14:paraId="218CB0CA">
            <w:pPr>
              <w:spacing w:line="360" w:lineRule="auto"/>
              <w:rPr>
                <w:rFonts w:hint="eastAsia" w:ascii="宋体" w:hAnsi="宋体" w:eastAsia="宋体"/>
                <w:b/>
                <w:bCs/>
                <w:sz w:val="21"/>
                <w:szCs w:val="21"/>
                <w:highlight w:val="none"/>
                <w:vertAlign w:val="baseline"/>
                <w:lang w:eastAsia="zh-CN"/>
              </w:rPr>
            </w:pP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Times New Roman"/>
                <w:b w:val="0"/>
                <w:bCs/>
                <w:szCs w:val="24"/>
                <w:highlight w:val="none"/>
                <w:lang w:val="en-US" w:eastAsia="zh-CN"/>
              </w:rPr>
              <w:t>%</w:t>
            </w:r>
          </w:p>
        </w:tc>
      </w:tr>
      <w:tr w14:paraId="3752A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5" w:hRule="atLeast"/>
        </w:trPr>
        <w:tc>
          <w:tcPr>
            <w:tcW w:w="9354" w:type="dxa"/>
            <w:gridSpan w:val="2"/>
            <w:noWrap w:val="0"/>
            <w:vAlign w:val="top"/>
          </w:tcPr>
          <w:p w14:paraId="6902F005">
            <w:pPr>
              <w:tabs>
                <w:tab w:val="left" w:pos="4620"/>
              </w:tabs>
              <w:spacing w:line="360" w:lineRule="auto"/>
              <w:jc w:val="left"/>
              <w:rPr>
                <w:rFonts w:hint="eastAsia" w:ascii="宋体" w:hAnsi="宋体" w:eastAsia="宋体" w:cs="Times New Roman"/>
                <w:b/>
                <w:bCs w:val="0"/>
                <w:szCs w:val="24"/>
                <w:highlight w:val="none"/>
                <w:lang w:val="en-US" w:eastAsia="zh-CN"/>
              </w:rPr>
            </w:pPr>
            <w:r>
              <w:rPr>
                <w:rFonts w:hint="eastAsia" w:ascii="宋体" w:hAnsi="宋体" w:eastAsia="宋体" w:cs="Times New Roman"/>
                <w:b/>
                <w:bCs w:val="0"/>
                <w:szCs w:val="24"/>
                <w:highlight w:val="none"/>
                <w:lang w:val="en-US" w:eastAsia="zh-CN"/>
              </w:rPr>
              <w:t>提醒：</w:t>
            </w:r>
          </w:p>
          <w:p w14:paraId="4211CC09">
            <w:pPr>
              <w:tabs>
                <w:tab w:val="left" w:pos="4620"/>
              </w:tabs>
              <w:spacing w:line="360" w:lineRule="auto"/>
              <w:jc w:val="left"/>
              <w:rPr>
                <w:rFonts w:hint="eastAsia" w:ascii="宋体" w:hAnsi="宋体" w:eastAsia="宋体" w:cs="Times New Roman"/>
                <w:b w:val="0"/>
                <w:bCs/>
                <w:szCs w:val="24"/>
                <w:highlight w:val="none"/>
                <w:lang w:val="en-US" w:eastAsia="zh-CN"/>
              </w:rPr>
            </w:pPr>
            <w:r>
              <w:rPr>
                <w:rFonts w:hint="eastAsia" w:ascii="宋体" w:hAnsi="宋体" w:eastAsia="宋体" w:cs="Times New Roman"/>
                <w:b w:val="0"/>
                <w:bCs/>
                <w:szCs w:val="24"/>
                <w:highlight w:val="none"/>
                <w:lang w:val="en-US" w:eastAsia="zh-CN"/>
              </w:rPr>
              <w:t>1.投标人为该采购项目或者采购包提供的符合本国产品标准的产品成本之和占该投标人提供的全部产品成本之和的比例达到80%以上时，对该投标人提供的全部产品给予价格评审优惠。</w:t>
            </w:r>
          </w:p>
          <w:p w14:paraId="22252D7C">
            <w:pPr>
              <w:spacing w:line="360" w:lineRule="auto"/>
              <w:rPr>
                <w:rFonts w:hint="eastAsia" w:ascii="宋体" w:hAnsi="宋体" w:eastAsia="宋体" w:cs="Times New Roman"/>
                <w:b w:val="0"/>
                <w:bCs/>
                <w:szCs w:val="24"/>
                <w:highlight w:val="none"/>
                <w:lang w:val="en-US" w:eastAsia="zh-CN"/>
              </w:rPr>
            </w:pPr>
            <w:r>
              <w:rPr>
                <w:rFonts w:hint="eastAsia" w:ascii="宋体" w:hAnsi="宋体" w:eastAsia="宋体" w:cs="Times New Roman"/>
                <w:b w:val="0"/>
                <w:bCs/>
                <w:szCs w:val="24"/>
                <w:highlight w:val="none"/>
                <w:lang w:val="en-US" w:eastAsia="zh-CN"/>
              </w:rPr>
              <w:t>2.投标人应当根据“投标分项报价表-货物部分”的内容对符合本国产品标准的产品成本进行测算（比例未达到80%或未进行比例测算的，对该投标人提供的全部产品不予价格评审优惠），如有虚假响应，投标人承担全部责任。</w:t>
            </w:r>
          </w:p>
          <w:p w14:paraId="12230B6B">
            <w:pPr>
              <w:spacing w:line="360" w:lineRule="auto"/>
              <w:rPr>
                <w:rFonts w:hint="default" w:ascii="宋体" w:hAnsi="宋体" w:eastAsia="宋体" w:cs="Times New Roman"/>
                <w:b w:val="0"/>
                <w:bCs/>
                <w:szCs w:val="24"/>
                <w:highlight w:val="none"/>
                <w:lang w:val="en-US" w:eastAsia="zh-CN"/>
              </w:rPr>
            </w:pPr>
            <w:r>
              <w:rPr>
                <w:rFonts w:hint="eastAsia" w:ascii="宋体" w:hAnsi="宋体" w:eastAsia="宋体" w:cs="Times New Roman"/>
                <w:b w:val="0"/>
                <w:bCs/>
                <w:szCs w:val="24"/>
                <w:highlight w:val="none"/>
                <w:lang w:val="en-US" w:eastAsia="zh-CN"/>
              </w:rPr>
              <w:t>3.</w:t>
            </w:r>
            <w:r>
              <w:rPr>
                <w:rFonts w:hint="eastAsia" w:ascii="宋体" w:hAnsi="宋体" w:eastAsia="宋体" w:cs="宋体"/>
                <w:b w:val="0"/>
                <w:bCs/>
                <w:kern w:val="2"/>
                <w:sz w:val="21"/>
                <w:szCs w:val="21"/>
                <w:highlight w:val="none"/>
                <w:lang w:val="en-US" w:eastAsia="zh-CN" w:bidi="ar"/>
              </w:rPr>
              <w:t>上表中全部产品成本之和是指表5-1和表5-2包含的全部货物、服务产品成本之和。</w:t>
            </w:r>
          </w:p>
        </w:tc>
      </w:tr>
    </w:tbl>
    <w:p w14:paraId="41DF4DBB">
      <w:pPr>
        <w:spacing w:line="360" w:lineRule="auto"/>
        <w:rPr>
          <w:rFonts w:hint="eastAsia" w:ascii="宋体" w:hAnsi="宋体" w:eastAsia="宋体"/>
          <w:b/>
          <w:bCs/>
          <w:sz w:val="21"/>
          <w:szCs w:val="21"/>
          <w:highlight w:val="none"/>
          <w:lang w:eastAsia="zh-CN"/>
        </w:rPr>
      </w:pPr>
    </w:p>
    <w:p w14:paraId="725986D4">
      <w:pPr>
        <w:spacing w:line="360" w:lineRule="auto"/>
        <w:ind w:firstLine="4800" w:firstLineChars="2000"/>
        <w:jc w:val="center"/>
        <w:rPr>
          <w:rFonts w:ascii="宋体" w:hAnsi="宋体" w:eastAsia="宋体"/>
          <w:color w:val="auto"/>
          <w:sz w:val="24"/>
          <w:highlight w:val="none"/>
          <w:u w:val="single"/>
        </w:rPr>
      </w:pPr>
      <w:r>
        <w:rPr>
          <w:rFonts w:hint="eastAsia" w:ascii="宋体" w:hAnsi="宋体" w:eastAsia="宋体"/>
          <w:color w:val="auto"/>
          <w:sz w:val="24"/>
          <w:highlight w:val="none"/>
        </w:rPr>
        <w:t>投标人电子签章：</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43493136">
      <w:pPr>
        <w:tabs>
          <w:tab w:val="left" w:pos="630"/>
        </w:tabs>
        <w:spacing w:line="360" w:lineRule="auto"/>
        <w:ind w:firstLine="4800" w:firstLineChars="2000"/>
        <w:jc w:val="center"/>
        <w:rPr>
          <w:rFonts w:ascii="宋体" w:hAnsi="宋体" w:eastAsia="宋体"/>
          <w:sz w:val="24"/>
          <w:highlight w:val="none"/>
        </w:rPr>
      </w:pPr>
      <w:r>
        <w:rPr>
          <w:rFonts w:hint="eastAsia" w:ascii="宋体" w:hAnsi="宋体" w:eastAsia="宋体"/>
          <w:color w:val="auto"/>
          <w:sz w:val="24"/>
          <w:highlight w:val="none"/>
        </w:rPr>
        <w:t xml:space="preserve">日     </w:t>
      </w:r>
      <w:r>
        <w:rPr>
          <w:rFonts w:ascii="宋体" w:hAnsi="宋体" w:eastAsia="宋体"/>
          <w:color w:val="auto"/>
          <w:sz w:val="24"/>
          <w:highlight w:val="none"/>
        </w:rPr>
        <w:t xml:space="preserve">    </w:t>
      </w:r>
      <w:r>
        <w:rPr>
          <w:rFonts w:hint="eastAsia" w:ascii="宋体" w:hAnsi="宋体" w:eastAsia="宋体"/>
          <w:color w:val="auto"/>
          <w:sz w:val="24"/>
          <w:highlight w:val="none"/>
        </w:rPr>
        <w:t xml:space="preserve"> 期：</w:t>
      </w:r>
      <w:r>
        <w:rPr>
          <w:rFonts w:hint="eastAsia" w:ascii="宋体" w:hAnsi="宋体" w:eastAsia="宋体"/>
          <w:color w:val="auto"/>
          <w:sz w:val="24"/>
          <w:highlight w:val="none"/>
          <w:u w:val="single"/>
        </w:rPr>
        <w:t xml:space="preserve">             </w:t>
      </w:r>
    </w:p>
    <w:p w14:paraId="290C455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b/>
          <w:bCs/>
          <w:sz w:val="21"/>
          <w:szCs w:val="21"/>
          <w:highlight w:val="none"/>
          <w:lang w:eastAsia="zh-CN"/>
        </w:rPr>
      </w:pPr>
      <w:r>
        <w:rPr>
          <w:rFonts w:hint="eastAsia" w:ascii="宋体" w:hAnsi="宋体" w:eastAsia="宋体"/>
          <w:b/>
          <w:bCs/>
          <w:sz w:val="21"/>
          <w:szCs w:val="21"/>
          <w:highlight w:val="none"/>
          <w:lang w:eastAsia="zh-CN"/>
        </w:rPr>
        <w:t>注：</w:t>
      </w:r>
    </w:p>
    <w:p w14:paraId="0FC5F10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sz w:val="21"/>
          <w:szCs w:val="21"/>
          <w:highlight w:val="none"/>
          <w:lang w:val="en-US" w:eastAsia="zh-CN"/>
        </w:rPr>
      </w:pPr>
      <w:r>
        <w:rPr>
          <w:rFonts w:hint="eastAsia" w:ascii="宋体" w:hAnsi="宋体" w:eastAsia="宋体"/>
          <w:sz w:val="21"/>
          <w:szCs w:val="21"/>
          <w:highlight w:val="none"/>
          <w:lang w:val="en-US" w:eastAsia="zh-CN"/>
        </w:rPr>
        <w:t>1.表5-1</w:t>
      </w:r>
      <w:r>
        <w:rPr>
          <w:rFonts w:hint="eastAsia" w:ascii="宋体" w:hAnsi="宋体" w:eastAsia="宋体"/>
          <w:sz w:val="21"/>
          <w:szCs w:val="21"/>
          <w:highlight w:val="none"/>
        </w:rPr>
        <w:t>中须明确列出所投产品的货物名称、品牌、型号规格、原产地及生产厂商，否则可能导致</w:t>
      </w:r>
      <w:r>
        <w:rPr>
          <w:rFonts w:hint="eastAsia" w:ascii="宋体" w:hAnsi="宋体" w:eastAsia="宋体"/>
          <w:b/>
          <w:bCs/>
          <w:sz w:val="21"/>
          <w:szCs w:val="21"/>
          <w:highlight w:val="none"/>
        </w:rPr>
        <w:t>投标无效</w:t>
      </w:r>
      <w:r>
        <w:rPr>
          <w:rFonts w:hint="eastAsia" w:ascii="宋体" w:hAnsi="宋体" w:eastAsia="宋体"/>
          <w:b/>
          <w:bCs/>
          <w:sz w:val="21"/>
          <w:szCs w:val="21"/>
          <w:highlight w:val="none"/>
          <w:lang w:eastAsia="zh-CN"/>
        </w:rPr>
        <w:t>。</w:t>
      </w:r>
    </w:p>
    <w:p w14:paraId="6F8C732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sz w:val="21"/>
          <w:szCs w:val="21"/>
          <w:highlight w:val="none"/>
        </w:rPr>
      </w:pPr>
      <w:r>
        <w:rPr>
          <w:rFonts w:hint="eastAsia" w:ascii="宋体" w:hAnsi="宋体" w:eastAsia="宋体"/>
          <w:sz w:val="21"/>
          <w:szCs w:val="21"/>
          <w:highlight w:val="none"/>
          <w:lang w:val="en-US" w:eastAsia="zh-CN"/>
        </w:rPr>
        <w:t>2.上述报价为投标人完成本项目内容的全部费用（总报价为表5-1和表5-2合计金额之和），</w:t>
      </w:r>
      <w:r>
        <w:rPr>
          <w:rFonts w:hint="eastAsia" w:ascii="宋体" w:hAnsi="宋体" w:eastAsia="宋体"/>
          <w:sz w:val="21"/>
          <w:szCs w:val="21"/>
          <w:highlight w:val="none"/>
        </w:rPr>
        <w:t>如有漏项或缺项，</w:t>
      </w:r>
      <w:r>
        <w:rPr>
          <w:rFonts w:hint="eastAsia" w:ascii="宋体" w:hAnsi="宋体" w:eastAsia="宋体"/>
          <w:sz w:val="21"/>
          <w:szCs w:val="21"/>
          <w:highlight w:val="none"/>
          <w:lang w:val="en-US" w:eastAsia="zh-CN"/>
        </w:rPr>
        <w:t>自行</w:t>
      </w:r>
      <w:r>
        <w:rPr>
          <w:rFonts w:hint="eastAsia" w:ascii="宋体" w:hAnsi="宋体" w:eastAsia="宋体"/>
          <w:sz w:val="21"/>
          <w:szCs w:val="21"/>
          <w:highlight w:val="none"/>
        </w:rPr>
        <w:t>承担全部责任。</w:t>
      </w:r>
    </w:p>
    <w:p w14:paraId="3B885F7A">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06F065E8">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Theme="minorEastAsia" w:hAnsiTheme="minorEastAsia" w:eastAsiaTheme="minorEastAsia"/>
          <w:b/>
          <w:color w:val="auto"/>
          <w:sz w:val="24"/>
          <w:highlight w:val="none"/>
          <w:lang w:val="en-US" w:eastAsia="zh-CN"/>
        </w:rPr>
      </w:pPr>
      <w:bookmarkStart w:id="83" w:name="_Toc14532"/>
      <w:bookmarkStart w:id="84" w:name="_Toc31244"/>
      <w:bookmarkStart w:id="85" w:name="_Toc9573"/>
      <w:bookmarkStart w:id="86" w:name="OLE_LINK13"/>
      <w:bookmarkStart w:id="87" w:name="OLE_LINK14"/>
      <w:r>
        <w:rPr>
          <w:rFonts w:hint="eastAsia" w:asciiTheme="minorEastAsia" w:hAnsiTheme="minorEastAsia" w:eastAsiaTheme="minorEastAsia"/>
          <w:b/>
          <w:color w:val="auto"/>
          <w:sz w:val="24"/>
          <w:highlight w:val="none"/>
          <w:lang w:val="en-US" w:eastAsia="zh-CN"/>
        </w:rPr>
        <w:t>（4）中小企业声明函</w:t>
      </w:r>
      <w:bookmarkEnd w:id="83"/>
      <w:bookmarkEnd w:id="84"/>
      <w:bookmarkEnd w:id="85"/>
    </w:p>
    <w:p w14:paraId="7313C946">
      <w:pPr>
        <w:pStyle w:val="9"/>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heme="minorEastAsia" w:hAnsiTheme="minorEastAsia" w:eastAsiaTheme="minorEastAsia"/>
          <w:color w:val="auto"/>
          <w:sz w:val="24"/>
          <w:szCs w:val="24"/>
          <w:highlight w:val="none"/>
        </w:rPr>
      </w:pPr>
      <w:r>
        <w:rPr>
          <w:rFonts w:hint="eastAsia" w:ascii="宋体" w:hAnsi="宋体" w:eastAsia="宋体"/>
          <w:b w:val="0"/>
          <w:i/>
          <w:color w:val="auto"/>
          <w:sz w:val="24"/>
          <w:highlight w:val="none"/>
          <w:lang w:val="en-US" w:eastAsia="zh-CN"/>
        </w:rPr>
        <w:t>（</w:t>
      </w:r>
      <w:r>
        <w:rPr>
          <w:rFonts w:hint="eastAsia" w:ascii="宋体" w:hAnsi="宋体" w:eastAsia="宋体"/>
          <w:b w:val="0"/>
          <w:i/>
          <w:color w:val="auto"/>
          <w:sz w:val="24"/>
          <w:highlight w:val="none"/>
          <w:lang w:val="zh-CN" w:eastAsia="zh-CN"/>
        </w:rPr>
        <w:t>非中小企业投标</w:t>
      </w:r>
      <w:r>
        <w:rPr>
          <w:rFonts w:hint="eastAsia" w:ascii="宋体" w:hAnsi="宋体" w:eastAsia="宋体"/>
          <w:b w:val="0"/>
          <w:i/>
          <w:color w:val="auto"/>
          <w:sz w:val="24"/>
          <w:highlight w:val="none"/>
          <w:lang w:val="en-US" w:eastAsia="zh-CN"/>
        </w:rPr>
        <w:t>，不需此件，请删去“中小企业声明函”）</w:t>
      </w:r>
    </w:p>
    <w:p w14:paraId="1FAB130D">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本公司（联合体）郑重声明，根据《政府采购促进中小企业发展管理办法》（财库﹝2020﹞46号）的规定，本公司（联合体）参加（</w:t>
      </w:r>
      <w:r>
        <w:rPr>
          <w:rFonts w:hint="eastAsia" w:ascii="宋体" w:hAnsi="宋体" w:eastAsia="宋体"/>
          <w:color w:val="auto"/>
          <w:sz w:val="24"/>
          <w:szCs w:val="24"/>
          <w:highlight w:val="none"/>
          <w:u w:val="single"/>
          <w:lang w:val="zh-CN"/>
        </w:rPr>
        <w:t>单位</w:t>
      </w:r>
      <w:r>
        <w:rPr>
          <w:rFonts w:hint="eastAsia" w:ascii="宋体" w:hAnsi="宋体" w:eastAsia="宋体"/>
          <w:color w:val="auto"/>
          <w:sz w:val="24"/>
          <w:szCs w:val="24"/>
          <w:highlight w:val="none"/>
          <w:u w:val="single"/>
          <w:lang w:val="en-US" w:eastAsia="zh-CN"/>
        </w:rPr>
        <w:t>名称</w:t>
      </w:r>
      <w:r>
        <w:rPr>
          <w:rFonts w:hint="eastAsia" w:ascii="宋体" w:hAnsi="宋体" w:eastAsia="宋体"/>
          <w:color w:val="auto"/>
          <w:sz w:val="24"/>
          <w:szCs w:val="24"/>
          <w:highlight w:val="none"/>
          <w:lang w:val="zh-CN"/>
        </w:rPr>
        <w:t>）的（</w:t>
      </w:r>
      <w:r>
        <w:rPr>
          <w:rFonts w:hint="eastAsia" w:ascii="宋体" w:hAnsi="宋体" w:eastAsia="宋体"/>
          <w:color w:val="auto"/>
          <w:sz w:val="24"/>
          <w:szCs w:val="24"/>
          <w:highlight w:val="none"/>
          <w:u w:val="single"/>
          <w:lang w:val="zh-CN"/>
        </w:rPr>
        <w:t>项目</w:t>
      </w:r>
      <w:r>
        <w:rPr>
          <w:rFonts w:hint="eastAsia" w:ascii="宋体" w:hAnsi="宋体" w:eastAsia="宋体"/>
          <w:color w:val="auto"/>
          <w:sz w:val="24"/>
          <w:szCs w:val="24"/>
          <w:highlight w:val="none"/>
          <w:u w:val="single"/>
          <w:lang w:val="en-US" w:eastAsia="zh-CN"/>
        </w:rPr>
        <w:t>名称</w:t>
      </w:r>
      <w:r>
        <w:rPr>
          <w:rFonts w:hint="eastAsia" w:ascii="宋体" w:hAnsi="宋体" w:eastAsia="宋体"/>
          <w:color w:val="auto"/>
          <w:sz w:val="24"/>
          <w:szCs w:val="24"/>
          <w:highlight w:val="none"/>
          <w:lang w:val="zh-CN"/>
        </w:rPr>
        <w:t xml:space="preserve">）采购活动，提供的货物全部由符合政策要求的中小企业制造。相关企业（含联合体中的中小企业、签订分包意向协议的中小企业）的具体情况如下： </w:t>
      </w:r>
    </w:p>
    <w:p w14:paraId="16ADC880">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1.</w:t>
      </w:r>
      <w:r>
        <w:rPr>
          <w:rFonts w:hint="eastAsia" w:ascii="宋体" w:hAnsi="宋体" w:eastAsia="宋体"/>
          <w:color w:val="auto"/>
          <w:sz w:val="24"/>
          <w:szCs w:val="24"/>
          <w:highlight w:val="none"/>
          <w:u w:val="single"/>
          <w:lang w:val="zh-CN"/>
        </w:rPr>
        <w:t xml:space="preserve"> （标的名称） </w:t>
      </w:r>
      <w:r>
        <w:rPr>
          <w:rFonts w:hint="eastAsia" w:ascii="宋体" w:hAnsi="宋体" w:eastAsia="宋体"/>
          <w:color w:val="auto"/>
          <w:sz w:val="24"/>
          <w:szCs w:val="24"/>
          <w:highlight w:val="none"/>
          <w:lang w:val="zh-CN"/>
        </w:rPr>
        <w:t>，属于</w:t>
      </w:r>
      <w:r>
        <w:rPr>
          <w:rFonts w:hint="eastAsia" w:ascii="宋体" w:hAnsi="宋体" w:eastAsia="宋体"/>
          <w:color w:val="auto"/>
          <w:sz w:val="24"/>
          <w:szCs w:val="24"/>
          <w:highlight w:val="none"/>
          <w:u w:val="single"/>
          <w:lang w:val="zh-CN"/>
        </w:rPr>
        <w:t>（采购文件中明确的所属行业）</w:t>
      </w:r>
      <w:r>
        <w:rPr>
          <w:rFonts w:hint="eastAsia" w:ascii="宋体" w:hAnsi="宋体" w:eastAsia="宋体"/>
          <w:color w:val="auto"/>
          <w:sz w:val="24"/>
          <w:szCs w:val="24"/>
          <w:highlight w:val="none"/>
          <w:lang w:val="zh-CN"/>
        </w:rPr>
        <w:t>行业；制造商为</w:t>
      </w:r>
      <w:r>
        <w:rPr>
          <w:rFonts w:hint="eastAsia" w:ascii="宋体" w:hAnsi="宋体" w:eastAsia="宋体"/>
          <w:color w:val="auto"/>
          <w:sz w:val="24"/>
          <w:szCs w:val="24"/>
          <w:highlight w:val="none"/>
          <w:u w:val="single"/>
          <w:lang w:val="zh-CN"/>
        </w:rPr>
        <w:t>（企业名称）</w:t>
      </w:r>
      <w:r>
        <w:rPr>
          <w:rFonts w:hint="eastAsia" w:ascii="宋体" w:hAnsi="宋体" w:eastAsia="宋体"/>
          <w:color w:val="auto"/>
          <w:sz w:val="24"/>
          <w:szCs w:val="24"/>
          <w:highlight w:val="none"/>
          <w:lang w:val="zh-CN"/>
        </w:rPr>
        <w:t>，从业人员</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人，营业收入为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万元，资产总额为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万元，属于</w:t>
      </w:r>
      <w:r>
        <w:rPr>
          <w:rFonts w:hint="eastAsia" w:ascii="宋体" w:hAnsi="宋体" w:eastAsia="宋体"/>
          <w:color w:val="auto"/>
          <w:sz w:val="24"/>
          <w:szCs w:val="24"/>
          <w:highlight w:val="none"/>
          <w:u w:val="single"/>
          <w:lang w:val="zh-CN"/>
        </w:rPr>
        <w:t>（中型企业、小型企业、微型企业）</w:t>
      </w:r>
      <w:r>
        <w:rPr>
          <w:rFonts w:hint="eastAsia" w:ascii="宋体" w:hAnsi="宋体" w:eastAsia="宋体"/>
          <w:color w:val="auto"/>
          <w:sz w:val="24"/>
          <w:szCs w:val="24"/>
          <w:highlight w:val="none"/>
          <w:lang w:val="zh-CN"/>
        </w:rPr>
        <w:t xml:space="preserve">； </w:t>
      </w:r>
    </w:p>
    <w:p w14:paraId="3DB835B6">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2.</w:t>
      </w:r>
      <w:r>
        <w:rPr>
          <w:rFonts w:hint="eastAsia" w:ascii="宋体" w:hAnsi="宋体" w:eastAsia="宋体"/>
          <w:color w:val="auto"/>
          <w:sz w:val="24"/>
          <w:szCs w:val="24"/>
          <w:highlight w:val="none"/>
          <w:u w:val="single"/>
          <w:lang w:val="zh-CN"/>
        </w:rPr>
        <w:t xml:space="preserve"> （标的名称） </w:t>
      </w:r>
      <w:r>
        <w:rPr>
          <w:rFonts w:hint="eastAsia" w:ascii="宋体" w:hAnsi="宋体" w:eastAsia="宋体"/>
          <w:color w:val="auto"/>
          <w:sz w:val="24"/>
          <w:szCs w:val="24"/>
          <w:highlight w:val="none"/>
          <w:lang w:val="zh-CN"/>
        </w:rPr>
        <w:t>，属于</w:t>
      </w:r>
      <w:r>
        <w:rPr>
          <w:rFonts w:hint="eastAsia" w:ascii="宋体" w:hAnsi="宋体" w:eastAsia="宋体"/>
          <w:color w:val="auto"/>
          <w:sz w:val="24"/>
          <w:szCs w:val="24"/>
          <w:highlight w:val="none"/>
          <w:u w:val="single"/>
          <w:lang w:val="zh-CN"/>
        </w:rPr>
        <w:t>（采购文件中明确的所属行业）</w:t>
      </w:r>
      <w:r>
        <w:rPr>
          <w:rFonts w:hint="eastAsia" w:ascii="宋体" w:hAnsi="宋体" w:eastAsia="宋体"/>
          <w:color w:val="auto"/>
          <w:sz w:val="24"/>
          <w:szCs w:val="24"/>
          <w:highlight w:val="none"/>
          <w:lang w:val="zh-CN"/>
        </w:rPr>
        <w:t>行业；制造商为</w:t>
      </w:r>
      <w:r>
        <w:rPr>
          <w:rFonts w:hint="eastAsia" w:ascii="宋体" w:hAnsi="宋体" w:eastAsia="宋体"/>
          <w:color w:val="auto"/>
          <w:sz w:val="24"/>
          <w:szCs w:val="24"/>
          <w:highlight w:val="none"/>
          <w:u w:val="single"/>
          <w:lang w:val="zh-CN"/>
        </w:rPr>
        <w:t>（企业名称）</w:t>
      </w:r>
      <w:r>
        <w:rPr>
          <w:rFonts w:hint="eastAsia" w:ascii="宋体" w:hAnsi="宋体" w:eastAsia="宋体"/>
          <w:color w:val="auto"/>
          <w:sz w:val="24"/>
          <w:szCs w:val="24"/>
          <w:highlight w:val="none"/>
          <w:lang w:val="zh-CN"/>
        </w:rPr>
        <w:t>，从业人员</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人，营业收入为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万元，资产总额为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万元，属于</w:t>
      </w:r>
      <w:r>
        <w:rPr>
          <w:rFonts w:hint="eastAsia" w:ascii="宋体" w:hAnsi="宋体" w:eastAsia="宋体"/>
          <w:color w:val="auto"/>
          <w:sz w:val="24"/>
          <w:szCs w:val="24"/>
          <w:highlight w:val="none"/>
          <w:u w:val="single"/>
          <w:lang w:val="zh-CN"/>
        </w:rPr>
        <w:t>（中型企业、小型企业、微型企业）</w:t>
      </w:r>
      <w:r>
        <w:rPr>
          <w:rFonts w:hint="eastAsia" w:ascii="宋体" w:hAnsi="宋体" w:eastAsia="宋体"/>
          <w:color w:val="auto"/>
          <w:sz w:val="24"/>
          <w:szCs w:val="24"/>
          <w:highlight w:val="none"/>
          <w:lang w:val="zh-CN"/>
        </w:rPr>
        <w:t xml:space="preserve">； </w:t>
      </w:r>
    </w:p>
    <w:p w14:paraId="6959F9A2">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w:t>
      </w:r>
    </w:p>
    <w:p w14:paraId="7D550789">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以上企业，不属于大企业的分支机构，不存在控股股东为大企业的情形，也不存在与大企业的负责人为同一人的情形。</w:t>
      </w:r>
    </w:p>
    <w:p w14:paraId="7E5A3731">
      <w:pPr>
        <w:spacing w:line="360" w:lineRule="auto"/>
        <w:ind w:firstLine="435"/>
        <w:rPr>
          <w:rFonts w:asciiTheme="minorEastAsia" w:hAnsiTheme="minorEastAsia" w:eastAsiaTheme="minorEastAsia"/>
          <w:color w:val="auto"/>
          <w:sz w:val="24"/>
          <w:szCs w:val="24"/>
          <w:highlight w:val="none"/>
        </w:rPr>
      </w:pPr>
      <w:r>
        <w:rPr>
          <w:rFonts w:hint="eastAsia" w:ascii="宋体" w:hAnsi="宋体" w:eastAsia="宋体"/>
          <w:color w:val="auto"/>
          <w:sz w:val="24"/>
          <w:szCs w:val="24"/>
          <w:highlight w:val="none"/>
          <w:lang w:val="zh-CN"/>
        </w:rPr>
        <w:t>本企业对上述声明内容的真实性负责。如有虚假，将依法承担相应责任。</w:t>
      </w:r>
    </w:p>
    <w:p w14:paraId="09DFE9DA">
      <w:pPr>
        <w:spacing w:line="360" w:lineRule="auto"/>
        <w:ind w:firstLine="4228" w:firstLineChars="176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投标人</w:t>
      </w:r>
      <w:r>
        <w:rPr>
          <w:rFonts w:asciiTheme="minorEastAsia" w:hAnsiTheme="minorEastAsia" w:eastAsiaTheme="minorEastAsia"/>
          <w:color w:val="auto"/>
          <w:sz w:val="24"/>
          <w:szCs w:val="24"/>
          <w:highlight w:val="none"/>
        </w:rPr>
        <w:t>电子签章</w:t>
      </w:r>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u w:val="single"/>
        </w:rPr>
        <w:t xml:space="preserve">             </w:t>
      </w:r>
    </w:p>
    <w:p w14:paraId="6CAD3A32">
      <w:pPr>
        <w:tabs>
          <w:tab w:val="left" w:pos="4620"/>
        </w:tabs>
        <w:spacing w:line="360" w:lineRule="auto"/>
        <w:ind w:firstLine="4252" w:firstLineChars="1772"/>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日</w:t>
      </w:r>
      <w:r>
        <w:rPr>
          <w:rFonts w:asciiTheme="minorEastAsia" w:hAnsiTheme="minorEastAsia" w:eastAsiaTheme="minorEastAsia"/>
          <w:color w:val="auto"/>
          <w:sz w:val="24"/>
          <w:szCs w:val="24"/>
          <w:highlight w:val="none"/>
        </w:rPr>
        <w:t xml:space="preserve">      </w:t>
      </w:r>
      <w:r>
        <w:rPr>
          <w:rFonts w:hint="eastAsia" w:asciiTheme="minorEastAsia" w:hAnsiTheme="minorEastAsia" w:eastAsiaTheme="minorEastAsia"/>
          <w:color w:val="auto"/>
          <w:sz w:val="24"/>
          <w:szCs w:val="24"/>
          <w:highlight w:val="none"/>
        </w:rPr>
        <w:t xml:space="preserve">    期：</w:t>
      </w:r>
      <w:r>
        <w:rPr>
          <w:rFonts w:asciiTheme="minorEastAsia" w:hAnsiTheme="minorEastAsia" w:eastAsiaTheme="minorEastAsia"/>
          <w:color w:val="auto"/>
          <w:sz w:val="24"/>
          <w:szCs w:val="24"/>
          <w:highlight w:val="none"/>
          <w:u w:val="single"/>
        </w:rPr>
        <w:t xml:space="preserve">             </w:t>
      </w:r>
    </w:p>
    <w:p w14:paraId="263D840E">
      <w:pPr>
        <w:keepNext w:val="0"/>
        <w:keepLines w:val="0"/>
        <w:pageBreakBefore w:val="0"/>
        <w:widowControl w:val="0"/>
        <w:tabs>
          <w:tab w:val="left" w:pos="4620"/>
        </w:tabs>
        <w:kinsoku/>
        <w:wordWrap/>
        <w:overflowPunct/>
        <w:topLinePunct w:val="0"/>
        <w:autoSpaceDE/>
        <w:autoSpaceDN/>
        <w:bidi w:val="0"/>
        <w:adjustRightInd/>
        <w:snapToGrid/>
        <w:spacing w:line="400" w:lineRule="exact"/>
        <w:jc w:val="left"/>
        <w:textAlignment w:val="auto"/>
        <w:outlineLvl w:val="9"/>
        <w:rPr>
          <w:rFonts w:hint="eastAsia" w:asciiTheme="minorEastAsia" w:hAnsiTheme="minorEastAsia" w:eastAsiaTheme="minorEastAsia"/>
          <w:b/>
          <w:color w:val="auto"/>
          <w:szCs w:val="24"/>
          <w:highlight w:val="none"/>
          <w:lang w:eastAsia="zh-CN"/>
        </w:rPr>
      </w:pPr>
      <w:r>
        <w:rPr>
          <w:rFonts w:hint="eastAsia" w:asciiTheme="minorEastAsia" w:hAnsiTheme="minorEastAsia" w:eastAsiaTheme="minorEastAsia"/>
          <w:b/>
          <w:color w:val="auto"/>
          <w:szCs w:val="24"/>
          <w:highlight w:val="none"/>
          <w:lang w:eastAsia="zh-CN"/>
        </w:rPr>
        <w:t>注：</w:t>
      </w:r>
    </w:p>
    <w:p w14:paraId="38031744">
      <w:pPr>
        <w:keepNext w:val="0"/>
        <w:keepLines w:val="0"/>
        <w:pageBreakBefore w:val="0"/>
        <w:widowControl w:val="0"/>
        <w:tabs>
          <w:tab w:val="left" w:pos="4620"/>
        </w:tabs>
        <w:kinsoku/>
        <w:wordWrap/>
        <w:overflowPunct/>
        <w:topLinePunct w:val="0"/>
        <w:autoSpaceDE/>
        <w:autoSpaceDN/>
        <w:bidi w:val="0"/>
        <w:adjustRightInd/>
        <w:snapToGrid/>
        <w:spacing w:line="400" w:lineRule="exact"/>
        <w:jc w:val="left"/>
        <w:textAlignment w:val="auto"/>
        <w:rPr>
          <w:rFonts w:asciiTheme="minorEastAsia" w:hAnsiTheme="minorEastAsia" w:eastAsiaTheme="minorEastAsia"/>
          <w:color w:val="auto"/>
          <w:szCs w:val="24"/>
          <w:highlight w:val="none"/>
        </w:rPr>
      </w:pPr>
      <w:r>
        <w:rPr>
          <w:rFonts w:asciiTheme="minorEastAsia" w:hAnsiTheme="minorEastAsia" w:eastAsiaTheme="minorEastAsia"/>
          <w:color w:val="auto"/>
          <w:szCs w:val="24"/>
          <w:highlight w:val="none"/>
        </w:rPr>
        <w:t>1.从业人员、营业收入、资产总额填报上一年数据，无上一年数据的新成立企业可不填报。</w:t>
      </w:r>
    </w:p>
    <w:p w14:paraId="00109325">
      <w:pPr>
        <w:keepNext w:val="0"/>
        <w:keepLines w:val="0"/>
        <w:pageBreakBefore w:val="0"/>
        <w:widowControl w:val="0"/>
        <w:tabs>
          <w:tab w:val="left" w:pos="4620"/>
        </w:tabs>
        <w:kinsoku/>
        <w:wordWrap/>
        <w:overflowPunct/>
        <w:topLinePunct w:val="0"/>
        <w:autoSpaceDE/>
        <w:autoSpaceDN/>
        <w:bidi w:val="0"/>
        <w:adjustRightInd/>
        <w:snapToGrid/>
        <w:spacing w:line="400" w:lineRule="exact"/>
        <w:jc w:val="left"/>
        <w:textAlignment w:val="auto"/>
        <w:rPr>
          <w:rFonts w:ascii="宋体" w:hAnsi="宋体" w:eastAsia="宋体" w:cs="宋体"/>
          <w:b/>
          <w:bCs/>
          <w:color w:val="auto"/>
          <w:szCs w:val="21"/>
          <w:highlight w:val="none"/>
        </w:rPr>
      </w:pPr>
      <w:r>
        <w:rPr>
          <w:rFonts w:hint="eastAsia" w:ascii="宋体" w:hAnsi="宋体" w:eastAsia="宋体" w:cs="宋体"/>
          <w:b/>
          <w:bCs/>
          <w:color w:val="auto"/>
          <w:szCs w:val="21"/>
          <w:highlight w:val="none"/>
        </w:rPr>
        <w:t>2.投标人应根据《政府采购促进中小企业发展管理办法》（财库﹝2020﹞46号）和《关于印发中小企业划型标准规定的通知》(工信部联企业〔2011〕300号)相关规定，如实填写中小企业声明函。</w:t>
      </w:r>
      <w:r>
        <w:rPr>
          <w:rFonts w:hint="eastAsia" w:ascii="宋体" w:hAnsi="宋体" w:eastAsia="宋体" w:cs="宋体"/>
          <w:b/>
          <w:bCs/>
          <w:color w:val="auto"/>
          <w:szCs w:val="21"/>
          <w:highlight w:val="none"/>
          <w:lang w:val="zh-CN"/>
        </w:rPr>
        <w:t>如有虚假，将依法承担相应责任。</w:t>
      </w:r>
      <w:r>
        <w:rPr>
          <w:rFonts w:hint="eastAsia" w:ascii="宋体" w:hAnsi="宋体" w:eastAsia="宋体" w:cs="宋体"/>
          <w:b/>
          <w:bCs/>
          <w:color w:val="auto"/>
          <w:szCs w:val="21"/>
          <w:highlight w:val="none"/>
        </w:rPr>
        <w:t>投标人自行登录工业和信息化部官网进行中小企业规模类型自测（查询网址https://www.miit.gov.cn/）。</w:t>
      </w:r>
    </w:p>
    <w:p w14:paraId="6555554D">
      <w:pPr>
        <w:keepNext w:val="0"/>
        <w:keepLines w:val="0"/>
        <w:pageBreakBefore w:val="0"/>
        <w:widowControl w:val="0"/>
        <w:tabs>
          <w:tab w:val="left" w:pos="4620"/>
        </w:tabs>
        <w:kinsoku/>
        <w:wordWrap/>
        <w:overflowPunct/>
        <w:topLinePunct w:val="0"/>
        <w:autoSpaceDE/>
        <w:autoSpaceDN/>
        <w:bidi w:val="0"/>
        <w:adjustRightInd/>
        <w:snapToGrid/>
        <w:spacing w:line="400" w:lineRule="exact"/>
        <w:jc w:val="left"/>
        <w:textAlignment w:val="auto"/>
        <w:rPr>
          <w:rFonts w:ascii="宋体" w:hAnsi="宋体" w:eastAsia="宋体" w:cs="宋体"/>
          <w:b/>
          <w:bCs/>
          <w:color w:val="auto"/>
          <w:szCs w:val="21"/>
          <w:highlight w:val="none"/>
        </w:rPr>
      </w:pPr>
      <w:r>
        <w:rPr>
          <w:rFonts w:hint="eastAsia" w:ascii="宋体" w:hAnsi="宋体" w:eastAsia="宋体" w:cs="宋体"/>
          <w:b/>
          <w:bCs/>
          <w:color w:val="auto"/>
          <w:szCs w:val="21"/>
          <w:highlight w:val="none"/>
        </w:rPr>
        <w:t>3.上述“</w:t>
      </w:r>
      <w:r>
        <w:rPr>
          <w:rFonts w:hint="eastAsia" w:ascii="宋体" w:hAnsi="宋体" w:eastAsia="宋体" w:cs="宋体"/>
          <w:b/>
          <w:bCs/>
          <w:color w:val="auto"/>
          <w:szCs w:val="21"/>
          <w:highlight w:val="none"/>
          <w:u w:val="single"/>
          <w:lang w:val="zh-CN"/>
        </w:rPr>
        <w:t>标的名称</w:t>
      </w:r>
      <w:r>
        <w:rPr>
          <w:rFonts w:hint="eastAsia" w:ascii="宋体" w:hAnsi="宋体" w:eastAsia="宋体" w:cs="宋体"/>
          <w:b/>
          <w:bCs/>
          <w:color w:val="auto"/>
          <w:szCs w:val="21"/>
          <w:highlight w:val="none"/>
        </w:rPr>
        <w:t>”，详见第三章采购需求中明确的“货物名称”。</w:t>
      </w:r>
    </w:p>
    <w:p w14:paraId="58B10A9D">
      <w:pPr>
        <w:keepNext w:val="0"/>
        <w:keepLines w:val="0"/>
        <w:pageBreakBefore w:val="0"/>
        <w:widowControl w:val="0"/>
        <w:tabs>
          <w:tab w:val="left" w:pos="4620"/>
        </w:tabs>
        <w:kinsoku/>
        <w:wordWrap/>
        <w:overflowPunct/>
        <w:topLinePunct w:val="0"/>
        <w:autoSpaceDE/>
        <w:autoSpaceDN/>
        <w:bidi w:val="0"/>
        <w:adjustRightInd/>
        <w:snapToGrid/>
        <w:spacing w:line="400" w:lineRule="exact"/>
        <w:jc w:val="left"/>
        <w:textAlignment w:val="auto"/>
        <w:rPr>
          <w:rFonts w:ascii="宋体" w:hAnsi="宋体" w:eastAsia="宋体" w:cs="宋体"/>
          <w:b/>
          <w:bCs/>
          <w:color w:val="auto"/>
          <w:szCs w:val="21"/>
          <w:highlight w:val="none"/>
        </w:rPr>
      </w:pPr>
      <w:r>
        <w:rPr>
          <w:rFonts w:hint="eastAsia" w:ascii="宋体" w:hAnsi="宋体" w:eastAsia="宋体" w:cs="宋体"/>
          <w:b/>
          <w:bCs/>
          <w:color w:val="auto"/>
          <w:szCs w:val="21"/>
          <w:highlight w:val="none"/>
        </w:rPr>
        <w:t>4.上述“</w:t>
      </w:r>
      <w:r>
        <w:rPr>
          <w:rFonts w:hint="eastAsia" w:ascii="宋体" w:hAnsi="宋体" w:eastAsia="宋体" w:cs="宋体"/>
          <w:b/>
          <w:bCs/>
          <w:color w:val="auto"/>
          <w:szCs w:val="21"/>
          <w:highlight w:val="none"/>
          <w:u w:val="single"/>
        </w:rPr>
        <w:t>采购文件中明确的所属行业</w:t>
      </w:r>
      <w:r>
        <w:rPr>
          <w:rFonts w:hint="eastAsia" w:ascii="宋体" w:hAnsi="宋体" w:eastAsia="宋体" w:cs="宋体"/>
          <w:b/>
          <w:bCs/>
          <w:color w:val="auto"/>
          <w:szCs w:val="21"/>
          <w:highlight w:val="none"/>
        </w:rPr>
        <w:t>”，详见第三章采购需求中明确的“所属行业”。</w:t>
      </w:r>
    </w:p>
    <w:p w14:paraId="7798627F">
      <w:pPr>
        <w:keepNext w:val="0"/>
        <w:keepLines w:val="0"/>
        <w:pageBreakBefore w:val="0"/>
        <w:widowControl w:val="0"/>
        <w:tabs>
          <w:tab w:val="left" w:pos="4620"/>
        </w:tabs>
        <w:kinsoku/>
        <w:wordWrap/>
        <w:overflowPunct/>
        <w:topLinePunct w:val="0"/>
        <w:autoSpaceDE/>
        <w:autoSpaceDN/>
        <w:bidi w:val="0"/>
        <w:adjustRightInd/>
        <w:snapToGrid/>
        <w:spacing w:line="400" w:lineRule="exact"/>
        <w:jc w:val="left"/>
        <w:textAlignment w:val="auto"/>
        <w:rPr>
          <w:rFonts w:ascii="宋体" w:hAnsi="宋体" w:eastAsia="宋体" w:cs="宋体"/>
          <w:b/>
          <w:bCs/>
          <w:color w:val="auto"/>
          <w:szCs w:val="21"/>
          <w:highlight w:val="none"/>
        </w:rPr>
      </w:pPr>
      <w:r>
        <w:rPr>
          <w:rFonts w:hint="eastAsia" w:ascii="宋体" w:hAnsi="宋体" w:eastAsia="宋体" w:cs="宋体"/>
          <w:b/>
          <w:bCs/>
          <w:color w:val="auto"/>
          <w:szCs w:val="21"/>
          <w:highlight w:val="none"/>
        </w:rPr>
        <w:t>5．填写示例：</w:t>
      </w:r>
      <w:r>
        <w:rPr>
          <w:rFonts w:hint="eastAsia" w:ascii="宋体" w:hAnsi="宋体" w:eastAsia="宋体" w:cs="宋体"/>
          <w:b/>
          <w:bCs/>
          <w:color w:val="auto"/>
          <w:szCs w:val="21"/>
          <w:highlight w:val="none"/>
          <w:u w:val="single"/>
          <w:lang w:val="zh-CN"/>
        </w:rPr>
        <w:t>某设备</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属于</w:t>
      </w:r>
      <w:r>
        <w:rPr>
          <w:rFonts w:hint="eastAsia" w:ascii="宋体" w:hAnsi="宋体" w:eastAsia="宋体" w:cs="宋体"/>
          <w:b/>
          <w:bCs/>
          <w:color w:val="auto"/>
          <w:szCs w:val="21"/>
          <w:highlight w:val="none"/>
          <w:u w:val="single"/>
        </w:rPr>
        <w:t>（填写第三章采购需求中对应货物的“所属行业”，如工业）</w:t>
      </w:r>
      <w:r>
        <w:rPr>
          <w:rFonts w:hint="eastAsia" w:ascii="宋体" w:hAnsi="宋体" w:eastAsia="宋体" w:cs="宋体"/>
          <w:b/>
          <w:bCs/>
          <w:color w:val="auto"/>
          <w:szCs w:val="21"/>
          <w:highlight w:val="none"/>
          <w:lang w:val="zh-CN"/>
        </w:rPr>
        <w:t>行业</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en-US" w:eastAsia="zh-CN"/>
        </w:rPr>
        <w:t>制造</w:t>
      </w:r>
      <w:r>
        <w:rPr>
          <w:rFonts w:hint="eastAsia" w:ascii="宋体" w:hAnsi="宋体" w:eastAsia="宋体" w:cs="宋体"/>
          <w:b/>
          <w:bCs/>
          <w:color w:val="auto"/>
          <w:szCs w:val="21"/>
          <w:highlight w:val="none"/>
          <w:lang w:val="zh-CN"/>
        </w:rPr>
        <w:t>企业为</w:t>
      </w:r>
      <w:r>
        <w:rPr>
          <w:rFonts w:hint="eastAsia" w:ascii="宋体" w:hAnsi="宋体" w:eastAsia="宋体" w:cs="宋体"/>
          <w:b/>
          <w:bCs/>
          <w:color w:val="auto"/>
          <w:szCs w:val="21"/>
          <w:highlight w:val="none"/>
          <w:u w:val="single"/>
          <w:lang w:val="zh-CN"/>
        </w:rPr>
        <w:t>某</w:t>
      </w:r>
      <w:r>
        <w:rPr>
          <w:rFonts w:hint="eastAsia" w:ascii="宋体" w:hAnsi="宋体" w:eastAsia="宋体" w:cs="宋体"/>
          <w:b/>
          <w:bCs/>
          <w:color w:val="auto"/>
          <w:szCs w:val="21"/>
          <w:highlight w:val="none"/>
          <w:u w:val="single"/>
        </w:rPr>
        <w:t>企业</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从业人员</w:t>
      </w:r>
      <w:r>
        <w:rPr>
          <w:rFonts w:hint="eastAsia" w:ascii="宋体" w:hAnsi="宋体" w:eastAsia="宋体" w:cs="宋体"/>
          <w:b/>
          <w:bCs/>
          <w:color w:val="auto"/>
          <w:szCs w:val="21"/>
          <w:highlight w:val="none"/>
          <w:u w:val="single"/>
        </w:rPr>
        <w:t>100</w:t>
      </w:r>
      <w:r>
        <w:rPr>
          <w:rFonts w:hint="eastAsia" w:ascii="宋体" w:hAnsi="宋体" w:eastAsia="宋体" w:cs="宋体"/>
          <w:b/>
          <w:bCs/>
          <w:color w:val="auto"/>
          <w:szCs w:val="21"/>
          <w:highlight w:val="none"/>
          <w:lang w:val="zh-CN"/>
        </w:rPr>
        <w:t>人</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营业收入为</w:t>
      </w:r>
      <w:r>
        <w:rPr>
          <w:rFonts w:hint="eastAsia" w:ascii="宋体" w:hAnsi="宋体" w:eastAsia="宋体" w:cs="宋体"/>
          <w:b/>
          <w:bCs/>
          <w:color w:val="auto"/>
          <w:szCs w:val="21"/>
          <w:highlight w:val="none"/>
          <w:u w:val="single"/>
        </w:rPr>
        <w:t>10000</w:t>
      </w:r>
      <w:r>
        <w:rPr>
          <w:rFonts w:hint="eastAsia" w:ascii="宋体" w:hAnsi="宋体" w:eastAsia="宋体" w:cs="宋体"/>
          <w:b/>
          <w:bCs/>
          <w:color w:val="auto"/>
          <w:szCs w:val="21"/>
          <w:highlight w:val="none"/>
          <w:lang w:val="zh-CN"/>
        </w:rPr>
        <w:t>万元</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资产总额为</w:t>
      </w:r>
      <w:r>
        <w:rPr>
          <w:rFonts w:hint="eastAsia" w:ascii="宋体" w:hAnsi="宋体" w:eastAsia="宋体" w:cs="宋体"/>
          <w:b/>
          <w:bCs/>
          <w:color w:val="auto"/>
          <w:szCs w:val="21"/>
          <w:highlight w:val="none"/>
          <w:u w:val="single"/>
        </w:rPr>
        <w:t>5000</w:t>
      </w:r>
      <w:r>
        <w:rPr>
          <w:rFonts w:hint="eastAsia" w:ascii="宋体" w:hAnsi="宋体" w:eastAsia="宋体" w:cs="宋体"/>
          <w:b/>
          <w:bCs/>
          <w:color w:val="auto"/>
          <w:szCs w:val="21"/>
          <w:highlight w:val="none"/>
          <w:lang w:val="zh-CN"/>
        </w:rPr>
        <w:t>万元</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属于</w:t>
      </w:r>
      <w:r>
        <w:rPr>
          <w:rFonts w:hint="eastAsia" w:ascii="宋体" w:hAnsi="宋体" w:eastAsia="宋体" w:cs="宋体"/>
          <w:b/>
          <w:bCs/>
          <w:color w:val="auto"/>
          <w:szCs w:val="21"/>
          <w:highlight w:val="none"/>
          <w:u w:val="single"/>
          <w:lang w:val="zh-CN"/>
        </w:rPr>
        <w:t>小型</w:t>
      </w:r>
      <w:r>
        <w:rPr>
          <w:rFonts w:hint="eastAsia" w:ascii="宋体" w:hAnsi="宋体" w:eastAsia="宋体" w:cs="宋体"/>
          <w:b/>
          <w:bCs/>
          <w:color w:val="auto"/>
          <w:szCs w:val="21"/>
          <w:highlight w:val="none"/>
          <w:lang w:val="zh-CN"/>
        </w:rPr>
        <w:t>企业</w:t>
      </w:r>
      <w:r>
        <w:rPr>
          <w:rFonts w:hint="eastAsia" w:ascii="宋体" w:hAnsi="宋体" w:eastAsia="宋体" w:cs="宋体"/>
          <w:b/>
          <w:bCs/>
          <w:color w:val="auto"/>
          <w:szCs w:val="21"/>
          <w:highlight w:val="none"/>
        </w:rPr>
        <w:t>[投标人自行登录工业和信息化部官网进行中小企业规模类型自测（查询网址https://www.miit.gov.cn/）]</w:t>
      </w:r>
      <w:r>
        <w:rPr>
          <w:rFonts w:hint="eastAsia" w:ascii="宋体" w:hAnsi="宋体" w:eastAsia="宋体" w:cs="宋体"/>
          <w:b/>
          <w:bCs/>
          <w:color w:val="auto"/>
          <w:szCs w:val="21"/>
          <w:highlight w:val="none"/>
          <w:lang w:val="zh-CN"/>
        </w:rPr>
        <w:t>。</w:t>
      </w:r>
    </w:p>
    <w:p w14:paraId="430C678E">
      <w:pPr>
        <w:rPr>
          <w:rFonts w:hint="eastAsia" w:asciiTheme="minorEastAsia" w:hAnsiTheme="minorEastAsia" w:eastAsiaTheme="minorEastAsia"/>
          <w:b/>
          <w:bCs/>
          <w:color w:val="auto"/>
          <w:szCs w:val="24"/>
          <w:highlight w:val="none"/>
        </w:rPr>
      </w:pPr>
      <w:r>
        <w:rPr>
          <w:rFonts w:hint="eastAsia" w:asciiTheme="minorEastAsia" w:hAnsiTheme="minorEastAsia" w:eastAsiaTheme="minorEastAsia"/>
          <w:b/>
          <w:bCs/>
          <w:color w:val="auto"/>
          <w:szCs w:val="24"/>
          <w:highlight w:val="none"/>
        </w:rPr>
        <w:br w:type="page"/>
      </w:r>
      <w:bookmarkEnd w:id="86"/>
      <w:bookmarkEnd w:id="87"/>
    </w:p>
    <w:p w14:paraId="052CBD7E">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Theme="minorEastAsia" w:hAnsiTheme="minorEastAsia" w:eastAsiaTheme="minorEastAsia"/>
          <w:b/>
          <w:color w:val="auto"/>
          <w:sz w:val="24"/>
          <w:highlight w:val="none"/>
          <w:lang w:val="en-US" w:eastAsia="zh-CN"/>
        </w:rPr>
      </w:pPr>
      <w:bookmarkStart w:id="88" w:name="_Toc16713"/>
      <w:bookmarkStart w:id="89" w:name="_Toc24563"/>
      <w:bookmarkStart w:id="90" w:name="_Toc513"/>
      <w:r>
        <w:rPr>
          <w:rFonts w:hint="eastAsia" w:asciiTheme="minorEastAsia" w:hAnsiTheme="minorEastAsia" w:eastAsiaTheme="minorEastAsia"/>
          <w:b/>
          <w:color w:val="auto"/>
          <w:sz w:val="24"/>
          <w:highlight w:val="none"/>
          <w:lang w:val="en-US" w:eastAsia="zh-CN"/>
        </w:rPr>
        <w:t>（6）残疾人福利性单位声明函</w:t>
      </w:r>
      <w:bookmarkEnd w:id="88"/>
      <w:bookmarkEnd w:id="89"/>
      <w:bookmarkEnd w:id="90"/>
    </w:p>
    <w:p w14:paraId="1BDECF44">
      <w:pPr>
        <w:pStyle w:val="9"/>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b w:val="0"/>
          <w:i/>
          <w:color w:val="auto"/>
          <w:sz w:val="24"/>
          <w:highlight w:val="none"/>
          <w:lang w:val="en-US" w:eastAsia="zh-CN"/>
        </w:rPr>
      </w:pPr>
      <w:r>
        <w:rPr>
          <w:rFonts w:hint="eastAsia" w:ascii="宋体" w:hAnsi="宋体" w:eastAsia="宋体"/>
          <w:b w:val="0"/>
          <w:i/>
          <w:color w:val="auto"/>
          <w:sz w:val="24"/>
          <w:highlight w:val="none"/>
          <w:lang w:val="en-US" w:eastAsia="zh-CN"/>
        </w:rPr>
        <w:t>（非残疾人福利性单位投标，请删去“残疾人福利性单位声明函”）</w:t>
      </w:r>
    </w:p>
    <w:p w14:paraId="78AE8357">
      <w:pPr>
        <w:spacing w:line="360" w:lineRule="auto"/>
        <w:ind w:firstLine="435"/>
        <w:rPr>
          <w:rFonts w:asciiTheme="minorEastAsia" w:hAnsiTheme="minorEastAsia" w:eastAsiaTheme="minorEastAsia"/>
          <w:color w:val="auto"/>
          <w:spacing w:val="6"/>
          <w:sz w:val="24"/>
          <w:szCs w:val="24"/>
          <w:highlight w:val="none"/>
        </w:rPr>
      </w:pPr>
      <w:r>
        <w:rPr>
          <w:rFonts w:hint="eastAsia" w:asciiTheme="minorEastAsia" w:hAnsiTheme="minorEastAsia" w:eastAsiaTheme="minorEastAsia"/>
          <w:color w:val="auto"/>
          <w:spacing w:val="6"/>
          <w:sz w:val="24"/>
          <w:szCs w:val="24"/>
          <w:highlight w:val="none"/>
        </w:rPr>
        <w:t>本单位</w:t>
      </w:r>
      <w:r>
        <w:rPr>
          <w:rFonts w:hint="eastAsia" w:asciiTheme="minorEastAsia" w:hAnsiTheme="minorEastAsia" w:eastAsiaTheme="minorEastAsia"/>
          <w:color w:val="auto"/>
          <w:sz w:val="24"/>
          <w:highlight w:val="none"/>
        </w:rPr>
        <w:t>郑重</w:t>
      </w:r>
      <w:r>
        <w:rPr>
          <w:rFonts w:hint="eastAsia" w:asciiTheme="minorEastAsia" w:hAnsiTheme="minorEastAsia" w:eastAsiaTheme="minorEastAsia"/>
          <w:color w:val="auto"/>
          <w:spacing w:val="6"/>
          <w:sz w:val="24"/>
          <w:szCs w:val="24"/>
          <w:highlight w:val="none"/>
        </w:rPr>
        <w:t>声明，根据《财政部 民政部 中国残疾人联合会关于促进残疾人就业政府采购政策的通知》（财库</w:t>
      </w:r>
      <w:r>
        <w:rPr>
          <w:rFonts w:hint="eastAsia" w:asciiTheme="minorEastAsia" w:hAnsiTheme="minorEastAsia" w:eastAsiaTheme="minorEastAsia"/>
          <w:color w:val="auto"/>
          <w:sz w:val="24"/>
          <w:szCs w:val="24"/>
          <w:highlight w:val="none"/>
        </w:rPr>
        <w:t>〔2017〕141</w:t>
      </w:r>
      <w:r>
        <w:rPr>
          <w:rFonts w:hint="eastAsia" w:asciiTheme="minorEastAsia" w:hAnsiTheme="minorEastAsia" w:eastAsiaTheme="minorEastAsia"/>
          <w:color w:val="auto"/>
          <w:spacing w:val="6"/>
          <w:sz w:val="24"/>
          <w:szCs w:val="24"/>
          <w:highlight w:val="none"/>
        </w:rPr>
        <w:t>号）的规定，本单位为</w:t>
      </w:r>
      <w:r>
        <w:rPr>
          <w:rFonts w:hint="eastAsia" w:asciiTheme="minorEastAsia" w:hAnsiTheme="minorEastAsia" w:eastAsiaTheme="minorEastAsia"/>
          <w:bCs/>
          <w:color w:val="auto"/>
          <w:sz w:val="24"/>
          <w:szCs w:val="24"/>
          <w:highlight w:val="none"/>
        </w:rPr>
        <w:t>符合</w:t>
      </w:r>
      <w:r>
        <w:rPr>
          <w:rFonts w:hint="eastAsia" w:asciiTheme="minorEastAsia" w:hAnsiTheme="minorEastAsia" w:eastAsiaTheme="minorEastAsia"/>
          <w:color w:val="auto"/>
          <w:spacing w:val="6"/>
          <w:sz w:val="24"/>
          <w:szCs w:val="24"/>
          <w:highlight w:val="none"/>
        </w:rPr>
        <w:t>条件的残疾人福利性单位，且本单位参加</w:t>
      </w:r>
      <w:r>
        <w:rPr>
          <w:rFonts w:hint="eastAsia" w:asciiTheme="minorEastAsia" w:hAnsiTheme="minorEastAsia" w:eastAsiaTheme="minorEastAsia"/>
          <w:color w:val="auto"/>
          <w:spacing w:val="6"/>
          <w:sz w:val="24"/>
          <w:szCs w:val="24"/>
          <w:highlight w:val="none"/>
          <w:u w:val="single"/>
        </w:rPr>
        <w:t xml:space="preserve">      </w:t>
      </w:r>
      <w:r>
        <w:rPr>
          <w:rFonts w:hint="eastAsia" w:asciiTheme="minorEastAsia" w:hAnsiTheme="minorEastAsia" w:eastAsiaTheme="minorEastAsia"/>
          <w:color w:val="auto"/>
          <w:spacing w:val="6"/>
          <w:sz w:val="24"/>
          <w:szCs w:val="24"/>
          <w:highlight w:val="none"/>
        </w:rPr>
        <w:t>单位的</w:t>
      </w:r>
      <w:r>
        <w:rPr>
          <w:rFonts w:hint="eastAsia" w:asciiTheme="minorEastAsia" w:hAnsiTheme="minorEastAsia" w:eastAsiaTheme="minorEastAsia"/>
          <w:color w:val="auto"/>
          <w:spacing w:val="6"/>
          <w:sz w:val="24"/>
          <w:szCs w:val="24"/>
          <w:highlight w:val="none"/>
          <w:u w:val="single"/>
        </w:rPr>
        <w:t xml:space="preserve">      </w:t>
      </w:r>
      <w:r>
        <w:rPr>
          <w:rFonts w:hint="eastAsia" w:asciiTheme="minorEastAsia" w:hAnsiTheme="minorEastAsia" w:eastAsiaTheme="minorEastAsia"/>
          <w:color w:val="auto"/>
          <w:spacing w:val="6"/>
          <w:sz w:val="24"/>
          <w:szCs w:val="24"/>
          <w:highlight w:val="none"/>
        </w:rPr>
        <w:t>项目采购活动提供本单位制造的货物</w:t>
      </w:r>
      <w:r>
        <w:rPr>
          <w:rFonts w:hint="eastAsia" w:asciiTheme="minorEastAsia" w:hAnsiTheme="minorEastAsia" w:eastAsiaTheme="minorEastAsia"/>
          <w:color w:val="auto"/>
          <w:spacing w:val="6"/>
          <w:sz w:val="24"/>
          <w:szCs w:val="24"/>
          <w:highlight w:val="none"/>
          <w:lang w:eastAsia="zh-CN"/>
        </w:rPr>
        <w:t>（</w:t>
      </w:r>
      <w:r>
        <w:rPr>
          <w:rFonts w:hint="eastAsia" w:asciiTheme="minorEastAsia" w:hAnsiTheme="minorEastAsia" w:eastAsiaTheme="minorEastAsia"/>
          <w:color w:val="auto"/>
          <w:spacing w:val="6"/>
          <w:sz w:val="24"/>
          <w:szCs w:val="24"/>
          <w:highlight w:val="none"/>
          <w:lang w:val="en-US" w:eastAsia="zh-CN"/>
        </w:rPr>
        <w:t>由本单位承担工程/提供服务</w:t>
      </w:r>
      <w:r>
        <w:rPr>
          <w:rFonts w:hint="eastAsia" w:asciiTheme="minorEastAsia" w:hAnsiTheme="minorEastAsia" w:eastAsiaTheme="minorEastAsia"/>
          <w:color w:val="auto"/>
          <w:spacing w:val="6"/>
          <w:sz w:val="24"/>
          <w:szCs w:val="24"/>
          <w:highlight w:val="none"/>
          <w:lang w:eastAsia="zh-CN"/>
        </w:rPr>
        <w:t>）</w:t>
      </w:r>
      <w:r>
        <w:rPr>
          <w:rFonts w:hint="eastAsia" w:asciiTheme="minorEastAsia" w:hAnsiTheme="minorEastAsia" w:eastAsiaTheme="minorEastAsia"/>
          <w:color w:val="auto"/>
          <w:spacing w:val="6"/>
          <w:sz w:val="24"/>
          <w:szCs w:val="24"/>
          <w:highlight w:val="none"/>
        </w:rPr>
        <w:t>，或者提供其他残疾人福利性单位制造的货物（不包括使用非残疾人福利性单位注册商标的货物）。</w:t>
      </w:r>
    </w:p>
    <w:p w14:paraId="4BFFEB57">
      <w:pPr>
        <w:spacing w:line="360" w:lineRule="auto"/>
        <w:ind w:firstLine="435"/>
        <w:rPr>
          <w:rFonts w:asciiTheme="minorEastAsia" w:hAnsiTheme="minorEastAsia" w:eastAsiaTheme="minorEastAsia"/>
          <w:color w:val="auto"/>
          <w:spacing w:val="6"/>
          <w:sz w:val="24"/>
          <w:szCs w:val="24"/>
          <w:highlight w:val="none"/>
        </w:rPr>
      </w:pPr>
      <w:r>
        <w:rPr>
          <w:rFonts w:hint="eastAsia" w:asciiTheme="minorEastAsia" w:hAnsiTheme="minorEastAsia" w:eastAsiaTheme="minorEastAsia"/>
          <w:color w:val="auto"/>
          <w:spacing w:val="6"/>
          <w:sz w:val="24"/>
          <w:szCs w:val="24"/>
          <w:highlight w:val="none"/>
        </w:rPr>
        <w:t>本单位对上述声明的真实性负责。如有虚假，将依法承担相应责任。</w:t>
      </w:r>
    </w:p>
    <w:p w14:paraId="16DF1435">
      <w:pPr>
        <w:spacing w:line="360" w:lineRule="auto"/>
        <w:ind w:firstLine="4228" w:firstLineChars="1762"/>
        <w:rPr>
          <w:rFonts w:asciiTheme="minorEastAsia" w:hAnsiTheme="minorEastAsia" w:eastAsiaTheme="minorEastAsia"/>
          <w:color w:val="auto"/>
          <w:sz w:val="24"/>
          <w:szCs w:val="24"/>
          <w:highlight w:val="none"/>
        </w:rPr>
      </w:pPr>
    </w:p>
    <w:p w14:paraId="6F563A8F">
      <w:pPr>
        <w:spacing w:line="360" w:lineRule="auto"/>
        <w:ind w:firstLine="4228" w:firstLineChars="1762"/>
        <w:rPr>
          <w:rFonts w:asciiTheme="minorEastAsia" w:hAnsiTheme="minorEastAsia" w:eastAsiaTheme="minorEastAsia"/>
          <w:color w:val="auto"/>
          <w:sz w:val="24"/>
          <w:szCs w:val="24"/>
          <w:highlight w:val="none"/>
        </w:rPr>
      </w:pPr>
    </w:p>
    <w:p w14:paraId="67EC27EE">
      <w:pPr>
        <w:spacing w:line="360" w:lineRule="auto"/>
        <w:ind w:firstLine="4228" w:firstLineChars="176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投标人</w:t>
      </w:r>
      <w:r>
        <w:rPr>
          <w:rFonts w:asciiTheme="minorEastAsia" w:hAnsiTheme="minorEastAsia" w:eastAsiaTheme="minorEastAsia"/>
          <w:color w:val="auto"/>
          <w:sz w:val="24"/>
          <w:szCs w:val="24"/>
          <w:highlight w:val="none"/>
        </w:rPr>
        <w:t>电子签章</w:t>
      </w:r>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u w:val="single"/>
        </w:rPr>
        <w:t xml:space="preserve">             </w:t>
      </w:r>
    </w:p>
    <w:p w14:paraId="548ACF92">
      <w:pPr>
        <w:tabs>
          <w:tab w:val="left" w:pos="4620"/>
        </w:tabs>
        <w:spacing w:line="360" w:lineRule="auto"/>
        <w:ind w:firstLine="4252" w:firstLineChars="177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日</w:t>
      </w:r>
      <w:r>
        <w:rPr>
          <w:rFonts w:asciiTheme="minorEastAsia" w:hAnsiTheme="minorEastAsia" w:eastAsiaTheme="minorEastAsia"/>
          <w:color w:val="auto"/>
          <w:sz w:val="24"/>
          <w:szCs w:val="24"/>
          <w:highlight w:val="none"/>
        </w:rPr>
        <w:t xml:space="preserve">      </w:t>
      </w:r>
      <w:r>
        <w:rPr>
          <w:rFonts w:hint="eastAsia" w:asciiTheme="minorEastAsia" w:hAnsiTheme="minorEastAsia" w:eastAsiaTheme="minorEastAsia"/>
          <w:color w:val="auto"/>
          <w:sz w:val="24"/>
          <w:szCs w:val="24"/>
          <w:highlight w:val="none"/>
        </w:rPr>
        <w:t xml:space="preserve">    期：</w:t>
      </w:r>
      <w:r>
        <w:rPr>
          <w:rFonts w:asciiTheme="minorEastAsia" w:hAnsiTheme="minorEastAsia" w:eastAsiaTheme="minorEastAsia"/>
          <w:color w:val="auto"/>
          <w:sz w:val="24"/>
          <w:szCs w:val="24"/>
          <w:highlight w:val="none"/>
          <w:u w:val="single"/>
        </w:rPr>
        <w:t xml:space="preserve">             </w:t>
      </w:r>
    </w:p>
    <w:p w14:paraId="22933CBC">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01FA9ECF">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仿宋_GB2312"/>
          <w:b/>
          <w:sz w:val="24"/>
          <w:szCs w:val="20"/>
          <w:highlight w:val="none"/>
        </w:rPr>
      </w:pPr>
      <w:bookmarkStart w:id="91" w:name="_Toc21373"/>
      <w:bookmarkStart w:id="92" w:name="_Hlk11701496"/>
      <w:bookmarkStart w:id="93" w:name="_Toc25813"/>
      <w:bookmarkStart w:id="94" w:name="_Toc457768004"/>
      <w:bookmarkStart w:id="95" w:name="_Toc520299348"/>
      <w:bookmarkStart w:id="96" w:name="_Toc26536"/>
      <w:bookmarkStart w:id="97" w:name="_Toc300210382"/>
      <w:r>
        <w:rPr>
          <w:rFonts w:hint="eastAsia" w:asciiTheme="minorEastAsia" w:hAnsiTheme="minorEastAsia" w:eastAsiaTheme="minorEastAsia"/>
          <w:b/>
          <w:sz w:val="24"/>
          <w:highlight w:val="none"/>
          <w:lang w:val="en-US" w:eastAsia="zh-CN"/>
        </w:rPr>
        <w:t>（5）</w:t>
      </w:r>
      <w:r>
        <w:rPr>
          <w:rFonts w:hint="eastAsia" w:ascii="宋体" w:hAnsi="宋体" w:eastAsia="宋体" w:cs="@仿宋_GB2312"/>
          <w:b/>
          <w:sz w:val="24"/>
          <w:szCs w:val="20"/>
          <w:highlight w:val="none"/>
        </w:rPr>
        <w:t>关于符合本国产品标准的声明函</w:t>
      </w:r>
      <w:bookmarkEnd w:id="91"/>
    </w:p>
    <w:p w14:paraId="6FA5E4E8">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i w:val="0"/>
          <w:iCs w:val="0"/>
          <w:caps w:val="0"/>
          <w:color w:val="auto"/>
          <w:spacing w:val="0"/>
          <w:sz w:val="24"/>
          <w:szCs w:val="24"/>
          <w:highlight w:val="none"/>
          <w:u w:val="none"/>
          <w:shd w:val="clear" w:color="auto" w:fill="FFFFFF"/>
          <w:vertAlign w:val="baseline"/>
        </w:rPr>
      </w:pPr>
      <w:r>
        <w:rPr>
          <w:rFonts w:hint="eastAsia" w:ascii="宋体" w:hAnsi="宋体" w:eastAsia="宋体"/>
          <w:b w:val="0"/>
          <w:i/>
          <w:color w:val="auto"/>
          <w:sz w:val="24"/>
          <w:highlight w:val="none"/>
          <w:lang w:val="en-US" w:eastAsia="zh-CN"/>
        </w:rPr>
        <w:t>（不符合本国产品扶持政策，不需此件）</w:t>
      </w:r>
    </w:p>
    <w:p w14:paraId="4F4970E2">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u w:val="none"/>
          <w:shd w:val="clear" w:color="auto" w:fill="FFFFFF"/>
          <w:vertAlign w:val="baseline"/>
        </w:rPr>
        <w:t>本公司（单位）郑重声明，根据《国务院办公厅关于在政府采购中实施本国产品标准及相关政策的通知》（国办发〔2025〕34号）的规定，本公司（单位）提供的以下产品属于本国产品。具体情况如下：</w:t>
      </w:r>
    </w:p>
    <w:p w14:paraId="48C98507">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u w:val="none"/>
          <w:shd w:val="clear" w:color="auto" w:fill="FFFFFF"/>
          <w:vertAlign w:val="baseline"/>
        </w:rPr>
        <w:t>1.</w:t>
      </w:r>
      <w:r>
        <w:rPr>
          <w:rStyle w:val="30"/>
          <w:rFonts w:hint="eastAsia" w:ascii="宋体" w:hAnsi="宋体" w:eastAsia="宋体" w:cs="宋体"/>
          <w:i w:val="0"/>
          <w:iCs w:val="0"/>
          <w:caps w:val="0"/>
          <w:color w:val="auto"/>
          <w:spacing w:val="0"/>
          <w:sz w:val="24"/>
          <w:szCs w:val="24"/>
          <w:highlight w:val="none"/>
          <w:u w:val="single"/>
          <w:shd w:val="clear" w:color="auto" w:fill="FFFFFF"/>
          <w:vertAlign w:val="baseline"/>
        </w:rPr>
        <w:t>（产品名称1）</w:t>
      </w:r>
      <w:r>
        <w:rPr>
          <w:rStyle w:val="30"/>
          <w:rFonts w:hint="eastAsia" w:ascii="宋体" w:hAnsi="宋体" w:eastAsia="宋体" w:cs="宋体"/>
          <w:i w:val="0"/>
          <w:iCs w:val="0"/>
          <w:caps w:val="0"/>
          <w:color w:val="auto"/>
          <w:spacing w:val="0"/>
          <w:sz w:val="24"/>
          <w:szCs w:val="24"/>
          <w:highlight w:val="none"/>
          <w:u w:val="none"/>
          <w:shd w:val="clear" w:color="auto" w:fill="FFFFFF"/>
          <w:vertAlign w:val="superscript"/>
        </w:rPr>
        <w:t>1</w:t>
      </w:r>
      <w:r>
        <w:rPr>
          <w:rFonts w:hint="eastAsia" w:ascii="宋体" w:hAnsi="宋体" w:eastAsia="宋体" w:cs="宋体"/>
          <w:i w:val="0"/>
          <w:iCs w:val="0"/>
          <w:caps w:val="0"/>
          <w:color w:val="auto"/>
          <w:spacing w:val="0"/>
          <w:sz w:val="24"/>
          <w:szCs w:val="24"/>
          <w:highlight w:val="none"/>
          <w:u w:val="none"/>
          <w:shd w:val="clear" w:color="auto" w:fill="FFFFFF"/>
          <w:vertAlign w:val="baseline"/>
        </w:rPr>
        <w:t>，生产厂为</w:t>
      </w:r>
      <w:r>
        <w:rPr>
          <w:rStyle w:val="30"/>
          <w:rFonts w:hint="eastAsia" w:ascii="宋体" w:hAnsi="宋体" w:eastAsia="宋体" w:cs="宋体"/>
          <w:i w:val="0"/>
          <w:iCs w:val="0"/>
          <w:caps w:val="0"/>
          <w:color w:val="auto"/>
          <w:spacing w:val="0"/>
          <w:sz w:val="24"/>
          <w:szCs w:val="24"/>
          <w:highlight w:val="none"/>
          <w:u w:val="single"/>
          <w:shd w:val="clear" w:color="auto" w:fill="FFFFFF"/>
          <w:vertAlign w:val="baseline"/>
        </w:rPr>
        <w:t>（厂名）</w:t>
      </w:r>
      <w:r>
        <w:rPr>
          <w:rStyle w:val="30"/>
          <w:rFonts w:hint="eastAsia" w:ascii="宋体" w:hAnsi="宋体" w:eastAsia="宋体" w:cs="宋体"/>
          <w:i w:val="0"/>
          <w:iCs w:val="0"/>
          <w:caps w:val="0"/>
          <w:color w:val="auto"/>
          <w:spacing w:val="0"/>
          <w:sz w:val="24"/>
          <w:szCs w:val="24"/>
          <w:highlight w:val="none"/>
          <w:u w:val="none"/>
          <w:shd w:val="clear" w:color="auto" w:fill="FFFFFF"/>
          <w:vertAlign w:val="superscript"/>
        </w:rPr>
        <w:t>2</w:t>
      </w:r>
      <w:r>
        <w:rPr>
          <w:rFonts w:hint="eastAsia" w:ascii="宋体" w:hAnsi="宋体" w:eastAsia="宋体" w:cs="宋体"/>
          <w:i w:val="0"/>
          <w:iCs w:val="0"/>
          <w:caps w:val="0"/>
          <w:color w:val="auto"/>
          <w:spacing w:val="0"/>
          <w:sz w:val="24"/>
          <w:szCs w:val="24"/>
          <w:highlight w:val="none"/>
          <w:u w:val="none"/>
          <w:shd w:val="clear" w:color="auto" w:fill="FFFFFF"/>
          <w:vertAlign w:val="baseline"/>
        </w:rPr>
        <w:t>，厂址为</w:t>
      </w:r>
      <w:r>
        <w:rPr>
          <w:rStyle w:val="30"/>
          <w:rFonts w:hint="eastAsia" w:ascii="宋体" w:hAnsi="宋体" w:eastAsia="宋体" w:cs="宋体"/>
          <w:i w:val="0"/>
          <w:iCs w:val="0"/>
          <w:caps w:val="0"/>
          <w:color w:val="auto"/>
          <w:spacing w:val="0"/>
          <w:sz w:val="24"/>
          <w:szCs w:val="24"/>
          <w:highlight w:val="none"/>
          <w:u w:val="single"/>
          <w:shd w:val="clear" w:color="auto" w:fill="FFFFFF"/>
          <w:vertAlign w:val="baseline"/>
        </w:rPr>
        <w:t>（生产厂址）</w:t>
      </w:r>
      <w:r>
        <w:rPr>
          <w:rFonts w:hint="eastAsia" w:ascii="宋体" w:hAnsi="宋体" w:eastAsia="宋体" w:cs="宋体"/>
          <w:i w:val="0"/>
          <w:iCs w:val="0"/>
          <w:caps w:val="0"/>
          <w:color w:val="auto"/>
          <w:spacing w:val="0"/>
          <w:sz w:val="24"/>
          <w:szCs w:val="24"/>
          <w:highlight w:val="none"/>
          <w:u w:val="none"/>
          <w:shd w:val="clear" w:color="auto" w:fill="FFFFFF"/>
          <w:vertAlign w:val="baseline"/>
        </w:rPr>
        <w:t>。</w:t>
      </w:r>
      <w:r>
        <w:rPr>
          <w:rStyle w:val="30"/>
          <w:rFonts w:hint="eastAsia" w:ascii="宋体" w:hAnsi="宋体" w:eastAsia="宋体" w:cs="宋体"/>
          <w:i w:val="0"/>
          <w:iCs w:val="0"/>
          <w:caps w:val="0"/>
          <w:color w:val="auto"/>
          <w:spacing w:val="0"/>
          <w:sz w:val="24"/>
          <w:szCs w:val="24"/>
          <w:highlight w:val="none"/>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highlight w:val="none"/>
          <w:u w:val="none"/>
          <w:shd w:val="clear" w:color="auto" w:fill="FFFFFF"/>
          <w:vertAlign w:val="baseline"/>
        </w:rPr>
        <w:t>的中国境内生产的组件成本占比≥</w:t>
      </w:r>
      <w:r>
        <w:rPr>
          <w:rStyle w:val="30"/>
          <w:rFonts w:hint="eastAsia" w:ascii="宋体" w:hAnsi="宋体" w:eastAsia="宋体" w:cs="宋体"/>
          <w:i w:val="0"/>
          <w:iCs w:val="0"/>
          <w:caps w:val="0"/>
          <w:color w:val="auto"/>
          <w:spacing w:val="0"/>
          <w:sz w:val="24"/>
          <w:szCs w:val="24"/>
          <w:highlight w:val="none"/>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highlight w:val="none"/>
          <w:u w:val="none"/>
          <w:shd w:val="clear" w:color="auto" w:fill="FFFFFF"/>
          <w:vertAlign w:val="baseline"/>
        </w:rPr>
        <w:t>。</w:t>
      </w:r>
      <w:r>
        <w:rPr>
          <w:rStyle w:val="30"/>
          <w:rFonts w:hint="eastAsia" w:ascii="宋体" w:hAnsi="宋体" w:eastAsia="宋体" w:cs="宋体"/>
          <w:i w:val="0"/>
          <w:iCs w:val="0"/>
          <w:caps w:val="0"/>
          <w:color w:val="auto"/>
          <w:spacing w:val="0"/>
          <w:sz w:val="24"/>
          <w:szCs w:val="24"/>
          <w:highlight w:val="none"/>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highlight w:val="none"/>
          <w:u w:val="none"/>
          <w:shd w:val="clear" w:color="auto" w:fill="FFFFFF"/>
          <w:vertAlign w:val="baseline"/>
        </w:rPr>
        <w:t>的</w:t>
      </w:r>
      <w:r>
        <w:rPr>
          <w:rStyle w:val="30"/>
          <w:rFonts w:hint="eastAsia" w:ascii="宋体" w:hAnsi="宋体" w:eastAsia="宋体" w:cs="宋体"/>
          <w:i w:val="0"/>
          <w:iCs w:val="0"/>
          <w:caps w:val="0"/>
          <w:color w:val="auto"/>
          <w:spacing w:val="0"/>
          <w:sz w:val="24"/>
          <w:szCs w:val="24"/>
          <w:highlight w:val="none"/>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highlight w:val="none"/>
          <w:u w:val="none"/>
          <w:shd w:val="clear" w:color="auto" w:fill="FFFFFF"/>
          <w:vertAlign w:val="baseline"/>
        </w:rPr>
        <w:t>在中国境内生产。</w:t>
      </w:r>
      <w:r>
        <w:rPr>
          <w:rStyle w:val="30"/>
          <w:rFonts w:hint="eastAsia" w:ascii="宋体" w:hAnsi="宋体" w:eastAsia="宋体" w:cs="宋体"/>
          <w:i w:val="0"/>
          <w:iCs w:val="0"/>
          <w:caps w:val="0"/>
          <w:color w:val="auto"/>
          <w:spacing w:val="0"/>
          <w:sz w:val="24"/>
          <w:szCs w:val="24"/>
          <w:highlight w:val="none"/>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highlight w:val="none"/>
          <w:u w:val="none"/>
          <w:shd w:val="clear" w:color="auto" w:fill="FFFFFF"/>
          <w:vertAlign w:val="baseline"/>
        </w:rPr>
        <w:t>的</w:t>
      </w:r>
      <w:r>
        <w:rPr>
          <w:rStyle w:val="30"/>
          <w:rFonts w:hint="eastAsia" w:ascii="宋体" w:hAnsi="宋体" w:eastAsia="宋体" w:cs="宋体"/>
          <w:i w:val="0"/>
          <w:iCs w:val="0"/>
          <w:caps w:val="0"/>
          <w:color w:val="auto"/>
          <w:spacing w:val="0"/>
          <w:sz w:val="24"/>
          <w:szCs w:val="24"/>
          <w:highlight w:val="none"/>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highlight w:val="none"/>
          <w:u w:val="none"/>
          <w:shd w:val="clear" w:color="auto" w:fill="FFFFFF"/>
          <w:vertAlign w:val="baseline"/>
        </w:rPr>
        <w:t>在中国境内完成。</w:t>
      </w:r>
    </w:p>
    <w:p w14:paraId="78D67292">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u w:val="none"/>
          <w:shd w:val="clear" w:color="auto" w:fill="FFFFFF"/>
          <w:vertAlign w:val="baseline"/>
        </w:rPr>
        <w:t>2.</w:t>
      </w:r>
      <w:r>
        <w:rPr>
          <w:rStyle w:val="30"/>
          <w:rFonts w:hint="eastAsia" w:ascii="宋体" w:hAnsi="宋体" w:eastAsia="宋体" w:cs="宋体"/>
          <w:i w:val="0"/>
          <w:iCs w:val="0"/>
          <w:caps w:val="0"/>
          <w:color w:val="auto"/>
          <w:spacing w:val="0"/>
          <w:sz w:val="24"/>
          <w:szCs w:val="24"/>
          <w:highlight w:val="none"/>
          <w:u w:val="single"/>
          <w:shd w:val="clear" w:color="auto" w:fill="FFFFFF"/>
          <w:vertAlign w:val="baseline"/>
        </w:rPr>
        <w:t>（产品名称2）</w:t>
      </w:r>
      <w:r>
        <w:rPr>
          <w:rFonts w:hint="eastAsia" w:ascii="宋体" w:hAnsi="宋体" w:eastAsia="宋体" w:cs="宋体"/>
          <w:i w:val="0"/>
          <w:iCs w:val="0"/>
          <w:caps w:val="0"/>
          <w:color w:val="auto"/>
          <w:spacing w:val="0"/>
          <w:sz w:val="24"/>
          <w:szCs w:val="24"/>
          <w:highlight w:val="none"/>
          <w:u w:val="none"/>
          <w:shd w:val="clear" w:color="auto" w:fill="FFFFFF"/>
          <w:vertAlign w:val="baseline"/>
        </w:rPr>
        <w:t>，生产厂为</w:t>
      </w:r>
      <w:r>
        <w:rPr>
          <w:rStyle w:val="30"/>
          <w:rFonts w:hint="eastAsia" w:ascii="宋体" w:hAnsi="宋体" w:eastAsia="宋体" w:cs="宋体"/>
          <w:i w:val="0"/>
          <w:iCs w:val="0"/>
          <w:caps w:val="0"/>
          <w:color w:val="auto"/>
          <w:spacing w:val="0"/>
          <w:sz w:val="24"/>
          <w:szCs w:val="24"/>
          <w:highlight w:val="none"/>
          <w:u w:val="single"/>
          <w:shd w:val="clear" w:color="auto" w:fill="FFFFFF"/>
          <w:vertAlign w:val="baseline"/>
        </w:rPr>
        <w:t>（厂名）</w:t>
      </w:r>
      <w:r>
        <w:rPr>
          <w:rFonts w:hint="eastAsia" w:ascii="宋体" w:hAnsi="宋体" w:eastAsia="宋体" w:cs="宋体"/>
          <w:i w:val="0"/>
          <w:iCs w:val="0"/>
          <w:caps w:val="0"/>
          <w:color w:val="auto"/>
          <w:spacing w:val="0"/>
          <w:sz w:val="24"/>
          <w:szCs w:val="24"/>
          <w:highlight w:val="none"/>
          <w:u w:val="none"/>
          <w:shd w:val="clear" w:color="auto" w:fill="FFFFFF"/>
          <w:vertAlign w:val="baseline"/>
        </w:rPr>
        <w:t>，厂址为</w:t>
      </w:r>
      <w:r>
        <w:rPr>
          <w:rStyle w:val="30"/>
          <w:rFonts w:hint="eastAsia" w:ascii="宋体" w:hAnsi="宋体" w:eastAsia="宋体" w:cs="宋体"/>
          <w:i w:val="0"/>
          <w:iCs w:val="0"/>
          <w:caps w:val="0"/>
          <w:color w:val="auto"/>
          <w:spacing w:val="0"/>
          <w:sz w:val="24"/>
          <w:szCs w:val="24"/>
          <w:highlight w:val="none"/>
          <w:u w:val="single"/>
          <w:shd w:val="clear" w:color="auto" w:fill="FFFFFF"/>
          <w:vertAlign w:val="baseline"/>
        </w:rPr>
        <w:t>（生产厂址）</w:t>
      </w:r>
      <w:r>
        <w:rPr>
          <w:rFonts w:hint="eastAsia" w:ascii="宋体" w:hAnsi="宋体" w:eastAsia="宋体" w:cs="宋体"/>
          <w:i w:val="0"/>
          <w:iCs w:val="0"/>
          <w:caps w:val="0"/>
          <w:color w:val="auto"/>
          <w:spacing w:val="0"/>
          <w:sz w:val="24"/>
          <w:szCs w:val="24"/>
          <w:highlight w:val="none"/>
          <w:u w:val="none"/>
          <w:shd w:val="clear" w:color="auto" w:fill="FFFFFF"/>
          <w:vertAlign w:val="baseline"/>
        </w:rPr>
        <w:t>。</w:t>
      </w:r>
      <w:r>
        <w:rPr>
          <w:rStyle w:val="30"/>
          <w:rFonts w:hint="eastAsia" w:ascii="宋体" w:hAnsi="宋体" w:eastAsia="宋体" w:cs="宋体"/>
          <w:i w:val="0"/>
          <w:iCs w:val="0"/>
          <w:caps w:val="0"/>
          <w:color w:val="auto"/>
          <w:spacing w:val="0"/>
          <w:sz w:val="24"/>
          <w:szCs w:val="24"/>
          <w:highlight w:val="none"/>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highlight w:val="none"/>
          <w:u w:val="none"/>
          <w:shd w:val="clear" w:color="auto" w:fill="FFFFFF"/>
          <w:vertAlign w:val="baseline"/>
        </w:rPr>
        <w:t>的中国境内生产的组件成本占比≥</w:t>
      </w:r>
      <w:r>
        <w:rPr>
          <w:rStyle w:val="30"/>
          <w:rFonts w:hint="eastAsia" w:ascii="宋体" w:hAnsi="宋体" w:eastAsia="宋体" w:cs="宋体"/>
          <w:i w:val="0"/>
          <w:iCs w:val="0"/>
          <w:caps w:val="0"/>
          <w:color w:val="auto"/>
          <w:spacing w:val="0"/>
          <w:sz w:val="24"/>
          <w:szCs w:val="24"/>
          <w:highlight w:val="none"/>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highlight w:val="none"/>
          <w:u w:val="none"/>
          <w:shd w:val="clear" w:color="auto" w:fill="FFFFFF"/>
          <w:vertAlign w:val="baseline"/>
        </w:rPr>
        <w:t>。</w:t>
      </w:r>
      <w:r>
        <w:rPr>
          <w:rStyle w:val="30"/>
          <w:rFonts w:hint="eastAsia" w:ascii="宋体" w:hAnsi="宋体" w:eastAsia="宋体" w:cs="宋体"/>
          <w:i w:val="0"/>
          <w:iCs w:val="0"/>
          <w:caps w:val="0"/>
          <w:color w:val="auto"/>
          <w:spacing w:val="0"/>
          <w:sz w:val="24"/>
          <w:szCs w:val="24"/>
          <w:highlight w:val="none"/>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highlight w:val="none"/>
          <w:u w:val="none"/>
          <w:shd w:val="clear" w:color="auto" w:fill="FFFFFF"/>
          <w:vertAlign w:val="baseline"/>
        </w:rPr>
        <w:t>的</w:t>
      </w:r>
      <w:r>
        <w:rPr>
          <w:rStyle w:val="30"/>
          <w:rFonts w:hint="eastAsia" w:ascii="宋体" w:hAnsi="宋体" w:eastAsia="宋体" w:cs="宋体"/>
          <w:i w:val="0"/>
          <w:iCs w:val="0"/>
          <w:caps w:val="0"/>
          <w:color w:val="auto"/>
          <w:spacing w:val="0"/>
          <w:sz w:val="24"/>
          <w:szCs w:val="24"/>
          <w:highlight w:val="none"/>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highlight w:val="none"/>
          <w:u w:val="none"/>
          <w:shd w:val="clear" w:color="auto" w:fill="FFFFFF"/>
          <w:vertAlign w:val="baseline"/>
        </w:rPr>
        <w:t>在中国境内生产。</w:t>
      </w:r>
      <w:r>
        <w:rPr>
          <w:rStyle w:val="30"/>
          <w:rFonts w:hint="eastAsia" w:ascii="宋体" w:hAnsi="宋体" w:eastAsia="宋体" w:cs="宋体"/>
          <w:i w:val="0"/>
          <w:iCs w:val="0"/>
          <w:caps w:val="0"/>
          <w:color w:val="auto"/>
          <w:spacing w:val="0"/>
          <w:sz w:val="24"/>
          <w:szCs w:val="24"/>
          <w:highlight w:val="none"/>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highlight w:val="none"/>
          <w:u w:val="none"/>
          <w:shd w:val="clear" w:color="auto" w:fill="FFFFFF"/>
          <w:vertAlign w:val="baseline"/>
        </w:rPr>
        <w:t>的</w:t>
      </w:r>
      <w:r>
        <w:rPr>
          <w:rStyle w:val="30"/>
          <w:rFonts w:hint="eastAsia" w:ascii="宋体" w:hAnsi="宋体" w:eastAsia="宋体" w:cs="宋体"/>
          <w:i w:val="0"/>
          <w:iCs w:val="0"/>
          <w:caps w:val="0"/>
          <w:color w:val="auto"/>
          <w:spacing w:val="0"/>
          <w:sz w:val="24"/>
          <w:szCs w:val="24"/>
          <w:highlight w:val="none"/>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highlight w:val="none"/>
          <w:u w:val="none"/>
          <w:shd w:val="clear" w:color="auto" w:fill="FFFFFF"/>
          <w:vertAlign w:val="baseline"/>
        </w:rPr>
        <w:t>在中国境内完成。</w:t>
      </w:r>
    </w:p>
    <w:p w14:paraId="73D17525">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u w:val="none"/>
          <w:shd w:val="clear" w:color="auto" w:fill="FFFFFF"/>
          <w:vertAlign w:val="baseline"/>
        </w:rPr>
        <w:t>……</w:t>
      </w:r>
    </w:p>
    <w:p w14:paraId="30910972">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u w:val="none"/>
          <w:shd w:val="clear" w:color="auto" w:fill="FFFFFF"/>
          <w:vertAlign w:val="baseline"/>
        </w:rPr>
        <w:t>本公司（单位）对上述声明内容的真实性负责。如有虚假，愿承担相应法律责任。</w:t>
      </w:r>
    </w:p>
    <w:p w14:paraId="16ED9C98">
      <w:pPr>
        <w:keepNext w:val="0"/>
        <w:keepLines w:val="0"/>
        <w:pageBreakBefore w:val="0"/>
        <w:widowControl w:val="0"/>
        <w:kinsoku/>
        <w:wordWrap/>
        <w:overflowPunct/>
        <w:topLinePunct w:val="0"/>
        <w:autoSpaceDE/>
        <w:autoSpaceDN/>
        <w:bidi w:val="0"/>
        <w:adjustRightInd/>
        <w:snapToGrid/>
        <w:spacing w:line="360" w:lineRule="auto"/>
        <w:ind w:firstLine="4228" w:firstLineChars="1762"/>
        <w:textAlignment w:val="auto"/>
        <w:rPr>
          <w:rFonts w:ascii="宋体" w:hAnsi="宋体" w:eastAsia="宋体"/>
          <w:sz w:val="24"/>
          <w:szCs w:val="24"/>
          <w:highlight w:val="none"/>
          <w:u w:val="single"/>
        </w:rPr>
      </w:pPr>
      <w:r>
        <w:rPr>
          <w:rFonts w:hint="eastAsia" w:ascii="宋体" w:hAnsi="宋体" w:eastAsia="宋体"/>
          <w:sz w:val="24"/>
          <w:szCs w:val="24"/>
          <w:highlight w:val="none"/>
        </w:rPr>
        <w:t>投标人</w:t>
      </w:r>
      <w:r>
        <w:rPr>
          <w:rFonts w:ascii="宋体" w:hAnsi="宋体" w:eastAsia="宋体"/>
          <w:sz w:val="24"/>
          <w:szCs w:val="24"/>
          <w:highlight w:val="none"/>
        </w:rPr>
        <w:t>电子签章</w:t>
      </w:r>
      <w:r>
        <w:rPr>
          <w:rFonts w:hint="eastAsia" w:ascii="宋体" w:hAnsi="宋体" w:eastAsia="宋体"/>
          <w:sz w:val="24"/>
          <w:szCs w:val="24"/>
          <w:highlight w:val="none"/>
        </w:rPr>
        <w:t>：</w:t>
      </w:r>
      <w:r>
        <w:rPr>
          <w:rFonts w:ascii="宋体" w:hAnsi="宋体" w:eastAsia="宋体"/>
          <w:sz w:val="24"/>
          <w:szCs w:val="24"/>
          <w:highlight w:val="none"/>
          <w:u w:val="single"/>
        </w:rPr>
        <w:t xml:space="preserve">             </w:t>
      </w:r>
    </w:p>
    <w:p w14:paraId="2BB3B160">
      <w:pPr>
        <w:keepNext w:val="0"/>
        <w:keepLines w:val="0"/>
        <w:pageBreakBefore w:val="0"/>
        <w:widowControl w:val="0"/>
        <w:tabs>
          <w:tab w:val="left" w:pos="4620"/>
        </w:tabs>
        <w:kinsoku/>
        <w:wordWrap/>
        <w:overflowPunct/>
        <w:topLinePunct w:val="0"/>
        <w:autoSpaceDE/>
        <w:autoSpaceDN/>
        <w:bidi w:val="0"/>
        <w:adjustRightInd/>
        <w:snapToGrid/>
        <w:spacing w:line="360" w:lineRule="auto"/>
        <w:ind w:firstLine="4252" w:firstLineChars="1772"/>
        <w:textAlignment w:val="auto"/>
        <w:rPr>
          <w:rFonts w:hint="eastAsia" w:ascii="宋体" w:hAnsi="宋体" w:eastAsia="宋体" w:cs="宋体"/>
          <w:i w:val="0"/>
          <w:iCs w:val="0"/>
          <w:caps w:val="0"/>
          <w:color w:val="auto"/>
          <w:spacing w:val="0"/>
          <w:sz w:val="24"/>
          <w:szCs w:val="24"/>
          <w:highlight w:val="none"/>
          <w:u w:val="none"/>
          <w:shd w:val="clear" w:color="auto" w:fill="FFFFFF"/>
          <w:vertAlign w:val="baseline"/>
        </w:rPr>
      </w:pPr>
      <w:r>
        <w:rPr>
          <w:rFonts w:hint="eastAsia" w:ascii="宋体" w:hAnsi="宋体" w:eastAsia="宋体"/>
          <w:sz w:val="24"/>
          <w:szCs w:val="24"/>
          <w:highlight w:val="none"/>
        </w:rPr>
        <w:t>日</w:t>
      </w:r>
      <w:r>
        <w:rPr>
          <w:rFonts w:ascii="宋体" w:hAnsi="宋体" w:eastAsia="宋体"/>
          <w:sz w:val="24"/>
          <w:szCs w:val="24"/>
          <w:highlight w:val="none"/>
        </w:rPr>
        <w:t xml:space="preserve">      </w:t>
      </w:r>
      <w:r>
        <w:rPr>
          <w:rFonts w:hint="eastAsia" w:ascii="宋体" w:hAnsi="宋体" w:eastAsia="宋体"/>
          <w:sz w:val="24"/>
          <w:szCs w:val="24"/>
          <w:highlight w:val="none"/>
        </w:rPr>
        <w:t xml:space="preserve">    期：</w:t>
      </w:r>
      <w:r>
        <w:rPr>
          <w:rFonts w:ascii="宋体" w:hAnsi="宋体" w:eastAsia="宋体"/>
          <w:sz w:val="24"/>
          <w:szCs w:val="24"/>
          <w:highlight w:val="none"/>
          <w:u w:val="single"/>
        </w:rPr>
        <w:t xml:space="preserve">             </w:t>
      </w:r>
    </w:p>
    <w:p w14:paraId="7911893F">
      <w:pPr>
        <w:keepNext w:val="0"/>
        <w:keepLines w:val="0"/>
        <w:pageBreakBefore w:val="0"/>
        <w:widowControl w:val="0"/>
        <w:tabs>
          <w:tab w:val="left" w:pos="4620"/>
        </w:tabs>
        <w:kinsoku/>
        <w:wordWrap/>
        <w:overflowPunct/>
        <w:topLinePunct w:val="0"/>
        <w:autoSpaceDE/>
        <w:autoSpaceDN/>
        <w:bidi w:val="0"/>
        <w:adjustRightInd/>
        <w:snapToGrid/>
        <w:spacing w:line="400" w:lineRule="exact"/>
        <w:jc w:val="left"/>
        <w:textAlignment w:val="auto"/>
        <w:rPr>
          <w:rFonts w:hint="eastAsia" w:ascii="宋体" w:hAnsi="宋体" w:eastAsia="宋体"/>
          <w:b w:val="0"/>
          <w:bCs/>
          <w:szCs w:val="24"/>
          <w:highlight w:val="none"/>
          <w:lang w:eastAsia="zh-CN"/>
        </w:rPr>
      </w:pPr>
      <w:r>
        <w:rPr>
          <w:rFonts w:hint="eastAsia" w:ascii="宋体" w:hAnsi="宋体" w:eastAsia="宋体" w:cs="Times New Roman"/>
          <w:b/>
          <w:szCs w:val="24"/>
          <w:highlight w:val="none"/>
          <w:lang w:val="en-US" w:eastAsia="zh-CN"/>
        </w:rPr>
        <w:t>注：</w:t>
      </w:r>
    </w:p>
    <w:p w14:paraId="5587E5C8">
      <w:pPr>
        <w:keepNext w:val="0"/>
        <w:keepLines w:val="0"/>
        <w:pageBreakBefore w:val="0"/>
        <w:widowControl w:val="0"/>
        <w:tabs>
          <w:tab w:val="left" w:pos="4620"/>
        </w:tabs>
        <w:kinsoku/>
        <w:wordWrap/>
        <w:overflowPunct/>
        <w:topLinePunct w:val="0"/>
        <w:autoSpaceDE/>
        <w:autoSpaceDN/>
        <w:bidi w:val="0"/>
        <w:adjustRightInd/>
        <w:snapToGrid/>
        <w:spacing w:line="400" w:lineRule="exact"/>
        <w:jc w:val="left"/>
        <w:textAlignment w:val="auto"/>
        <w:rPr>
          <w:rFonts w:hint="eastAsia" w:ascii="宋体" w:hAnsi="宋体" w:eastAsia="宋体"/>
          <w:b w:val="0"/>
          <w:bCs/>
          <w:sz w:val="21"/>
          <w:szCs w:val="21"/>
          <w:highlight w:val="none"/>
          <w:lang w:eastAsia="zh-CN"/>
        </w:rPr>
      </w:pPr>
      <w:r>
        <w:rPr>
          <w:rFonts w:hint="eastAsia" w:ascii="宋体" w:hAnsi="宋体" w:eastAsia="宋体"/>
          <w:b w:val="0"/>
          <w:bCs/>
          <w:sz w:val="21"/>
          <w:szCs w:val="21"/>
          <w:highlight w:val="none"/>
          <w:lang w:eastAsia="zh-CN"/>
        </w:rPr>
        <w:t>1.产品如有型号，请在“产品名称”栏一并填写。</w:t>
      </w:r>
    </w:p>
    <w:p w14:paraId="3A737B37">
      <w:pPr>
        <w:keepNext w:val="0"/>
        <w:keepLines w:val="0"/>
        <w:pageBreakBefore w:val="0"/>
        <w:widowControl w:val="0"/>
        <w:tabs>
          <w:tab w:val="left" w:pos="4620"/>
        </w:tabs>
        <w:kinsoku/>
        <w:wordWrap/>
        <w:overflowPunct/>
        <w:topLinePunct w:val="0"/>
        <w:autoSpaceDE/>
        <w:autoSpaceDN/>
        <w:bidi w:val="0"/>
        <w:adjustRightInd/>
        <w:snapToGrid/>
        <w:spacing w:line="400" w:lineRule="exact"/>
        <w:jc w:val="left"/>
        <w:textAlignment w:val="auto"/>
        <w:rPr>
          <w:rFonts w:hint="eastAsia" w:ascii="宋体" w:hAnsi="宋体" w:eastAsia="宋体"/>
          <w:b w:val="0"/>
          <w:bCs/>
          <w:sz w:val="21"/>
          <w:szCs w:val="21"/>
          <w:highlight w:val="none"/>
          <w:lang w:eastAsia="zh-CN"/>
        </w:rPr>
      </w:pPr>
      <w:r>
        <w:rPr>
          <w:rFonts w:hint="eastAsia" w:ascii="宋体" w:hAnsi="宋体" w:eastAsia="宋体"/>
          <w:b w:val="0"/>
          <w:bCs/>
          <w:sz w:val="21"/>
          <w:szCs w:val="21"/>
          <w:highlight w:val="none"/>
          <w:lang w:eastAsia="zh-CN"/>
        </w:rPr>
        <w:t>2.生产厂名与厂址应与生产厂营业执照载明的相关信息保持一致。</w:t>
      </w:r>
    </w:p>
    <w:p w14:paraId="17016F2A">
      <w:pPr>
        <w:keepNext w:val="0"/>
        <w:keepLines w:val="0"/>
        <w:pageBreakBefore w:val="0"/>
        <w:widowControl w:val="0"/>
        <w:tabs>
          <w:tab w:val="left" w:pos="4620"/>
        </w:tabs>
        <w:kinsoku/>
        <w:wordWrap/>
        <w:overflowPunct/>
        <w:topLinePunct w:val="0"/>
        <w:autoSpaceDE/>
        <w:autoSpaceDN/>
        <w:bidi w:val="0"/>
        <w:adjustRightInd/>
        <w:snapToGrid/>
        <w:spacing w:line="400" w:lineRule="exact"/>
        <w:jc w:val="left"/>
        <w:textAlignment w:val="auto"/>
        <w:rPr>
          <w:rFonts w:hint="eastAsia" w:ascii="宋体" w:hAnsi="宋体" w:eastAsia="宋体" w:cs="Times New Roman"/>
          <w:b w:val="0"/>
          <w:bCs/>
          <w:sz w:val="21"/>
          <w:szCs w:val="21"/>
          <w:highlight w:val="none"/>
          <w:lang w:val="en-US" w:eastAsia="zh-CN"/>
        </w:rPr>
      </w:pPr>
      <w:r>
        <w:rPr>
          <w:rFonts w:hint="eastAsia" w:ascii="宋体" w:hAnsi="宋体" w:eastAsia="宋体" w:cs="Times New Roman"/>
          <w:b w:val="0"/>
          <w:bCs/>
          <w:sz w:val="21"/>
          <w:szCs w:val="21"/>
          <w:highlight w:val="none"/>
          <w:lang w:val="en-US" w:eastAsia="zh-CN"/>
        </w:rPr>
        <w:t>3.上述声明函中标注</w:t>
      </w:r>
      <w:r>
        <w:rPr>
          <w:rFonts w:hint="eastAsia" w:ascii="宋体" w:hAnsi="宋体" w:eastAsia="宋体" w:cs="Times New Roman"/>
          <w:b w:val="0"/>
          <w:bCs/>
          <w:sz w:val="21"/>
          <w:szCs w:val="21"/>
          <w:highlight w:val="none"/>
          <w:u w:val="single"/>
          <w:lang w:val="en-US" w:eastAsia="zh-CN"/>
        </w:rPr>
        <w:t xml:space="preserve">  /  </w:t>
      </w:r>
      <w:r>
        <w:rPr>
          <w:rFonts w:hint="eastAsia" w:ascii="宋体" w:hAnsi="宋体" w:eastAsia="宋体" w:cs="Times New Roman"/>
          <w:b w:val="0"/>
          <w:bCs/>
          <w:sz w:val="21"/>
          <w:szCs w:val="21"/>
          <w:highlight w:val="none"/>
          <w:lang w:val="en-US" w:eastAsia="zh-CN"/>
        </w:rPr>
        <w:t>的，无需填写。</w:t>
      </w:r>
    </w:p>
    <w:p w14:paraId="228CB750">
      <w:pPr>
        <w:keepNext w:val="0"/>
        <w:keepLines w:val="0"/>
        <w:pageBreakBefore w:val="0"/>
        <w:widowControl w:val="0"/>
        <w:tabs>
          <w:tab w:val="left" w:pos="4620"/>
        </w:tabs>
        <w:kinsoku/>
        <w:wordWrap/>
        <w:overflowPunct/>
        <w:topLinePunct w:val="0"/>
        <w:autoSpaceDE/>
        <w:autoSpaceDN/>
        <w:bidi w:val="0"/>
        <w:adjustRightInd/>
        <w:snapToGrid/>
        <w:spacing w:line="400" w:lineRule="exact"/>
        <w:jc w:val="left"/>
        <w:textAlignment w:val="auto"/>
        <w:rPr>
          <w:rFonts w:hint="default" w:ascii="宋体" w:hAnsi="宋体" w:eastAsia="宋体" w:cs="Times New Roman"/>
          <w:b w:val="0"/>
          <w:bCs/>
          <w:sz w:val="21"/>
          <w:szCs w:val="21"/>
          <w:highlight w:val="none"/>
          <w:lang w:val="en-US" w:eastAsia="zh-CN"/>
        </w:rPr>
      </w:pPr>
      <w:r>
        <w:rPr>
          <w:rFonts w:hint="eastAsia" w:ascii="宋体" w:hAnsi="宋体" w:eastAsia="宋体" w:cs="Times New Roman"/>
          <w:b w:val="0"/>
          <w:bCs/>
          <w:sz w:val="21"/>
          <w:szCs w:val="21"/>
          <w:highlight w:val="none"/>
          <w:lang w:val="en-US" w:eastAsia="zh-CN"/>
        </w:rPr>
        <w:t>4.投标人应当结合“五、投标分项报价表-货物部分”相关信息进行填写。</w:t>
      </w:r>
    </w:p>
    <w:p w14:paraId="61A1CAE0">
      <w:pPr>
        <w:keepNext w:val="0"/>
        <w:keepLines w:val="0"/>
        <w:pageBreakBefore w:val="0"/>
        <w:widowControl w:val="0"/>
        <w:tabs>
          <w:tab w:val="left" w:pos="4620"/>
        </w:tabs>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b/>
          <w:sz w:val="24"/>
          <w:highlight w:val="none"/>
          <w:lang w:val="en-US" w:eastAsia="zh-CN"/>
        </w:rPr>
      </w:pPr>
      <w:r>
        <w:rPr>
          <w:rFonts w:hint="eastAsia" w:ascii="宋体" w:hAnsi="宋体" w:eastAsia="宋体" w:cs="Times New Roman"/>
          <w:b w:val="0"/>
          <w:bCs/>
          <w:sz w:val="21"/>
          <w:szCs w:val="21"/>
          <w:highlight w:val="none"/>
          <w:lang w:val="en-US" w:eastAsia="zh-CN"/>
        </w:rPr>
        <w:t>5.根据《国务院办公厅关于在政府采购中实施本国产品标准及相关政策的通知》（</w:t>
      </w:r>
      <w:r>
        <w:rPr>
          <w:rFonts w:hint="eastAsia" w:ascii="宋体" w:hAnsi="宋体" w:eastAsia="宋体" w:cs="Times New Roman"/>
          <w:b w:val="0"/>
          <w:bCs/>
          <w:sz w:val="21"/>
          <w:szCs w:val="21"/>
          <w:highlight w:val="none"/>
          <w:lang w:eastAsia="zh-CN"/>
        </w:rPr>
        <w:t>国办发〔2025〕34号）</w:t>
      </w:r>
      <w:r>
        <w:rPr>
          <w:rFonts w:hint="eastAsia" w:ascii="宋体" w:hAnsi="宋体" w:eastAsia="宋体" w:cs="Times New Roman"/>
          <w:b w:val="0"/>
          <w:bCs/>
          <w:sz w:val="21"/>
          <w:szCs w:val="21"/>
          <w:highlight w:val="none"/>
          <w:lang w:val="en-US" w:eastAsia="zh-CN"/>
        </w:rPr>
        <w:t>和财政部工业和信息化部关于贯彻落实《国务院办公厅关于在政府采购中实施本国产品标准及相关政策的通知》的意见（财库〔2025〕30号），本项目所称的本国产品是指在</w:t>
      </w:r>
      <w:r>
        <w:rPr>
          <w:rFonts w:hint="eastAsia" w:ascii="宋体" w:hAnsi="宋体" w:eastAsia="宋体" w:cs="Times New Roman"/>
          <w:b w:val="0"/>
          <w:bCs/>
          <w:sz w:val="21"/>
          <w:szCs w:val="21"/>
          <w:highlight w:val="none"/>
          <w:lang w:eastAsia="zh-CN"/>
        </w:rPr>
        <w:t>中国境内生产</w:t>
      </w:r>
      <w:r>
        <w:rPr>
          <w:rFonts w:hint="eastAsia" w:ascii="宋体" w:hAnsi="宋体" w:eastAsia="宋体" w:cs="Times New Roman"/>
          <w:b w:val="0"/>
          <w:bCs/>
          <w:sz w:val="21"/>
          <w:szCs w:val="21"/>
          <w:highlight w:val="none"/>
          <w:lang w:val="en-US" w:eastAsia="zh-CN"/>
        </w:rPr>
        <w:t>的产品</w:t>
      </w:r>
      <w:r>
        <w:rPr>
          <w:rFonts w:hint="eastAsia" w:ascii="宋体" w:hAnsi="宋体" w:eastAsia="宋体" w:cs="Times New Roman"/>
          <w:b w:val="0"/>
          <w:bCs/>
          <w:sz w:val="21"/>
          <w:szCs w:val="21"/>
          <w:highlight w:val="none"/>
          <w:lang w:eastAsia="zh-CN"/>
        </w:rPr>
        <w:t>，即在中华人民共和国关境内实现从原材料、组件到产品的属性改变。</w:t>
      </w:r>
      <w:r>
        <w:rPr>
          <w:rFonts w:hint="eastAsia" w:ascii="宋体" w:hAnsi="宋体" w:eastAsia="宋体" w:cs="Times New Roman"/>
          <w:b w:val="0"/>
          <w:bCs/>
          <w:sz w:val="21"/>
          <w:szCs w:val="21"/>
          <w:highlight w:val="none"/>
          <w:lang w:val="en-US" w:eastAsia="zh-CN"/>
        </w:rPr>
        <w:t>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1052667C">
      <w:pPr>
        <w:pStyle w:val="24"/>
        <w:ind w:left="0" w:leftChars="0" w:firstLine="0" w:firstLineChars="0"/>
        <w:rPr>
          <w:rFonts w:hint="eastAsia" w:asciiTheme="minorEastAsia" w:hAnsiTheme="minorEastAsia" w:eastAsiaTheme="minorEastAsia"/>
          <w:b/>
          <w:sz w:val="24"/>
          <w:highlight w:val="none"/>
          <w:lang w:val="en-US" w:eastAsia="zh-CN"/>
        </w:rPr>
      </w:pPr>
    </w:p>
    <w:bookmarkEnd w:id="92"/>
    <w:bookmarkEnd w:id="93"/>
    <w:bookmarkEnd w:id="94"/>
    <w:bookmarkEnd w:id="95"/>
    <w:bookmarkEnd w:id="96"/>
    <w:bookmarkEnd w:id="97"/>
    <w:p w14:paraId="0E2B6030">
      <w:pPr>
        <w:spacing w:line="360" w:lineRule="auto"/>
        <w:jc w:val="center"/>
        <w:outlineLvl w:val="1"/>
        <w:rPr>
          <w:rFonts w:hint="eastAsia" w:asciiTheme="minorEastAsia" w:hAnsiTheme="minorEastAsia" w:eastAsiaTheme="minorEastAsia"/>
          <w:b/>
          <w:color w:val="auto"/>
          <w:sz w:val="24"/>
          <w:highlight w:val="none"/>
          <w:lang w:val="en-US" w:eastAsia="zh-CN"/>
        </w:rPr>
      </w:pPr>
      <w:bookmarkStart w:id="98" w:name="_Toc2683"/>
      <w:bookmarkStart w:id="99" w:name="_Toc17438"/>
      <w:bookmarkStart w:id="100" w:name="_Toc32633"/>
      <w:r>
        <w:rPr>
          <w:rFonts w:hint="eastAsia" w:asciiTheme="minorEastAsia" w:hAnsiTheme="minorEastAsia" w:eastAsiaTheme="minorEastAsia"/>
          <w:b/>
          <w:color w:val="auto"/>
          <w:sz w:val="24"/>
          <w:highlight w:val="none"/>
          <w:lang w:val="en-US" w:eastAsia="zh-CN"/>
        </w:rPr>
        <w:t>（6）其他相关证明材料</w:t>
      </w:r>
      <w:bookmarkEnd w:id="98"/>
      <w:bookmarkEnd w:id="99"/>
      <w:bookmarkEnd w:id="100"/>
    </w:p>
    <w:p w14:paraId="48C537D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提供符合投标邀请、采购需求及评标方法和标准规定的相关证明文件。</w:t>
      </w:r>
    </w:p>
    <w:p w14:paraId="732DA80E">
      <w:pPr>
        <w:spacing w:line="360" w:lineRule="auto"/>
        <w:ind w:firstLine="480" w:firstLineChars="200"/>
        <w:rPr>
          <w:rFonts w:asciiTheme="minorEastAsia" w:hAnsiTheme="minorEastAsia" w:eastAsiaTheme="minorEastAsia"/>
          <w:color w:val="auto"/>
          <w:sz w:val="24"/>
          <w:highlight w:val="none"/>
        </w:rPr>
      </w:pPr>
    </w:p>
    <w:p w14:paraId="0EF54B81">
      <w:pPr>
        <w:spacing w:line="360" w:lineRule="auto"/>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特别提示：</w:t>
      </w:r>
    </w:p>
    <w:p w14:paraId="6D0C074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投标人在投标文件制作时可在此栏内上传</w:t>
      </w:r>
      <w:r>
        <w:rPr>
          <w:rFonts w:asciiTheme="minorEastAsia" w:hAnsiTheme="minorEastAsia" w:eastAsiaTheme="minorEastAsia"/>
          <w:color w:val="auto"/>
          <w:sz w:val="24"/>
          <w:highlight w:val="none"/>
        </w:rPr>
        <w:t>招标文件要求上传的证明资料</w:t>
      </w:r>
      <w:r>
        <w:rPr>
          <w:rFonts w:hint="eastAsia" w:asciiTheme="minorEastAsia" w:hAnsiTheme="minorEastAsia" w:eastAsiaTheme="minorEastAsia"/>
          <w:color w:val="auto"/>
          <w:sz w:val="24"/>
          <w:highlight w:val="none"/>
        </w:rPr>
        <w:t>，如营业执照、证书</w:t>
      </w:r>
      <w:r>
        <w:rPr>
          <w:rFonts w:asciiTheme="minorEastAsia" w:hAnsiTheme="minorEastAsia" w:eastAsiaTheme="minorEastAsia"/>
          <w:color w:val="auto"/>
          <w:sz w:val="24"/>
          <w:highlight w:val="none"/>
        </w:rPr>
        <w:t>等，应将上述证明材料制作成扫描件上传。</w:t>
      </w:r>
    </w:p>
    <w:p w14:paraId="1BAB6A4B">
      <w:pPr>
        <w:widowControl/>
        <w:jc w:val="left"/>
        <w:rPr>
          <w:rFonts w:ascii="宋体" w:hAnsi="宋体" w:eastAsia="宋体"/>
          <w:bCs/>
          <w:color w:val="auto"/>
          <w:sz w:val="24"/>
          <w:highlight w:val="none"/>
        </w:rPr>
      </w:pPr>
      <w:r>
        <w:rPr>
          <w:rFonts w:ascii="宋体" w:hAnsi="宋体" w:eastAsia="宋体"/>
          <w:bCs/>
          <w:color w:val="auto"/>
          <w:sz w:val="24"/>
          <w:highlight w:val="none"/>
        </w:rPr>
        <w:br w:type="page"/>
      </w:r>
    </w:p>
    <w:p w14:paraId="73A68081">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highlight w:val="none"/>
        </w:rPr>
      </w:pPr>
      <w:bookmarkStart w:id="101" w:name="_Toc6435"/>
      <w:r>
        <w:rPr>
          <w:rFonts w:hint="eastAsia" w:ascii="宋体" w:hAnsi="宋体" w:eastAsia="宋体" w:cs="宋体"/>
          <w:b/>
          <w:bCs w:val="0"/>
          <w:kern w:val="0"/>
          <w:sz w:val="28"/>
          <w:szCs w:val="28"/>
          <w:highlight w:val="none"/>
          <w:lang w:val="en-US" w:eastAsia="zh-CN" w:bidi="ar"/>
        </w:rPr>
        <w:t>附件</w:t>
      </w:r>
      <w:r>
        <w:rPr>
          <w:rFonts w:hint="default" w:ascii="Times New Roman" w:hAnsi="Times New Roman" w:eastAsia="宋体" w:cs="Times New Roman"/>
          <w:b/>
          <w:bCs w:val="0"/>
          <w:kern w:val="0"/>
          <w:sz w:val="28"/>
          <w:szCs w:val="28"/>
          <w:highlight w:val="none"/>
          <w:lang w:val="en-US" w:eastAsia="zh-CN" w:bidi="ar"/>
        </w:rPr>
        <w:t>1</w:t>
      </w:r>
    </w:p>
    <w:p w14:paraId="640D487B">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sz w:val="28"/>
          <w:szCs w:val="28"/>
          <w:highlight w:val="none"/>
        </w:rPr>
      </w:pPr>
      <w:r>
        <w:rPr>
          <w:rFonts w:hint="eastAsia" w:ascii="宋体" w:hAnsi="宋体" w:eastAsia="宋体" w:cs="宋体"/>
          <w:b/>
          <w:bCs w:val="0"/>
          <w:kern w:val="0"/>
          <w:sz w:val="28"/>
          <w:szCs w:val="28"/>
          <w:highlight w:val="none"/>
          <w:lang w:val="en-US" w:eastAsia="zh-CN" w:bidi="ar"/>
        </w:rPr>
        <w:t>关于联合惩戒失信行为加强信用查询管理的通知</w:t>
      </w:r>
    </w:p>
    <w:p w14:paraId="50B9C452">
      <w:pPr>
        <w:keepNext w:val="0"/>
        <w:keepLines w:val="0"/>
        <w:widowControl w:val="0"/>
        <w:suppressLineNumbers w:val="0"/>
        <w:adjustRightInd w:val="0"/>
        <w:snapToGrid w:val="0"/>
        <w:spacing w:before="0" w:beforeAutospacing="0" w:after="0" w:afterAutospacing="0" w:line="560" w:lineRule="exact"/>
        <w:ind w:left="0" w:right="0" w:firstLine="482" w:firstLineChars="200"/>
        <w:jc w:val="both"/>
        <w:rPr>
          <w:rFonts w:hint="eastAsia" w:ascii="宋体" w:hAnsi="宋体" w:eastAsia="宋体" w:cs="宋体"/>
          <w:b/>
          <w:bCs w:val="0"/>
          <w:sz w:val="24"/>
          <w:szCs w:val="24"/>
          <w:highlight w:val="none"/>
        </w:rPr>
      </w:pPr>
      <w:r>
        <w:rPr>
          <w:rFonts w:hint="eastAsia" w:ascii="宋体" w:hAnsi="宋体" w:eastAsia="宋体" w:cs="宋体"/>
          <w:b/>
          <w:bCs w:val="0"/>
          <w:kern w:val="0"/>
          <w:sz w:val="24"/>
          <w:szCs w:val="24"/>
          <w:highlight w:val="none"/>
          <w:lang w:val="en-US" w:eastAsia="zh-CN" w:bidi="ar"/>
        </w:rPr>
        <w:t>一、失信行为联合惩戒的范围和查询渠道</w:t>
      </w:r>
    </w:p>
    <w:p w14:paraId="5CDC287D">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在我市公共资源交易活动中对存在下列失信行为的投标人、法定代表人及其项目经理（建造师）实施联合惩戒，禁止参与我市公共资源交易活动。</w:t>
      </w:r>
    </w:p>
    <w:p w14:paraId="6347A048">
      <w:pPr>
        <w:keepNext w:val="0"/>
        <w:keepLines w:val="0"/>
        <w:widowControl w:val="0"/>
        <w:suppressLineNumbers w:val="0"/>
        <w:adjustRightInd w:val="0"/>
        <w:snapToGrid w:val="0"/>
        <w:spacing w:before="0" w:beforeAutospacing="0" w:after="0" w:afterAutospacing="0" w:line="560" w:lineRule="exact"/>
        <w:ind w:left="0" w:right="0" w:firstLine="482" w:firstLineChars="200"/>
        <w:jc w:val="both"/>
        <w:rPr>
          <w:rFonts w:hint="eastAsia" w:ascii="宋体" w:hAnsi="宋体" w:eastAsia="宋体" w:cs="宋体"/>
          <w:b/>
          <w:bCs w:val="0"/>
          <w:sz w:val="24"/>
          <w:szCs w:val="24"/>
          <w:highlight w:val="none"/>
        </w:rPr>
      </w:pPr>
      <w:r>
        <w:rPr>
          <w:rFonts w:hint="eastAsia" w:ascii="宋体" w:hAnsi="宋体" w:eastAsia="宋体" w:cs="宋体"/>
          <w:b/>
          <w:bCs w:val="0"/>
          <w:kern w:val="0"/>
          <w:sz w:val="24"/>
          <w:szCs w:val="24"/>
          <w:highlight w:val="none"/>
          <w:lang w:val="en-US" w:eastAsia="zh-CN" w:bidi="ar"/>
        </w:rPr>
        <w:t>（一）工程建设项目</w:t>
      </w:r>
    </w:p>
    <w:p w14:paraId="785BE19E">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1、“信用中国”网站（www.creditchina.gov.cn）查询投标人、法定代表人及其项目经理(建造师)以下失信行为：</w:t>
      </w:r>
    </w:p>
    <w:p w14:paraId="080E0998">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①被列入“失信被执行人”的;</w:t>
      </w:r>
    </w:p>
    <w:p w14:paraId="207F5F5A">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②被列入“重大税收违法失信主体”的；</w:t>
      </w:r>
    </w:p>
    <w:p w14:paraId="2E112E1B">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③被列入“拖欠农民工工资失信联合惩戒对象名单”的；</w:t>
      </w:r>
    </w:p>
    <w:p w14:paraId="1A55B461">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④被列入 “严重失信主体名单”的；</w:t>
      </w:r>
    </w:p>
    <w:p w14:paraId="157D1682">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kern w:val="0"/>
          <w:sz w:val="24"/>
          <w:szCs w:val="24"/>
          <w:highlight w:val="none"/>
          <w:lang w:val="en-US" w:eastAsia="zh-CN" w:bidi="ar"/>
        </w:rPr>
        <w:t>⑤在“信用中国”网站上披露的仍在公示期的严重失信行为(具体行为类别</w:t>
      </w:r>
      <w:r>
        <w:rPr>
          <w:rFonts w:hint="eastAsia" w:ascii="宋体" w:hAnsi="宋体" w:eastAsia="宋体" w:cs="宋体"/>
          <w:color w:val="auto"/>
          <w:kern w:val="0"/>
          <w:sz w:val="24"/>
          <w:szCs w:val="24"/>
          <w:highlight w:val="none"/>
          <w:lang w:val="en-US" w:eastAsia="zh-CN" w:bidi="ar"/>
        </w:rPr>
        <w:t>及判定依据见附件2)的。</w:t>
      </w:r>
    </w:p>
    <w:p w14:paraId="57EBD4AA">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2、国家企业信用信息公示系统网站（</w:t>
      </w:r>
      <w:r>
        <w:rPr>
          <w:rFonts w:hint="eastAsia" w:ascii="宋体" w:hAnsi="宋体" w:eastAsia="宋体" w:cs="Times New Roman"/>
          <w:color w:val="auto"/>
          <w:kern w:val="0"/>
          <w:sz w:val="24"/>
          <w:szCs w:val="24"/>
          <w:highlight w:val="none"/>
          <w:lang w:val="en-US" w:eastAsia="zh-CN" w:bidi="ar"/>
        </w:rPr>
        <w:fldChar w:fldCharType="begin"/>
      </w:r>
      <w:r>
        <w:rPr>
          <w:rFonts w:hint="eastAsia" w:ascii="宋体" w:hAnsi="宋体" w:eastAsia="宋体" w:cs="Times New Roman"/>
          <w:color w:val="auto"/>
          <w:kern w:val="0"/>
          <w:sz w:val="24"/>
          <w:szCs w:val="24"/>
          <w:highlight w:val="none"/>
          <w:lang w:val="en-US" w:eastAsia="zh-CN" w:bidi="ar"/>
        </w:rPr>
        <w:instrText xml:space="preserve"> HYPERLINK "http://www.gsxt.gov.cn）查询" </w:instrText>
      </w:r>
      <w:r>
        <w:rPr>
          <w:rFonts w:hint="eastAsia" w:ascii="宋体" w:hAnsi="宋体" w:eastAsia="宋体" w:cs="Times New Roman"/>
          <w:color w:val="auto"/>
          <w:kern w:val="0"/>
          <w:sz w:val="24"/>
          <w:szCs w:val="24"/>
          <w:highlight w:val="none"/>
          <w:lang w:val="en-US" w:eastAsia="zh-CN" w:bidi="ar"/>
        </w:rPr>
        <w:fldChar w:fldCharType="separate"/>
      </w:r>
      <w:r>
        <w:rPr>
          <w:rStyle w:val="35"/>
          <w:rFonts w:hint="eastAsia" w:ascii="宋体" w:hAnsi="宋体" w:eastAsia="宋体" w:cs="宋体"/>
          <w:color w:val="auto"/>
          <w:sz w:val="24"/>
          <w:szCs w:val="24"/>
          <w:highlight w:val="none"/>
          <w:u w:val="single"/>
        </w:rPr>
        <w:t>www.gsxt.gov.cn）</w:t>
      </w:r>
      <w:r>
        <w:rPr>
          <w:rFonts w:hint="eastAsia" w:ascii="宋体" w:hAnsi="宋体" w:eastAsia="宋体" w:cs="Times New Roman"/>
          <w:color w:val="auto"/>
          <w:kern w:val="0"/>
          <w:sz w:val="24"/>
          <w:szCs w:val="24"/>
          <w:highlight w:val="none"/>
          <w:lang w:val="en-US" w:eastAsia="zh-CN" w:bidi="ar"/>
        </w:rPr>
        <w:fldChar w:fldCharType="end"/>
      </w:r>
      <w:r>
        <w:rPr>
          <w:rFonts w:hint="eastAsia" w:ascii="宋体" w:hAnsi="宋体" w:eastAsia="宋体" w:cs="宋体"/>
          <w:color w:val="auto"/>
          <w:kern w:val="0"/>
          <w:sz w:val="24"/>
          <w:szCs w:val="24"/>
          <w:highlight w:val="none"/>
          <w:lang w:val="en-US" w:eastAsia="zh-CN" w:bidi="ar"/>
        </w:rPr>
        <w:t>查询投标人以下失信行为：</w:t>
      </w:r>
    </w:p>
    <w:p w14:paraId="27943D82">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①被列入“经营异常名录”或者“严重违法失信名单”的。</w:t>
      </w:r>
    </w:p>
    <w:p w14:paraId="0041DE06">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3、由投标人、法定代表人及其项目经理(建造师)进行承诺，不进行现场网上信用查询的失信行为：</w:t>
      </w:r>
    </w:p>
    <w:p w14:paraId="0AB59558">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①前三年有行贿犯罪行为的单位和个人；</w:t>
      </w:r>
    </w:p>
    <w:p w14:paraId="6156DFB4">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②被滁州市县两级公管部门取消在一定期限内的投标资格且在取消期限内的；</w:t>
      </w:r>
    </w:p>
    <w:p w14:paraId="68CE1695">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③被滁州市县两级各行业主管部门取消在一定期限内的投标资格且在取消期限内的；</w:t>
      </w:r>
    </w:p>
    <w:p w14:paraId="5B93E0C1">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④因拖欠农民工工资被县级及以上有关行政主管部门限制投标资格且在限制期限内的；</w:t>
      </w:r>
    </w:p>
    <w:p w14:paraId="45C5FB18">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⑤被列入省级、市级农民工工资支付异常名录的施工企业，在限制其参加全市范围内房建和市政工程建设项目投标的期限内的；列入县级异常名录的施工企业，在限制其参加本行政区域内房建和市政建设项目投标的期限内的。</w:t>
      </w:r>
    </w:p>
    <w:p w14:paraId="5E623AEB">
      <w:pPr>
        <w:keepNext w:val="0"/>
        <w:keepLines w:val="0"/>
        <w:widowControl w:val="0"/>
        <w:suppressLineNumbers w:val="0"/>
        <w:adjustRightInd w:val="0"/>
        <w:snapToGrid w:val="0"/>
        <w:spacing w:before="0" w:beforeAutospacing="0" w:after="0" w:afterAutospacing="0" w:line="560" w:lineRule="exact"/>
        <w:ind w:left="0" w:right="0" w:firstLine="482" w:firstLineChars="200"/>
        <w:jc w:val="both"/>
        <w:rPr>
          <w:rFonts w:hint="eastAsia" w:ascii="宋体" w:hAnsi="宋体" w:eastAsia="宋体" w:cs="宋体"/>
          <w:b/>
          <w:bCs w:val="0"/>
          <w:color w:val="auto"/>
          <w:sz w:val="24"/>
          <w:szCs w:val="24"/>
          <w:highlight w:val="none"/>
        </w:rPr>
      </w:pPr>
      <w:r>
        <w:rPr>
          <w:rFonts w:hint="eastAsia" w:ascii="宋体" w:hAnsi="宋体" w:eastAsia="宋体" w:cs="宋体"/>
          <w:b/>
          <w:bCs w:val="0"/>
          <w:color w:val="auto"/>
          <w:kern w:val="0"/>
          <w:sz w:val="24"/>
          <w:szCs w:val="24"/>
          <w:highlight w:val="none"/>
          <w:lang w:val="en-US" w:eastAsia="zh-CN" w:bidi="ar"/>
        </w:rPr>
        <w:t>（二）政府采购项目</w:t>
      </w:r>
    </w:p>
    <w:p w14:paraId="09124820">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1、“信用中国”网站（</w:t>
      </w:r>
      <w:r>
        <w:rPr>
          <w:rStyle w:val="79"/>
          <w:rFonts w:hint="eastAsia" w:ascii="宋体" w:hAnsi="宋体" w:eastAsia="宋体" w:cs="宋体"/>
          <w:color w:val="auto"/>
          <w:sz w:val="24"/>
          <w:szCs w:val="24"/>
          <w:highlight w:val="none"/>
          <w:u w:val="single"/>
          <w:lang w:val="en-US" w:eastAsia="zh-CN" w:bidi="ar"/>
        </w:rPr>
        <w:t>www.creditchina.gov.cn</w:t>
      </w:r>
      <w:r>
        <w:rPr>
          <w:rFonts w:hint="eastAsia" w:ascii="宋体" w:hAnsi="宋体" w:eastAsia="宋体" w:cs="宋体"/>
          <w:color w:val="auto"/>
          <w:kern w:val="0"/>
          <w:sz w:val="24"/>
          <w:szCs w:val="24"/>
          <w:highlight w:val="none"/>
          <w:lang w:val="en-US" w:eastAsia="zh-CN" w:bidi="ar"/>
        </w:rPr>
        <w:t>）查询供应商、法定代表人及其项目负责人以下失信行为：</w:t>
      </w:r>
    </w:p>
    <w:p w14:paraId="5156FC14">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①被列入“失信被执行人”的;</w:t>
      </w:r>
    </w:p>
    <w:p w14:paraId="3196CAD7">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②被列入“重大税收违法失信主体”的；</w:t>
      </w:r>
    </w:p>
    <w:p w14:paraId="36E24298">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③被列入 “严重失信主体名单”的；</w:t>
      </w:r>
    </w:p>
    <w:p w14:paraId="577BFB0A">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④在“信用中国”网站上披露的仍在公示期的严重失信行为(具体行为类别及判定依据见附件2)的。</w:t>
      </w:r>
    </w:p>
    <w:p w14:paraId="2A07C5EC">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2、国家企业信用信息公示系统网站（</w:t>
      </w:r>
      <w:r>
        <w:rPr>
          <w:rFonts w:hint="eastAsia" w:ascii="宋体" w:hAnsi="宋体" w:eastAsia="宋体" w:cs="宋体"/>
          <w:color w:val="auto"/>
          <w:sz w:val="24"/>
          <w:szCs w:val="24"/>
          <w:highlight w:val="none"/>
          <w:u w:val="none"/>
        </w:rPr>
        <w:t>www.gsxt.gov.cn）</w:t>
      </w:r>
      <w:r>
        <w:rPr>
          <w:rFonts w:hint="eastAsia" w:ascii="宋体" w:hAnsi="宋体" w:eastAsia="宋体" w:cs="宋体"/>
          <w:color w:val="auto"/>
          <w:kern w:val="0"/>
          <w:sz w:val="24"/>
          <w:szCs w:val="24"/>
          <w:highlight w:val="none"/>
          <w:lang w:val="en-US" w:eastAsia="zh-CN" w:bidi="ar"/>
        </w:rPr>
        <w:t>查询供应商以下失信行为：</w:t>
      </w:r>
    </w:p>
    <w:p w14:paraId="2A288482">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①被列入“经营异常名录”或者“严重违法失信名单”的。</w:t>
      </w:r>
    </w:p>
    <w:p w14:paraId="75F2F612">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3、中国政府采购网站（</w:t>
      </w:r>
      <w:r>
        <w:rPr>
          <w:rFonts w:hint="eastAsia" w:ascii="宋体" w:hAnsi="宋体" w:eastAsia="宋体" w:cs="宋体"/>
          <w:color w:val="auto"/>
          <w:sz w:val="24"/>
          <w:szCs w:val="24"/>
          <w:highlight w:val="none"/>
          <w:u w:val="none"/>
        </w:rPr>
        <w:t>www.ccgp.gov.cn</w:t>
      </w:r>
      <w:r>
        <w:rPr>
          <w:rFonts w:hint="eastAsia" w:ascii="宋体" w:hAnsi="宋体" w:eastAsia="宋体" w:cs="宋体"/>
          <w:color w:val="auto"/>
          <w:kern w:val="0"/>
          <w:sz w:val="24"/>
          <w:szCs w:val="24"/>
          <w:highlight w:val="none"/>
          <w:lang w:val="en-US" w:eastAsia="zh-CN" w:bidi="ar"/>
        </w:rPr>
        <w:t>）查询以下失信行为：</w:t>
      </w:r>
    </w:p>
    <w:p w14:paraId="5BB56341">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①被列入“政府采购严重违法失信行为信息记录”的。</w:t>
      </w:r>
    </w:p>
    <w:p w14:paraId="3BB7898A">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4、由竞争主体进行承诺，不进行现场网上信用查询的失信行为：</w:t>
      </w:r>
    </w:p>
    <w:p w14:paraId="55A15CC8">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①前三年有行贿犯罪行为的单位和个人。</w:t>
      </w:r>
    </w:p>
    <w:p w14:paraId="2962BB91">
      <w:pPr>
        <w:keepNext w:val="0"/>
        <w:keepLines w:val="0"/>
        <w:widowControl w:val="0"/>
        <w:suppressLineNumbers w:val="0"/>
        <w:adjustRightInd w:val="0"/>
        <w:snapToGrid w:val="0"/>
        <w:spacing w:before="0" w:beforeAutospacing="0" w:after="0" w:afterAutospacing="0" w:line="560" w:lineRule="exact"/>
        <w:ind w:left="0" w:right="0" w:firstLine="482" w:firstLineChars="200"/>
        <w:jc w:val="both"/>
        <w:rPr>
          <w:rFonts w:hint="eastAsia" w:ascii="宋体" w:hAnsi="宋体" w:eastAsia="宋体" w:cs="宋体"/>
          <w:b/>
          <w:bCs w:val="0"/>
          <w:sz w:val="24"/>
          <w:szCs w:val="24"/>
          <w:highlight w:val="none"/>
        </w:rPr>
      </w:pPr>
      <w:r>
        <w:rPr>
          <w:rFonts w:hint="eastAsia" w:ascii="宋体" w:hAnsi="宋体" w:eastAsia="宋体" w:cs="宋体"/>
          <w:b/>
          <w:bCs w:val="0"/>
          <w:kern w:val="0"/>
          <w:sz w:val="24"/>
          <w:szCs w:val="24"/>
          <w:highlight w:val="none"/>
          <w:lang w:val="en-US" w:eastAsia="zh-CN" w:bidi="ar"/>
        </w:rPr>
        <w:t>二、在开评标活动中的查询程序</w:t>
      </w:r>
    </w:p>
    <w:p w14:paraId="5B94D8E2">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1、实行有限数量制资格审查的项目，由项目单位（代理机构）对入围的投标人、法定代表人及其项目经理（建造师）是否存在上述要求查询的失信行为进行网上核查；若核查结果与投标人承诺不一致，则提交评标委员会取消其入围资格，依次进行替补，并对替补单位进行核查。评审结论以核查后入围的结果重新计算最终评标基准价。</w:t>
      </w:r>
    </w:p>
    <w:p w14:paraId="3CF8AC35">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2、不实行有限数量制资格审查的项目，由项目单位（代理机构）对预中标候选人、法定代表人及其项目经理（建造师）是否存在上述要求查询的失信行为进行网上核查后，提交网站截图等查询记录给评标委员会复核。若核查结果不符合招标文件规定的投标人资格条件信誉要求，由评标委员会取消其预中标候选人资格，并依次替补，再次对替补单位进行核查。如评标现场未发现问题但标后质疑（异议）、投诉发现中标候选人存在信誉问题，则组织评标委员会重新启动复核程序。核查结果不改变原评标基准价。</w:t>
      </w:r>
    </w:p>
    <w:p w14:paraId="0E74FDE7">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3、项目单位及其委托的代理机构应当做好信用查询结果截图和记录留存。</w:t>
      </w:r>
    </w:p>
    <w:p w14:paraId="311D0009">
      <w:pPr>
        <w:keepNext w:val="0"/>
        <w:keepLines w:val="0"/>
        <w:widowControl w:val="0"/>
        <w:suppressLineNumbers w:val="0"/>
        <w:adjustRightInd w:val="0"/>
        <w:snapToGrid w:val="0"/>
        <w:spacing w:before="0" w:beforeAutospacing="0" w:after="0" w:afterAutospacing="0" w:line="560" w:lineRule="exact"/>
        <w:ind w:left="0" w:right="0" w:firstLine="482" w:firstLineChars="200"/>
        <w:jc w:val="both"/>
        <w:rPr>
          <w:rFonts w:hint="eastAsia" w:ascii="宋体" w:hAnsi="宋体" w:eastAsia="宋体" w:cs="宋体"/>
          <w:b/>
          <w:bCs w:val="0"/>
          <w:sz w:val="24"/>
          <w:szCs w:val="24"/>
          <w:highlight w:val="none"/>
        </w:rPr>
      </w:pPr>
      <w:r>
        <w:rPr>
          <w:rFonts w:hint="eastAsia" w:ascii="宋体" w:hAnsi="宋体" w:eastAsia="宋体" w:cs="宋体"/>
          <w:b/>
          <w:bCs w:val="0"/>
          <w:kern w:val="0"/>
          <w:sz w:val="24"/>
          <w:szCs w:val="24"/>
          <w:highlight w:val="none"/>
          <w:lang w:val="en-US" w:eastAsia="zh-CN" w:bidi="ar"/>
        </w:rPr>
        <w:t>三、相关要求</w:t>
      </w:r>
    </w:p>
    <w:p w14:paraId="5CBC33E0">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1、参与公共资源交易活动的竞争主体根据上述范围查询的内容进行自查并承诺，出具《诚信投标承诺书》（诚信投标承诺书包括但不限于上述自查并承诺内容）并注明承诺日期（投标截止时间前5日内）。</w:t>
      </w:r>
    </w:p>
    <w:p w14:paraId="21229BF8">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经核查，竞争主体在承诺日期之前（没有承诺日期的以资格审查日或开标日之前）有上述失信行为进行虚假承诺的，将视作不诚信行为，资格审查委员会或评标委员会及代理机构应当及时报告公共资源监管部门，依法依规予以处理。</w:t>
      </w:r>
    </w:p>
    <w:p w14:paraId="49B1E5C3">
      <w:pPr>
        <w:keepNext w:val="0"/>
        <w:keepLines w:val="0"/>
        <w:widowControl w:val="0"/>
        <w:suppressLineNumbers w:val="0"/>
        <w:wordWrap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注册地在安徽省内且未在安徽省外开展业务、省外无违法违规行为的企业可通过安徽政务服务网开具由安徽省公共信用信息服务中心出具的《公共信用信息报告（无违法违规证明版或核查版）》代替《诚信投标承诺书》。《公共信用信息报告（无违法违规证明版或核查版）》可通过 “信用中国(安徽)”网站信用报告核验系统 ( https://credit.ah.gov.cn/xinyong-fuwu/xvbahv/index.html)进行核验。核验不一致或提交《公共信用信息报告（无违法违规证明版或核查版）》的企业在省外有失信行为的将视作不诚信行为，资格审查委员会或评标委员会及代理机构应当及时报告公共资源监管部门，依法依规予以处理。</w:t>
      </w:r>
    </w:p>
    <w:p w14:paraId="15F6EF2D">
      <w:pPr>
        <w:keepNext w:val="0"/>
        <w:keepLines w:val="0"/>
        <w:widowControl w:val="0"/>
        <w:suppressLineNumbers w:val="0"/>
        <w:adjustRightInd w:val="0"/>
        <w:snapToGrid w:val="0"/>
        <w:spacing w:before="0" w:beforeAutospacing="0" w:after="0" w:afterAutospacing="0" w:line="560" w:lineRule="exact"/>
        <w:ind w:left="0" w:right="0" w:firstLine="482" w:firstLineChars="200"/>
        <w:jc w:val="both"/>
        <w:rPr>
          <w:rFonts w:hint="eastAsia" w:ascii="宋体" w:hAnsi="宋体" w:eastAsia="宋体" w:cs="宋体"/>
          <w:b/>
          <w:bCs w:val="0"/>
          <w:sz w:val="24"/>
          <w:szCs w:val="24"/>
          <w:highlight w:val="none"/>
        </w:rPr>
      </w:pPr>
      <w:r>
        <w:rPr>
          <w:rFonts w:hint="eastAsia" w:ascii="宋体" w:hAnsi="宋体" w:eastAsia="宋体" w:cs="宋体"/>
          <w:b/>
          <w:bCs w:val="0"/>
          <w:kern w:val="0"/>
          <w:sz w:val="24"/>
          <w:szCs w:val="24"/>
          <w:highlight w:val="none"/>
          <w:lang w:val="en-US" w:eastAsia="zh-CN" w:bidi="ar"/>
        </w:rPr>
        <w:t>2、“信用中国”查询的严重失信行为判定依据为各行业主管部门下发的联合惩戒文件中规定的行为（按附件2执行）。</w:t>
      </w:r>
    </w:p>
    <w:p w14:paraId="78DF927C">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 xml:space="preserve">3、资格预审的项目以递交资格预审申请文件截止时间查询为准；资格后审的项目以递交投标文件截止时间查询为准。 </w:t>
      </w:r>
    </w:p>
    <w:p w14:paraId="7CB93D1C">
      <w:pPr>
        <w:pStyle w:val="21"/>
        <w:keepNext w:val="0"/>
        <w:keepLines w:val="0"/>
        <w:widowControl w:val="0"/>
        <w:suppressLineNumbers w:val="0"/>
        <w:spacing w:before="0" w:beforeAutospacing="1" w:after="120" w:afterAutospacing="0" w:line="360" w:lineRule="auto"/>
        <w:ind w:left="420" w:leftChars="200" w:right="0" w:firstLine="420" w:firstLineChars="200"/>
        <w:jc w:val="both"/>
        <w:rPr>
          <w:rFonts w:hint="eastAsia" w:ascii="宋体" w:hAnsi="Calibri" w:eastAsia="宋体" w:cs="Times New Roman"/>
          <w:kern w:val="2"/>
          <w:sz w:val="21"/>
          <w:szCs w:val="21"/>
          <w:highlight w:val="none"/>
        </w:rPr>
      </w:pPr>
      <w:r>
        <w:rPr>
          <w:rFonts w:hint="eastAsia" w:ascii="宋体" w:hAnsi="Calibri" w:eastAsia="宋体" w:cs="Times New Roman"/>
          <w:color w:val="0066CC"/>
          <w:kern w:val="2"/>
          <w:sz w:val="21"/>
          <w:szCs w:val="21"/>
          <w:highlight w:val="none"/>
          <w:lang w:val="en-US" w:eastAsia="zh-CN" w:bidi="ar"/>
        </w:rPr>
        <w:t xml:space="preserve"> </w:t>
      </w:r>
    </w:p>
    <w:p w14:paraId="146D0212">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
          <w:bCs w:val="0"/>
          <w:sz w:val="24"/>
          <w:szCs w:val="24"/>
          <w:highlight w:val="none"/>
        </w:rPr>
      </w:pPr>
      <w:r>
        <w:rPr>
          <w:rFonts w:hint="eastAsia" w:ascii="宋体" w:hAnsi="宋体" w:eastAsia="宋体" w:cs="宋体"/>
          <w:b/>
          <w:bCs w:val="0"/>
          <w:kern w:val="0"/>
          <w:sz w:val="24"/>
          <w:szCs w:val="24"/>
          <w:highlight w:val="none"/>
          <w:lang w:val="en-US" w:eastAsia="zh-CN" w:bidi="ar"/>
        </w:rPr>
        <w:br w:type="page"/>
      </w:r>
      <w:r>
        <w:rPr>
          <w:rFonts w:hint="eastAsia" w:ascii="宋体" w:hAnsi="宋体" w:eastAsia="宋体" w:cs="宋体"/>
          <w:b/>
          <w:bCs w:val="0"/>
          <w:kern w:val="0"/>
          <w:sz w:val="24"/>
          <w:szCs w:val="24"/>
          <w:highlight w:val="none"/>
          <w:lang w:val="en-US" w:eastAsia="zh-CN" w:bidi="ar"/>
        </w:rPr>
        <w:t>附件</w:t>
      </w:r>
      <w:r>
        <w:rPr>
          <w:rFonts w:hint="default" w:ascii="Times New Roman" w:hAnsi="Times New Roman" w:eastAsia="宋体" w:cs="Times New Roman"/>
          <w:b/>
          <w:bCs w:val="0"/>
          <w:kern w:val="0"/>
          <w:sz w:val="24"/>
          <w:szCs w:val="24"/>
          <w:highlight w:val="none"/>
          <w:lang w:val="en-US" w:eastAsia="zh-CN" w:bidi="ar"/>
        </w:rPr>
        <w:t>2</w:t>
      </w:r>
    </w:p>
    <w:p w14:paraId="280CFCFF">
      <w:pPr>
        <w:keepNext w:val="0"/>
        <w:keepLines w:val="0"/>
        <w:widowControl w:val="0"/>
        <w:suppressLineNumbers w:val="0"/>
        <w:adjustRightInd w:val="0"/>
        <w:snapToGrid w:val="0"/>
        <w:spacing w:before="0" w:beforeAutospacing="0" w:after="0" w:afterAutospacing="0" w:line="560" w:lineRule="exact"/>
        <w:ind w:left="0" w:right="0" w:firstLine="645"/>
        <w:jc w:val="center"/>
        <w:rPr>
          <w:rFonts w:hint="eastAsia" w:ascii="宋体" w:hAnsi="宋体" w:eastAsia="宋体" w:cs="宋体"/>
          <w:b/>
          <w:bCs w:val="0"/>
          <w:sz w:val="24"/>
          <w:szCs w:val="24"/>
          <w:highlight w:val="none"/>
        </w:rPr>
      </w:pPr>
      <w:r>
        <w:rPr>
          <w:rFonts w:hint="eastAsia" w:ascii="宋体" w:hAnsi="宋体" w:eastAsia="宋体" w:cs="宋体"/>
          <w:b/>
          <w:bCs w:val="0"/>
          <w:kern w:val="0"/>
          <w:sz w:val="24"/>
          <w:szCs w:val="24"/>
          <w:highlight w:val="none"/>
          <w:lang w:val="en-US" w:eastAsia="zh-CN" w:bidi="ar"/>
        </w:rPr>
        <w:t>“信用中国”查询的严重失信行为类别及判定依据</w:t>
      </w:r>
    </w:p>
    <w:p w14:paraId="70A35D34">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“信用中国”查询的严重失信行为判定依据为各行业主管部门下发的联合惩戒文件中规定的行为。下面将部分类别的严重失信行为列举如下：</w:t>
      </w:r>
    </w:p>
    <w:p w14:paraId="3E0D6124">
      <w:pPr>
        <w:keepNext w:val="0"/>
        <w:keepLines w:val="0"/>
        <w:widowControl w:val="0"/>
        <w:suppressLineNumbers w:val="0"/>
        <w:autoSpaceDE w:val="0"/>
        <w:autoSpaceDN/>
        <w:adjustRightInd w:val="0"/>
        <w:snapToGrid w:val="0"/>
        <w:spacing w:before="0" w:beforeAutospacing="0" w:after="0" w:afterAutospacing="0" w:line="560" w:lineRule="exact"/>
        <w:ind w:left="0" w:right="0" w:firstLine="482" w:firstLineChars="200"/>
        <w:jc w:val="left"/>
        <w:rPr>
          <w:rFonts w:hint="eastAsia" w:ascii="宋体" w:hAnsi="宋体" w:eastAsia="宋体" w:cs="宋体"/>
          <w:b/>
          <w:bCs w:val="0"/>
          <w:sz w:val="24"/>
          <w:szCs w:val="24"/>
          <w:highlight w:val="none"/>
        </w:rPr>
      </w:pPr>
      <w:r>
        <w:rPr>
          <w:rFonts w:hint="eastAsia" w:ascii="宋体" w:hAnsi="宋体" w:eastAsia="宋体" w:cs="宋体"/>
          <w:b/>
          <w:bCs w:val="0"/>
          <w:kern w:val="0"/>
          <w:sz w:val="24"/>
          <w:szCs w:val="24"/>
          <w:highlight w:val="none"/>
          <w:lang w:val="en-US" w:eastAsia="zh-CN" w:bidi="ar"/>
        </w:rPr>
        <w:t>一、安全生产领域严重失信行为：</w:t>
      </w:r>
    </w:p>
    <w:p w14:paraId="27C1C030">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（一）下列发生生产安全事故的生产经营单位及其有关人员应当列入严重失信主体名单：</w:t>
      </w:r>
    </w:p>
    <w:p w14:paraId="085F408A">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1、发生特别重大、重大生产安全事故的生产经营单位及其主要负责人，以及经调查认定对该事故发生负有责任，应当列入名单的其他单位和人员；</w:t>
      </w:r>
    </w:p>
    <w:p w14:paraId="56ADC6EB">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2、12个月内累计发生2起以上较大生产安全事故的生产经营单位及其主要负责人；</w:t>
      </w:r>
    </w:p>
    <w:p w14:paraId="7442A94C">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3、发生生产安全事故，情节特别严重、影响特别恶劣，依照《中华人民共和国安全生产法》第一百一十四条的规定被处以罚款数额2倍以上5倍以下罚款的生产经营单位及其主要负责人；</w:t>
      </w:r>
    </w:p>
    <w:p w14:paraId="7BEBE7E7">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4、瞒报、谎报生产安全事故的生产经营单位及其有关责任人员；</w:t>
      </w:r>
    </w:p>
    <w:p w14:paraId="04BD3CF8">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5、发生生产安全事故后，不立即组织抢救或者在事故调查处理期间擅离职守或者逃匿的生产经营单位主要负责人。</w:t>
      </w:r>
    </w:p>
    <w:p w14:paraId="43BF08E4">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（二）下列未发生生产安全事故，但因安全生产违法行为，受到行政处罚的生产经营单位或者机构及其有关人员，应当列入严重失信主体名单：</w:t>
      </w:r>
    </w:p>
    <w:p w14:paraId="5F22934C">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1、未依法取得安全生产相关许可或者许可被暂扣、吊销期间从事相关生产经营活动的生产经营单位及其主要负责人；</w:t>
      </w:r>
    </w:p>
    <w:p w14:paraId="01BF9FC4">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2、承担安全评价、认证、检测、检验职责的机构及其直接责任人员租借资质、挂靠、出具虚假报告或者证书的；</w:t>
      </w:r>
    </w:p>
    <w:p w14:paraId="7EAA8347">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3、在应急管理部门作出行政处罚后，有执行能力拒不执行或者逃避执行的生产经营单位及其主要负责人；</w:t>
      </w:r>
    </w:p>
    <w:p w14:paraId="6294D252">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4、其他违反安全生产法律法规受到行政处罚，且性质恶劣、情节严重的。</w:t>
      </w:r>
    </w:p>
    <w:p w14:paraId="34A91D27">
      <w:pPr>
        <w:keepNext w:val="0"/>
        <w:keepLines w:val="0"/>
        <w:widowControl w:val="0"/>
        <w:suppressLineNumbers w:val="0"/>
        <w:autoSpaceDE w:val="0"/>
        <w:autoSpaceDN/>
        <w:adjustRightInd w:val="0"/>
        <w:snapToGrid w:val="0"/>
        <w:spacing w:before="0" w:beforeAutospacing="0" w:after="0" w:afterAutospacing="0" w:line="560" w:lineRule="exact"/>
        <w:ind w:left="0" w:right="0" w:firstLine="482" w:firstLineChars="200"/>
        <w:jc w:val="left"/>
        <w:rPr>
          <w:rFonts w:hint="eastAsia" w:ascii="宋体" w:hAnsi="宋体" w:eastAsia="宋体" w:cs="宋体"/>
          <w:b/>
          <w:bCs w:val="0"/>
          <w:sz w:val="24"/>
          <w:szCs w:val="24"/>
          <w:highlight w:val="none"/>
        </w:rPr>
      </w:pPr>
      <w:r>
        <w:rPr>
          <w:rFonts w:hint="eastAsia" w:ascii="宋体" w:hAnsi="宋体" w:eastAsia="宋体" w:cs="宋体"/>
          <w:b/>
          <w:bCs w:val="0"/>
          <w:kern w:val="0"/>
          <w:sz w:val="24"/>
          <w:szCs w:val="24"/>
          <w:highlight w:val="none"/>
          <w:lang w:val="en-US" w:eastAsia="zh-CN" w:bidi="ar"/>
        </w:rPr>
        <w:t>依据：《安全生产严重失信主体名单管理办法》（2023年8月8日应急管理部令第11号）</w:t>
      </w:r>
    </w:p>
    <w:p w14:paraId="3239FA92">
      <w:pPr>
        <w:keepNext w:val="0"/>
        <w:keepLines w:val="0"/>
        <w:widowControl w:val="0"/>
        <w:suppressLineNumbers w:val="0"/>
        <w:autoSpaceDE w:val="0"/>
        <w:autoSpaceDN/>
        <w:adjustRightInd w:val="0"/>
        <w:snapToGrid w:val="0"/>
        <w:spacing w:before="0" w:beforeAutospacing="0" w:after="0" w:afterAutospacing="0" w:line="560" w:lineRule="exact"/>
        <w:ind w:left="0" w:right="0" w:firstLine="482" w:firstLineChars="200"/>
        <w:jc w:val="left"/>
        <w:rPr>
          <w:rFonts w:hint="eastAsia" w:ascii="宋体" w:hAnsi="宋体" w:eastAsia="宋体" w:cs="宋体"/>
          <w:b/>
          <w:bCs w:val="0"/>
          <w:sz w:val="24"/>
          <w:szCs w:val="24"/>
          <w:highlight w:val="none"/>
        </w:rPr>
      </w:pPr>
      <w:r>
        <w:rPr>
          <w:rFonts w:hint="eastAsia" w:ascii="宋体" w:hAnsi="宋体" w:eastAsia="宋体" w:cs="宋体"/>
          <w:b/>
          <w:bCs w:val="0"/>
          <w:kern w:val="0"/>
          <w:sz w:val="24"/>
          <w:szCs w:val="24"/>
          <w:highlight w:val="none"/>
          <w:lang w:val="en-US" w:eastAsia="zh-CN" w:bidi="ar"/>
        </w:rPr>
        <w:t>二、环境保护领域严重失信行为：</w:t>
      </w:r>
    </w:p>
    <w:p w14:paraId="39B7E88B">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（一）因为环境违法构成环境犯罪的；</w:t>
      </w:r>
    </w:p>
    <w:p w14:paraId="58169336">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（二）建设项目环境影响评价文件未按规定通过审批，擅自开工建设的；</w:t>
      </w:r>
    </w:p>
    <w:p w14:paraId="43ADAB92">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（三）建设项目环保设施未建成、环保措施未落实、未通过竣工环保验收或者验收不合格，主体工程正式投入生产或者使用的；</w:t>
      </w:r>
    </w:p>
    <w:p w14:paraId="389D92DA">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（四）建设项目性质、规模、地点、采用的生产工艺或者防治污染、防止生态破坏的措施发生重大变动，未重新报批环境影响评价文件，擅自投入生产或者使用的；</w:t>
      </w:r>
    </w:p>
    <w:p w14:paraId="3FF44D2B">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（五）主要污染物排放总量超过控制指标的；</w:t>
      </w:r>
    </w:p>
    <w:p w14:paraId="7E74B62C">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（六）私设暗管或者利用渗井、渗坑、裂隙、溶洞等排放、倾倒、处置水污染物，或者通过私设旁路排放大气污染物的；</w:t>
      </w:r>
    </w:p>
    <w:p w14:paraId="4FB0452E">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（七）非法排放、倾倒、处置危险废物，或者向无经营许可证或者超出经营许可范围的单位或个人提供或者委托其收集、贮存、利用、处置危险废物的；</w:t>
      </w:r>
    </w:p>
    <w:p w14:paraId="61113803">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（八）环境违法行为造成集中式生活饮用水水源取水中断的；</w:t>
      </w:r>
    </w:p>
    <w:p w14:paraId="1EB24922">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（九）环境违法行为对生活饮用水水源保护区、自然保护区、国家重点生态功能区、风景名胜区、居住功能区、基本农田保护区等环境敏感区造成重大不利影响的；</w:t>
      </w:r>
    </w:p>
    <w:p w14:paraId="0BFCFBB6">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（十）违法从事自然资源开发、交通基础设施建设，以及其他开发建设活动，造成严重生态破坏的；</w:t>
      </w:r>
    </w:p>
    <w:p w14:paraId="0883F131">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（十一）发生较大及以上突发环境事件的；</w:t>
      </w:r>
    </w:p>
    <w:p w14:paraId="288B9A07">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（十二）被环保部门挂牌督办，整改逾期未完成的；</w:t>
      </w:r>
    </w:p>
    <w:p w14:paraId="6E0AA492">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（十三）以暴力、威胁等方式拒绝、阻挠环保部门工作人员现场检查的；</w:t>
      </w:r>
    </w:p>
    <w:p w14:paraId="793ECE44">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（十四）违反重污染天气应急预案有关规定，对重污染天气响应不力的。</w:t>
      </w:r>
    </w:p>
    <w:p w14:paraId="66715658">
      <w:pPr>
        <w:keepNext w:val="0"/>
        <w:keepLines w:val="0"/>
        <w:widowControl w:val="0"/>
        <w:suppressLineNumbers w:val="0"/>
        <w:autoSpaceDE w:val="0"/>
        <w:autoSpaceDN/>
        <w:adjustRightInd w:val="0"/>
        <w:snapToGrid w:val="0"/>
        <w:spacing w:before="0" w:beforeAutospacing="0" w:after="0" w:afterAutospacing="0" w:line="560" w:lineRule="exact"/>
        <w:ind w:left="0" w:right="0" w:firstLine="482" w:firstLineChars="200"/>
        <w:jc w:val="left"/>
        <w:rPr>
          <w:rFonts w:hint="eastAsia" w:ascii="宋体" w:hAnsi="宋体" w:eastAsia="宋体" w:cs="宋体"/>
          <w:b/>
          <w:bCs w:val="0"/>
          <w:sz w:val="24"/>
          <w:szCs w:val="24"/>
          <w:highlight w:val="none"/>
        </w:rPr>
      </w:pPr>
      <w:r>
        <w:rPr>
          <w:rFonts w:hint="eastAsia" w:ascii="宋体" w:hAnsi="宋体" w:eastAsia="宋体" w:cs="宋体"/>
          <w:b/>
          <w:bCs w:val="0"/>
          <w:kern w:val="0"/>
          <w:sz w:val="24"/>
          <w:szCs w:val="24"/>
          <w:highlight w:val="none"/>
          <w:lang w:val="en-US" w:eastAsia="zh-CN" w:bidi="ar"/>
        </w:rPr>
        <w:t>依据：《关于对环境保护领域失信生产经营单位及其有关人员开展联合惩戒的合作备忘录》、《企业环境信用评价办法（试行）》（环发〔2013〕150号）</w:t>
      </w:r>
    </w:p>
    <w:p w14:paraId="56789F0E">
      <w:pPr>
        <w:keepNext w:val="0"/>
        <w:keepLines w:val="0"/>
        <w:widowControl w:val="0"/>
        <w:suppressLineNumbers w:val="0"/>
        <w:autoSpaceDE w:val="0"/>
        <w:autoSpaceDN/>
        <w:adjustRightInd w:val="0"/>
        <w:snapToGrid w:val="0"/>
        <w:spacing w:before="0" w:beforeAutospacing="0" w:after="0" w:afterAutospacing="0" w:line="560" w:lineRule="exact"/>
        <w:ind w:left="0" w:right="0" w:firstLine="482" w:firstLineChars="200"/>
        <w:jc w:val="left"/>
        <w:rPr>
          <w:rFonts w:hint="eastAsia" w:ascii="宋体" w:hAnsi="宋体" w:eastAsia="宋体" w:cs="宋体"/>
          <w:b/>
          <w:bCs w:val="0"/>
          <w:sz w:val="24"/>
          <w:szCs w:val="24"/>
          <w:highlight w:val="none"/>
        </w:rPr>
      </w:pPr>
      <w:r>
        <w:rPr>
          <w:rFonts w:hint="eastAsia" w:ascii="宋体" w:hAnsi="宋体" w:eastAsia="宋体" w:cs="宋体"/>
          <w:b/>
          <w:bCs w:val="0"/>
          <w:kern w:val="0"/>
          <w:sz w:val="24"/>
          <w:szCs w:val="24"/>
          <w:highlight w:val="none"/>
          <w:lang w:val="en-US" w:eastAsia="zh-CN" w:bidi="ar"/>
        </w:rPr>
        <w:t>三、</w:t>
      </w:r>
      <w:r>
        <w:rPr>
          <w:rFonts w:hint="eastAsia" w:ascii="宋体" w:hAnsi="宋体" w:eastAsia="宋体" w:cs="宋体"/>
          <w:b/>
          <w:bCs/>
          <w:kern w:val="0"/>
          <w:sz w:val="24"/>
          <w:szCs w:val="24"/>
          <w:highlight w:val="none"/>
          <w:lang w:val="en-US" w:eastAsia="zh-CN" w:bidi="ar"/>
        </w:rPr>
        <w:t>公共资源交易领域严重失信行为</w:t>
      </w:r>
    </w:p>
    <w:p w14:paraId="6A5F8A68">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 xml:space="preserve">（一）违反法律规定，必须进行招标的项目而不招标的，将必须进行招标的项目化整为零或者以其他任何方式规避招标的； </w:t>
      </w:r>
    </w:p>
    <w:p w14:paraId="7C18F56B">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（二）招标代理机构违反法律规定，泄露应当保密的与招标投标活动有关的情况和资料的，或者与招标人、投标人串通损害 国家利益、社会公共利益或者他人合法权益的；</w:t>
      </w:r>
    </w:p>
    <w:p w14:paraId="6C82972B">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（三）招标人以不合理的条件限制或者排斥潜在投标人的，对潜在投标人实行歧视待遇的，强制要求投标人组成联合体共同 投标的，或者限制投标人之间竞争的；</w:t>
      </w:r>
    </w:p>
    <w:p w14:paraId="666102E5">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（四）依法必须进行招标的项目的招标人向他人透露已获取招标文件的潜在投标人的名称、数量或者可能影响公平竞争的有 关招标投标的其他情况的，或者泄露标底的；</w:t>
      </w:r>
    </w:p>
    <w:p w14:paraId="61B1D16F">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 xml:space="preserve">（五）投标人相互串通投标或者与招标人串通投标的，投标人以向招标人或者评标委员会成员行贿的手段谋取中标的； </w:t>
      </w:r>
    </w:p>
    <w:p w14:paraId="5619CAC8">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（六）投标人以他人名义投标或者以其他方式弄虚作假，骗取中标的；</w:t>
      </w:r>
    </w:p>
    <w:p w14:paraId="40EA2E43">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（七）依法必须进行招标的项目，招标人违反法律规定，与投标人就投标价格、投标方案等实质性内容进行谈判的；</w:t>
      </w:r>
    </w:p>
    <w:p w14:paraId="3C6BEA23">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 xml:space="preserve">（八）评标委员会成员收受投标人的财物或者其他好处的，评标委员会成员或者参加评标的有关工作人员向他人透露对投 标文件的评审和比较、中标候选人的推荐以及与评标有关的其他 情况的； </w:t>
      </w:r>
    </w:p>
    <w:p w14:paraId="4EFD8655">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 xml:space="preserve">（九）招标人在评标委员会依法推荐的中标候选人以外确定中标人的，依法必须进行招标的项目在所有投标被评标委员会否 决后自行确定中标人的； </w:t>
      </w:r>
    </w:p>
    <w:p w14:paraId="1650C416">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 xml:space="preserve">（十）中标人将中标项目转让给他人的，将中标项目肢解后分别转让给他人的，违反法律规定将中标项目的部分主体、关键 性工作分包给他人的，或者分包人再次分包的； </w:t>
      </w:r>
    </w:p>
    <w:p w14:paraId="70A5AB02">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 xml:space="preserve">（十一）招标人与中标人不按照招标文件和中标人的投标文件订立合同的，或者招标人、中标人订立背离合同实质性内容的 协议的； </w:t>
      </w:r>
    </w:p>
    <w:p w14:paraId="335B38A3">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 xml:space="preserve">（十二）中标人不按照与招标人订立的合同履行义务，情节严重的； </w:t>
      </w:r>
    </w:p>
    <w:p w14:paraId="2E28FDC3">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（十三）采购人、采购代理机构存在应当采用公开招标方式而擅自采用其他方式采购，擅自提高采购标准，以不合理的条件 对供应商实行差别待遇或者歧视待遇，在招标采购过程中与投标 人进行协商谈判，中标、成交通知书发出后不与中标、成交供应商签订采购合同，或者拒绝有关部门依法实施监督检查等情形的；</w:t>
      </w:r>
    </w:p>
    <w:p w14:paraId="07891F8A">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 xml:space="preserve"> （十四）采购人、采购代理机构及其工作人员存在与供应商 或者采购代理机构恶意串通，在采购过程中接受贿赂或者获取其 他不正当利益，在有关部门依法实施的监督检查中提供虚假情况， 或者开标前泄露标底等情形的；</w:t>
      </w:r>
    </w:p>
    <w:p w14:paraId="4AC6C60F">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 xml:space="preserve">（十五）采购人对应当实行集中采购的政府采购项目，不委托集中采购机构实行集中采购的； </w:t>
      </w:r>
    </w:p>
    <w:p w14:paraId="2367F803">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 xml:space="preserve">（十六）采购人、采购代理机构违反法律规定隐匿、销毁应当保存的采购文件或者伪造、变造采购文件的； </w:t>
      </w:r>
    </w:p>
    <w:p w14:paraId="5FD85B05">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 xml:space="preserve">（十七）供应商存在提供虚假材料谋取中标、成交，采取不 正当手段诋毁、排挤其他供应商，与采购人、其他供应商或者采 购代理机构恶意串通，向采购人、采购代理机构行贿或者提供其 他不正当利益，在招标采购过程中与采购人进行协商谈判，或拒 绝有关部门监督检查或者提供虚假情况等情形的； </w:t>
      </w:r>
    </w:p>
    <w:p w14:paraId="730E4465">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 xml:space="preserve">（十八）疫苗生产企业向县级疾病预防控制机构以外的单位或者个人销售第二类疫苗的； </w:t>
      </w:r>
    </w:p>
    <w:p w14:paraId="4426A62E">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（十九）存在其他违反公共资源交易法律法规行为的。</w:t>
      </w:r>
    </w:p>
    <w:p w14:paraId="1DEE0973">
      <w:pPr>
        <w:keepNext w:val="0"/>
        <w:keepLines w:val="0"/>
        <w:widowControl w:val="0"/>
        <w:suppressLineNumbers w:val="0"/>
        <w:autoSpaceDE w:val="0"/>
        <w:autoSpaceDN/>
        <w:adjustRightInd w:val="0"/>
        <w:snapToGrid w:val="0"/>
        <w:spacing w:before="0" w:beforeAutospacing="0" w:after="0" w:afterAutospacing="0" w:line="560" w:lineRule="exact"/>
        <w:ind w:left="0" w:right="0" w:firstLine="482" w:firstLineChars="200"/>
        <w:jc w:val="left"/>
        <w:rPr>
          <w:rFonts w:hint="eastAsia" w:ascii="宋体" w:hAnsi="宋体" w:eastAsia="宋体" w:cs="宋体"/>
          <w:sz w:val="24"/>
          <w:szCs w:val="24"/>
          <w:highlight w:val="none"/>
        </w:rPr>
      </w:pPr>
      <w:r>
        <w:rPr>
          <w:rFonts w:hint="eastAsia" w:ascii="宋体" w:hAnsi="宋体" w:eastAsia="宋体" w:cs="宋体"/>
          <w:b/>
          <w:bCs w:val="0"/>
          <w:kern w:val="0"/>
          <w:sz w:val="24"/>
          <w:szCs w:val="24"/>
          <w:highlight w:val="none"/>
          <w:lang w:val="en-US" w:eastAsia="zh-CN" w:bidi="ar"/>
        </w:rPr>
        <w:t>依据：《关于对公共资源交易领域严重失信主体开展联合惩戒的备忘录》（发改法规〔2018〕457号）</w:t>
      </w:r>
    </w:p>
    <w:p w14:paraId="1E899A36">
      <w:pPr>
        <w:keepNext w:val="0"/>
        <w:keepLines w:val="0"/>
        <w:widowControl w:val="0"/>
        <w:suppressLineNumbers w:val="0"/>
        <w:autoSpaceDE w:val="0"/>
        <w:autoSpaceDN/>
        <w:adjustRightInd w:val="0"/>
        <w:snapToGrid w:val="0"/>
        <w:spacing w:before="0" w:beforeAutospacing="0" w:after="0" w:afterAutospacing="0" w:line="560" w:lineRule="exact"/>
        <w:ind w:left="0" w:right="0" w:firstLine="482" w:firstLineChars="200"/>
        <w:jc w:val="left"/>
        <w:rPr>
          <w:rFonts w:hint="eastAsia" w:ascii="宋体" w:hAnsi="宋体" w:eastAsia="宋体" w:cs="宋体"/>
          <w:b/>
          <w:bCs/>
          <w:sz w:val="24"/>
          <w:szCs w:val="24"/>
          <w:highlight w:val="none"/>
        </w:rPr>
      </w:pPr>
      <w:r>
        <w:rPr>
          <w:rFonts w:hint="eastAsia" w:ascii="宋体" w:hAnsi="宋体" w:eastAsia="宋体" w:cs="宋体"/>
          <w:b/>
          <w:bCs w:val="0"/>
          <w:kern w:val="0"/>
          <w:sz w:val="24"/>
          <w:szCs w:val="24"/>
          <w:highlight w:val="none"/>
          <w:lang w:val="en-US" w:eastAsia="zh-CN" w:bidi="ar"/>
        </w:rPr>
        <w:t>四、</w:t>
      </w:r>
      <w:r>
        <w:rPr>
          <w:rFonts w:hint="eastAsia" w:ascii="宋体" w:hAnsi="宋体" w:eastAsia="宋体" w:cs="宋体"/>
          <w:b/>
          <w:bCs/>
          <w:kern w:val="0"/>
          <w:sz w:val="24"/>
          <w:szCs w:val="24"/>
          <w:highlight w:val="none"/>
          <w:lang w:val="en-US" w:eastAsia="zh-CN" w:bidi="ar"/>
        </w:rPr>
        <w:t>社会保险领域严重失信行为</w:t>
      </w:r>
    </w:p>
    <w:p w14:paraId="5C2FD778">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 xml:space="preserve">（一）用人单位未按相关规定参加社会保险且拒不整改的； </w:t>
      </w:r>
    </w:p>
    <w:p w14:paraId="67E458E1">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 xml:space="preserve">（二）用人单位未如实申报社会保险缴费基数且拒不整改的； </w:t>
      </w:r>
    </w:p>
    <w:p w14:paraId="5910A5F9">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 xml:space="preserve">（三）应缴纳社会保险费却拒不缴纳的； </w:t>
      </w:r>
    </w:p>
    <w:p w14:paraId="0B0DC465">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（四）隐匿、转移、侵占、挪用社会保险费款、基金或者违规投资运营的；</w:t>
      </w:r>
    </w:p>
    <w:p w14:paraId="025DD8FD">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 xml:space="preserve">（五）以欺诈、伪造证明材料或者其他手段参加、申报社会保险和骗取社会保险基金支出或社会保险待遇的； </w:t>
      </w:r>
    </w:p>
    <w:p w14:paraId="2E714C29">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 xml:space="preserve">（六）非法获取、出售或变相交易社会保险个人权益数据的； </w:t>
      </w:r>
    </w:p>
    <w:p w14:paraId="44D37940">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 xml:space="preserve">（七）社会保险服务机构违反服务协议或相关规定的； </w:t>
      </w:r>
    </w:p>
    <w:p w14:paraId="2377077E">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 xml:space="preserve">（八）拒绝协助社会保险行政部门、经办机构对事故和问题进 行调查核实的；拒绝接受或协助税务部门对社会保险实施监督检查， 不如实提供与社会保险相关各项资料的； </w:t>
      </w:r>
    </w:p>
    <w:p w14:paraId="165CE1D7">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（九）其他违反法律法规规定的。</w:t>
      </w:r>
    </w:p>
    <w:p w14:paraId="56743DCC">
      <w:pPr>
        <w:keepNext w:val="0"/>
        <w:keepLines w:val="0"/>
        <w:widowControl w:val="0"/>
        <w:suppressLineNumbers w:val="0"/>
        <w:autoSpaceDE w:val="0"/>
        <w:autoSpaceDN/>
        <w:adjustRightInd w:val="0"/>
        <w:snapToGrid w:val="0"/>
        <w:spacing w:before="0" w:beforeAutospacing="0" w:after="0" w:afterAutospacing="0" w:line="560" w:lineRule="exact"/>
        <w:ind w:left="0" w:right="0" w:firstLine="482" w:firstLineChars="200"/>
        <w:jc w:val="left"/>
        <w:rPr>
          <w:rFonts w:hint="eastAsia" w:ascii="宋体" w:hAnsi="宋体" w:eastAsia="宋体" w:cs="宋体"/>
          <w:sz w:val="24"/>
          <w:szCs w:val="24"/>
          <w:highlight w:val="none"/>
        </w:rPr>
      </w:pPr>
      <w:r>
        <w:rPr>
          <w:rFonts w:hint="eastAsia" w:ascii="宋体" w:hAnsi="宋体" w:eastAsia="宋体" w:cs="宋体"/>
          <w:b/>
          <w:bCs w:val="0"/>
          <w:kern w:val="0"/>
          <w:sz w:val="24"/>
          <w:szCs w:val="24"/>
          <w:highlight w:val="none"/>
          <w:lang w:val="en-US" w:eastAsia="zh-CN" w:bidi="ar"/>
        </w:rPr>
        <w:t>依据：《关于对社会保险领域严重失信企业及其有关人员实施联合惩戒的合作备忘录》（发改财金〔2018〕1704号）</w:t>
      </w:r>
    </w:p>
    <w:p w14:paraId="74119124">
      <w:pPr>
        <w:keepNext w:val="0"/>
        <w:keepLines w:val="0"/>
        <w:widowControl w:val="0"/>
        <w:suppressLineNumbers w:val="0"/>
        <w:autoSpaceDE w:val="0"/>
        <w:autoSpaceDN/>
        <w:adjustRightInd w:val="0"/>
        <w:snapToGrid w:val="0"/>
        <w:spacing w:before="0" w:beforeAutospacing="0" w:after="0" w:afterAutospacing="0" w:line="560" w:lineRule="exact"/>
        <w:ind w:left="0" w:right="0" w:firstLine="482" w:firstLineChars="200"/>
        <w:jc w:val="left"/>
        <w:rPr>
          <w:rFonts w:hint="eastAsia" w:ascii="宋体" w:hAnsi="宋体" w:eastAsia="宋体" w:cs="宋体"/>
          <w:b/>
          <w:bCs/>
          <w:sz w:val="24"/>
          <w:szCs w:val="24"/>
          <w:highlight w:val="none"/>
        </w:rPr>
      </w:pPr>
      <w:r>
        <w:rPr>
          <w:rFonts w:hint="eastAsia" w:ascii="宋体" w:hAnsi="宋体" w:eastAsia="宋体" w:cs="宋体"/>
          <w:b/>
          <w:bCs w:val="0"/>
          <w:kern w:val="0"/>
          <w:sz w:val="24"/>
          <w:szCs w:val="24"/>
          <w:highlight w:val="none"/>
          <w:lang w:val="en-US" w:eastAsia="zh-CN" w:bidi="ar"/>
        </w:rPr>
        <w:t>五、建筑市场领域</w:t>
      </w:r>
      <w:r>
        <w:rPr>
          <w:rFonts w:hint="eastAsia" w:ascii="宋体" w:hAnsi="宋体" w:eastAsia="宋体" w:cs="宋体"/>
          <w:b/>
          <w:bCs/>
          <w:kern w:val="0"/>
          <w:sz w:val="24"/>
          <w:szCs w:val="24"/>
          <w:highlight w:val="none"/>
          <w:lang w:val="en-US" w:eastAsia="zh-CN" w:bidi="ar"/>
        </w:rPr>
        <w:t>严重失信行为</w:t>
      </w:r>
    </w:p>
    <w:p w14:paraId="5ED88CB6">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（一）利用虚假材料、以欺骗手段取得企业资质的；</w:t>
      </w:r>
    </w:p>
    <w:p w14:paraId="7B148F80">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（二）发生转包、出借资质，受到行政处罚的；</w:t>
      </w:r>
    </w:p>
    <w:p w14:paraId="600EFF16">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（三）发生重大及以上工程质量安全事故，或1年内累计发生2次及以上较大工程质量安全事故，或发生性质恶劣、危害性严重、社会影响大的较大工程质量安全事故，受到行政处罚的；</w:t>
      </w:r>
    </w:p>
    <w:p w14:paraId="590B7D12">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（四）经法院判决或仲裁机构裁决，认定为拖欠工程款,且拒不履行生效法律文书确定的义务的。</w:t>
      </w:r>
    </w:p>
    <w:p w14:paraId="67A30081">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各级住房城乡建设主管部门应当参照建筑市场主体“黑名单”，对被人力资源社会保障行政部门列入拖欠农民工工资“黑名单”的建筑市场各方主体加强监管。</w:t>
      </w:r>
    </w:p>
    <w:p w14:paraId="51F61AF5">
      <w:pPr>
        <w:keepNext w:val="0"/>
        <w:keepLines w:val="0"/>
        <w:widowControl w:val="0"/>
        <w:suppressLineNumbers w:val="0"/>
        <w:autoSpaceDE w:val="0"/>
        <w:autoSpaceDN/>
        <w:spacing w:before="0" w:beforeAutospacing="0" w:after="0" w:afterAutospacing="0"/>
        <w:ind w:left="0" w:right="0" w:firstLine="482" w:firstLineChars="200"/>
        <w:jc w:val="left"/>
        <w:rPr>
          <w:rFonts w:hint="eastAsia" w:ascii="宋体" w:hAnsi="宋体" w:eastAsia="宋体" w:cs="宋体"/>
          <w:b/>
          <w:bCs w:val="0"/>
          <w:sz w:val="24"/>
          <w:szCs w:val="24"/>
          <w:highlight w:val="none"/>
        </w:rPr>
      </w:pPr>
      <w:r>
        <w:rPr>
          <w:rFonts w:hint="eastAsia" w:ascii="宋体" w:hAnsi="宋体" w:eastAsia="宋体" w:cs="宋体"/>
          <w:b/>
          <w:bCs w:val="0"/>
          <w:kern w:val="0"/>
          <w:sz w:val="24"/>
          <w:szCs w:val="24"/>
          <w:highlight w:val="none"/>
          <w:lang w:val="en-US" w:eastAsia="zh-CN" w:bidi="ar"/>
        </w:rPr>
        <w:t>依据：《建筑市场信用管理暂行办法》（建市〔2017〕241号）</w:t>
      </w:r>
    </w:p>
    <w:p w14:paraId="3C7282D6">
      <w:pPr>
        <w:keepNext w:val="0"/>
        <w:keepLines w:val="0"/>
        <w:widowControl w:val="0"/>
        <w:suppressLineNumbers w:val="0"/>
        <w:autoSpaceDE w:val="0"/>
        <w:autoSpaceDN/>
        <w:adjustRightInd w:val="0"/>
        <w:snapToGrid w:val="0"/>
        <w:spacing w:before="0" w:beforeAutospacing="0" w:after="0" w:afterAutospacing="0" w:line="560" w:lineRule="exact"/>
        <w:ind w:left="0" w:right="0" w:firstLine="482" w:firstLineChars="200"/>
        <w:jc w:val="left"/>
        <w:rPr>
          <w:rFonts w:hint="eastAsia" w:ascii="宋体" w:hAnsi="宋体" w:eastAsia="宋体" w:cs="宋体"/>
          <w:b/>
          <w:bCs w:val="0"/>
          <w:sz w:val="24"/>
          <w:szCs w:val="24"/>
          <w:highlight w:val="none"/>
        </w:rPr>
      </w:pPr>
      <w:r>
        <w:rPr>
          <w:rFonts w:hint="eastAsia" w:ascii="宋体" w:hAnsi="宋体" w:eastAsia="宋体" w:cs="宋体"/>
          <w:b/>
          <w:bCs w:val="0"/>
          <w:kern w:val="0"/>
          <w:sz w:val="24"/>
          <w:szCs w:val="24"/>
          <w:highlight w:val="none"/>
          <w:lang w:val="en-US" w:eastAsia="zh-CN" w:bidi="ar"/>
        </w:rPr>
        <w:t>六、政府采购严重失信行为</w:t>
      </w:r>
    </w:p>
    <w:p w14:paraId="46AE3474">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供应商、采购代理机构在三年内受到财政部门作出下列情形之一的行政处罚，列入政府采购严重违法失信行为记录名单。</w:t>
      </w:r>
      <w:r>
        <w:rPr>
          <w:rFonts w:hint="eastAsia" w:ascii="宋体" w:hAnsi="宋体" w:eastAsia="宋体" w:cs="宋体"/>
          <w:kern w:val="0"/>
          <w:sz w:val="24"/>
          <w:szCs w:val="24"/>
          <w:highlight w:val="none"/>
          <w:lang w:val="en-US" w:eastAsia="zh-CN" w:bidi="ar"/>
        </w:rPr>
        <w:br w:type="textWrapping"/>
      </w:r>
      <w:r>
        <w:rPr>
          <w:rFonts w:hint="eastAsia" w:ascii="宋体" w:hAnsi="宋体" w:eastAsia="宋体" w:cs="宋体"/>
          <w:kern w:val="0"/>
          <w:sz w:val="24"/>
          <w:szCs w:val="24"/>
          <w:highlight w:val="none"/>
          <w:lang w:val="en-US" w:eastAsia="zh-CN" w:bidi="ar"/>
        </w:rPr>
        <w:t>（一）三万元以上罚款；</w:t>
      </w:r>
      <w:r>
        <w:rPr>
          <w:rFonts w:hint="eastAsia" w:ascii="宋体" w:hAnsi="宋体" w:eastAsia="宋体" w:cs="宋体"/>
          <w:kern w:val="0"/>
          <w:sz w:val="24"/>
          <w:szCs w:val="24"/>
          <w:highlight w:val="none"/>
          <w:lang w:val="en-US" w:eastAsia="zh-CN" w:bidi="ar"/>
        </w:rPr>
        <w:br w:type="textWrapping"/>
      </w:r>
      <w:r>
        <w:rPr>
          <w:rFonts w:hint="eastAsia" w:ascii="宋体" w:hAnsi="宋体" w:eastAsia="宋体" w:cs="宋体"/>
          <w:kern w:val="0"/>
          <w:sz w:val="24"/>
          <w:szCs w:val="24"/>
          <w:highlight w:val="none"/>
          <w:lang w:val="en-US" w:eastAsia="zh-CN" w:bidi="ar"/>
        </w:rPr>
        <w:t>（二）在一至三年内禁止参加政府采购活动（处罚期限届满的除外）；</w:t>
      </w:r>
      <w:r>
        <w:rPr>
          <w:rFonts w:hint="eastAsia" w:ascii="宋体" w:hAnsi="宋体" w:eastAsia="宋体" w:cs="宋体"/>
          <w:kern w:val="0"/>
          <w:sz w:val="24"/>
          <w:szCs w:val="24"/>
          <w:highlight w:val="none"/>
          <w:lang w:val="en-US" w:eastAsia="zh-CN" w:bidi="ar"/>
        </w:rPr>
        <w:br w:type="textWrapping"/>
      </w:r>
      <w:r>
        <w:rPr>
          <w:rFonts w:hint="eastAsia" w:ascii="宋体" w:hAnsi="宋体" w:eastAsia="宋体" w:cs="宋体"/>
          <w:kern w:val="0"/>
          <w:sz w:val="24"/>
          <w:szCs w:val="24"/>
          <w:highlight w:val="none"/>
          <w:lang w:val="en-US" w:eastAsia="zh-CN" w:bidi="ar"/>
        </w:rPr>
        <w:t>（三）在一至三年内禁止代理政府采购业务（处罚期限届满的除外）；</w:t>
      </w:r>
      <w:r>
        <w:rPr>
          <w:rFonts w:hint="eastAsia" w:ascii="宋体" w:hAnsi="宋体" w:eastAsia="宋体" w:cs="宋体"/>
          <w:kern w:val="0"/>
          <w:sz w:val="24"/>
          <w:szCs w:val="24"/>
          <w:highlight w:val="none"/>
          <w:lang w:val="en-US" w:eastAsia="zh-CN" w:bidi="ar"/>
        </w:rPr>
        <w:br w:type="textWrapping"/>
      </w:r>
      <w:r>
        <w:rPr>
          <w:rFonts w:hint="eastAsia" w:ascii="宋体" w:hAnsi="宋体" w:eastAsia="宋体" w:cs="宋体"/>
          <w:kern w:val="0"/>
          <w:sz w:val="24"/>
          <w:szCs w:val="24"/>
          <w:highlight w:val="none"/>
          <w:lang w:val="en-US" w:eastAsia="zh-CN" w:bidi="ar"/>
        </w:rPr>
        <w:t>（四）撤销政府采购代理机构资格（仅针对《政府采购法》第78条修改前作出的处罚决定）。</w:t>
      </w:r>
    </w:p>
    <w:p w14:paraId="1E1D272A">
      <w:pPr>
        <w:keepNext w:val="0"/>
        <w:keepLines w:val="0"/>
        <w:widowControl w:val="0"/>
        <w:suppressLineNumbers w:val="0"/>
        <w:autoSpaceDE w:val="0"/>
        <w:autoSpaceDN/>
        <w:spacing w:before="0" w:beforeAutospacing="0" w:after="0" w:afterAutospacing="0"/>
        <w:ind w:left="0" w:right="0" w:firstLine="482" w:firstLineChars="200"/>
        <w:jc w:val="left"/>
        <w:rPr>
          <w:rFonts w:hint="eastAsia" w:ascii="宋体" w:hAnsi="宋体" w:eastAsia="宋体" w:cs="宋体"/>
          <w:b/>
          <w:bCs w:val="0"/>
          <w:kern w:val="0"/>
          <w:sz w:val="24"/>
          <w:szCs w:val="24"/>
          <w:highlight w:val="none"/>
          <w:lang w:val="en-US" w:eastAsia="zh-CN" w:bidi="ar"/>
        </w:rPr>
      </w:pPr>
      <w:r>
        <w:rPr>
          <w:rFonts w:hint="eastAsia" w:ascii="宋体" w:hAnsi="宋体" w:eastAsia="宋体" w:cs="宋体"/>
          <w:b/>
          <w:bCs w:val="0"/>
          <w:kern w:val="0"/>
          <w:sz w:val="24"/>
          <w:szCs w:val="24"/>
          <w:highlight w:val="none"/>
          <w:lang w:val="en-US" w:eastAsia="zh-CN" w:bidi="ar"/>
        </w:rPr>
        <w:t>依据：《关于报送政府采购严重违法失信行为信息记录的通知》（财办库〔2014〕526号）</w:t>
      </w:r>
    </w:p>
    <w:p w14:paraId="0FEF42FA">
      <w:pPr>
        <w:keepNext w:val="0"/>
        <w:keepLines w:val="0"/>
        <w:widowControl w:val="0"/>
        <w:suppressLineNumbers w:val="0"/>
        <w:autoSpaceDE w:val="0"/>
        <w:autoSpaceDN/>
        <w:spacing w:before="0" w:beforeAutospacing="0" w:after="0" w:afterAutospacing="0"/>
        <w:ind w:left="0" w:right="0" w:firstLine="482" w:firstLineChars="200"/>
        <w:jc w:val="left"/>
        <w:rPr>
          <w:rFonts w:hint="eastAsia" w:ascii="宋体" w:hAnsi="宋体" w:eastAsia="宋体" w:cs="宋体"/>
          <w:b/>
          <w:bCs w:val="0"/>
          <w:kern w:val="0"/>
          <w:sz w:val="24"/>
          <w:szCs w:val="24"/>
          <w:highlight w:val="none"/>
          <w:lang w:val="en-US" w:eastAsia="zh-CN" w:bidi="ar"/>
        </w:rPr>
      </w:pPr>
      <w:r>
        <w:rPr>
          <w:rFonts w:hint="eastAsia" w:ascii="宋体" w:hAnsi="宋体" w:eastAsia="宋体" w:cs="宋体"/>
          <w:b/>
          <w:bCs w:val="0"/>
          <w:kern w:val="0"/>
          <w:sz w:val="24"/>
          <w:szCs w:val="24"/>
          <w:highlight w:val="none"/>
          <w:lang w:val="en-US" w:eastAsia="zh-CN" w:bidi="ar"/>
        </w:rPr>
        <w:t>未列出的其他类别严重失信行为，由招标人（代理机构）根据各类别行业主管部门下发的联合惩戒文件进行判断。</w:t>
      </w:r>
    </w:p>
    <w:p w14:paraId="68FABB36">
      <w:pPr>
        <w:rPr>
          <w:rFonts w:hint="eastAsia" w:asciiTheme="minorEastAsia" w:hAnsiTheme="minorEastAsia" w:eastAsiaTheme="minorEastAsia"/>
          <w:b/>
          <w:color w:val="auto"/>
          <w:sz w:val="28"/>
          <w:highlight w:val="none"/>
        </w:rPr>
      </w:pPr>
      <w:r>
        <w:rPr>
          <w:rFonts w:hint="eastAsia" w:asciiTheme="minorEastAsia" w:hAnsiTheme="minorEastAsia" w:eastAsiaTheme="minorEastAsia"/>
          <w:b/>
          <w:color w:val="auto"/>
          <w:sz w:val="28"/>
          <w:highlight w:val="none"/>
        </w:rPr>
        <w:br w:type="page"/>
      </w:r>
    </w:p>
    <w:p w14:paraId="4E44E95B">
      <w:pPr>
        <w:spacing w:line="360" w:lineRule="auto"/>
        <w:jc w:val="center"/>
        <w:outlineLvl w:val="0"/>
        <w:rPr>
          <w:rFonts w:ascii="宋体" w:hAnsi="宋体" w:eastAsia="宋体"/>
          <w:b/>
          <w:bCs/>
          <w:color w:val="auto"/>
          <w:sz w:val="28"/>
          <w:highlight w:val="none"/>
        </w:rPr>
      </w:pPr>
      <w:bookmarkStart w:id="102" w:name="_Toc15595"/>
      <w:r>
        <w:rPr>
          <w:rFonts w:hint="eastAsia" w:asciiTheme="minorEastAsia" w:hAnsiTheme="minorEastAsia" w:eastAsiaTheme="minorEastAsia"/>
          <w:b/>
          <w:color w:val="auto"/>
          <w:sz w:val="28"/>
          <w:highlight w:val="none"/>
        </w:rPr>
        <w:t>第</w:t>
      </w:r>
      <w:r>
        <w:rPr>
          <w:rFonts w:hint="eastAsia" w:asciiTheme="minorEastAsia" w:hAnsiTheme="minorEastAsia" w:eastAsiaTheme="minorEastAsia"/>
          <w:b/>
          <w:color w:val="auto"/>
          <w:sz w:val="28"/>
          <w:highlight w:val="none"/>
          <w:lang w:val="en-US" w:eastAsia="zh-CN"/>
        </w:rPr>
        <w:t>七</w:t>
      </w:r>
      <w:r>
        <w:rPr>
          <w:rFonts w:hint="eastAsia" w:asciiTheme="minorEastAsia" w:hAnsiTheme="minorEastAsia" w:eastAsiaTheme="minorEastAsia"/>
          <w:b/>
          <w:color w:val="auto"/>
          <w:sz w:val="28"/>
          <w:highlight w:val="none"/>
        </w:rPr>
        <w:t>章</w:t>
      </w:r>
      <w:r>
        <w:rPr>
          <w:rFonts w:hint="eastAsia" w:ascii="宋体" w:hAnsi="宋体" w:eastAsia="宋体"/>
          <w:b/>
          <w:bCs/>
          <w:color w:val="auto"/>
          <w:sz w:val="28"/>
          <w:highlight w:val="none"/>
        </w:rPr>
        <w:t xml:space="preserve">  政府采购</w:t>
      </w:r>
      <w:r>
        <w:rPr>
          <w:rFonts w:hint="eastAsia" w:asciiTheme="minorEastAsia" w:hAnsiTheme="minorEastAsia" w:eastAsiaTheme="minorEastAsia"/>
          <w:b/>
          <w:color w:val="auto"/>
          <w:sz w:val="28"/>
          <w:highlight w:val="none"/>
        </w:rPr>
        <w:t>供应</w:t>
      </w:r>
      <w:r>
        <w:rPr>
          <w:rFonts w:hint="eastAsia" w:ascii="宋体" w:hAnsi="宋体" w:eastAsia="宋体"/>
          <w:b/>
          <w:bCs/>
          <w:color w:val="auto"/>
          <w:sz w:val="28"/>
          <w:highlight w:val="none"/>
        </w:rPr>
        <w:t>商询问函和质疑函范本</w:t>
      </w:r>
      <w:bookmarkEnd w:id="101"/>
      <w:bookmarkEnd w:id="102"/>
    </w:p>
    <w:p w14:paraId="7A40B900">
      <w:pPr>
        <w:spacing w:line="360" w:lineRule="auto"/>
        <w:jc w:val="center"/>
        <w:outlineLvl w:val="1"/>
        <w:rPr>
          <w:rFonts w:ascii="仿宋" w:hAnsi="仿宋" w:eastAsia="仿宋" w:cs="仿宋"/>
          <w:b/>
          <w:bCs/>
          <w:color w:val="auto"/>
          <w:sz w:val="32"/>
          <w:szCs w:val="44"/>
          <w:highlight w:val="none"/>
        </w:rPr>
      </w:pPr>
      <w:bookmarkStart w:id="103" w:name="_Toc17574"/>
      <w:bookmarkStart w:id="104" w:name="_Toc27489"/>
      <w:bookmarkStart w:id="105" w:name="_Toc27159"/>
      <w:r>
        <w:rPr>
          <w:rFonts w:hint="eastAsia" w:ascii="仿宋" w:hAnsi="仿宋" w:eastAsia="仿宋" w:cs="仿宋"/>
          <w:b/>
          <w:bCs/>
          <w:color w:val="auto"/>
          <w:sz w:val="32"/>
          <w:szCs w:val="44"/>
          <w:highlight w:val="none"/>
        </w:rPr>
        <w:t>询问函范本</w:t>
      </w:r>
      <w:bookmarkEnd w:id="103"/>
      <w:bookmarkEnd w:id="104"/>
      <w:bookmarkEnd w:id="105"/>
    </w:p>
    <w:p w14:paraId="6CE43A10">
      <w:pPr>
        <w:adjustRightInd w:val="0"/>
        <w:snapToGrid w:val="0"/>
        <w:spacing w:line="360" w:lineRule="auto"/>
        <w:ind w:firstLine="480" w:firstLineChars="200"/>
        <w:jc w:val="center"/>
        <w:rPr>
          <w:rFonts w:ascii="仿宋" w:hAnsi="仿宋" w:eastAsia="仿宋" w:cs="仿宋"/>
          <w:b/>
          <w:bCs/>
          <w:color w:val="auto"/>
          <w:sz w:val="32"/>
          <w:szCs w:val="44"/>
          <w:highlight w:val="none"/>
        </w:rPr>
      </w:pPr>
      <w:r>
        <w:rPr>
          <w:rFonts w:hint="eastAsia" w:cs="仿宋" w:asciiTheme="minorEastAsia" w:hAnsiTheme="minorEastAsia" w:eastAsiaTheme="minorEastAsia"/>
          <w:i/>
          <w:iCs/>
          <w:color w:val="auto"/>
          <w:sz w:val="24"/>
          <w:szCs w:val="24"/>
          <w:highlight w:val="none"/>
        </w:rPr>
        <w:t>（如为对采购文件或采购程序的询问或疑问，请按询问函范本或电子交易系统中网上询问格式附件进行提交）</w:t>
      </w:r>
    </w:p>
    <w:p w14:paraId="2AF82789">
      <w:pPr>
        <w:adjustRightInd w:val="0"/>
        <w:snapToGrid w:val="0"/>
        <w:spacing w:line="360" w:lineRule="auto"/>
        <w:rPr>
          <w:rFonts w:hint="eastAsia" w:cs="仿宋" w:asciiTheme="minorEastAsia" w:hAnsiTheme="minorEastAsia" w:eastAsiaTheme="minorEastAsia"/>
          <w:b/>
          <w:bCs/>
          <w:color w:val="auto"/>
          <w:sz w:val="24"/>
          <w:szCs w:val="24"/>
          <w:highlight w:val="none"/>
          <w:u w:val="single"/>
          <w:lang w:eastAsia="zh-CN"/>
        </w:rPr>
      </w:pPr>
      <w:r>
        <w:rPr>
          <w:rFonts w:hint="eastAsia" w:cs="仿宋" w:asciiTheme="minorEastAsia" w:hAnsiTheme="minorEastAsia" w:eastAsiaTheme="minorEastAsia"/>
          <w:b/>
          <w:bCs/>
          <w:color w:val="auto"/>
          <w:sz w:val="24"/>
          <w:szCs w:val="24"/>
          <w:highlight w:val="none"/>
          <w:lang w:val="en-US" w:eastAsia="zh-CN"/>
        </w:rPr>
        <w:t>致：</w:t>
      </w:r>
      <w:r>
        <w:rPr>
          <w:rFonts w:hint="eastAsia" w:cs="仿宋" w:asciiTheme="minorEastAsia" w:hAnsiTheme="minorEastAsia" w:eastAsiaTheme="minorEastAsia"/>
          <w:b/>
          <w:bCs/>
          <w:color w:val="auto"/>
          <w:sz w:val="24"/>
          <w:szCs w:val="24"/>
          <w:highlight w:val="none"/>
          <w:u w:val="none"/>
          <w:lang w:eastAsia="zh-CN"/>
        </w:rPr>
        <w:t>采购人</w:t>
      </w:r>
    </w:p>
    <w:p w14:paraId="7828A08D">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我单位拟参与</w:t>
      </w:r>
      <w:r>
        <w:rPr>
          <w:rFonts w:hint="eastAsia" w:cs="仿宋" w:asciiTheme="minorEastAsia" w:hAnsiTheme="minorEastAsia" w:eastAsiaTheme="minorEastAsia"/>
          <w:color w:val="auto"/>
          <w:sz w:val="24"/>
          <w:szCs w:val="24"/>
          <w:highlight w:val="none"/>
          <w:u w:val="single"/>
          <w:lang w:val="en-US" w:eastAsia="zh-CN"/>
        </w:rPr>
        <w:t xml:space="preserve">           </w:t>
      </w:r>
      <w:r>
        <w:rPr>
          <w:rFonts w:hint="eastAsia" w:cs="仿宋" w:asciiTheme="minorEastAsia" w:hAnsiTheme="minorEastAsia" w:eastAsiaTheme="minorEastAsia"/>
          <w:color w:val="auto"/>
          <w:sz w:val="24"/>
          <w:szCs w:val="24"/>
          <w:highlight w:val="none"/>
          <w:u w:val="none"/>
          <w:lang w:val="en-US" w:eastAsia="zh-CN"/>
        </w:rPr>
        <w:t>（</w:t>
      </w:r>
      <w:r>
        <w:rPr>
          <w:rFonts w:hint="eastAsia" w:cs="仿宋" w:asciiTheme="minorEastAsia" w:hAnsiTheme="minorEastAsia" w:eastAsiaTheme="minorEastAsia"/>
          <w:i/>
          <w:iCs/>
          <w:color w:val="auto"/>
          <w:sz w:val="24"/>
          <w:szCs w:val="24"/>
          <w:highlight w:val="none"/>
          <w:u w:val="none"/>
          <w:lang w:val="en-US" w:eastAsia="zh-CN"/>
        </w:rPr>
        <w:t>项目名称、编号</w:t>
      </w:r>
      <w:r>
        <w:rPr>
          <w:rFonts w:hint="eastAsia" w:cs="仿宋" w:asciiTheme="minorEastAsia" w:hAnsiTheme="minorEastAsia" w:eastAsiaTheme="minorEastAsia"/>
          <w:color w:val="auto"/>
          <w:sz w:val="24"/>
          <w:szCs w:val="24"/>
          <w:highlight w:val="none"/>
          <w:u w:val="none"/>
          <w:lang w:val="en-US" w:eastAsia="zh-CN"/>
        </w:rPr>
        <w:t>）</w:t>
      </w:r>
      <w:r>
        <w:rPr>
          <w:rFonts w:hint="eastAsia" w:cs="仿宋" w:asciiTheme="minorEastAsia" w:hAnsiTheme="minorEastAsia" w:eastAsiaTheme="minorEastAsia"/>
          <w:color w:val="auto"/>
          <w:sz w:val="24"/>
          <w:szCs w:val="24"/>
          <w:highlight w:val="none"/>
        </w:rPr>
        <w:t>的采购活动，现有以下内容(或条款)存在疑问(或无法理解)，特提出询问。</w:t>
      </w:r>
    </w:p>
    <w:p w14:paraId="23123B7C">
      <w:pPr>
        <w:adjustRightInd w:val="0"/>
        <w:snapToGrid w:val="0"/>
        <w:spacing w:line="360" w:lineRule="auto"/>
        <w:ind w:firstLine="480" w:firstLineChars="200"/>
        <w:outlineLvl w:val="9"/>
        <w:rPr>
          <w:rFonts w:cs="仿宋" w:asciiTheme="minorEastAsia" w:hAnsiTheme="minorEastAsia" w:eastAsiaTheme="minorEastAsia"/>
          <w:color w:val="auto"/>
          <w:sz w:val="24"/>
          <w:szCs w:val="24"/>
          <w:highlight w:val="none"/>
        </w:rPr>
      </w:pPr>
      <w:bookmarkStart w:id="106" w:name="_Toc13899"/>
      <w:r>
        <w:rPr>
          <w:rFonts w:hint="eastAsia" w:cs="仿宋" w:asciiTheme="minorEastAsia" w:hAnsiTheme="minorEastAsia" w:eastAsiaTheme="minorEastAsia"/>
          <w:color w:val="auto"/>
          <w:sz w:val="24"/>
          <w:szCs w:val="24"/>
          <w:highlight w:val="none"/>
        </w:rPr>
        <w:t>一、(事项一)</w:t>
      </w:r>
      <w:bookmarkEnd w:id="106"/>
    </w:p>
    <w:p w14:paraId="1819F101">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1、(内容或条款)</w:t>
      </w:r>
    </w:p>
    <w:p w14:paraId="75CF52F2">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2、(说明疑问或无法理解原因)</w:t>
      </w:r>
    </w:p>
    <w:p w14:paraId="71317426">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3、(建议)</w:t>
      </w:r>
    </w:p>
    <w:p w14:paraId="2BFB1D19">
      <w:pPr>
        <w:adjustRightInd w:val="0"/>
        <w:snapToGrid w:val="0"/>
        <w:spacing w:line="360" w:lineRule="auto"/>
        <w:ind w:firstLine="480" w:firstLineChars="200"/>
        <w:outlineLvl w:val="9"/>
        <w:rPr>
          <w:rFonts w:cs="仿宋" w:asciiTheme="minorEastAsia" w:hAnsiTheme="minorEastAsia" w:eastAsiaTheme="minorEastAsia"/>
          <w:color w:val="auto"/>
          <w:sz w:val="24"/>
          <w:szCs w:val="24"/>
          <w:highlight w:val="none"/>
        </w:rPr>
      </w:pPr>
      <w:bookmarkStart w:id="107" w:name="_Toc3352"/>
      <w:r>
        <w:rPr>
          <w:rFonts w:hint="eastAsia" w:cs="仿宋" w:asciiTheme="minorEastAsia" w:hAnsiTheme="minorEastAsia" w:eastAsiaTheme="minorEastAsia"/>
          <w:color w:val="auto"/>
          <w:sz w:val="24"/>
          <w:szCs w:val="24"/>
          <w:highlight w:val="none"/>
        </w:rPr>
        <w:t>二、(事项二)</w:t>
      </w:r>
      <w:bookmarkEnd w:id="107"/>
    </w:p>
    <w:p w14:paraId="0B8BB9EC">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4D5B281D">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 xml:space="preserve">随附相关证明材料如下： </w:t>
      </w:r>
    </w:p>
    <w:p w14:paraId="4C1AC0F0">
      <w:pPr>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 系 人：</w:t>
      </w:r>
      <w:r>
        <w:rPr>
          <w:rFonts w:hint="eastAsia" w:asciiTheme="minorEastAsia" w:hAnsiTheme="minorEastAsia" w:eastAsiaTheme="minorEastAsia"/>
          <w:color w:val="auto"/>
          <w:sz w:val="24"/>
          <w:highlight w:val="none"/>
          <w:u w:val="single"/>
        </w:rPr>
        <w:t xml:space="preserve">              </w:t>
      </w:r>
    </w:p>
    <w:p w14:paraId="167B9DFB">
      <w:pPr>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联系电话：</w:t>
      </w:r>
      <w:r>
        <w:rPr>
          <w:rFonts w:hint="eastAsia" w:asciiTheme="minorEastAsia" w:hAnsiTheme="minorEastAsia" w:eastAsiaTheme="minorEastAsia"/>
          <w:color w:val="auto"/>
          <w:sz w:val="24"/>
          <w:highlight w:val="none"/>
          <w:u w:val="single"/>
        </w:rPr>
        <w:t xml:space="preserve">              </w:t>
      </w:r>
    </w:p>
    <w:p w14:paraId="5BE75B5B">
      <w:pPr>
        <w:tabs>
          <w:tab w:val="left" w:pos="630"/>
        </w:tabs>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日    期：</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rPr>
        <w:t xml:space="preserve">    </w:t>
      </w:r>
    </w:p>
    <w:p w14:paraId="71388629">
      <w:pPr>
        <w:rPr>
          <w:rFonts w:ascii="仿宋" w:hAnsi="仿宋" w:eastAsia="仿宋" w:cs="仿宋"/>
          <w:b/>
          <w:bCs/>
          <w:color w:val="auto"/>
          <w:sz w:val="32"/>
          <w:szCs w:val="44"/>
          <w:highlight w:val="none"/>
        </w:rPr>
      </w:pPr>
      <w:r>
        <w:rPr>
          <w:rFonts w:hint="eastAsia" w:ascii="仿宋" w:hAnsi="仿宋" w:eastAsia="仿宋" w:cs="仿宋"/>
          <w:b/>
          <w:bCs/>
          <w:color w:val="auto"/>
          <w:sz w:val="32"/>
          <w:szCs w:val="44"/>
          <w:highlight w:val="none"/>
        </w:rPr>
        <w:br w:type="page"/>
      </w:r>
    </w:p>
    <w:p w14:paraId="0199CB6E">
      <w:pPr>
        <w:jc w:val="center"/>
        <w:outlineLvl w:val="1"/>
        <w:rPr>
          <w:rFonts w:ascii="仿宋" w:hAnsi="仿宋" w:eastAsia="仿宋" w:cs="仿宋"/>
          <w:b/>
          <w:bCs/>
          <w:color w:val="auto"/>
          <w:sz w:val="32"/>
          <w:szCs w:val="44"/>
          <w:highlight w:val="none"/>
        </w:rPr>
      </w:pPr>
      <w:bookmarkStart w:id="108" w:name="_Toc3245"/>
      <w:bookmarkStart w:id="109" w:name="_Toc1575"/>
      <w:bookmarkStart w:id="110" w:name="_Toc8315"/>
      <w:r>
        <w:rPr>
          <w:rFonts w:hint="eastAsia" w:ascii="仿宋" w:hAnsi="仿宋" w:eastAsia="仿宋" w:cs="仿宋"/>
          <w:b/>
          <w:bCs/>
          <w:color w:val="auto"/>
          <w:sz w:val="32"/>
          <w:szCs w:val="44"/>
          <w:highlight w:val="none"/>
        </w:rPr>
        <w:t>质疑函范本</w:t>
      </w:r>
      <w:bookmarkEnd w:id="108"/>
      <w:bookmarkEnd w:id="109"/>
      <w:bookmarkEnd w:id="110"/>
    </w:p>
    <w:p w14:paraId="5906BD0D">
      <w:pPr>
        <w:adjustRightInd w:val="0"/>
        <w:snapToGrid w:val="0"/>
        <w:spacing w:before="312" w:beforeLines="100" w:line="360" w:lineRule="auto"/>
        <w:outlineLvl w:val="9"/>
        <w:rPr>
          <w:rFonts w:cs="仿宋" w:asciiTheme="minorEastAsia" w:hAnsiTheme="minorEastAsia" w:eastAsiaTheme="minorEastAsia"/>
          <w:b/>
          <w:bCs/>
          <w:color w:val="auto"/>
          <w:sz w:val="24"/>
          <w:szCs w:val="24"/>
          <w:highlight w:val="none"/>
        </w:rPr>
      </w:pPr>
      <w:bookmarkStart w:id="111" w:name="_Toc21381"/>
      <w:r>
        <w:rPr>
          <w:rFonts w:hint="eastAsia" w:cs="仿宋" w:asciiTheme="minorEastAsia" w:hAnsiTheme="minorEastAsia" w:eastAsiaTheme="minorEastAsia"/>
          <w:b/>
          <w:bCs/>
          <w:color w:val="auto"/>
          <w:sz w:val="24"/>
          <w:szCs w:val="24"/>
          <w:highlight w:val="none"/>
        </w:rPr>
        <w:t>一、质疑供应商基本信息</w:t>
      </w:r>
      <w:bookmarkEnd w:id="111"/>
    </w:p>
    <w:p w14:paraId="68047752">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质疑供应商：</w:t>
      </w:r>
      <w:r>
        <w:rPr>
          <w:rFonts w:hint="eastAsia" w:cs="仿宋" w:asciiTheme="minorEastAsia" w:hAnsiTheme="minorEastAsia" w:eastAsiaTheme="minorEastAsia"/>
          <w:color w:val="auto"/>
          <w:sz w:val="24"/>
          <w:szCs w:val="24"/>
          <w:highlight w:val="none"/>
          <w:u w:val="dotted"/>
        </w:rPr>
        <w:t xml:space="preserve">                                        </w:t>
      </w:r>
    </w:p>
    <w:p w14:paraId="0D9EA64E">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1E5CB7F5">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联系人：</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p>
    <w:p w14:paraId="24B15109">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授权代表：</w:t>
      </w:r>
      <w:r>
        <w:rPr>
          <w:rFonts w:hint="eastAsia" w:cs="仿宋" w:asciiTheme="minorEastAsia" w:hAnsiTheme="minorEastAsia" w:eastAsiaTheme="minorEastAsia"/>
          <w:color w:val="auto"/>
          <w:sz w:val="24"/>
          <w:szCs w:val="24"/>
          <w:highlight w:val="none"/>
          <w:u w:val="dotted"/>
        </w:rPr>
        <w:t xml:space="preserve">                                          </w:t>
      </w:r>
    </w:p>
    <w:p w14:paraId="0E96A2A3">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r>
        <w:rPr>
          <w:rFonts w:cs="仿宋" w:asciiTheme="minorEastAsia" w:hAnsiTheme="minorEastAsia" w:eastAsiaTheme="minorEastAsia"/>
          <w:color w:val="auto"/>
          <w:sz w:val="24"/>
          <w:szCs w:val="24"/>
          <w:highlight w:val="none"/>
        </w:rPr>
        <w:t xml:space="preserve"> </w:t>
      </w:r>
    </w:p>
    <w:p w14:paraId="562081D1">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cs="仿宋" w:asciiTheme="minorEastAsia" w:hAnsiTheme="minorEastAsia" w:eastAsiaTheme="minorEastAsia"/>
          <w:color w:val="auto"/>
          <w:sz w:val="24"/>
          <w:szCs w:val="24"/>
          <w:highlight w:val="none"/>
        </w:rPr>
        <w:t xml:space="preserve"> </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4D320F33">
      <w:pPr>
        <w:adjustRightInd w:val="0"/>
        <w:snapToGrid w:val="0"/>
        <w:spacing w:line="360" w:lineRule="auto"/>
        <w:outlineLvl w:val="9"/>
        <w:rPr>
          <w:rFonts w:cs="仿宋" w:asciiTheme="minorEastAsia" w:hAnsiTheme="minorEastAsia" w:eastAsiaTheme="minorEastAsia"/>
          <w:b/>
          <w:bCs/>
          <w:color w:val="auto"/>
          <w:sz w:val="24"/>
          <w:szCs w:val="24"/>
          <w:highlight w:val="none"/>
        </w:rPr>
      </w:pPr>
      <w:bookmarkStart w:id="112" w:name="_Toc28415"/>
      <w:r>
        <w:rPr>
          <w:rFonts w:hint="eastAsia" w:cs="仿宋" w:asciiTheme="minorEastAsia" w:hAnsiTheme="minorEastAsia" w:eastAsiaTheme="minorEastAsia"/>
          <w:b/>
          <w:bCs/>
          <w:color w:val="auto"/>
          <w:sz w:val="24"/>
          <w:szCs w:val="24"/>
          <w:highlight w:val="none"/>
        </w:rPr>
        <w:t>二、质疑项目基本情况</w:t>
      </w:r>
      <w:bookmarkEnd w:id="112"/>
    </w:p>
    <w:p w14:paraId="2860C142">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质疑项目的名称：</w:t>
      </w:r>
      <w:r>
        <w:rPr>
          <w:rFonts w:hint="eastAsia" w:cs="仿宋" w:asciiTheme="minorEastAsia" w:hAnsiTheme="minorEastAsia" w:eastAsiaTheme="minorEastAsia"/>
          <w:color w:val="auto"/>
          <w:sz w:val="24"/>
          <w:szCs w:val="24"/>
          <w:highlight w:val="none"/>
          <w:u w:val="dotted"/>
        </w:rPr>
        <w:t xml:space="preserve">                                      </w:t>
      </w:r>
    </w:p>
    <w:p w14:paraId="502647AD">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质疑项目的编号：</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包号：</w:t>
      </w:r>
      <w:r>
        <w:rPr>
          <w:rFonts w:hint="eastAsia" w:cs="仿宋" w:asciiTheme="minorEastAsia" w:hAnsiTheme="minorEastAsia" w:eastAsiaTheme="minorEastAsia"/>
          <w:color w:val="auto"/>
          <w:sz w:val="24"/>
          <w:szCs w:val="24"/>
          <w:highlight w:val="none"/>
          <w:u w:val="dotted"/>
        </w:rPr>
        <w:t xml:space="preserve">                 </w:t>
      </w:r>
    </w:p>
    <w:p w14:paraId="15DBDEA2">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采购人名称：</w:t>
      </w:r>
      <w:r>
        <w:rPr>
          <w:rFonts w:hint="eastAsia" w:cs="仿宋" w:asciiTheme="minorEastAsia" w:hAnsiTheme="minorEastAsia" w:eastAsiaTheme="minorEastAsia"/>
          <w:color w:val="auto"/>
          <w:sz w:val="24"/>
          <w:szCs w:val="24"/>
          <w:highlight w:val="none"/>
          <w:u w:val="dotted"/>
        </w:rPr>
        <w:t xml:space="preserve">                                         </w:t>
      </w:r>
    </w:p>
    <w:p w14:paraId="2D0895B0">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采购文件获取日期：</w:t>
      </w:r>
      <w:r>
        <w:rPr>
          <w:rFonts w:hint="eastAsia" w:cs="仿宋" w:asciiTheme="minorEastAsia" w:hAnsiTheme="minorEastAsia" w:eastAsiaTheme="minorEastAsia"/>
          <w:color w:val="auto"/>
          <w:sz w:val="24"/>
          <w:szCs w:val="24"/>
          <w:highlight w:val="none"/>
          <w:u w:val="dotted"/>
        </w:rPr>
        <w:t xml:space="preserve">                                           </w:t>
      </w:r>
    </w:p>
    <w:p w14:paraId="50ED8362">
      <w:pPr>
        <w:adjustRightInd w:val="0"/>
        <w:snapToGrid w:val="0"/>
        <w:spacing w:line="360" w:lineRule="auto"/>
        <w:outlineLvl w:val="9"/>
        <w:rPr>
          <w:rFonts w:cs="仿宋" w:asciiTheme="minorEastAsia" w:hAnsiTheme="minorEastAsia" w:eastAsiaTheme="minorEastAsia"/>
          <w:b/>
          <w:bCs/>
          <w:color w:val="auto"/>
          <w:sz w:val="24"/>
          <w:szCs w:val="24"/>
          <w:highlight w:val="none"/>
        </w:rPr>
      </w:pPr>
      <w:bookmarkStart w:id="113" w:name="_Toc19014"/>
      <w:r>
        <w:rPr>
          <w:rFonts w:hint="eastAsia" w:cs="仿宋" w:asciiTheme="minorEastAsia" w:hAnsiTheme="minorEastAsia" w:eastAsiaTheme="minorEastAsia"/>
          <w:b/>
          <w:bCs/>
          <w:color w:val="auto"/>
          <w:sz w:val="24"/>
          <w:szCs w:val="24"/>
          <w:highlight w:val="none"/>
        </w:rPr>
        <w:t>三、质疑事项具体内容</w:t>
      </w:r>
      <w:bookmarkEnd w:id="113"/>
    </w:p>
    <w:p w14:paraId="7A46C700">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质疑事项1：</w:t>
      </w:r>
      <w:r>
        <w:rPr>
          <w:rFonts w:hint="eastAsia" w:cs="仿宋" w:asciiTheme="minorEastAsia" w:hAnsiTheme="minorEastAsia" w:eastAsiaTheme="minorEastAsia"/>
          <w:color w:val="auto"/>
          <w:sz w:val="24"/>
          <w:szCs w:val="24"/>
          <w:highlight w:val="none"/>
          <w:u w:val="dotted"/>
        </w:rPr>
        <w:t xml:space="preserve">                                         </w:t>
      </w:r>
    </w:p>
    <w:p w14:paraId="68D20E32">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事实依据：</w:t>
      </w:r>
      <w:r>
        <w:rPr>
          <w:rFonts w:hint="eastAsia" w:cs="仿宋" w:asciiTheme="minorEastAsia" w:hAnsiTheme="minorEastAsia" w:eastAsiaTheme="minorEastAsia"/>
          <w:color w:val="auto"/>
          <w:sz w:val="24"/>
          <w:szCs w:val="24"/>
          <w:highlight w:val="none"/>
          <w:u w:val="dotted"/>
        </w:rPr>
        <w:t xml:space="preserve">                                          </w:t>
      </w:r>
    </w:p>
    <w:p w14:paraId="00C02678">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u w:val="dotted"/>
        </w:rPr>
        <w:t xml:space="preserve">                                                       </w:t>
      </w:r>
    </w:p>
    <w:p w14:paraId="0E2259F0">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法律依据：</w:t>
      </w:r>
      <w:r>
        <w:rPr>
          <w:rFonts w:hint="eastAsia" w:cs="仿宋" w:asciiTheme="minorEastAsia" w:hAnsiTheme="minorEastAsia" w:eastAsiaTheme="minorEastAsia"/>
          <w:color w:val="auto"/>
          <w:sz w:val="24"/>
          <w:szCs w:val="24"/>
          <w:highlight w:val="none"/>
          <w:u w:val="dotted"/>
        </w:rPr>
        <w:t xml:space="preserve">                                          </w:t>
      </w:r>
    </w:p>
    <w:p w14:paraId="2B034B40">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u w:val="dotted"/>
        </w:rPr>
        <w:t xml:space="preserve">                                                     </w:t>
      </w:r>
    </w:p>
    <w:p w14:paraId="7785DD7F">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质疑事项2</w:t>
      </w:r>
    </w:p>
    <w:p w14:paraId="562F2234">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44CD7DF7">
      <w:pPr>
        <w:adjustRightInd w:val="0"/>
        <w:snapToGrid w:val="0"/>
        <w:spacing w:line="360" w:lineRule="auto"/>
        <w:outlineLvl w:val="9"/>
        <w:rPr>
          <w:rFonts w:cs="仿宋" w:asciiTheme="minorEastAsia" w:hAnsiTheme="minorEastAsia" w:eastAsiaTheme="minorEastAsia"/>
          <w:b/>
          <w:bCs/>
          <w:color w:val="auto"/>
          <w:sz w:val="24"/>
          <w:szCs w:val="24"/>
          <w:highlight w:val="none"/>
        </w:rPr>
      </w:pPr>
      <w:bookmarkStart w:id="114" w:name="_Toc17919"/>
      <w:r>
        <w:rPr>
          <w:rFonts w:hint="eastAsia" w:cs="仿宋" w:asciiTheme="minorEastAsia" w:hAnsiTheme="minorEastAsia" w:eastAsiaTheme="minorEastAsia"/>
          <w:b/>
          <w:bCs/>
          <w:color w:val="auto"/>
          <w:sz w:val="24"/>
          <w:szCs w:val="24"/>
          <w:highlight w:val="none"/>
        </w:rPr>
        <w:t>四、与质疑事项相关的质疑请求</w:t>
      </w:r>
      <w:bookmarkEnd w:id="114"/>
    </w:p>
    <w:p w14:paraId="18CD4FCB">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请求：</w:t>
      </w:r>
      <w:r>
        <w:rPr>
          <w:rFonts w:hint="eastAsia" w:cs="仿宋" w:asciiTheme="minorEastAsia" w:hAnsiTheme="minorEastAsia" w:eastAsiaTheme="minorEastAsia"/>
          <w:color w:val="auto"/>
          <w:sz w:val="24"/>
          <w:szCs w:val="24"/>
          <w:highlight w:val="none"/>
          <w:u w:val="dotted"/>
        </w:rPr>
        <w:t xml:space="preserve">                                               </w:t>
      </w:r>
    </w:p>
    <w:p w14:paraId="75373188">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签字(签章)：                   公章：                      </w:t>
      </w:r>
    </w:p>
    <w:p w14:paraId="066F4DAB">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日期：    </w:t>
      </w:r>
    </w:p>
    <w:p w14:paraId="4D174E90">
      <w:pPr>
        <w:widowControl/>
        <w:jc w:val="left"/>
        <w:rPr>
          <w:rFonts w:ascii="仿宋" w:hAnsi="仿宋" w:eastAsia="仿宋" w:cs="仿宋"/>
          <w:color w:val="auto"/>
          <w:sz w:val="32"/>
          <w:szCs w:val="32"/>
          <w:highlight w:val="none"/>
        </w:rPr>
      </w:pPr>
      <w:r>
        <w:rPr>
          <w:rFonts w:ascii="仿宋" w:hAnsi="仿宋" w:eastAsia="仿宋" w:cs="仿宋"/>
          <w:color w:val="auto"/>
          <w:sz w:val="32"/>
          <w:szCs w:val="32"/>
          <w:highlight w:val="none"/>
        </w:rPr>
        <w:br w:type="page"/>
      </w:r>
    </w:p>
    <w:p w14:paraId="1CC46BFA">
      <w:pPr>
        <w:outlineLvl w:val="0"/>
        <w:rPr>
          <w:rFonts w:asciiTheme="minorEastAsia" w:hAnsiTheme="minorEastAsia" w:eastAsiaTheme="minorEastAsia"/>
          <w:b/>
          <w:color w:val="auto"/>
          <w:sz w:val="28"/>
          <w:szCs w:val="32"/>
          <w:highlight w:val="none"/>
        </w:rPr>
      </w:pPr>
      <w:bookmarkStart w:id="115" w:name="_Toc9754"/>
      <w:bookmarkStart w:id="116" w:name="_Toc6045"/>
      <w:bookmarkStart w:id="117" w:name="_Toc26836"/>
      <w:r>
        <w:rPr>
          <w:rFonts w:hint="eastAsia" w:asciiTheme="minorEastAsia" w:hAnsiTheme="minorEastAsia" w:eastAsiaTheme="minorEastAsia"/>
          <w:b/>
          <w:color w:val="auto"/>
          <w:sz w:val="28"/>
          <w:szCs w:val="32"/>
          <w:highlight w:val="none"/>
        </w:rPr>
        <w:t>质疑函制作说明：</w:t>
      </w:r>
      <w:bookmarkEnd w:id="115"/>
      <w:bookmarkEnd w:id="116"/>
      <w:bookmarkEnd w:id="117"/>
    </w:p>
    <w:p w14:paraId="72184C8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1.供应商提出质疑时，应提交质疑函和必要的证明材料。</w:t>
      </w:r>
    </w:p>
    <w:p w14:paraId="1FEB506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0658EA3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3.质疑供应商若对项目的某一分包进行质疑，质疑函中应列明具体分包号。</w:t>
      </w:r>
    </w:p>
    <w:p w14:paraId="33684A6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4.质疑函的质疑事项应具体、明确，并有必要的事实依据和法律依据。</w:t>
      </w:r>
    </w:p>
    <w:p w14:paraId="42446CC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5.质疑函的质疑请求应与质疑事项相关。</w:t>
      </w:r>
    </w:p>
    <w:p w14:paraId="186B405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6.质疑供应商为自然人的，质疑函应由本人签字；质疑供应商为法人或者其他组织的，质疑函应由法定代表人、主要负责人，或者其授权代表签字或者盖章，并加盖公章。</w:t>
      </w:r>
    </w:p>
    <w:sectPr>
      <w:footerReference r:id="rId5" w:type="default"/>
      <w:pgSz w:w="11906" w:h="16838"/>
      <w:pgMar w:top="1417" w:right="1417" w:bottom="1417" w:left="1417"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2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4F3C28FB-A52A-4CFE-9A41-EFE5D8F903E2}"/>
  </w:font>
  <w:font w:name="Arial">
    <w:panose1 w:val="020B0604020202020204"/>
    <w:charset w:val="01"/>
    <w:family w:val="swiss"/>
    <w:pitch w:val="default"/>
    <w:sig w:usb0="E0002EFF" w:usb1="C000785B" w:usb2="00000009" w:usb3="00000000" w:csb0="400001FF" w:csb1="FFFF0000"/>
    <w:embedRegular r:id="rId2" w:fontKey="{5A58B330-F32A-44C8-8021-82D2C251932B}"/>
  </w:font>
  <w:font w:name="黑体">
    <w:panose1 w:val="02010609060101010101"/>
    <w:charset w:val="86"/>
    <w:family w:val="auto"/>
    <w:pitch w:val="default"/>
    <w:sig w:usb0="800002BF" w:usb1="38CF7CFA" w:usb2="00000016" w:usb3="00000000" w:csb0="00040001" w:csb1="00000000"/>
    <w:embedRegular r:id="rId3" w:fontKey="{E7A654D6-BC44-4AB4-8055-244B95F4AF8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4" w:fontKey="{5E0791BE-4AF1-4457-A146-550817194204}"/>
  </w:font>
  <w:font w:name="@仿宋_GB2312">
    <w:altName w:val="仿宋"/>
    <w:panose1 w:val="02010609030101010101"/>
    <w:charset w:val="86"/>
    <w:family w:val="modern"/>
    <w:pitch w:val="default"/>
    <w:sig w:usb0="00000000" w:usb1="00000000" w:usb2="00000000" w:usb3="00000000" w:csb0="00040000" w:csb1="00000000"/>
    <w:embedRegular r:id="rId5" w:fontKey="{ED5ADCDE-24D9-4711-A2CD-B90D2C047F81}"/>
  </w:font>
  <w:font w:name="仿宋">
    <w:panose1 w:val="02010609060101010101"/>
    <w:charset w:val="86"/>
    <w:family w:val="modern"/>
    <w:pitch w:val="default"/>
    <w:sig w:usb0="800002BF" w:usb1="38CF7CFA" w:usb2="00000016" w:usb3="00000000" w:csb0="00040001" w:csb1="00000000"/>
    <w:embedRegular r:id="rId6" w:fontKey="{E0A1F3DF-EFB0-4CB5-BFF9-5A230DBD6516}"/>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203" w:usb1="288F0000" w:usb2="0000000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ctionIcon ! important">
    <w:altName w:val="Segoe Print"/>
    <w:panose1 w:val="00000000000000000000"/>
    <w:charset w:val="00"/>
    <w:family w:val="auto"/>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华文楷体">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embedRegular r:id="rId7" w:fontKey="{0F0C0A29-C16D-4D95-9BC1-83469A5A0D01}"/>
  </w:font>
  <w:font w:name="方正楷体_GB2312">
    <w:panose1 w:val="02000000000000000000"/>
    <w:charset w:val="86"/>
    <w:family w:val="auto"/>
    <w:pitch w:val="default"/>
    <w:sig w:usb0="A00002BF" w:usb1="184F6CFA" w:usb2="00000012" w:usb3="00000000" w:csb0="00040001" w:csb1="00000000"/>
    <w:embedRegular r:id="rId8" w:fontKey="{61A8124A-D6EE-4382-882D-E1FAAFE0391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53CACA">
    <w:pPr>
      <w:spacing w:line="189" w:lineRule="auto"/>
      <w:ind w:left="4430"/>
      <w:rPr>
        <w:rFonts w:ascii="Arial" w:hAnsi="Arial" w:eastAsia="Arial" w:cs="Arial"/>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137FE3">
    <w:pPr>
      <w:pStyle w:val="15"/>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E20048">
                          <w:pPr>
                            <w:pStyle w:val="15"/>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9E20048">
                    <w:pPr>
                      <w:pStyle w:val="15"/>
                    </w:pPr>
                    <w:r>
                      <w:fldChar w:fldCharType="begin"/>
                    </w:r>
                    <w:r>
                      <w:instrText xml:space="preserve"> PAGE  \* MERGEFORMAT </w:instrText>
                    </w:r>
                    <w:r>
                      <w:fldChar w:fldCharType="separate"/>
                    </w:r>
                    <w:r>
                      <w:t>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E5F213">
    <w:pPr>
      <w:pStyle w:val="17"/>
      <w:jc w:val="left"/>
      <w:rPr>
        <w:rFonts w:hint="eastAsia"/>
      </w:rPr>
    </w:pPr>
    <w:r>
      <w:rPr>
        <w:rFonts w:hint="eastAsia" w:asciiTheme="minorEastAsia" w:hAnsiTheme="minorEastAsia" w:eastAsiaTheme="minorEastAsia"/>
        <w:lang w:val="en-US" w:eastAsia="zh-CN"/>
      </w:rPr>
      <w:t>安徽省</w:t>
    </w:r>
    <w:r>
      <w:rPr>
        <w:rFonts w:hint="eastAsia" w:asciiTheme="minorEastAsia" w:hAnsiTheme="minorEastAsia" w:eastAsiaTheme="minorEastAsia"/>
      </w:rPr>
      <w:t>政府采购</w:t>
    </w:r>
    <w:r>
      <w:rPr>
        <w:rFonts w:hint="eastAsia" w:asciiTheme="minorEastAsia" w:hAnsiTheme="minorEastAsia" w:eastAsiaTheme="minorEastAsia"/>
        <w:lang w:eastAsia="zh-CN"/>
      </w:rPr>
      <w:t>项目公开</w:t>
    </w:r>
    <w:r>
      <w:rPr>
        <w:rFonts w:hint="eastAsia" w:asciiTheme="minorEastAsia" w:hAnsiTheme="minorEastAsia" w:eastAsiaTheme="minorEastAsia"/>
      </w:rPr>
      <w:t>招标文件</w:t>
    </w:r>
    <w:r>
      <w:rPr>
        <w:rFonts w:hint="eastAsia" w:asciiTheme="minorEastAsia" w:hAnsiTheme="minorEastAsia" w:eastAsiaTheme="minorEastAsia"/>
        <w:lang w:eastAsia="zh-CN"/>
      </w:rPr>
      <w:t>示范文本（</w:t>
    </w:r>
    <w:r>
      <w:rPr>
        <w:rFonts w:hint="eastAsia" w:asciiTheme="minorEastAsia" w:hAnsiTheme="minorEastAsia" w:eastAsiaTheme="minorEastAsia"/>
        <w:lang w:val="en-US" w:eastAsia="zh-CN"/>
      </w:rPr>
      <w:t>货物类</w:t>
    </w:r>
    <w:r>
      <w:rPr>
        <w:rFonts w:hint="eastAsia" w:asciiTheme="minorEastAsia" w:hAnsiTheme="minorEastAsia" w:eastAsiaTheme="minorEastAsia"/>
        <w:lang w:eastAsia="zh-CN"/>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7FCE20"/>
    <w:multiLevelType w:val="singleLevel"/>
    <w:tmpl w:val="087FCE20"/>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VlYjQzMDhiYzA3NWZlODA5OTkxMDRiNDU3ZjExNjEifQ=="/>
  </w:docVars>
  <w:rsids>
    <w:rsidRoot w:val="00276BA1"/>
    <w:rsid w:val="0000043F"/>
    <w:rsid w:val="00003F56"/>
    <w:rsid w:val="000049DA"/>
    <w:rsid w:val="00004F40"/>
    <w:rsid w:val="000056B7"/>
    <w:rsid w:val="00012A13"/>
    <w:rsid w:val="000131F7"/>
    <w:rsid w:val="00016B6C"/>
    <w:rsid w:val="00017EC7"/>
    <w:rsid w:val="00020B57"/>
    <w:rsid w:val="00033B5B"/>
    <w:rsid w:val="00037DBE"/>
    <w:rsid w:val="00042139"/>
    <w:rsid w:val="00042B14"/>
    <w:rsid w:val="00044347"/>
    <w:rsid w:val="00044F49"/>
    <w:rsid w:val="000450C3"/>
    <w:rsid w:val="00046AFF"/>
    <w:rsid w:val="00050A3F"/>
    <w:rsid w:val="000530EC"/>
    <w:rsid w:val="000544DE"/>
    <w:rsid w:val="000648D2"/>
    <w:rsid w:val="00070E0E"/>
    <w:rsid w:val="00076DB7"/>
    <w:rsid w:val="00080B7B"/>
    <w:rsid w:val="00080FEB"/>
    <w:rsid w:val="00081B81"/>
    <w:rsid w:val="000868D6"/>
    <w:rsid w:val="000942BA"/>
    <w:rsid w:val="00094D41"/>
    <w:rsid w:val="00097CB9"/>
    <w:rsid w:val="000A3569"/>
    <w:rsid w:val="000A4640"/>
    <w:rsid w:val="000A6345"/>
    <w:rsid w:val="000A6693"/>
    <w:rsid w:val="000A6B73"/>
    <w:rsid w:val="000A7D94"/>
    <w:rsid w:val="000B1511"/>
    <w:rsid w:val="000B54F4"/>
    <w:rsid w:val="000C1DB1"/>
    <w:rsid w:val="000D3F37"/>
    <w:rsid w:val="000D431F"/>
    <w:rsid w:val="000E2208"/>
    <w:rsid w:val="000E3C74"/>
    <w:rsid w:val="000E3F9B"/>
    <w:rsid w:val="000E6689"/>
    <w:rsid w:val="000F00A3"/>
    <w:rsid w:val="000F014C"/>
    <w:rsid w:val="000F172B"/>
    <w:rsid w:val="000F1C24"/>
    <w:rsid w:val="000F2198"/>
    <w:rsid w:val="000F39B6"/>
    <w:rsid w:val="000F6B7B"/>
    <w:rsid w:val="00100B0F"/>
    <w:rsid w:val="0010187C"/>
    <w:rsid w:val="001037E3"/>
    <w:rsid w:val="00110911"/>
    <w:rsid w:val="00116A70"/>
    <w:rsid w:val="0012143A"/>
    <w:rsid w:val="001222C6"/>
    <w:rsid w:val="00136D80"/>
    <w:rsid w:val="00137C7C"/>
    <w:rsid w:val="00140687"/>
    <w:rsid w:val="00141707"/>
    <w:rsid w:val="00142AAF"/>
    <w:rsid w:val="00146421"/>
    <w:rsid w:val="001467FF"/>
    <w:rsid w:val="001479CF"/>
    <w:rsid w:val="00150567"/>
    <w:rsid w:val="00155F64"/>
    <w:rsid w:val="00157148"/>
    <w:rsid w:val="00157856"/>
    <w:rsid w:val="00160729"/>
    <w:rsid w:val="00160D83"/>
    <w:rsid w:val="001644D1"/>
    <w:rsid w:val="00164D27"/>
    <w:rsid w:val="00166ED8"/>
    <w:rsid w:val="001714C9"/>
    <w:rsid w:val="001754E2"/>
    <w:rsid w:val="00177DAF"/>
    <w:rsid w:val="0018119B"/>
    <w:rsid w:val="001812B3"/>
    <w:rsid w:val="00181D07"/>
    <w:rsid w:val="001826D0"/>
    <w:rsid w:val="00183344"/>
    <w:rsid w:val="00183897"/>
    <w:rsid w:val="001844AB"/>
    <w:rsid w:val="00190F1F"/>
    <w:rsid w:val="001944B8"/>
    <w:rsid w:val="00195399"/>
    <w:rsid w:val="00196DA3"/>
    <w:rsid w:val="00197AC4"/>
    <w:rsid w:val="001A0DCD"/>
    <w:rsid w:val="001A5D34"/>
    <w:rsid w:val="001A68E5"/>
    <w:rsid w:val="001B21DF"/>
    <w:rsid w:val="001B2A54"/>
    <w:rsid w:val="001B5014"/>
    <w:rsid w:val="001B7327"/>
    <w:rsid w:val="001C1409"/>
    <w:rsid w:val="001C67F2"/>
    <w:rsid w:val="001D53B4"/>
    <w:rsid w:val="001E744D"/>
    <w:rsid w:val="001F28D2"/>
    <w:rsid w:val="001F2F45"/>
    <w:rsid w:val="001F3023"/>
    <w:rsid w:val="001F35F6"/>
    <w:rsid w:val="001F74CA"/>
    <w:rsid w:val="002003B6"/>
    <w:rsid w:val="002020CB"/>
    <w:rsid w:val="002049B4"/>
    <w:rsid w:val="0020520B"/>
    <w:rsid w:val="00213C55"/>
    <w:rsid w:val="002163CF"/>
    <w:rsid w:val="002168C4"/>
    <w:rsid w:val="002178B1"/>
    <w:rsid w:val="00223CF4"/>
    <w:rsid w:val="00224C4A"/>
    <w:rsid w:val="002338E2"/>
    <w:rsid w:val="0023407E"/>
    <w:rsid w:val="00240B40"/>
    <w:rsid w:val="002440D8"/>
    <w:rsid w:val="00244182"/>
    <w:rsid w:val="00245F65"/>
    <w:rsid w:val="00246810"/>
    <w:rsid w:val="00260860"/>
    <w:rsid w:val="00260B94"/>
    <w:rsid w:val="00264F2E"/>
    <w:rsid w:val="00271245"/>
    <w:rsid w:val="00272E6E"/>
    <w:rsid w:val="00274A9E"/>
    <w:rsid w:val="00276292"/>
    <w:rsid w:val="00276BA1"/>
    <w:rsid w:val="00277094"/>
    <w:rsid w:val="00286BB6"/>
    <w:rsid w:val="002A1A1D"/>
    <w:rsid w:val="002A28AD"/>
    <w:rsid w:val="002A3AEE"/>
    <w:rsid w:val="002A400A"/>
    <w:rsid w:val="002B08E7"/>
    <w:rsid w:val="002B0C18"/>
    <w:rsid w:val="002B5318"/>
    <w:rsid w:val="002B5373"/>
    <w:rsid w:val="002B6D27"/>
    <w:rsid w:val="002C3776"/>
    <w:rsid w:val="002C4BA9"/>
    <w:rsid w:val="002D1258"/>
    <w:rsid w:val="002D128A"/>
    <w:rsid w:val="002D2965"/>
    <w:rsid w:val="002D3D02"/>
    <w:rsid w:val="002D4CB5"/>
    <w:rsid w:val="002D684B"/>
    <w:rsid w:val="002E3B26"/>
    <w:rsid w:val="002E4AB8"/>
    <w:rsid w:val="002F092B"/>
    <w:rsid w:val="002F5981"/>
    <w:rsid w:val="002F72EE"/>
    <w:rsid w:val="00310070"/>
    <w:rsid w:val="003110EC"/>
    <w:rsid w:val="00313029"/>
    <w:rsid w:val="00324D38"/>
    <w:rsid w:val="00327C92"/>
    <w:rsid w:val="0033245B"/>
    <w:rsid w:val="00333292"/>
    <w:rsid w:val="003344E7"/>
    <w:rsid w:val="0033580B"/>
    <w:rsid w:val="0033628B"/>
    <w:rsid w:val="003365E7"/>
    <w:rsid w:val="003378D5"/>
    <w:rsid w:val="003419E9"/>
    <w:rsid w:val="003447AE"/>
    <w:rsid w:val="003473D7"/>
    <w:rsid w:val="00351AC8"/>
    <w:rsid w:val="00353075"/>
    <w:rsid w:val="00363E02"/>
    <w:rsid w:val="00373A96"/>
    <w:rsid w:val="003826C2"/>
    <w:rsid w:val="00383728"/>
    <w:rsid w:val="00383B8D"/>
    <w:rsid w:val="00391586"/>
    <w:rsid w:val="00394128"/>
    <w:rsid w:val="003947A4"/>
    <w:rsid w:val="00395235"/>
    <w:rsid w:val="0039561A"/>
    <w:rsid w:val="00397C7D"/>
    <w:rsid w:val="003A004F"/>
    <w:rsid w:val="003B4130"/>
    <w:rsid w:val="003B67D3"/>
    <w:rsid w:val="003B6C76"/>
    <w:rsid w:val="003B715B"/>
    <w:rsid w:val="003C4630"/>
    <w:rsid w:val="003D1D14"/>
    <w:rsid w:val="003D6C7C"/>
    <w:rsid w:val="003D6EFB"/>
    <w:rsid w:val="003D7E52"/>
    <w:rsid w:val="003E25C6"/>
    <w:rsid w:val="003E6BEB"/>
    <w:rsid w:val="003F145B"/>
    <w:rsid w:val="003F2122"/>
    <w:rsid w:val="003F326A"/>
    <w:rsid w:val="004011AA"/>
    <w:rsid w:val="0040202C"/>
    <w:rsid w:val="00406508"/>
    <w:rsid w:val="0041456E"/>
    <w:rsid w:val="00414F7E"/>
    <w:rsid w:val="004164F8"/>
    <w:rsid w:val="00417FD0"/>
    <w:rsid w:val="00420B7F"/>
    <w:rsid w:val="004234BA"/>
    <w:rsid w:val="0042488B"/>
    <w:rsid w:val="004427B7"/>
    <w:rsid w:val="0044349F"/>
    <w:rsid w:val="00445F1F"/>
    <w:rsid w:val="00451F60"/>
    <w:rsid w:val="00452BB2"/>
    <w:rsid w:val="00455467"/>
    <w:rsid w:val="0045656D"/>
    <w:rsid w:val="00462D98"/>
    <w:rsid w:val="00472A44"/>
    <w:rsid w:val="00473A89"/>
    <w:rsid w:val="00474D3B"/>
    <w:rsid w:val="00475899"/>
    <w:rsid w:val="004802A8"/>
    <w:rsid w:val="00482C78"/>
    <w:rsid w:val="004874AE"/>
    <w:rsid w:val="00492E2B"/>
    <w:rsid w:val="00494D24"/>
    <w:rsid w:val="004951D1"/>
    <w:rsid w:val="004A27D0"/>
    <w:rsid w:val="004A4D67"/>
    <w:rsid w:val="004A6FD2"/>
    <w:rsid w:val="004B2D4C"/>
    <w:rsid w:val="004C7378"/>
    <w:rsid w:val="004D1030"/>
    <w:rsid w:val="004D3D4B"/>
    <w:rsid w:val="004D5498"/>
    <w:rsid w:val="004D66A5"/>
    <w:rsid w:val="004D6B00"/>
    <w:rsid w:val="004D7951"/>
    <w:rsid w:val="004E0AE0"/>
    <w:rsid w:val="004E1D50"/>
    <w:rsid w:val="004E502F"/>
    <w:rsid w:val="004F0396"/>
    <w:rsid w:val="00501382"/>
    <w:rsid w:val="00503E2F"/>
    <w:rsid w:val="005054B9"/>
    <w:rsid w:val="00506E4F"/>
    <w:rsid w:val="00510798"/>
    <w:rsid w:val="00514ED8"/>
    <w:rsid w:val="00515F12"/>
    <w:rsid w:val="00522B2E"/>
    <w:rsid w:val="00524A11"/>
    <w:rsid w:val="00527768"/>
    <w:rsid w:val="005327FB"/>
    <w:rsid w:val="00533FCA"/>
    <w:rsid w:val="00541C0B"/>
    <w:rsid w:val="0054317E"/>
    <w:rsid w:val="00544C2A"/>
    <w:rsid w:val="00546D49"/>
    <w:rsid w:val="00556D4C"/>
    <w:rsid w:val="005614B4"/>
    <w:rsid w:val="005616B5"/>
    <w:rsid w:val="00571315"/>
    <w:rsid w:val="00582075"/>
    <w:rsid w:val="00584A63"/>
    <w:rsid w:val="00585EB3"/>
    <w:rsid w:val="00591688"/>
    <w:rsid w:val="00592509"/>
    <w:rsid w:val="00594986"/>
    <w:rsid w:val="00597B15"/>
    <w:rsid w:val="005A044C"/>
    <w:rsid w:val="005B5C95"/>
    <w:rsid w:val="005B6740"/>
    <w:rsid w:val="005D0200"/>
    <w:rsid w:val="005D44EF"/>
    <w:rsid w:val="005D4814"/>
    <w:rsid w:val="005D5112"/>
    <w:rsid w:val="005F03E3"/>
    <w:rsid w:val="005F3914"/>
    <w:rsid w:val="005F3B5A"/>
    <w:rsid w:val="005F6AB4"/>
    <w:rsid w:val="00610A66"/>
    <w:rsid w:val="00613177"/>
    <w:rsid w:val="00613F7C"/>
    <w:rsid w:val="00614BF2"/>
    <w:rsid w:val="0061618E"/>
    <w:rsid w:val="00620560"/>
    <w:rsid w:val="006208CB"/>
    <w:rsid w:val="00623DE2"/>
    <w:rsid w:val="00627601"/>
    <w:rsid w:val="006300D0"/>
    <w:rsid w:val="00632012"/>
    <w:rsid w:val="00634694"/>
    <w:rsid w:val="00635F9D"/>
    <w:rsid w:val="00636517"/>
    <w:rsid w:val="00637690"/>
    <w:rsid w:val="00640E1E"/>
    <w:rsid w:val="0064389A"/>
    <w:rsid w:val="00645442"/>
    <w:rsid w:val="006525CD"/>
    <w:rsid w:val="00653353"/>
    <w:rsid w:val="00653F7F"/>
    <w:rsid w:val="00662EE8"/>
    <w:rsid w:val="00663813"/>
    <w:rsid w:val="00663C3B"/>
    <w:rsid w:val="00664AFD"/>
    <w:rsid w:val="00667567"/>
    <w:rsid w:val="0067391A"/>
    <w:rsid w:val="00674173"/>
    <w:rsid w:val="00674602"/>
    <w:rsid w:val="0067535A"/>
    <w:rsid w:val="00683CA0"/>
    <w:rsid w:val="00690DB1"/>
    <w:rsid w:val="00693404"/>
    <w:rsid w:val="006953D9"/>
    <w:rsid w:val="00697FE9"/>
    <w:rsid w:val="006A5FEE"/>
    <w:rsid w:val="006B1242"/>
    <w:rsid w:val="006B1DBC"/>
    <w:rsid w:val="006B63B7"/>
    <w:rsid w:val="006B7D9A"/>
    <w:rsid w:val="006C06D9"/>
    <w:rsid w:val="006C464F"/>
    <w:rsid w:val="006C5716"/>
    <w:rsid w:val="006C74A9"/>
    <w:rsid w:val="006D07DE"/>
    <w:rsid w:val="006D394E"/>
    <w:rsid w:val="006E06D9"/>
    <w:rsid w:val="006E1D40"/>
    <w:rsid w:val="006E2E1F"/>
    <w:rsid w:val="006E4BE8"/>
    <w:rsid w:val="006F3AD1"/>
    <w:rsid w:val="006F5FFF"/>
    <w:rsid w:val="006F6E33"/>
    <w:rsid w:val="006F7AF3"/>
    <w:rsid w:val="00702CF1"/>
    <w:rsid w:val="00703635"/>
    <w:rsid w:val="007054AA"/>
    <w:rsid w:val="00706D4B"/>
    <w:rsid w:val="00707B8C"/>
    <w:rsid w:val="00710804"/>
    <w:rsid w:val="00711FC6"/>
    <w:rsid w:val="007130B1"/>
    <w:rsid w:val="00715071"/>
    <w:rsid w:val="0072140F"/>
    <w:rsid w:val="007231E9"/>
    <w:rsid w:val="00727C59"/>
    <w:rsid w:val="00734E5D"/>
    <w:rsid w:val="00735AF1"/>
    <w:rsid w:val="00736013"/>
    <w:rsid w:val="00737661"/>
    <w:rsid w:val="00755D75"/>
    <w:rsid w:val="00756245"/>
    <w:rsid w:val="0076130F"/>
    <w:rsid w:val="00761662"/>
    <w:rsid w:val="00764043"/>
    <w:rsid w:val="007757CF"/>
    <w:rsid w:val="00776FFC"/>
    <w:rsid w:val="0078128F"/>
    <w:rsid w:val="0078683C"/>
    <w:rsid w:val="00790EDB"/>
    <w:rsid w:val="00791538"/>
    <w:rsid w:val="007918F0"/>
    <w:rsid w:val="0079326E"/>
    <w:rsid w:val="00796EDE"/>
    <w:rsid w:val="00797A02"/>
    <w:rsid w:val="007A27A9"/>
    <w:rsid w:val="007A5A58"/>
    <w:rsid w:val="007A6740"/>
    <w:rsid w:val="007B1C56"/>
    <w:rsid w:val="007B4996"/>
    <w:rsid w:val="007C3CD5"/>
    <w:rsid w:val="007C61EF"/>
    <w:rsid w:val="007D1C0D"/>
    <w:rsid w:val="007D2D23"/>
    <w:rsid w:val="007D7644"/>
    <w:rsid w:val="007E27D6"/>
    <w:rsid w:val="007E3921"/>
    <w:rsid w:val="007E5DDE"/>
    <w:rsid w:val="00801028"/>
    <w:rsid w:val="00802CE2"/>
    <w:rsid w:val="00803793"/>
    <w:rsid w:val="0080643F"/>
    <w:rsid w:val="00814052"/>
    <w:rsid w:val="008149FD"/>
    <w:rsid w:val="00817A01"/>
    <w:rsid w:val="00824F21"/>
    <w:rsid w:val="0082500C"/>
    <w:rsid w:val="00825E35"/>
    <w:rsid w:val="008334F8"/>
    <w:rsid w:val="008341AA"/>
    <w:rsid w:val="00835D8E"/>
    <w:rsid w:val="008372F6"/>
    <w:rsid w:val="008377CA"/>
    <w:rsid w:val="00844D03"/>
    <w:rsid w:val="00847B0F"/>
    <w:rsid w:val="00852994"/>
    <w:rsid w:val="00873D89"/>
    <w:rsid w:val="00876659"/>
    <w:rsid w:val="00876677"/>
    <w:rsid w:val="0087734C"/>
    <w:rsid w:val="00882141"/>
    <w:rsid w:val="00887E3B"/>
    <w:rsid w:val="008922A8"/>
    <w:rsid w:val="00895728"/>
    <w:rsid w:val="00895BD5"/>
    <w:rsid w:val="0089742B"/>
    <w:rsid w:val="008A16C4"/>
    <w:rsid w:val="008A6FED"/>
    <w:rsid w:val="008B39C5"/>
    <w:rsid w:val="008B51AA"/>
    <w:rsid w:val="008B7932"/>
    <w:rsid w:val="008C4704"/>
    <w:rsid w:val="008C67F2"/>
    <w:rsid w:val="008D064A"/>
    <w:rsid w:val="008D0FDB"/>
    <w:rsid w:val="008D2B0F"/>
    <w:rsid w:val="008D30BC"/>
    <w:rsid w:val="008D4BC4"/>
    <w:rsid w:val="008E449E"/>
    <w:rsid w:val="008E7062"/>
    <w:rsid w:val="008F187F"/>
    <w:rsid w:val="008F402F"/>
    <w:rsid w:val="008F55FA"/>
    <w:rsid w:val="008F76E8"/>
    <w:rsid w:val="008F7CD0"/>
    <w:rsid w:val="00902902"/>
    <w:rsid w:val="00902A4B"/>
    <w:rsid w:val="009078A1"/>
    <w:rsid w:val="00911E9C"/>
    <w:rsid w:val="00915083"/>
    <w:rsid w:val="00917405"/>
    <w:rsid w:val="00920035"/>
    <w:rsid w:val="00920F7C"/>
    <w:rsid w:val="00934CAE"/>
    <w:rsid w:val="0094257D"/>
    <w:rsid w:val="00942F60"/>
    <w:rsid w:val="0095211B"/>
    <w:rsid w:val="0095467C"/>
    <w:rsid w:val="00954A61"/>
    <w:rsid w:val="00955C6F"/>
    <w:rsid w:val="00966C7B"/>
    <w:rsid w:val="009701DC"/>
    <w:rsid w:val="009715D8"/>
    <w:rsid w:val="00980D0D"/>
    <w:rsid w:val="00985C4B"/>
    <w:rsid w:val="00995BF9"/>
    <w:rsid w:val="00997C3C"/>
    <w:rsid w:val="009A0CAF"/>
    <w:rsid w:val="009A1474"/>
    <w:rsid w:val="009A2207"/>
    <w:rsid w:val="009A5147"/>
    <w:rsid w:val="009A74C4"/>
    <w:rsid w:val="009B02D2"/>
    <w:rsid w:val="009B6C42"/>
    <w:rsid w:val="009D31F7"/>
    <w:rsid w:val="009D32C2"/>
    <w:rsid w:val="009D50DB"/>
    <w:rsid w:val="009E3A0A"/>
    <w:rsid w:val="009F26D4"/>
    <w:rsid w:val="009F3E91"/>
    <w:rsid w:val="009F6CE7"/>
    <w:rsid w:val="009F7D7D"/>
    <w:rsid w:val="00A01670"/>
    <w:rsid w:val="00A1499B"/>
    <w:rsid w:val="00A20879"/>
    <w:rsid w:val="00A20AFC"/>
    <w:rsid w:val="00A23E47"/>
    <w:rsid w:val="00A314C2"/>
    <w:rsid w:val="00A43B9C"/>
    <w:rsid w:val="00A53155"/>
    <w:rsid w:val="00A56FFA"/>
    <w:rsid w:val="00A63E86"/>
    <w:rsid w:val="00A65A1C"/>
    <w:rsid w:val="00A757C3"/>
    <w:rsid w:val="00A75E5B"/>
    <w:rsid w:val="00A7684A"/>
    <w:rsid w:val="00A82AED"/>
    <w:rsid w:val="00A83B69"/>
    <w:rsid w:val="00A86533"/>
    <w:rsid w:val="00A91176"/>
    <w:rsid w:val="00A9176A"/>
    <w:rsid w:val="00A91CA2"/>
    <w:rsid w:val="00A92FB8"/>
    <w:rsid w:val="00A948F1"/>
    <w:rsid w:val="00AA1D7D"/>
    <w:rsid w:val="00AA7525"/>
    <w:rsid w:val="00AB0EA9"/>
    <w:rsid w:val="00AB139D"/>
    <w:rsid w:val="00AB2C46"/>
    <w:rsid w:val="00AB3EFB"/>
    <w:rsid w:val="00AB5EF7"/>
    <w:rsid w:val="00AC0B05"/>
    <w:rsid w:val="00AC763F"/>
    <w:rsid w:val="00AD079A"/>
    <w:rsid w:val="00AD1890"/>
    <w:rsid w:val="00AE2149"/>
    <w:rsid w:val="00AE33AE"/>
    <w:rsid w:val="00AE3785"/>
    <w:rsid w:val="00AE3F91"/>
    <w:rsid w:val="00AE452F"/>
    <w:rsid w:val="00AE76E6"/>
    <w:rsid w:val="00B00ACC"/>
    <w:rsid w:val="00B039E3"/>
    <w:rsid w:val="00B043C1"/>
    <w:rsid w:val="00B22838"/>
    <w:rsid w:val="00B27D52"/>
    <w:rsid w:val="00B32BC1"/>
    <w:rsid w:val="00B33E95"/>
    <w:rsid w:val="00B34EE1"/>
    <w:rsid w:val="00B35B5E"/>
    <w:rsid w:val="00B3720B"/>
    <w:rsid w:val="00B40EE3"/>
    <w:rsid w:val="00B4535A"/>
    <w:rsid w:val="00B55271"/>
    <w:rsid w:val="00B5558A"/>
    <w:rsid w:val="00B56513"/>
    <w:rsid w:val="00B56B2E"/>
    <w:rsid w:val="00B64376"/>
    <w:rsid w:val="00B71533"/>
    <w:rsid w:val="00B7401F"/>
    <w:rsid w:val="00B806C3"/>
    <w:rsid w:val="00B838F5"/>
    <w:rsid w:val="00B84FCA"/>
    <w:rsid w:val="00B9089F"/>
    <w:rsid w:val="00B91AEE"/>
    <w:rsid w:val="00B94F71"/>
    <w:rsid w:val="00B95F5A"/>
    <w:rsid w:val="00B96EAD"/>
    <w:rsid w:val="00BA22AF"/>
    <w:rsid w:val="00BA4B42"/>
    <w:rsid w:val="00BA79F5"/>
    <w:rsid w:val="00BB02E8"/>
    <w:rsid w:val="00BB3AB6"/>
    <w:rsid w:val="00BB766D"/>
    <w:rsid w:val="00BC007B"/>
    <w:rsid w:val="00BC15E7"/>
    <w:rsid w:val="00BC26BA"/>
    <w:rsid w:val="00BC35F8"/>
    <w:rsid w:val="00BC49BF"/>
    <w:rsid w:val="00BC5043"/>
    <w:rsid w:val="00BC7140"/>
    <w:rsid w:val="00BD1B89"/>
    <w:rsid w:val="00BD3944"/>
    <w:rsid w:val="00BF376F"/>
    <w:rsid w:val="00BF46A6"/>
    <w:rsid w:val="00BF62CF"/>
    <w:rsid w:val="00BF6B98"/>
    <w:rsid w:val="00BF73D6"/>
    <w:rsid w:val="00C06545"/>
    <w:rsid w:val="00C1161C"/>
    <w:rsid w:val="00C17F66"/>
    <w:rsid w:val="00C220FC"/>
    <w:rsid w:val="00C23C86"/>
    <w:rsid w:val="00C24DFA"/>
    <w:rsid w:val="00C35561"/>
    <w:rsid w:val="00C4202A"/>
    <w:rsid w:val="00C4211F"/>
    <w:rsid w:val="00C46A36"/>
    <w:rsid w:val="00C47037"/>
    <w:rsid w:val="00C53625"/>
    <w:rsid w:val="00C602C1"/>
    <w:rsid w:val="00C61C98"/>
    <w:rsid w:val="00C63FC0"/>
    <w:rsid w:val="00C66392"/>
    <w:rsid w:val="00C74C5E"/>
    <w:rsid w:val="00C77487"/>
    <w:rsid w:val="00C827A2"/>
    <w:rsid w:val="00C82B69"/>
    <w:rsid w:val="00C85394"/>
    <w:rsid w:val="00C8657D"/>
    <w:rsid w:val="00C91B28"/>
    <w:rsid w:val="00C91F3A"/>
    <w:rsid w:val="00C94A6F"/>
    <w:rsid w:val="00CA06E3"/>
    <w:rsid w:val="00CB328B"/>
    <w:rsid w:val="00CB5797"/>
    <w:rsid w:val="00CB6050"/>
    <w:rsid w:val="00CC1202"/>
    <w:rsid w:val="00CC4099"/>
    <w:rsid w:val="00CC45C1"/>
    <w:rsid w:val="00CD09E1"/>
    <w:rsid w:val="00CD5078"/>
    <w:rsid w:val="00CD6202"/>
    <w:rsid w:val="00CE2486"/>
    <w:rsid w:val="00CE4913"/>
    <w:rsid w:val="00CE66BD"/>
    <w:rsid w:val="00CF0671"/>
    <w:rsid w:val="00CF44AD"/>
    <w:rsid w:val="00CF4FC0"/>
    <w:rsid w:val="00CF7642"/>
    <w:rsid w:val="00D03909"/>
    <w:rsid w:val="00D1072F"/>
    <w:rsid w:val="00D108A5"/>
    <w:rsid w:val="00D14585"/>
    <w:rsid w:val="00D20EFF"/>
    <w:rsid w:val="00D30F1B"/>
    <w:rsid w:val="00D30FC0"/>
    <w:rsid w:val="00D34F0D"/>
    <w:rsid w:val="00D3516E"/>
    <w:rsid w:val="00D4064C"/>
    <w:rsid w:val="00D47F9F"/>
    <w:rsid w:val="00D53ED8"/>
    <w:rsid w:val="00D56380"/>
    <w:rsid w:val="00D56A47"/>
    <w:rsid w:val="00D64857"/>
    <w:rsid w:val="00D6493A"/>
    <w:rsid w:val="00D64EE2"/>
    <w:rsid w:val="00D67875"/>
    <w:rsid w:val="00D71CBD"/>
    <w:rsid w:val="00D71E86"/>
    <w:rsid w:val="00D731C6"/>
    <w:rsid w:val="00D745C5"/>
    <w:rsid w:val="00D75327"/>
    <w:rsid w:val="00D76473"/>
    <w:rsid w:val="00D80C36"/>
    <w:rsid w:val="00D86779"/>
    <w:rsid w:val="00D86EE1"/>
    <w:rsid w:val="00D9120E"/>
    <w:rsid w:val="00D913B1"/>
    <w:rsid w:val="00D93793"/>
    <w:rsid w:val="00D96126"/>
    <w:rsid w:val="00DB4B1C"/>
    <w:rsid w:val="00DB5085"/>
    <w:rsid w:val="00DB7706"/>
    <w:rsid w:val="00DC1062"/>
    <w:rsid w:val="00DC132C"/>
    <w:rsid w:val="00DC774B"/>
    <w:rsid w:val="00DD43F0"/>
    <w:rsid w:val="00DD44DE"/>
    <w:rsid w:val="00DE09AB"/>
    <w:rsid w:val="00DE4A3F"/>
    <w:rsid w:val="00DE4E53"/>
    <w:rsid w:val="00DE7AE9"/>
    <w:rsid w:val="00DF4367"/>
    <w:rsid w:val="00E0574A"/>
    <w:rsid w:val="00E1243D"/>
    <w:rsid w:val="00E12742"/>
    <w:rsid w:val="00E12E4A"/>
    <w:rsid w:val="00E146D4"/>
    <w:rsid w:val="00E20976"/>
    <w:rsid w:val="00E22079"/>
    <w:rsid w:val="00E22B44"/>
    <w:rsid w:val="00E236D8"/>
    <w:rsid w:val="00E30ACD"/>
    <w:rsid w:val="00E3184B"/>
    <w:rsid w:val="00E32735"/>
    <w:rsid w:val="00E5391D"/>
    <w:rsid w:val="00E544E5"/>
    <w:rsid w:val="00E66E36"/>
    <w:rsid w:val="00E6781E"/>
    <w:rsid w:val="00E702ED"/>
    <w:rsid w:val="00E705CC"/>
    <w:rsid w:val="00E709A4"/>
    <w:rsid w:val="00E73822"/>
    <w:rsid w:val="00E772DB"/>
    <w:rsid w:val="00E86012"/>
    <w:rsid w:val="00E86BAB"/>
    <w:rsid w:val="00E901A1"/>
    <w:rsid w:val="00E94E10"/>
    <w:rsid w:val="00E954BD"/>
    <w:rsid w:val="00E96743"/>
    <w:rsid w:val="00E96A42"/>
    <w:rsid w:val="00EA0A36"/>
    <w:rsid w:val="00EA49C5"/>
    <w:rsid w:val="00EB1C1C"/>
    <w:rsid w:val="00EB5027"/>
    <w:rsid w:val="00EC1836"/>
    <w:rsid w:val="00EC3990"/>
    <w:rsid w:val="00EC484B"/>
    <w:rsid w:val="00ED15FA"/>
    <w:rsid w:val="00ED1E00"/>
    <w:rsid w:val="00EE228F"/>
    <w:rsid w:val="00EE238D"/>
    <w:rsid w:val="00EE6E9A"/>
    <w:rsid w:val="00EF0BF1"/>
    <w:rsid w:val="00EF27DA"/>
    <w:rsid w:val="00EF2AC4"/>
    <w:rsid w:val="00EF397E"/>
    <w:rsid w:val="00F06F68"/>
    <w:rsid w:val="00F1332D"/>
    <w:rsid w:val="00F1534B"/>
    <w:rsid w:val="00F1713B"/>
    <w:rsid w:val="00F212CB"/>
    <w:rsid w:val="00F23C7D"/>
    <w:rsid w:val="00F243DB"/>
    <w:rsid w:val="00F24C2D"/>
    <w:rsid w:val="00F24F1B"/>
    <w:rsid w:val="00F27356"/>
    <w:rsid w:val="00F32A81"/>
    <w:rsid w:val="00F46998"/>
    <w:rsid w:val="00F47100"/>
    <w:rsid w:val="00F5382D"/>
    <w:rsid w:val="00F53D9C"/>
    <w:rsid w:val="00F5462B"/>
    <w:rsid w:val="00F634AD"/>
    <w:rsid w:val="00F63677"/>
    <w:rsid w:val="00F63ABE"/>
    <w:rsid w:val="00F75B81"/>
    <w:rsid w:val="00F804C4"/>
    <w:rsid w:val="00F82F83"/>
    <w:rsid w:val="00F832E5"/>
    <w:rsid w:val="00F90F40"/>
    <w:rsid w:val="00F92B30"/>
    <w:rsid w:val="00F933B9"/>
    <w:rsid w:val="00F94674"/>
    <w:rsid w:val="00F94919"/>
    <w:rsid w:val="00F94A59"/>
    <w:rsid w:val="00FA25B6"/>
    <w:rsid w:val="00FA2FAF"/>
    <w:rsid w:val="00FA5CCF"/>
    <w:rsid w:val="00FA64B1"/>
    <w:rsid w:val="00FA70F3"/>
    <w:rsid w:val="00FA71CD"/>
    <w:rsid w:val="00FB0453"/>
    <w:rsid w:val="00FB0C07"/>
    <w:rsid w:val="00FB298D"/>
    <w:rsid w:val="00FC1439"/>
    <w:rsid w:val="00FC58BE"/>
    <w:rsid w:val="00FC7225"/>
    <w:rsid w:val="00FC724B"/>
    <w:rsid w:val="00FC767C"/>
    <w:rsid w:val="00FC7910"/>
    <w:rsid w:val="00FD0834"/>
    <w:rsid w:val="00FD6EA4"/>
    <w:rsid w:val="00FE13AD"/>
    <w:rsid w:val="00FE348D"/>
    <w:rsid w:val="00FE51C8"/>
    <w:rsid w:val="00FE53B6"/>
    <w:rsid w:val="00FE72A6"/>
    <w:rsid w:val="00FF0ABF"/>
    <w:rsid w:val="00FF0DA7"/>
    <w:rsid w:val="00FF44E0"/>
    <w:rsid w:val="00FF4CB6"/>
    <w:rsid w:val="00FF5834"/>
    <w:rsid w:val="00FF6C72"/>
    <w:rsid w:val="015925A4"/>
    <w:rsid w:val="017B1BF9"/>
    <w:rsid w:val="01E93A1B"/>
    <w:rsid w:val="0214602E"/>
    <w:rsid w:val="025F2E79"/>
    <w:rsid w:val="03486B27"/>
    <w:rsid w:val="040A094E"/>
    <w:rsid w:val="05637A58"/>
    <w:rsid w:val="056F201D"/>
    <w:rsid w:val="05B664D4"/>
    <w:rsid w:val="064B485A"/>
    <w:rsid w:val="068C65C4"/>
    <w:rsid w:val="07076C01"/>
    <w:rsid w:val="071C12AC"/>
    <w:rsid w:val="07A934B3"/>
    <w:rsid w:val="07EB6287"/>
    <w:rsid w:val="0806421B"/>
    <w:rsid w:val="0842480A"/>
    <w:rsid w:val="0980799C"/>
    <w:rsid w:val="09944B8E"/>
    <w:rsid w:val="0A6A18DB"/>
    <w:rsid w:val="0A975B48"/>
    <w:rsid w:val="0AEF3828"/>
    <w:rsid w:val="0B406381"/>
    <w:rsid w:val="0BB452AA"/>
    <w:rsid w:val="0BBB665B"/>
    <w:rsid w:val="0EEA6FC1"/>
    <w:rsid w:val="0F790928"/>
    <w:rsid w:val="10CD72BB"/>
    <w:rsid w:val="10CE2CDC"/>
    <w:rsid w:val="12197477"/>
    <w:rsid w:val="12697EEF"/>
    <w:rsid w:val="131B5CD3"/>
    <w:rsid w:val="13776448"/>
    <w:rsid w:val="1466407E"/>
    <w:rsid w:val="14834E28"/>
    <w:rsid w:val="148E7D65"/>
    <w:rsid w:val="15231BF9"/>
    <w:rsid w:val="153A7FBF"/>
    <w:rsid w:val="15966195"/>
    <w:rsid w:val="15C4546D"/>
    <w:rsid w:val="1A064976"/>
    <w:rsid w:val="1A3B68AA"/>
    <w:rsid w:val="1A3E1C1E"/>
    <w:rsid w:val="1AAD52A6"/>
    <w:rsid w:val="1B6F4F40"/>
    <w:rsid w:val="1C141836"/>
    <w:rsid w:val="1C76537D"/>
    <w:rsid w:val="1E6B6A14"/>
    <w:rsid w:val="1ED15AFD"/>
    <w:rsid w:val="1FD842B6"/>
    <w:rsid w:val="20550D9A"/>
    <w:rsid w:val="218E2416"/>
    <w:rsid w:val="226915FE"/>
    <w:rsid w:val="229273EC"/>
    <w:rsid w:val="23762A3E"/>
    <w:rsid w:val="23BC656D"/>
    <w:rsid w:val="241804A5"/>
    <w:rsid w:val="24B97929"/>
    <w:rsid w:val="24D632D7"/>
    <w:rsid w:val="266B14CE"/>
    <w:rsid w:val="26CF6D3E"/>
    <w:rsid w:val="27D65DBA"/>
    <w:rsid w:val="285F40CA"/>
    <w:rsid w:val="289E1AF0"/>
    <w:rsid w:val="28C01ECB"/>
    <w:rsid w:val="29BF71E3"/>
    <w:rsid w:val="29D6387F"/>
    <w:rsid w:val="2A127B63"/>
    <w:rsid w:val="2A451A6C"/>
    <w:rsid w:val="2AAA4765"/>
    <w:rsid w:val="2AC21606"/>
    <w:rsid w:val="2AD63D42"/>
    <w:rsid w:val="2B7E7608"/>
    <w:rsid w:val="2B7F04E9"/>
    <w:rsid w:val="2B8B554A"/>
    <w:rsid w:val="2D496D68"/>
    <w:rsid w:val="2DC53663"/>
    <w:rsid w:val="2DF86DBF"/>
    <w:rsid w:val="2E7A48DE"/>
    <w:rsid w:val="2EBA5177"/>
    <w:rsid w:val="2EDC3ED8"/>
    <w:rsid w:val="2F104B00"/>
    <w:rsid w:val="2F37226F"/>
    <w:rsid w:val="2F6351B4"/>
    <w:rsid w:val="2FC86126"/>
    <w:rsid w:val="2FCF199E"/>
    <w:rsid w:val="30483E83"/>
    <w:rsid w:val="30BF3991"/>
    <w:rsid w:val="3111619A"/>
    <w:rsid w:val="319775DB"/>
    <w:rsid w:val="31B139DC"/>
    <w:rsid w:val="32497AF3"/>
    <w:rsid w:val="343C0775"/>
    <w:rsid w:val="356A5F87"/>
    <w:rsid w:val="356C50EC"/>
    <w:rsid w:val="36137E45"/>
    <w:rsid w:val="36376E0A"/>
    <w:rsid w:val="3700166C"/>
    <w:rsid w:val="379A1012"/>
    <w:rsid w:val="38694EE9"/>
    <w:rsid w:val="3A6818FA"/>
    <w:rsid w:val="3B365CC9"/>
    <w:rsid w:val="3B9A7B88"/>
    <w:rsid w:val="3D2C7AC8"/>
    <w:rsid w:val="3D855D12"/>
    <w:rsid w:val="3D8B42FF"/>
    <w:rsid w:val="3DE86C4C"/>
    <w:rsid w:val="3DF36A6E"/>
    <w:rsid w:val="3EBA1EE9"/>
    <w:rsid w:val="3F792F1E"/>
    <w:rsid w:val="40824826"/>
    <w:rsid w:val="40E63923"/>
    <w:rsid w:val="42D75BD6"/>
    <w:rsid w:val="43A91E5B"/>
    <w:rsid w:val="44192436"/>
    <w:rsid w:val="449E0D39"/>
    <w:rsid w:val="45E32B26"/>
    <w:rsid w:val="463A3650"/>
    <w:rsid w:val="46461627"/>
    <w:rsid w:val="469F0116"/>
    <w:rsid w:val="475259B7"/>
    <w:rsid w:val="488302AE"/>
    <w:rsid w:val="48831CF9"/>
    <w:rsid w:val="49024C9C"/>
    <w:rsid w:val="49B1408D"/>
    <w:rsid w:val="4A7D4FD2"/>
    <w:rsid w:val="4A913C9A"/>
    <w:rsid w:val="4AE50A49"/>
    <w:rsid w:val="4B1F70AC"/>
    <w:rsid w:val="4B240F94"/>
    <w:rsid w:val="4C0832E5"/>
    <w:rsid w:val="4C3C565C"/>
    <w:rsid w:val="4CCC79C7"/>
    <w:rsid w:val="4D7555C7"/>
    <w:rsid w:val="4EAE6DA0"/>
    <w:rsid w:val="4FE617D9"/>
    <w:rsid w:val="5016514B"/>
    <w:rsid w:val="50BD4DF3"/>
    <w:rsid w:val="50FC1A26"/>
    <w:rsid w:val="51723664"/>
    <w:rsid w:val="51CB1C78"/>
    <w:rsid w:val="51FD6A51"/>
    <w:rsid w:val="526B680A"/>
    <w:rsid w:val="52836F71"/>
    <w:rsid w:val="52D26B02"/>
    <w:rsid w:val="541A5D30"/>
    <w:rsid w:val="55AF3223"/>
    <w:rsid w:val="55C1559C"/>
    <w:rsid w:val="55F068CD"/>
    <w:rsid w:val="566C3136"/>
    <w:rsid w:val="568D04F2"/>
    <w:rsid w:val="5A526582"/>
    <w:rsid w:val="5A5F5C77"/>
    <w:rsid w:val="5A711A0D"/>
    <w:rsid w:val="5B1613E4"/>
    <w:rsid w:val="5B78003B"/>
    <w:rsid w:val="5BC11A60"/>
    <w:rsid w:val="5C7A4D54"/>
    <w:rsid w:val="5CD23B73"/>
    <w:rsid w:val="5F127819"/>
    <w:rsid w:val="5FC14778"/>
    <w:rsid w:val="5FFD6DB2"/>
    <w:rsid w:val="60350ED3"/>
    <w:rsid w:val="60B72AEE"/>
    <w:rsid w:val="61025188"/>
    <w:rsid w:val="61057D5F"/>
    <w:rsid w:val="6126068F"/>
    <w:rsid w:val="614D4977"/>
    <w:rsid w:val="62FD1A73"/>
    <w:rsid w:val="63C60FC0"/>
    <w:rsid w:val="64BA3D7A"/>
    <w:rsid w:val="64F179BC"/>
    <w:rsid w:val="65BF13F2"/>
    <w:rsid w:val="665704D3"/>
    <w:rsid w:val="67C065A4"/>
    <w:rsid w:val="67D359C9"/>
    <w:rsid w:val="68042537"/>
    <w:rsid w:val="68FE36DD"/>
    <w:rsid w:val="694E60FC"/>
    <w:rsid w:val="69E95A08"/>
    <w:rsid w:val="6A256904"/>
    <w:rsid w:val="6ABB1E2F"/>
    <w:rsid w:val="6B07751E"/>
    <w:rsid w:val="6B656832"/>
    <w:rsid w:val="6C675CE6"/>
    <w:rsid w:val="6D4F4321"/>
    <w:rsid w:val="6DF41B82"/>
    <w:rsid w:val="6DFF7360"/>
    <w:rsid w:val="6E056D8A"/>
    <w:rsid w:val="6E7A5F73"/>
    <w:rsid w:val="6E873A42"/>
    <w:rsid w:val="6EE90F9D"/>
    <w:rsid w:val="6F3E1BF8"/>
    <w:rsid w:val="6FCB7C1F"/>
    <w:rsid w:val="6FD74228"/>
    <w:rsid w:val="7021106F"/>
    <w:rsid w:val="71497415"/>
    <w:rsid w:val="71633091"/>
    <w:rsid w:val="71AC1757"/>
    <w:rsid w:val="73081CA5"/>
    <w:rsid w:val="74201F7D"/>
    <w:rsid w:val="7487762D"/>
    <w:rsid w:val="74C33AA4"/>
    <w:rsid w:val="75210D7A"/>
    <w:rsid w:val="75385498"/>
    <w:rsid w:val="75F37776"/>
    <w:rsid w:val="76BC207F"/>
    <w:rsid w:val="76EB4904"/>
    <w:rsid w:val="77645DCD"/>
    <w:rsid w:val="777378F5"/>
    <w:rsid w:val="777A2D3C"/>
    <w:rsid w:val="77EF336C"/>
    <w:rsid w:val="78474930"/>
    <w:rsid w:val="79074B81"/>
    <w:rsid w:val="794F0939"/>
    <w:rsid w:val="79AF0FCA"/>
    <w:rsid w:val="7AF9279C"/>
    <w:rsid w:val="7C4F3575"/>
    <w:rsid w:val="7CC51958"/>
    <w:rsid w:val="7CD53DF9"/>
    <w:rsid w:val="7D097C86"/>
    <w:rsid w:val="7E2936C3"/>
    <w:rsid w:val="7E6411B9"/>
    <w:rsid w:val="7E9C365C"/>
    <w:rsid w:val="7F483C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qFormat="1" w:unhideWhenUsed="0" w:uiPriority="0" w:semiHidden="0"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uiPriority="99" w:name="Body Text First Indent 2"/>
    <w:lsdException w:uiPriority="99" w:name="Note Heading"/>
    <w:lsdException w:qFormat="1" w:uiPriority="99"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仿宋_GB2312" w:hAnsi="@仿宋_GB2312" w:eastAsia="@仿宋_GB2312" w:cs="@仿宋_GB2312"/>
      <w:kern w:val="2"/>
      <w:sz w:val="21"/>
      <w:lang w:val="en-US" w:eastAsia="zh-CN" w:bidi="ar-SA"/>
    </w:rPr>
  </w:style>
  <w:style w:type="paragraph" w:styleId="2">
    <w:name w:val="heading 1"/>
    <w:basedOn w:val="1"/>
    <w:next w:val="1"/>
    <w:link w:val="58"/>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link w:val="60"/>
    <w:autoRedefine/>
    <w:semiHidden/>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65"/>
    <w:autoRedefine/>
    <w:qFormat/>
    <w:uiPriority w:val="0"/>
    <w:pPr>
      <w:keepNext/>
      <w:keepLines/>
      <w:spacing w:before="280" w:after="290" w:line="376" w:lineRule="auto"/>
      <w:outlineLvl w:val="3"/>
    </w:pPr>
    <w:rPr>
      <w:b/>
      <w:bCs/>
      <w:sz w:val="28"/>
      <w:szCs w:val="28"/>
    </w:rPr>
  </w:style>
  <w:style w:type="character" w:default="1" w:styleId="27">
    <w:name w:val="Default Paragraph Font"/>
    <w:autoRedefine/>
    <w:semiHidden/>
    <w:unhideWhenUsed/>
    <w:qFormat/>
    <w:uiPriority w:val="1"/>
  </w:style>
  <w:style w:type="table" w:default="1" w:styleId="25">
    <w:name w:val="Normal Table"/>
    <w:autoRedefine/>
    <w:semiHidden/>
    <w:unhideWhenUsed/>
    <w:qFormat/>
    <w:uiPriority w:val="99"/>
    <w:tblPr>
      <w:tblCellMar>
        <w:top w:w="0" w:type="dxa"/>
        <w:left w:w="108" w:type="dxa"/>
        <w:bottom w:w="0" w:type="dxa"/>
        <w:right w:w="108" w:type="dxa"/>
      </w:tblCellMar>
    </w:tblPr>
  </w:style>
  <w:style w:type="paragraph" w:styleId="6">
    <w:name w:val="toc 7"/>
    <w:basedOn w:val="1"/>
    <w:next w:val="1"/>
    <w:qFormat/>
    <w:uiPriority w:val="0"/>
    <w:pPr>
      <w:ind w:left="1260"/>
      <w:jc w:val="left"/>
    </w:pPr>
    <w:rPr>
      <w:sz w:val="18"/>
      <w:szCs w:val="18"/>
    </w:rPr>
  </w:style>
  <w:style w:type="paragraph" w:styleId="7">
    <w:name w:val="Normal Indent"/>
    <w:basedOn w:val="1"/>
    <w:autoRedefine/>
    <w:qFormat/>
    <w:uiPriority w:val="0"/>
    <w:pPr>
      <w:autoSpaceDE w:val="0"/>
      <w:autoSpaceDN w:val="0"/>
      <w:adjustRightInd w:val="0"/>
      <w:ind w:firstLine="420"/>
      <w:jc w:val="left"/>
    </w:pPr>
    <w:rPr>
      <w:rFonts w:ascii="宋体" w:hAnsi="Times New Roman" w:eastAsia="宋体" w:cs="Times New Roman"/>
      <w:kern w:val="0"/>
      <w:sz w:val="24"/>
    </w:rPr>
  </w:style>
  <w:style w:type="paragraph" w:styleId="8">
    <w:name w:val="annotation text"/>
    <w:basedOn w:val="1"/>
    <w:link w:val="57"/>
    <w:autoRedefine/>
    <w:qFormat/>
    <w:uiPriority w:val="0"/>
    <w:pPr>
      <w:jc w:val="left"/>
    </w:pPr>
    <w:rPr>
      <w:rFonts w:ascii="Arial" w:hAnsi="Arial" w:eastAsia="黑体" w:cs="Arial"/>
    </w:rPr>
  </w:style>
  <w:style w:type="paragraph" w:styleId="9">
    <w:name w:val="Body Text"/>
    <w:basedOn w:val="1"/>
    <w:autoRedefine/>
    <w:qFormat/>
    <w:uiPriority w:val="0"/>
    <w:pPr>
      <w:spacing w:after="120"/>
    </w:pPr>
    <w:rPr>
      <w:rFonts w:ascii="@微软简标宋" w:hAnsi="@微软简标宋" w:eastAsia="@微软简标宋" w:cs="@微软简标宋"/>
      <w:szCs w:val="24"/>
      <w:lang w:val="zh-CN"/>
    </w:rPr>
  </w:style>
  <w:style w:type="paragraph" w:styleId="10">
    <w:name w:val="Body Text Indent"/>
    <w:basedOn w:val="1"/>
    <w:autoRedefine/>
    <w:qFormat/>
    <w:uiPriority w:val="0"/>
    <w:pPr>
      <w:spacing w:after="120"/>
      <w:ind w:left="420" w:leftChars="200"/>
    </w:pPr>
  </w:style>
  <w:style w:type="paragraph" w:styleId="11">
    <w:name w:val="toc 3"/>
    <w:basedOn w:val="1"/>
    <w:next w:val="1"/>
    <w:autoRedefine/>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12">
    <w:name w:val="Plain Text"/>
    <w:basedOn w:val="1"/>
    <w:link w:val="47"/>
    <w:autoRedefine/>
    <w:qFormat/>
    <w:uiPriority w:val="99"/>
    <w:rPr>
      <w:rFonts w:ascii="宋体" w:hAnsi="Courier New" w:eastAsiaTheme="minorEastAsia" w:cstheme="minorBidi"/>
      <w:szCs w:val="22"/>
    </w:rPr>
  </w:style>
  <w:style w:type="paragraph" w:styleId="13">
    <w:name w:val="Date"/>
    <w:basedOn w:val="1"/>
    <w:next w:val="1"/>
    <w:link w:val="54"/>
    <w:autoRedefine/>
    <w:qFormat/>
    <w:uiPriority w:val="0"/>
    <w:rPr>
      <w:rFonts w:ascii="Arial" w:hAnsi="Arial" w:eastAsia="宋体" w:cs="Arial"/>
      <w:b/>
      <w:sz w:val="28"/>
    </w:rPr>
  </w:style>
  <w:style w:type="paragraph" w:styleId="14">
    <w:name w:val="Balloon Text"/>
    <w:basedOn w:val="1"/>
    <w:link w:val="41"/>
    <w:autoRedefine/>
    <w:semiHidden/>
    <w:unhideWhenUsed/>
    <w:qFormat/>
    <w:uiPriority w:val="99"/>
    <w:rPr>
      <w:sz w:val="18"/>
      <w:szCs w:val="18"/>
    </w:rPr>
  </w:style>
  <w:style w:type="paragraph" w:styleId="15">
    <w:name w:val="footer"/>
    <w:basedOn w:val="1"/>
    <w:link w:val="46"/>
    <w:autoRedefine/>
    <w:unhideWhenUsed/>
    <w:qFormat/>
    <w:uiPriority w:val="99"/>
    <w:pPr>
      <w:tabs>
        <w:tab w:val="center" w:pos="4153"/>
        <w:tab w:val="right" w:pos="8306"/>
      </w:tabs>
      <w:snapToGrid w:val="0"/>
      <w:jc w:val="left"/>
    </w:pPr>
    <w:rPr>
      <w:sz w:val="18"/>
      <w:szCs w:val="18"/>
    </w:rPr>
  </w:style>
  <w:style w:type="paragraph" w:styleId="16">
    <w:name w:val="envelope return"/>
    <w:basedOn w:val="1"/>
    <w:next w:val="6"/>
    <w:qFormat/>
    <w:uiPriority w:val="0"/>
    <w:pPr>
      <w:snapToGrid w:val="0"/>
    </w:pPr>
    <w:rPr>
      <w:rFonts w:ascii="Arial" w:hAnsi="Arial"/>
    </w:rPr>
  </w:style>
  <w:style w:type="paragraph" w:styleId="17">
    <w:name w:val="header"/>
    <w:basedOn w:val="1"/>
    <w:link w:val="4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autoRedefine/>
    <w:unhideWhenUsed/>
    <w:qFormat/>
    <w:uiPriority w:val="39"/>
    <w:pPr>
      <w:widowControl/>
      <w:spacing w:after="100" w:line="276" w:lineRule="auto"/>
      <w:jc w:val="left"/>
    </w:pPr>
    <w:rPr>
      <w:rFonts w:asciiTheme="minorHAnsi" w:hAnsiTheme="minorHAnsi" w:eastAsiaTheme="minorEastAsia" w:cstheme="minorBidi"/>
      <w:kern w:val="0"/>
      <w:sz w:val="22"/>
      <w:szCs w:val="22"/>
    </w:rPr>
  </w:style>
  <w:style w:type="paragraph" w:styleId="19">
    <w:name w:val="toc 2"/>
    <w:basedOn w:val="1"/>
    <w:next w:val="1"/>
    <w:autoRedefine/>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20">
    <w:name w:val="Body Text 2"/>
    <w:basedOn w:val="1"/>
    <w:unhideWhenUsed/>
    <w:qFormat/>
    <w:uiPriority w:val="99"/>
    <w:pPr>
      <w:spacing w:after="120" w:line="480" w:lineRule="auto"/>
    </w:pPr>
  </w:style>
  <w:style w:type="paragraph" w:styleId="21">
    <w:name w:val="Normal (Web)"/>
    <w:basedOn w:val="1"/>
    <w:autoRedefine/>
    <w:qFormat/>
    <w:uiPriority w:val="0"/>
    <w:pPr>
      <w:spacing w:before="100" w:beforeAutospacing="1" w:after="100" w:afterAutospacing="1"/>
      <w:jc w:val="left"/>
    </w:pPr>
    <w:rPr>
      <w:rFonts w:cs="Times New Roman"/>
      <w:kern w:val="0"/>
      <w:sz w:val="24"/>
    </w:rPr>
  </w:style>
  <w:style w:type="paragraph" w:styleId="22">
    <w:name w:val="index 1"/>
    <w:basedOn w:val="1"/>
    <w:next w:val="1"/>
    <w:autoRedefine/>
    <w:qFormat/>
    <w:uiPriority w:val="0"/>
    <w:pPr>
      <w:jc w:val="center"/>
    </w:pPr>
    <w:rPr>
      <w:rFonts w:ascii="Arial" w:hAnsi="Arial" w:eastAsia="Arial" w:cs="Arial"/>
      <w:b/>
      <w:bCs/>
      <w:sz w:val="28"/>
    </w:rPr>
  </w:style>
  <w:style w:type="paragraph" w:styleId="23">
    <w:name w:val="annotation subject"/>
    <w:basedOn w:val="8"/>
    <w:next w:val="8"/>
    <w:link w:val="68"/>
    <w:autoRedefine/>
    <w:semiHidden/>
    <w:unhideWhenUsed/>
    <w:qFormat/>
    <w:uiPriority w:val="99"/>
    <w:rPr>
      <w:rFonts w:ascii="@仿宋_GB2312" w:hAnsi="@仿宋_GB2312" w:eastAsia="@仿宋_GB2312" w:cs="@仿宋_GB2312"/>
      <w:b/>
      <w:bCs/>
    </w:rPr>
  </w:style>
  <w:style w:type="paragraph" w:styleId="24">
    <w:name w:val="Body Text First Indent"/>
    <w:basedOn w:val="9"/>
    <w:autoRedefine/>
    <w:unhideWhenUsed/>
    <w:qFormat/>
    <w:uiPriority w:val="99"/>
    <w:pPr>
      <w:ind w:firstLine="420" w:firstLineChars="100"/>
    </w:pPr>
  </w:style>
  <w:style w:type="table" w:styleId="26">
    <w:name w:val="Table Grid"/>
    <w:basedOn w:val="25"/>
    <w:autoRedefine/>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8">
    <w:name w:val="Strong"/>
    <w:autoRedefine/>
    <w:qFormat/>
    <w:uiPriority w:val="0"/>
    <w:rPr>
      <w:b/>
      <w:bCs/>
    </w:rPr>
  </w:style>
  <w:style w:type="character" w:styleId="29">
    <w:name w:val="FollowedHyperlink"/>
    <w:basedOn w:val="27"/>
    <w:semiHidden/>
    <w:unhideWhenUsed/>
    <w:qFormat/>
    <w:uiPriority w:val="99"/>
    <w:rPr>
      <w:color w:val="5C5C5C"/>
      <w:u w:val="none"/>
    </w:rPr>
  </w:style>
  <w:style w:type="character" w:styleId="30">
    <w:name w:val="Emphasis"/>
    <w:basedOn w:val="27"/>
    <w:qFormat/>
    <w:uiPriority w:val="0"/>
    <w:rPr>
      <w:b/>
      <w:bCs/>
    </w:rPr>
  </w:style>
  <w:style w:type="character" w:styleId="31">
    <w:name w:val="HTML Definition"/>
    <w:basedOn w:val="27"/>
    <w:semiHidden/>
    <w:unhideWhenUsed/>
    <w:qFormat/>
    <w:uiPriority w:val="99"/>
  </w:style>
  <w:style w:type="character" w:styleId="32">
    <w:name w:val="HTML Typewriter"/>
    <w:basedOn w:val="27"/>
    <w:semiHidden/>
    <w:unhideWhenUsed/>
    <w:qFormat/>
    <w:uiPriority w:val="99"/>
    <w:rPr>
      <w:rFonts w:hint="default" w:ascii="monospace" w:hAnsi="monospace" w:eastAsia="monospace" w:cs="monospace"/>
      <w:sz w:val="20"/>
    </w:rPr>
  </w:style>
  <w:style w:type="character" w:styleId="33">
    <w:name w:val="HTML Acronym"/>
    <w:basedOn w:val="27"/>
    <w:semiHidden/>
    <w:unhideWhenUsed/>
    <w:qFormat/>
    <w:uiPriority w:val="99"/>
    <w:rPr>
      <w:rFonts w:ascii="ActionIcon ! important" w:hAnsi="ActionIcon ! important" w:eastAsia="ActionIcon ! important" w:cs="ActionIcon ! important"/>
      <w:vanish/>
    </w:rPr>
  </w:style>
  <w:style w:type="character" w:styleId="34">
    <w:name w:val="HTML Variable"/>
    <w:basedOn w:val="27"/>
    <w:semiHidden/>
    <w:unhideWhenUsed/>
    <w:qFormat/>
    <w:uiPriority w:val="99"/>
  </w:style>
  <w:style w:type="character" w:styleId="35">
    <w:name w:val="Hyperlink"/>
    <w:basedOn w:val="27"/>
    <w:autoRedefine/>
    <w:unhideWhenUsed/>
    <w:qFormat/>
    <w:uiPriority w:val="99"/>
    <w:rPr>
      <w:color w:val="0000FF" w:themeColor="hyperlink"/>
      <w:u w:val="single"/>
      <w14:textFill>
        <w14:solidFill>
          <w14:schemeClr w14:val="hlink"/>
        </w14:solidFill>
      </w14:textFill>
    </w:rPr>
  </w:style>
  <w:style w:type="character" w:styleId="36">
    <w:name w:val="HTML Code"/>
    <w:basedOn w:val="27"/>
    <w:semiHidden/>
    <w:unhideWhenUsed/>
    <w:qFormat/>
    <w:uiPriority w:val="99"/>
    <w:rPr>
      <w:rFonts w:ascii="monospace" w:hAnsi="monospace" w:eastAsia="monospace" w:cs="monospace"/>
      <w:sz w:val="20"/>
    </w:rPr>
  </w:style>
  <w:style w:type="character" w:styleId="37">
    <w:name w:val="annotation reference"/>
    <w:basedOn w:val="27"/>
    <w:autoRedefine/>
    <w:semiHidden/>
    <w:unhideWhenUsed/>
    <w:qFormat/>
    <w:uiPriority w:val="99"/>
    <w:rPr>
      <w:sz w:val="21"/>
      <w:szCs w:val="21"/>
    </w:rPr>
  </w:style>
  <w:style w:type="character" w:styleId="38">
    <w:name w:val="HTML Cite"/>
    <w:basedOn w:val="27"/>
    <w:semiHidden/>
    <w:unhideWhenUsed/>
    <w:qFormat/>
    <w:uiPriority w:val="99"/>
  </w:style>
  <w:style w:type="character" w:styleId="39">
    <w:name w:val="HTML Keyboard"/>
    <w:basedOn w:val="27"/>
    <w:semiHidden/>
    <w:unhideWhenUsed/>
    <w:qFormat/>
    <w:uiPriority w:val="99"/>
    <w:rPr>
      <w:rFonts w:hint="default" w:ascii="monospace" w:hAnsi="monospace" w:eastAsia="monospace" w:cs="monospace"/>
      <w:sz w:val="20"/>
    </w:rPr>
  </w:style>
  <w:style w:type="character" w:styleId="40">
    <w:name w:val="HTML Sample"/>
    <w:basedOn w:val="27"/>
    <w:semiHidden/>
    <w:unhideWhenUsed/>
    <w:qFormat/>
    <w:uiPriority w:val="99"/>
    <w:rPr>
      <w:rFonts w:hint="default" w:ascii="monospace" w:hAnsi="monospace" w:eastAsia="monospace" w:cs="monospace"/>
    </w:rPr>
  </w:style>
  <w:style w:type="character" w:customStyle="1" w:styleId="41">
    <w:name w:val="批注框文本 Char"/>
    <w:basedOn w:val="27"/>
    <w:link w:val="14"/>
    <w:autoRedefine/>
    <w:semiHidden/>
    <w:qFormat/>
    <w:uiPriority w:val="99"/>
    <w:rPr>
      <w:rFonts w:ascii="@仿宋_GB2312" w:hAnsi="@仿宋_GB2312" w:eastAsia="@仿宋_GB2312" w:cs="@仿宋_GB2312"/>
      <w:sz w:val="18"/>
      <w:szCs w:val="18"/>
    </w:rPr>
  </w:style>
  <w:style w:type="paragraph" w:customStyle="1" w:styleId="42">
    <w:name w:val="正文（缩进）"/>
    <w:basedOn w:val="1"/>
    <w:autoRedefine/>
    <w:qFormat/>
    <w:uiPriority w:val="0"/>
    <w:pPr>
      <w:widowControl/>
      <w:spacing w:before="156" w:after="156"/>
      <w:ind w:firstLine="480" w:firstLineChars="200"/>
      <w:jc w:val="left"/>
    </w:pPr>
    <w:rPr>
      <w:kern w:val="0"/>
      <w:sz w:val="24"/>
      <w:szCs w:val="24"/>
    </w:rPr>
  </w:style>
  <w:style w:type="paragraph" w:customStyle="1" w:styleId="43">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44">
    <w:name w:val="D&amp;L"/>
    <w:basedOn w:val="17"/>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45">
    <w:name w:val="页眉 Char"/>
    <w:basedOn w:val="27"/>
    <w:link w:val="17"/>
    <w:autoRedefine/>
    <w:qFormat/>
    <w:uiPriority w:val="99"/>
    <w:rPr>
      <w:rFonts w:ascii="@仿宋_GB2312" w:hAnsi="@仿宋_GB2312" w:eastAsia="@仿宋_GB2312" w:cs="@仿宋_GB2312"/>
      <w:sz w:val="18"/>
      <w:szCs w:val="18"/>
    </w:rPr>
  </w:style>
  <w:style w:type="character" w:customStyle="1" w:styleId="46">
    <w:name w:val="页脚 Char"/>
    <w:basedOn w:val="27"/>
    <w:link w:val="15"/>
    <w:autoRedefine/>
    <w:qFormat/>
    <w:uiPriority w:val="99"/>
    <w:rPr>
      <w:rFonts w:ascii="@仿宋_GB2312" w:hAnsi="@仿宋_GB2312" w:eastAsia="@仿宋_GB2312" w:cs="@仿宋_GB2312"/>
      <w:sz w:val="18"/>
      <w:szCs w:val="18"/>
    </w:rPr>
  </w:style>
  <w:style w:type="character" w:customStyle="1" w:styleId="47">
    <w:name w:val="纯文本 Char"/>
    <w:link w:val="12"/>
    <w:autoRedefine/>
    <w:qFormat/>
    <w:uiPriority w:val="0"/>
    <w:rPr>
      <w:rFonts w:ascii="宋体" w:hAnsi="Courier New"/>
    </w:rPr>
  </w:style>
  <w:style w:type="character" w:customStyle="1" w:styleId="48">
    <w:name w:val="纯文本 字符1"/>
    <w:basedOn w:val="27"/>
    <w:autoRedefine/>
    <w:semiHidden/>
    <w:qFormat/>
    <w:uiPriority w:val="99"/>
    <w:rPr>
      <w:rFonts w:hAnsi="Courier New" w:cs="Courier New" w:asciiTheme="minorEastAsia"/>
      <w:szCs w:val="20"/>
    </w:rPr>
  </w:style>
  <w:style w:type="character" w:customStyle="1" w:styleId="49">
    <w:name w:val="未处理的提及1"/>
    <w:basedOn w:val="27"/>
    <w:autoRedefine/>
    <w:semiHidden/>
    <w:unhideWhenUsed/>
    <w:qFormat/>
    <w:uiPriority w:val="99"/>
    <w:rPr>
      <w:color w:val="605E5C"/>
      <w:shd w:val="clear" w:color="auto" w:fill="E1DFDD"/>
    </w:rPr>
  </w:style>
  <w:style w:type="paragraph" w:styleId="50">
    <w:name w:val="List Paragraph"/>
    <w:basedOn w:val="1"/>
    <w:autoRedefine/>
    <w:qFormat/>
    <w:uiPriority w:val="34"/>
    <w:pPr>
      <w:ind w:firstLine="420" w:firstLineChars="200"/>
    </w:pPr>
  </w:style>
  <w:style w:type="paragraph" w:customStyle="1" w:styleId="51">
    <w:name w:val="Char Char Char Char Char Char Char1 Char"/>
    <w:basedOn w:val="1"/>
    <w:autoRedefine/>
    <w:qFormat/>
    <w:uiPriority w:val="0"/>
    <w:rPr>
      <w:rFonts w:ascii="Arial" w:hAnsi="Arial" w:eastAsia="宋体" w:cs="Arial"/>
      <w:sz w:val="24"/>
    </w:rPr>
  </w:style>
  <w:style w:type="table" w:customStyle="1" w:styleId="52">
    <w:name w:val="网格表 1 浅色1"/>
    <w:basedOn w:val="25"/>
    <w:autoRedefine/>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53">
    <w:name w:val="日期 字符"/>
    <w:basedOn w:val="27"/>
    <w:autoRedefine/>
    <w:semiHidden/>
    <w:qFormat/>
    <w:uiPriority w:val="99"/>
    <w:rPr>
      <w:rFonts w:ascii="@仿宋_GB2312" w:hAnsi="@仿宋_GB2312" w:eastAsia="@仿宋_GB2312" w:cs="@仿宋_GB2312"/>
      <w:szCs w:val="20"/>
    </w:rPr>
  </w:style>
  <w:style w:type="character" w:customStyle="1" w:styleId="54">
    <w:name w:val="日期 Char"/>
    <w:link w:val="13"/>
    <w:autoRedefine/>
    <w:qFormat/>
    <w:uiPriority w:val="0"/>
    <w:rPr>
      <w:rFonts w:ascii="Arial" w:hAnsi="Arial" w:eastAsia="宋体" w:cs="Arial"/>
      <w:b/>
      <w:sz w:val="28"/>
      <w:szCs w:val="20"/>
    </w:rPr>
  </w:style>
  <w:style w:type="character" w:customStyle="1" w:styleId="55">
    <w:name w:val="纯文本 Char1"/>
    <w:autoRedefine/>
    <w:qFormat/>
    <w:locked/>
    <w:uiPriority w:val="99"/>
    <w:rPr>
      <w:rFonts w:ascii="Arial" w:hAnsi="Arial" w:eastAsia="Arial"/>
      <w:kern w:val="2"/>
      <w:sz w:val="21"/>
      <w:lang w:val="en-US" w:eastAsia="zh-CN" w:bidi="ar-SA"/>
    </w:rPr>
  </w:style>
  <w:style w:type="character" w:customStyle="1" w:styleId="56">
    <w:name w:val="批注文字 Char"/>
    <w:basedOn w:val="27"/>
    <w:autoRedefine/>
    <w:semiHidden/>
    <w:qFormat/>
    <w:uiPriority w:val="99"/>
    <w:rPr>
      <w:rFonts w:ascii="@仿宋_GB2312" w:hAnsi="@仿宋_GB2312" w:eastAsia="@仿宋_GB2312" w:cs="@仿宋_GB2312"/>
      <w:szCs w:val="20"/>
    </w:rPr>
  </w:style>
  <w:style w:type="character" w:customStyle="1" w:styleId="57">
    <w:name w:val="批注文字 Char1"/>
    <w:link w:val="8"/>
    <w:autoRedefine/>
    <w:qFormat/>
    <w:uiPriority w:val="0"/>
    <w:rPr>
      <w:rFonts w:ascii="Arial" w:hAnsi="Arial" w:eastAsia="黑体" w:cs="Arial"/>
      <w:szCs w:val="20"/>
    </w:rPr>
  </w:style>
  <w:style w:type="character" w:customStyle="1" w:styleId="58">
    <w:name w:val="标题 1 Char"/>
    <w:basedOn w:val="27"/>
    <w:link w:val="2"/>
    <w:autoRedefine/>
    <w:qFormat/>
    <w:uiPriority w:val="9"/>
    <w:rPr>
      <w:rFonts w:ascii="@仿宋_GB2312" w:hAnsi="@仿宋_GB2312" w:eastAsia="@仿宋_GB2312" w:cs="@仿宋_GB2312"/>
      <w:b/>
      <w:bCs/>
      <w:kern w:val="44"/>
      <w:sz w:val="44"/>
      <w:szCs w:val="44"/>
    </w:rPr>
  </w:style>
  <w:style w:type="paragraph" w:customStyle="1" w:styleId="59">
    <w:name w:val="TOC 标题1"/>
    <w:basedOn w:val="2"/>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60">
    <w:name w:val="标题 3 Char"/>
    <w:basedOn w:val="27"/>
    <w:link w:val="4"/>
    <w:autoRedefine/>
    <w:semiHidden/>
    <w:qFormat/>
    <w:uiPriority w:val="9"/>
    <w:rPr>
      <w:rFonts w:ascii="@仿宋_GB2312" w:hAnsi="@仿宋_GB2312" w:eastAsia="@仿宋_GB2312" w:cs="@仿宋_GB2312"/>
      <w:b/>
      <w:bCs/>
      <w:sz w:val="32"/>
      <w:szCs w:val="32"/>
    </w:rPr>
  </w:style>
  <w:style w:type="character" w:customStyle="1" w:styleId="61">
    <w:name w:val="fontstyle01"/>
    <w:basedOn w:val="27"/>
    <w:autoRedefine/>
    <w:qFormat/>
    <w:uiPriority w:val="0"/>
    <w:rPr>
      <w:rFonts w:hint="eastAsia" w:ascii="宋体" w:hAnsi="宋体" w:eastAsia="宋体"/>
      <w:color w:val="000000"/>
      <w:sz w:val="22"/>
      <w:szCs w:val="22"/>
    </w:rPr>
  </w:style>
  <w:style w:type="character" w:customStyle="1" w:styleId="62">
    <w:name w:val="fontstyle21"/>
    <w:basedOn w:val="27"/>
    <w:autoRedefine/>
    <w:qFormat/>
    <w:uiPriority w:val="0"/>
    <w:rPr>
      <w:rFonts w:hint="default" w:ascii="TimesNewRomanPSMT" w:hAnsi="TimesNewRomanPSMT"/>
      <w:color w:val="000000"/>
      <w:sz w:val="22"/>
      <w:szCs w:val="22"/>
    </w:rPr>
  </w:style>
  <w:style w:type="character" w:customStyle="1" w:styleId="63">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64">
    <w:name w:val="标题 4 字符"/>
    <w:basedOn w:val="27"/>
    <w:autoRedefine/>
    <w:semiHidden/>
    <w:qFormat/>
    <w:uiPriority w:val="9"/>
    <w:rPr>
      <w:rFonts w:asciiTheme="majorHAnsi" w:hAnsiTheme="majorHAnsi" w:eastAsiaTheme="majorEastAsia" w:cstheme="majorBidi"/>
      <w:b/>
      <w:bCs/>
      <w:sz w:val="28"/>
      <w:szCs w:val="28"/>
    </w:rPr>
  </w:style>
  <w:style w:type="character" w:customStyle="1" w:styleId="65">
    <w:name w:val="标题 4 Char1"/>
    <w:link w:val="5"/>
    <w:autoRedefine/>
    <w:qFormat/>
    <w:uiPriority w:val="0"/>
    <w:rPr>
      <w:rFonts w:ascii="@仿宋_GB2312" w:hAnsi="@仿宋_GB2312" w:eastAsia="@仿宋_GB2312" w:cs="@仿宋_GB2312"/>
      <w:b/>
      <w:bCs/>
      <w:sz w:val="28"/>
      <w:szCs w:val="28"/>
    </w:rPr>
  </w:style>
  <w:style w:type="character" w:customStyle="1" w:styleId="66">
    <w:name w:val="标题 4 Char"/>
    <w:autoRedefine/>
    <w:qFormat/>
    <w:uiPriority w:val="0"/>
    <w:rPr>
      <w:rFonts w:ascii="Arial" w:hAnsi="Arial" w:eastAsia="Arial"/>
      <w:b/>
      <w:bCs/>
      <w:kern w:val="2"/>
      <w:sz w:val="28"/>
      <w:szCs w:val="28"/>
      <w:lang w:val="en-US" w:eastAsia="zh-CN" w:bidi="ar-SA"/>
    </w:rPr>
  </w:style>
  <w:style w:type="table" w:customStyle="1" w:styleId="67">
    <w:name w:val="网格型1"/>
    <w:basedOn w:val="25"/>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68">
    <w:name w:val="批注主题 Char"/>
    <w:basedOn w:val="57"/>
    <w:link w:val="23"/>
    <w:autoRedefine/>
    <w:semiHidden/>
    <w:qFormat/>
    <w:uiPriority w:val="99"/>
    <w:rPr>
      <w:rFonts w:ascii="@仿宋_GB2312" w:hAnsi="@仿宋_GB2312" w:eastAsia="@仿宋_GB2312" w:cs="@仿宋_GB2312"/>
      <w:b/>
      <w:bCs/>
      <w:szCs w:val="20"/>
    </w:rPr>
  </w:style>
  <w:style w:type="table" w:customStyle="1" w:styleId="69">
    <w:name w:val="Table Normal"/>
    <w:autoRedefine/>
    <w:semiHidden/>
    <w:unhideWhenUsed/>
    <w:qFormat/>
    <w:uiPriority w:val="0"/>
    <w:tblPr>
      <w:tblCellMar>
        <w:top w:w="0" w:type="dxa"/>
        <w:left w:w="0" w:type="dxa"/>
        <w:bottom w:w="0" w:type="dxa"/>
        <w:right w:w="0" w:type="dxa"/>
      </w:tblCellMar>
    </w:tblPr>
  </w:style>
  <w:style w:type="paragraph" w:customStyle="1" w:styleId="70">
    <w:name w:val="Table Text"/>
    <w:basedOn w:val="1"/>
    <w:autoRedefine/>
    <w:semiHidden/>
    <w:qFormat/>
    <w:uiPriority w:val="0"/>
    <w:rPr>
      <w:rFonts w:ascii="Arial" w:hAnsi="Arial" w:eastAsia="Arial" w:cs="Arial"/>
      <w:sz w:val="21"/>
      <w:szCs w:val="21"/>
      <w:lang w:val="en-US" w:eastAsia="en-US" w:bidi="ar-SA"/>
    </w:rPr>
  </w:style>
  <w:style w:type="paragraph" w:customStyle="1" w:styleId="71">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72">
    <w:name w:val="列出段落1"/>
    <w:basedOn w:val="1"/>
    <w:autoRedefine/>
    <w:qFormat/>
    <w:uiPriority w:val="0"/>
    <w:pPr>
      <w:ind w:firstLine="420" w:firstLineChars="200"/>
    </w:pPr>
    <w:rPr>
      <w:szCs w:val="21"/>
    </w:rPr>
  </w:style>
  <w:style w:type="paragraph" w:customStyle="1" w:styleId="73">
    <w:name w:val="样式 ！正文 + 首行缩进:  2 字符"/>
    <w:basedOn w:val="1"/>
    <w:qFormat/>
    <w:uiPriority w:val="0"/>
    <w:pPr>
      <w:ind w:firstLine="480" w:firstLineChars="200"/>
    </w:pPr>
    <w:rPr>
      <w:rFonts w:hint="eastAsia" w:ascii="Arial" w:hAnsi="Arial" w:cs="宋体"/>
    </w:rPr>
  </w:style>
  <w:style w:type="character" w:customStyle="1" w:styleId="74">
    <w:name w:val="hover"/>
    <w:basedOn w:val="27"/>
    <w:qFormat/>
    <w:uiPriority w:val="0"/>
    <w:rPr>
      <w:color w:val="2590EB"/>
    </w:rPr>
  </w:style>
  <w:style w:type="character" w:customStyle="1" w:styleId="75">
    <w:name w:val="hover1"/>
    <w:basedOn w:val="27"/>
    <w:qFormat/>
    <w:uiPriority w:val="0"/>
    <w:rPr>
      <w:color w:val="2590EB"/>
    </w:rPr>
  </w:style>
  <w:style w:type="character" w:customStyle="1" w:styleId="76">
    <w:name w:val="hover2"/>
    <w:basedOn w:val="27"/>
    <w:qFormat/>
    <w:uiPriority w:val="0"/>
  </w:style>
  <w:style w:type="character" w:customStyle="1" w:styleId="77">
    <w:name w:val="hover3"/>
    <w:basedOn w:val="27"/>
    <w:qFormat/>
    <w:uiPriority w:val="0"/>
    <w:rPr>
      <w:color w:val="2590EB"/>
      <w:shd w:val="clear" w:fill="E9F4FD"/>
    </w:rPr>
  </w:style>
  <w:style w:type="paragraph" w:customStyle="1" w:styleId="78">
    <w:name w:val="正文文字 8"/>
    <w:basedOn w:val="1"/>
    <w:next w:val="1"/>
    <w:qFormat/>
    <w:uiPriority w:val="0"/>
    <w:pPr>
      <w:ind w:left="240"/>
    </w:pPr>
    <w:rPr>
      <w:sz w:val="16"/>
    </w:rPr>
  </w:style>
  <w:style w:type="character" w:customStyle="1" w:styleId="79">
    <w:name w:val="16"/>
    <w:basedOn w:val="27"/>
    <w:qFormat/>
    <w:uiPriority w:val="0"/>
    <w:rPr>
      <w:rFonts w:hint="default" w:ascii="Times New Roman" w:hAnsi="Times New Roman" w:cs="Times New Roman"/>
      <w:color w:val="0000FF"/>
      <w:u w:val="single"/>
    </w:rPr>
  </w:style>
  <w:style w:type="character" w:customStyle="1" w:styleId="80">
    <w:name w:val="font41"/>
    <w:basedOn w:val="27"/>
    <w:qFormat/>
    <w:uiPriority w:val="0"/>
    <w:rPr>
      <w:rFonts w:hint="eastAsia" w:ascii="宋体" w:hAnsi="宋体" w:eastAsia="宋体" w:cs="宋体"/>
      <w:color w:val="000000"/>
      <w:sz w:val="18"/>
      <w:szCs w:val="18"/>
      <w:u w:val="none"/>
    </w:rPr>
  </w:style>
  <w:style w:type="character" w:customStyle="1" w:styleId="81">
    <w:name w:val="font51"/>
    <w:basedOn w:val="27"/>
    <w:qFormat/>
    <w:uiPriority w:val="0"/>
    <w:rPr>
      <w:rFonts w:hint="eastAsia" w:ascii="宋体" w:hAnsi="宋体" w:eastAsia="宋体" w:cs="宋体"/>
      <w:color w:val="000000"/>
      <w:sz w:val="18"/>
      <w:szCs w:val="18"/>
      <w:u w:val="none"/>
    </w:rPr>
  </w:style>
  <w:style w:type="character" w:customStyle="1" w:styleId="82">
    <w:name w:val="font81"/>
    <w:basedOn w:val="27"/>
    <w:qFormat/>
    <w:uiPriority w:val="0"/>
    <w:rPr>
      <w:rFonts w:hint="eastAsia" w:ascii="宋体" w:hAnsi="宋体" w:eastAsia="宋体" w:cs="宋体"/>
      <w:b/>
      <w:bCs/>
      <w:color w:val="000000"/>
      <w:sz w:val="18"/>
      <w:szCs w:val="18"/>
      <w:u w:val="none"/>
    </w:rPr>
  </w:style>
  <w:style w:type="character" w:customStyle="1" w:styleId="83">
    <w:name w:val="font11"/>
    <w:basedOn w:val="27"/>
    <w:qFormat/>
    <w:uiPriority w:val="0"/>
    <w:rPr>
      <w:rFonts w:hint="eastAsia" w:ascii="宋体" w:hAnsi="宋体" w:eastAsia="宋体" w:cs="宋体"/>
      <w:color w:val="000000"/>
      <w:sz w:val="18"/>
      <w:szCs w:val="18"/>
      <w:u w:val="none"/>
    </w:rPr>
  </w:style>
  <w:style w:type="character" w:customStyle="1" w:styleId="84">
    <w:name w:val="font31"/>
    <w:basedOn w:val="27"/>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89AC3C6-84CB-4D2E-AFC0-C8AD46F7C0BA}">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98</Pages>
  <Words>50667</Words>
  <Characters>54896</Characters>
  <Lines>244</Lines>
  <Paragraphs>68</Paragraphs>
  <TotalTime>148</TotalTime>
  <ScaleCrop>false</ScaleCrop>
  <LinksUpToDate>false</LinksUpToDate>
  <CharactersWithSpaces>57825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2019-05-06T14:32:00Z</dcterms:created>
  <dc:creator>Anakin</dc:creator>
  <cp:lastModifiedBy>NTKO</cp:lastModifiedBy>
  <cp:lastPrinted>2019-12-07T15:18:00Z</cp:lastPrinted>
  <dcterms:modified xsi:type="dcterms:W3CDTF">2026-07-13T06:27:57Z</dcterms:modified>
  <cp:revision>388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1ECEA165F94845FFAF35C1C96E4FB9B0_12</vt:lpwstr>
  </property>
  <property fmtid="{D5CDD505-2E9C-101B-9397-08002B2CF9AE}" pid="4" name="KSOTemplateDocerSaveRecord">
    <vt:lpwstr>eyJoZGlkIjoiY2RkMWEyZWQzMzVlMTIwNmU2NzU0ODgxZjI5MDllYTciLCJ1c2VySWQiOiI0MDkyMjI1MTkifQ==</vt:lpwstr>
  </property>
</Properties>
</file>