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58A13">
      <w:pPr>
        <w:pStyle w:val="12"/>
        <w:ind w:left="0" w:leftChars="0" w:firstLineChars="0"/>
        <w:jc w:val="center"/>
        <w:rPr>
          <w:rFonts w:ascii="新宋体" w:hAnsi="新宋体" w:eastAsia="新宋体"/>
          <w:b/>
          <w:color w:val="auto"/>
          <w:sz w:val="44"/>
          <w:szCs w:val="44"/>
          <w:highlight w:val="none"/>
        </w:rPr>
      </w:pPr>
      <w:bookmarkStart w:id="0" w:name="OLE_LINK1"/>
    </w:p>
    <w:p w14:paraId="36F5C832">
      <w:pPr>
        <w:rPr>
          <w:color w:val="auto"/>
          <w:highlight w:val="none"/>
        </w:rPr>
      </w:pPr>
    </w:p>
    <w:p w14:paraId="48651816">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850" w:leftChars="-405" w:right="-624"/>
        <w:jc w:val="center"/>
        <w:textAlignment w:val="auto"/>
        <w:rPr>
          <w:rFonts w:hint="default" w:ascii="新宋体" w:hAnsi="新宋体" w:eastAsia="新宋体"/>
          <w:b/>
          <w:color w:val="auto"/>
          <w:sz w:val="48"/>
          <w:szCs w:val="48"/>
          <w:highlight w:val="none"/>
          <w:lang w:val="en-US" w:eastAsia="zh-CN"/>
        </w:rPr>
      </w:pPr>
      <w:r>
        <w:rPr>
          <w:rFonts w:hint="eastAsia" w:ascii="新宋体" w:hAnsi="新宋体" w:eastAsia="新宋体"/>
          <w:b/>
          <w:color w:val="auto"/>
          <w:sz w:val="48"/>
          <w:szCs w:val="48"/>
          <w:highlight w:val="none"/>
          <w:lang w:eastAsia="zh-CN"/>
        </w:rPr>
        <w:t>滁州市自来水有限公司</w:t>
      </w:r>
      <w:r>
        <w:rPr>
          <w:rFonts w:hint="eastAsia" w:ascii="新宋体" w:hAnsi="新宋体" w:eastAsia="新宋体"/>
          <w:b/>
          <w:color w:val="auto"/>
          <w:sz w:val="48"/>
          <w:szCs w:val="48"/>
          <w:highlight w:val="none"/>
          <w:lang w:val="en-US" w:eastAsia="zh-CN"/>
        </w:rPr>
        <w:t>2026年PPR材料</w:t>
      </w:r>
    </w:p>
    <w:p w14:paraId="13BE31BE">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850" w:leftChars="-405" w:right="-624"/>
        <w:jc w:val="center"/>
        <w:textAlignment w:val="auto"/>
        <w:rPr>
          <w:rFonts w:hint="eastAsia" w:ascii="新宋体" w:hAnsi="新宋体" w:eastAsia="新宋体"/>
          <w:b/>
          <w:color w:val="auto"/>
          <w:sz w:val="40"/>
          <w:szCs w:val="40"/>
          <w:highlight w:val="none"/>
          <w:lang w:eastAsia="zh-CN"/>
        </w:rPr>
      </w:pPr>
      <w:r>
        <w:rPr>
          <w:rFonts w:hint="eastAsia" w:ascii="新宋体" w:hAnsi="新宋体" w:eastAsia="新宋体"/>
          <w:b/>
          <w:color w:val="auto"/>
          <w:sz w:val="48"/>
          <w:szCs w:val="48"/>
          <w:highlight w:val="none"/>
          <w:lang w:eastAsia="zh-CN"/>
        </w:rPr>
        <w:t>年度供应商采购项目</w:t>
      </w:r>
    </w:p>
    <w:p w14:paraId="35F1C597">
      <w:pPr>
        <w:spacing w:before="156" w:beforeLines="50" w:after="156" w:afterLines="50"/>
        <w:ind w:left="-850" w:leftChars="-405" w:right="-625"/>
        <w:jc w:val="center"/>
        <w:rPr>
          <w:rFonts w:hint="eastAsia" w:ascii="新宋体" w:hAnsi="新宋体" w:eastAsia="新宋体"/>
          <w:b/>
          <w:color w:val="auto"/>
          <w:sz w:val="40"/>
          <w:szCs w:val="40"/>
          <w:highlight w:val="none"/>
          <w:lang w:eastAsia="zh-CN"/>
        </w:rPr>
      </w:pPr>
    </w:p>
    <w:p w14:paraId="706B0E10">
      <w:pPr>
        <w:keepNext w:val="0"/>
        <w:keepLines w:val="0"/>
        <w:pageBreakBefore w:val="0"/>
        <w:widowControl w:val="0"/>
        <w:kinsoku/>
        <w:wordWrap/>
        <w:overflowPunct/>
        <w:topLinePunct w:val="0"/>
        <w:autoSpaceDE/>
        <w:autoSpaceDN/>
        <w:bidi w:val="0"/>
        <w:adjustRightInd/>
        <w:snapToGrid/>
        <w:spacing w:before="156" w:beforeLines="50" w:after="156" w:afterLines="50" w:line="480" w:lineRule="auto"/>
        <w:ind w:left="-850" w:leftChars="-405" w:right="-625"/>
        <w:jc w:val="center"/>
        <w:textAlignment w:val="auto"/>
        <w:rPr>
          <w:rFonts w:ascii="宋体" w:hAnsi="宋体"/>
          <w:color w:val="auto"/>
          <w:sz w:val="40"/>
          <w:szCs w:val="36"/>
          <w:highlight w:val="none"/>
        </w:rPr>
      </w:pPr>
      <w:r>
        <w:rPr>
          <w:rFonts w:hint="eastAsia" w:ascii="宋体" w:hAnsi="宋体"/>
          <w:color w:val="auto"/>
          <w:sz w:val="40"/>
          <w:szCs w:val="36"/>
          <w:highlight w:val="none"/>
        </w:rPr>
        <w:t>（电子招标投标）</w:t>
      </w:r>
    </w:p>
    <w:p w14:paraId="2B947221">
      <w:pPr>
        <w:pStyle w:val="12"/>
        <w:keepNext w:val="0"/>
        <w:keepLines w:val="0"/>
        <w:pageBreakBefore w:val="0"/>
        <w:widowControl w:val="0"/>
        <w:kinsoku/>
        <w:wordWrap/>
        <w:overflowPunct/>
        <w:topLinePunct w:val="0"/>
        <w:autoSpaceDE/>
        <w:autoSpaceDN/>
        <w:bidi w:val="0"/>
        <w:adjustRightInd/>
        <w:snapToGrid/>
        <w:spacing w:line="480" w:lineRule="auto"/>
        <w:ind w:left="0" w:leftChars="0" w:firstLine="2880" w:firstLineChars="1200"/>
        <w:textAlignment w:val="auto"/>
        <w:rPr>
          <w:rFonts w:hint="default" w:eastAsia="宋体"/>
          <w:color w:val="auto"/>
          <w:sz w:val="24"/>
          <w:highlight w:val="none"/>
          <w:lang w:val="en-US" w:eastAsia="zh-CN"/>
        </w:rPr>
      </w:pPr>
      <w:r>
        <w:rPr>
          <w:rFonts w:hint="eastAsia"/>
          <w:color w:val="auto"/>
          <w:sz w:val="24"/>
          <w:highlight w:val="none"/>
        </w:rPr>
        <w:t>项目编号：czsjqt2025</w:t>
      </w:r>
      <w:r>
        <w:rPr>
          <w:rFonts w:hint="eastAsia"/>
          <w:color w:val="auto"/>
          <w:sz w:val="24"/>
          <w:highlight w:val="none"/>
          <w:lang w:val="en-US" w:eastAsia="zh-CN"/>
        </w:rPr>
        <w:t>12-019</w:t>
      </w:r>
    </w:p>
    <w:p w14:paraId="5A46434C">
      <w:pPr>
        <w:pStyle w:val="52"/>
        <w:ind w:firstLine="0" w:firstLineChars="0"/>
        <w:rPr>
          <w:color w:val="auto"/>
          <w:highlight w:val="none"/>
        </w:rPr>
      </w:pPr>
    </w:p>
    <w:p w14:paraId="2522ADF8">
      <w:pPr>
        <w:pStyle w:val="52"/>
        <w:ind w:firstLine="480"/>
        <w:rPr>
          <w:color w:val="auto"/>
          <w:highlight w:val="none"/>
        </w:rPr>
      </w:pPr>
    </w:p>
    <w:p w14:paraId="7166B834">
      <w:pPr>
        <w:rPr>
          <w:rFonts w:ascii="宋体"/>
          <w:bCs/>
          <w:color w:val="auto"/>
          <w:szCs w:val="21"/>
          <w:highlight w:val="none"/>
        </w:rPr>
      </w:pPr>
    </w:p>
    <w:p w14:paraId="596D9607">
      <w:pPr>
        <w:spacing w:line="312" w:lineRule="auto"/>
        <w:jc w:val="center"/>
        <w:rPr>
          <w:rFonts w:ascii="宋体" w:hAnsi="宋体"/>
          <w:b/>
          <w:color w:val="auto"/>
          <w:sz w:val="84"/>
          <w:szCs w:val="84"/>
          <w:highlight w:val="none"/>
        </w:rPr>
      </w:pPr>
      <w:r>
        <w:rPr>
          <w:rFonts w:hint="eastAsia" w:ascii="宋体" w:hAnsi="宋体"/>
          <w:b/>
          <w:color w:val="auto"/>
          <w:sz w:val="84"/>
          <w:szCs w:val="84"/>
          <w:highlight w:val="none"/>
        </w:rPr>
        <w:t>招 标 文 件</w:t>
      </w:r>
    </w:p>
    <w:p w14:paraId="7875971E">
      <w:pPr>
        <w:rPr>
          <w:rFonts w:ascii="宋体"/>
          <w:bCs/>
          <w:color w:val="auto"/>
          <w:szCs w:val="21"/>
          <w:highlight w:val="none"/>
        </w:rPr>
      </w:pPr>
    </w:p>
    <w:p w14:paraId="08F7FA0F">
      <w:pPr>
        <w:rPr>
          <w:rFonts w:ascii="宋体" w:hAnsi="宋体"/>
          <w:b/>
          <w:color w:val="auto"/>
          <w:sz w:val="84"/>
          <w:szCs w:val="84"/>
          <w:highlight w:val="none"/>
        </w:rPr>
      </w:pPr>
      <w:r>
        <w:rPr>
          <w:rFonts w:hint="eastAsia" w:ascii="宋体" w:hAnsi="宋体"/>
          <w:b/>
          <w:color w:val="auto"/>
          <w:sz w:val="84"/>
          <w:szCs w:val="84"/>
          <w:highlight w:val="none"/>
        </w:rPr>
        <w:t xml:space="preserve"> </w:t>
      </w:r>
    </w:p>
    <w:p w14:paraId="58CA5781">
      <w:pPr>
        <w:pStyle w:val="13"/>
        <w:ind w:left="420"/>
        <w:rPr>
          <w:color w:val="auto"/>
          <w:highlight w:val="none"/>
        </w:rPr>
      </w:pPr>
    </w:p>
    <w:p w14:paraId="1B0A714C">
      <w:pPr>
        <w:spacing w:before="312" w:beforeLines="100" w:after="312" w:afterLines="100" w:line="360" w:lineRule="auto"/>
        <w:jc w:val="left"/>
        <w:rPr>
          <w:rFonts w:ascii="宋体"/>
          <w:b/>
          <w:color w:val="auto"/>
          <w:sz w:val="32"/>
          <w:szCs w:val="32"/>
          <w:highlight w:val="none"/>
        </w:rPr>
      </w:pPr>
    </w:p>
    <w:p w14:paraId="0AC52618">
      <w:pPr>
        <w:pStyle w:val="12"/>
        <w:ind w:firstLine="400"/>
        <w:rPr>
          <w:color w:val="auto"/>
          <w:highlight w:val="none"/>
        </w:rPr>
      </w:pPr>
    </w:p>
    <w:p w14:paraId="4B6FBA9B">
      <w:pPr>
        <w:spacing w:before="312" w:beforeLines="100" w:after="312" w:afterLines="100" w:line="480" w:lineRule="auto"/>
        <w:ind w:firstLine="964" w:firstLineChars="300"/>
        <w:jc w:val="left"/>
        <w:rPr>
          <w:rFonts w:ascii="宋体"/>
          <w:b/>
          <w:color w:val="auto"/>
          <w:sz w:val="32"/>
          <w:szCs w:val="32"/>
          <w:highlight w:val="none"/>
        </w:rPr>
      </w:pPr>
      <w:r>
        <w:rPr>
          <w:rFonts w:hint="eastAsia" w:ascii="宋体"/>
          <w:b/>
          <w:color w:val="auto"/>
          <w:sz w:val="32"/>
          <w:szCs w:val="32"/>
          <w:highlight w:val="none"/>
        </w:rPr>
        <w:t>招标人：</w:t>
      </w:r>
      <w:r>
        <w:rPr>
          <w:rFonts w:hint="eastAsia" w:ascii="宋体"/>
          <w:b/>
          <w:color w:val="auto"/>
          <w:sz w:val="32"/>
          <w:szCs w:val="32"/>
          <w:highlight w:val="none"/>
          <w:u w:val="single"/>
        </w:rPr>
        <w:t xml:space="preserve">     滁州市自来水有限公司       </w:t>
      </w:r>
      <w:r>
        <w:rPr>
          <w:rFonts w:hint="eastAsia" w:ascii="宋体"/>
          <w:b/>
          <w:color w:val="auto"/>
          <w:sz w:val="32"/>
          <w:szCs w:val="32"/>
          <w:highlight w:val="none"/>
        </w:rPr>
        <w:t>（盖单位章）</w:t>
      </w:r>
    </w:p>
    <w:p w14:paraId="1B64728D">
      <w:pPr>
        <w:spacing w:before="312" w:beforeLines="100" w:after="312" w:afterLines="100" w:line="480" w:lineRule="auto"/>
        <w:ind w:firstLine="964" w:firstLineChars="300"/>
        <w:rPr>
          <w:rFonts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42995E6F">
      <w:pPr>
        <w:spacing w:before="312" w:beforeLines="100" w:after="312" w:afterLines="100" w:line="480" w:lineRule="auto"/>
        <w:jc w:val="center"/>
        <w:rPr>
          <w:rFonts w:ascii="宋体"/>
          <w:b/>
          <w:color w:val="auto"/>
          <w:sz w:val="32"/>
          <w:szCs w:val="32"/>
          <w:highlight w:val="none"/>
        </w:rPr>
      </w:pPr>
      <w:r>
        <w:rPr>
          <w:rFonts w:hint="eastAsia" w:ascii="宋体"/>
          <w:b/>
          <w:color w:val="auto"/>
          <w:sz w:val="32"/>
          <w:szCs w:val="32"/>
          <w:highlight w:val="none"/>
          <w:u w:val="single"/>
        </w:rPr>
        <w:t>2025</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12</w:t>
      </w:r>
      <w:r>
        <w:rPr>
          <w:rFonts w:hint="eastAsia" w:ascii="宋体"/>
          <w:b/>
          <w:color w:val="auto"/>
          <w:sz w:val="32"/>
          <w:szCs w:val="32"/>
          <w:highlight w:val="none"/>
        </w:rPr>
        <w:t>月</w:t>
      </w:r>
    </w:p>
    <w:p w14:paraId="010572EC">
      <w:pPr>
        <w:spacing w:line="360" w:lineRule="exact"/>
        <w:rPr>
          <w:b/>
          <w:color w:val="auto"/>
          <w:sz w:val="36"/>
          <w:highlight w:val="none"/>
        </w:rPr>
      </w:pPr>
    </w:p>
    <w:p w14:paraId="16774568">
      <w:pPr>
        <w:spacing w:line="360" w:lineRule="exact"/>
        <w:jc w:val="both"/>
        <w:rPr>
          <w:b/>
          <w:color w:val="auto"/>
          <w:sz w:val="36"/>
          <w:highlight w:val="none"/>
        </w:rPr>
      </w:pPr>
    </w:p>
    <w:p w14:paraId="1D6FBEAB">
      <w:pPr>
        <w:spacing w:line="360" w:lineRule="auto"/>
        <w:jc w:val="center"/>
        <w:rPr>
          <w:b/>
          <w:color w:val="auto"/>
          <w:sz w:val="44"/>
          <w:szCs w:val="32"/>
          <w:highlight w:val="none"/>
        </w:rPr>
      </w:pPr>
      <w:r>
        <w:rPr>
          <w:rFonts w:hint="eastAsia"/>
          <w:b/>
          <w:color w:val="auto"/>
          <w:sz w:val="44"/>
          <w:szCs w:val="32"/>
          <w:highlight w:val="none"/>
        </w:rPr>
        <w:t>目  录</w:t>
      </w:r>
    </w:p>
    <w:p w14:paraId="582AEB6C">
      <w:pPr>
        <w:spacing w:line="720" w:lineRule="auto"/>
        <w:jc w:val="center"/>
        <w:rPr>
          <w:b/>
          <w:color w:val="auto"/>
          <w:sz w:val="36"/>
          <w:highlight w:val="none"/>
        </w:rPr>
      </w:pPr>
    </w:p>
    <w:p w14:paraId="409C730C">
      <w:pPr>
        <w:pStyle w:val="25"/>
        <w:tabs>
          <w:tab w:val="right" w:leader="dot" w:pos="9072"/>
        </w:tabs>
        <w:spacing w:line="700" w:lineRule="exact"/>
        <w:rPr>
          <w:rFonts w:ascii="宋体" w:hAnsi="宋体" w:cs="宋体"/>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color w:val="auto"/>
          <w:highlight w:val="none"/>
        </w:rPr>
        <w:fldChar w:fldCharType="begin"/>
      </w:r>
      <w:r>
        <w:rPr>
          <w:color w:val="auto"/>
          <w:highlight w:val="none"/>
        </w:rPr>
        <w:instrText xml:space="preserve"> HYPERLINK \l "_Toc17328" </w:instrText>
      </w:r>
      <w:r>
        <w:rPr>
          <w:color w:val="auto"/>
          <w:highlight w:val="none"/>
        </w:rPr>
        <w:fldChar w:fldCharType="separate"/>
      </w:r>
      <w:r>
        <w:rPr>
          <w:rFonts w:hint="eastAsia" w:ascii="宋体" w:hAnsi="宋体" w:cs="宋体"/>
          <w:bCs/>
          <w:color w:val="auto"/>
          <w:sz w:val="30"/>
          <w:szCs w:val="30"/>
          <w:highlight w:val="none"/>
        </w:rPr>
        <w:t>第一章 招标公告</w:t>
      </w:r>
      <w:r>
        <w:rPr>
          <w:rFonts w:hint="eastAsia" w:ascii="宋体" w:hAnsi="宋体" w:cs="宋体"/>
          <w:color w:val="auto"/>
          <w:sz w:val="30"/>
          <w:szCs w:val="30"/>
          <w:highlight w:val="none"/>
        </w:rPr>
        <w:tab/>
      </w:r>
      <w:r>
        <w:rPr>
          <w:rFonts w:hint="eastAsia" w:ascii="宋体" w:hAnsi="宋体" w:cs="宋体"/>
          <w:color w:val="auto"/>
          <w:sz w:val="30"/>
          <w:szCs w:val="30"/>
          <w:highlight w:val="none"/>
        </w:rPr>
        <w:t>1</w:t>
      </w:r>
      <w:r>
        <w:rPr>
          <w:rFonts w:hint="eastAsia" w:ascii="宋体" w:hAnsi="宋体" w:cs="宋体"/>
          <w:color w:val="auto"/>
          <w:sz w:val="30"/>
          <w:szCs w:val="30"/>
          <w:highlight w:val="none"/>
        </w:rPr>
        <w:fldChar w:fldCharType="end"/>
      </w:r>
    </w:p>
    <w:p w14:paraId="241E0BFC">
      <w:pPr>
        <w:pStyle w:val="25"/>
        <w:tabs>
          <w:tab w:val="right" w:leader="dot" w:pos="9072"/>
        </w:tabs>
        <w:spacing w:line="70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"_Toc20364" </w:instrText>
      </w:r>
      <w:r>
        <w:rPr>
          <w:color w:val="auto"/>
          <w:highlight w:val="none"/>
        </w:rPr>
        <w:fldChar w:fldCharType="separate"/>
      </w:r>
      <w:r>
        <w:rPr>
          <w:rFonts w:hint="eastAsia" w:ascii="宋体" w:hAnsi="宋体" w:cs="宋体"/>
          <w:color w:val="auto"/>
          <w:sz w:val="30"/>
          <w:szCs w:val="30"/>
          <w:highlight w:val="none"/>
        </w:rPr>
        <w:t>第二章 投标人须知</w:t>
      </w:r>
      <w:r>
        <w:rPr>
          <w:rFonts w:hint="eastAsia" w:ascii="宋体" w:hAnsi="宋体" w:cs="宋体"/>
          <w:color w:val="auto"/>
          <w:sz w:val="30"/>
          <w:szCs w:val="30"/>
          <w:highlight w:val="none"/>
        </w:rPr>
        <w:tab/>
      </w:r>
      <w:r>
        <w:rPr>
          <w:rFonts w:hint="eastAsia" w:ascii="宋体" w:hAnsi="宋体" w:cs="宋体"/>
          <w:color w:val="auto"/>
          <w:sz w:val="30"/>
          <w:szCs w:val="30"/>
          <w:highlight w:val="none"/>
        </w:rPr>
        <w:t>7</w:t>
      </w:r>
      <w:r>
        <w:rPr>
          <w:rFonts w:hint="eastAsia" w:ascii="宋体" w:hAnsi="宋体" w:cs="宋体"/>
          <w:color w:val="auto"/>
          <w:sz w:val="30"/>
          <w:szCs w:val="30"/>
          <w:highlight w:val="none"/>
        </w:rPr>
        <w:fldChar w:fldCharType="end"/>
      </w:r>
    </w:p>
    <w:p w14:paraId="4B472BC1">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"_Toc28871" </w:instrText>
      </w:r>
      <w:r>
        <w:rPr>
          <w:color w:val="auto"/>
          <w:highlight w:val="none"/>
        </w:rPr>
        <w:fldChar w:fldCharType="separate"/>
      </w:r>
      <w:r>
        <w:rPr>
          <w:rFonts w:hint="eastAsia" w:ascii="宋体" w:hAnsi="宋体" w:cs="宋体"/>
          <w:color w:val="auto"/>
          <w:sz w:val="30"/>
          <w:szCs w:val="30"/>
          <w:highlight w:val="none"/>
        </w:rPr>
        <w:t>第三章 评标办法（综合评分法）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7</w:t>
      </w:r>
    </w:p>
    <w:p w14:paraId="78536156">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"_Toc28444" </w:instrText>
      </w:r>
      <w:r>
        <w:rPr>
          <w:color w:val="auto"/>
          <w:highlight w:val="none"/>
        </w:rPr>
        <w:fldChar w:fldCharType="separate"/>
      </w:r>
      <w:r>
        <w:rPr>
          <w:rFonts w:hint="eastAsia" w:ascii="宋体" w:hAnsi="宋体" w:cs="宋体"/>
          <w:color w:val="auto"/>
          <w:sz w:val="30"/>
          <w:szCs w:val="30"/>
          <w:highlight w:val="none"/>
        </w:rPr>
        <w:t>第四章 采购内容及技术要求</w:t>
      </w:r>
      <w:r>
        <w:rPr>
          <w:rFonts w:hint="eastAsia" w:ascii="宋体" w:hAnsi="宋体" w:cs="宋体"/>
          <w:color w:val="auto"/>
          <w:sz w:val="30"/>
          <w:szCs w:val="30"/>
          <w:highlight w:val="none"/>
        </w:rPr>
        <w:tab/>
      </w:r>
      <w:r>
        <w:rPr>
          <w:rFonts w:hint="eastAsia" w:ascii="宋体" w:hAnsi="宋体" w:cs="宋体"/>
          <w:color w:val="auto"/>
          <w:sz w:val="30"/>
          <w:szCs w:val="30"/>
          <w:highlight w:val="none"/>
        </w:rPr>
        <w:t>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6</w:t>
      </w:r>
    </w:p>
    <w:p w14:paraId="3A4C062A">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"_Toc22340" </w:instrText>
      </w:r>
      <w:r>
        <w:rPr>
          <w:color w:val="auto"/>
          <w:highlight w:val="none"/>
        </w:rPr>
        <w:fldChar w:fldCharType="separate"/>
      </w:r>
      <w:r>
        <w:rPr>
          <w:rFonts w:hint="eastAsia" w:ascii="宋体" w:hAnsi="宋体" w:cs="宋体"/>
          <w:color w:val="auto"/>
          <w:sz w:val="30"/>
          <w:szCs w:val="30"/>
          <w:highlight w:val="none"/>
        </w:rPr>
        <w:t>第五章 合同条款及格式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t>4</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0</w:t>
      </w:r>
    </w:p>
    <w:p w14:paraId="64FC1A43">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"_Toc8628" </w:instrText>
      </w:r>
      <w:r>
        <w:rPr>
          <w:color w:val="auto"/>
          <w:highlight w:val="none"/>
        </w:rPr>
        <w:fldChar w:fldCharType="separate"/>
      </w:r>
      <w:r>
        <w:rPr>
          <w:rFonts w:hint="eastAsia" w:ascii="宋体" w:hAnsi="宋体" w:cs="宋体"/>
          <w:color w:val="auto"/>
          <w:sz w:val="30"/>
          <w:szCs w:val="30"/>
          <w:highlight w:val="none"/>
        </w:rPr>
        <w:t>第六章 投标文件格式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47</w:t>
      </w:r>
    </w:p>
    <w:p w14:paraId="34381AEE">
      <w:pPr>
        <w:pStyle w:val="25"/>
        <w:tabs>
          <w:tab w:val="right" w:leader="dot" w:pos="9072"/>
        </w:tabs>
        <w:spacing w:line="700" w:lineRule="exact"/>
        <w:rPr>
          <w:rFonts w:hint="eastAsia"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 xml:space="preserve">第七章 </w:t>
      </w:r>
      <w:r>
        <w:rPr>
          <w:color w:val="auto"/>
          <w:highlight w:val="none"/>
        </w:rPr>
        <w:fldChar w:fldCharType="begin"/>
      </w:r>
      <w:r>
        <w:rPr>
          <w:color w:val="auto"/>
          <w:highlight w:val="none"/>
        </w:rPr>
        <w:instrText xml:space="preserve"> HYPERLINK \l "_Toc25631" </w:instrText>
      </w:r>
      <w:r>
        <w:rPr>
          <w:color w:val="auto"/>
          <w:highlight w:val="none"/>
        </w:rPr>
        <w:fldChar w:fldCharType="separate"/>
      </w:r>
      <w:r>
        <w:rPr>
          <w:rFonts w:hint="eastAsia" w:ascii="宋体" w:hAnsi="宋体" w:cs="宋体"/>
          <w:color w:val="auto"/>
          <w:sz w:val="30"/>
          <w:szCs w:val="30"/>
          <w:highlight w:val="none"/>
        </w:rPr>
        <w:t>招标人、招标代理机构对本招标文件的确认</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6</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8</w:t>
      </w:r>
    </w:p>
    <w:p w14:paraId="05F9FD62">
      <w:pPr>
        <w:pStyle w:val="25"/>
        <w:tabs>
          <w:tab w:val="right" w:leader="dot" w:pos="8296"/>
        </w:tabs>
        <w:adjustRightInd w:val="0"/>
        <w:snapToGrid w:val="0"/>
        <w:spacing w:line="700" w:lineRule="exact"/>
        <w:ind w:left="150" w:hanging="150" w:hangingChars="50"/>
        <w:jc w:val="center"/>
        <w:rPr>
          <w:rFonts w:ascii="宋体" w:hAnsi="宋体" w:cs="宋体"/>
          <w:b/>
          <w:bCs/>
          <w:color w:val="auto"/>
          <w:sz w:val="30"/>
          <w:szCs w:val="30"/>
          <w:highlight w:val="none"/>
        </w:rPr>
        <w:sectPr>
          <w:headerReference r:id="rId3" w:type="default"/>
          <w:footerReference r:id="rId4" w:type="default"/>
          <w:pgSz w:w="11906" w:h="16838"/>
          <w:pgMar w:top="1440" w:right="1417" w:bottom="1417" w:left="1417" w:header="851" w:footer="992" w:gutter="0"/>
          <w:pgNumType w:start="1"/>
          <w:cols w:space="720" w:num="1"/>
          <w:docGrid w:type="lines" w:linePitch="312" w:charSpace="0"/>
        </w:sectPr>
      </w:pPr>
      <w:r>
        <w:rPr>
          <w:rFonts w:hint="eastAsia" w:ascii="宋体" w:hAnsi="宋体" w:cs="宋体"/>
          <w:color w:val="auto"/>
          <w:sz w:val="30"/>
          <w:szCs w:val="30"/>
          <w:highlight w:val="none"/>
        </w:rPr>
        <w:fldChar w:fldCharType="end"/>
      </w:r>
    </w:p>
    <w:p w14:paraId="4C2B100D">
      <w:pPr>
        <w:pStyle w:val="2"/>
        <w:tabs>
          <w:tab w:val="left" w:pos="0"/>
          <w:tab w:val="left" w:pos="3165"/>
          <w:tab w:val="center" w:pos="4153"/>
        </w:tabs>
        <w:autoSpaceDE w:val="0"/>
        <w:autoSpaceDN w:val="0"/>
        <w:adjustRightInd w:val="0"/>
        <w:spacing w:before="0" w:after="0" w:line="240" w:lineRule="auto"/>
        <w:rPr>
          <w:rFonts w:ascii="黑体" w:hAnsi="黑体" w:cs="宋体"/>
          <w:b w:val="0"/>
          <w:color w:val="auto"/>
          <w:sz w:val="28"/>
          <w:szCs w:val="28"/>
          <w:highlight w:val="none"/>
        </w:rPr>
      </w:pPr>
      <w:bookmarkStart w:id="1" w:name="_Toc17328"/>
      <w:r>
        <w:rPr>
          <w:rFonts w:hint="eastAsia" w:ascii="华文中宋" w:hAnsi="华文中宋" w:eastAsia="华文中宋"/>
          <w:color w:val="auto"/>
          <w:highlight w:val="none"/>
        </w:rPr>
        <w:t xml:space="preserve">第一章 </w:t>
      </w:r>
      <w:bookmarkEnd w:id="1"/>
      <w:r>
        <w:rPr>
          <w:rFonts w:hint="eastAsia" w:ascii="华文中宋" w:hAnsi="华文中宋" w:eastAsia="华文中宋"/>
          <w:color w:val="auto"/>
          <w:highlight w:val="none"/>
        </w:rPr>
        <w:t>招标公告</w:t>
      </w:r>
      <w:bookmarkStart w:id="2" w:name="_Toc35393790"/>
      <w:bookmarkStart w:id="3" w:name="_Toc35393621"/>
      <w:bookmarkStart w:id="4" w:name="_Toc28359079"/>
      <w:bookmarkStart w:id="5" w:name="_Toc28359002"/>
      <w:bookmarkStart w:id="6" w:name="_Hlk24379207"/>
    </w:p>
    <w:p w14:paraId="1227A65E">
      <w:pPr>
        <w:keepNext/>
        <w:keepLines/>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4E27669B">
      <w:pPr>
        <w:keepNext/>
        <w:keepLines/>
        <w:ind w:firstLine="560" w:firstLineChars="200"/>
        <w:rPr>
          <w:rFonts w:ascii="黑体" w:hAnsi="黑体" w:cs="宋体"/>
          <w:color w:val="auto"/>
          <w:sz w:val="28"/>
          <w:szCs w:val="28"/>
          <w:highlight w:val="none"/>
        </w:rPr>
      </w:pPr>
      <w:r>
        <w:rPr>
          <w:rFonts w:hint="eastAsia" w:ascii="仿宋" w:hAnsi="仿宋" w:eastAsia="仿宋" w:cs="仿宋"/>
          <w:color w:val="auto"/>
          <w:sz w:val="28"/>
          <w:szCs w:val="28"/>
          <w:highlight w:val="none"/>
          <w:u w:val="single"/>
          <w:lang w:eastAsia="zh-CN"/>
        </w:rPr>
        <w:t>滁州市自来水有限公司</w:t>
      </w:r>
      <w:r>
        <w:rPr>
          <w:rFonts w:hint="eastAsia" w:ascii="仿宋" w:hAnsi="仿宋" w:eastAsia="仿宋" w:cs="仿宋"/>
          <w:color w:val="auto"/>
          <w:sz w:val="28"/>
          <w:szCs w:val="28"/>
          <w:highlight w:val="none"/>
          <w:u w:val="single"/>
          <w:lang w:val="en-US" w:eastAsia="zh-CN"/>
        </w:rPr>
        <w:t>2026年PPR材料</w:t>
      </w:r>
      <w:r>
        <w:rPr>
          <w:rFonts w:hint="eastAsia" w:ascii="仿宋" w:hAnsi="仿宋" w:eastAsia="仿宋" w:cs="仿宋"/>
          <w:color w:val="auto"/>
          <w:sz w:val="28"/>
          <w:szCs w:val="28"/>
          <w:highlight w:val="none"/>
          <w:u w:val="single"/>
          <w:lang w:eastAsia="zh-CN"/>
        </w:rPr>
        <w:t>年度供应商采购项目</w:t>
      </w:r>
      <w:r>
        <w:rPr>
          <w:rFonts w:hint="eastAsia" w:ascii="仿宋" w:hAnsi="仿宋" w:eastAsia="仿宋" w:cs="仿宋"/>
          <w:color w:val="auto"/>
          <w:sz w:val="28"/>
          <w:szCs w:val="28"/>
          <w:highlight w:val="none"/>
        </w:rPr>
        <w:t>招标项目的潜在投标人应在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16</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8</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p w14:paraId="443A3D5B">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bookmarkEnd w:id="2"/>
      <w:bookmarkEnd w:id="3"/>
      <w:bookmarkEnd w:id="4"/>
      <w:bookmarkEnd w:id="5"/>
    </w:p>
    <w:p w14:paraId="45C27A0C">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项目编号：czsjqt2025</w:t>
      </w:r>
      <w:r>
        <w:rPr>
          <w:rFonts w:hint="eastAsia" w:ascii="仿宋" w:hAnsi="仿宋" w:eastAsia="仿宋"/>
          <w:color w:val="auto"/>
          <w:sz w:val="28"/>
          <w:szCs w:val="28"/>
          <w:highlight w:val="none"/>
          <w:lang w:val="en-US" w:eastAsia="zh-CN"/>
        </w:rPr>
        <w:t>12-019</w:t>
      </w:r>
    </w:p>
    <w:p w14:paraId="637B07A9">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bookmarkEnd w:id="6"/>
      <w:r>
        <w:rPr>
          <w:rFonts w:hint="eastAsia" w:ascii="仿宋" w:hAnsi="仿宋" w:eastAsia="仿宋"/>
          <w:color w:val="auto"/>
          <w:sz w:val="28"/>
          <w:szCs w:val="28"/>
          <w:highlight w:val="none"/>
          <w:lang w:eastAsia="zh-CN"/>
        </w:rPr>
        <w:t>滁州市自来水有限公司</w:t>
      </w:r>
      <w:r>
        <w:rPr>
          <w:rFonts w:hint="eastAsia" w:ascii="仿宋" w:hAnsi="仿宋" w:eastAsia="仿宋"/>
          <w:color w:val="auto"/>
          <w:sz w:val="28"/>
          <w:szCs w:val="28"/>
          <w:highlight w:val="none"/>
          <w:lang w:val="en-US" w:eastAsia="zh-CN"/>
        </w:rPr>
        <w:t>2026年PPR材料</w:t>
      </w:r>
      <w:r>
        <w:rPr>
          <w:rFonts w:hint="eastAsia" w:ascii="仿宋" w:hAnsi="仿宋" w:eastAsia="仿宋"/>
          <w:color w:val="auto"/>
          <w:sz w:val="28"/>
          <w:szCs w:val="28"/>
          <w:highlight w:val="none"/>
          <w:lang w:eastAsia="zh-CN"/>
        </w:rPr>
        <w:t>年度供应商采购项目</w:t>
      </w:r>
    </w:p>
    <w:p w14:paraId="38374AC6">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预算金额：437880.5</w:t>
      </w:r>
      <w:r>
        <w:rPr>
          <w:rFonts w:hint="eastAsia" w:ascii="仿宋" w:hAnsi="仿宋" w:eastAsia="仿宋"/>
          <w:color w:val="auto"/>
          <w:sz w:val="28"/>
          <w:szCs w:val="28"/>
          <w:highlight w:val="none"/>
          <w:lang w:val="en-US" w:eastAsia="zh-CN"/>
        </w:rPr>
        <w:t>0</w:t>
      </w:r>
      <w:r>
        <w:rPr>
          <w:rFonts w:hint="eastAsia" w:ascii="仿宋" w:hAnsi="仿宋" w:eastAsia="仿宋"/>
          <w:color w:val="auto"/>
          <w:sz w:val="28"/>
          <w:szCs w:val="28"/>
          <w:highlight w:val="none"/>
        </w:rPr>
        <w:t>元</w:t>
      </w:r>
    </w:p>
    <w:p w14:paraId="288798E3">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最高限价：437880.5</w:t>
      </w:r>
      <w:r>
        <w:rPr>
          <w:rFonts w:hint="eastAsia" w:ascii="仿宋" w:hAnsi="仿宋" w:eastAsia="仿宋"/>
          <w:color w:val="auto"/>
          <w:sz w:val="28"/>
          <w:szCs w:val="28"/>
          <w:highlight w:val="none"/>
          <w:lang w:val="en-US" w:eastAsia="zh-CN"/>
        </w:rPr>
        <w:t>0元，各项最高综合单价详见《采购需求及技术要求》</w:t>
      </w:r>
    </w:p>
    <w:p w14:paraId="081879B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val="en-US" w:eastAsia="zh-CN"/>
        </w:rPr>
        <w:t>详见《采购需求及技术要求》</w:t>
      </w:r>
    </w:p>
    <w:p w14:paraId="7339DCC0">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eastAsia="zh-CN"/>
        </w:rPr>
        <w:t>合同有效期为</w:t>
      </w:r>
      <w:r>
        <w:rPr>
          <w:rFonts w:hint="eastAsia" w:ascii="仿宋" w:hAnsi="仿宋" w:eastAsia="仿宋"/>
          <w:color w:val="auto"/>
          <w:sz w:val="28"/>
          <w:szCs w:val="28"/>
          <w:highlight w:val="none"/>
          <w:lang w:val="en-US" w:eastAsia="zh-CN"/>
        </w:rPr>
        <w:t>两</w:t>
      </w:r>
      <w:r>
        <w:rPr>
          <w:rFonts w:hint="eastAsia" w:ascii="仿宋" w:hAnsi="仿宋" w:eastAsia="仿宋"/>
          <w:color w:val="auto"/>
          <w:sz w:val="28"/>
          <w:szCs w:val="28"/>
          <w:highlight w:val="none"/>
          <w:lang w:eastAsia="zh-CN"/>
        </w:rPr>
        <w:t>年，</w:t>
      </w:r>
      <w:r>
        <w:rPr>
          <w:rFonts w:hint="eastAsia" w:ascii="仿宋" w:hAnsi="仿宋" w:eastAsia="仿宋"/>
          <w:color w:val="auto"/>
          <w:sz w:val="28"/>
          <w:szCs w:val="28"/>
          <w:highlight w:val="none"/>
          <w:lang w:val="en-US" w:eastAsia="zh-CN"/>
        </w:rPr>
        <w:t>招标人</w:t>
      </w:r>
      <w:r>
        <w:rPr>
          <w:rFonts w:hint="eastAsia" w:ascii="仿宋" w:hAnsi="仿宋" w:eastAsia="仿宋"/>
          <w:color w:val="auto"/>
          <w:sz w:val="28"/>
          <w:szCs w:val="28"/>
          <w:highlight w:val="none"/>
          <w:lang w:eastAsia="zh-CN"/>
        </w:rPr>
        <w:t>可以根据产品质量、供货时间及售后等因素续签</w:t>
      </w:r>
      <w:r>
        <w:rPr>
          <w:rFonts w:hint="eastAsia" w:ascii="仿宋" w:hAnsi="仿宋" w:eastAsia="仿宋"/>
          <w:color w:val="auto"/>
          <w:sz w:val="28"/>
          <w:szCs w:val="28"/>
          <w:highlight w:val="none"/>
          <w:lang w:val="en-US" w:eastAsia="zh-CN"/>
        </w:rPr>
        <w:t>一</w:t>
      </w:r>
      <w:r>
        <w:rPr>
          <w:rFonts w:hint="eastAsia" w:ascii="仿宋" w:hAnsi="仿宋" w:eastAsia="仿宋"/>
          <w:color w:val="auto"/>
          <w:sz w:val="28"/>
          <w:szCs w:val="28"/>
          <w:highlight w:val="none"/>
          <w:lang w:eastAsia="zh-CN"/>
        </w:rPr>
        <w:t>年，具体以合同签订时间为准。合同签订</w:t>
      </w:r>
      <w:r>
        <w:rPr>
          <w:rFonts w:hint="eastAsia" w:ascii="仿宋" w:hAnsi="仿宋" w:eastAsia="仿宋"/>
          <w:color w:val="auto"/>
          <w:sz w:val="28"/>
          <w:szCs w:val="28"/>
          <w:highlight w:val="none"/>
          <w:lang w:val="en-US" w:eastAsia="zh-CN"/>
        </w:rPr>
        <w:t>并</w:t>
      </w:r>
      <w:r>
        <w:rPr>
          <w:rFonts w:hint="eastAsia" w:ascii="仿宋" w:hAnsi="仿宋" w:eastAsia="仿宋"/>
          <w:color w:val="auto"/>
          <w:sz w:val="28"/>
          <w:szCs w:val="28"/>
          <w:highlight w:val="none"/>
          <w:lang w:eastAsia="zh-CN"/>
        </w:rPr>
        <w:t>接到供货通知后，</w:t>
      </w:r>
      <w:r>
        <w:rPr>
          <w:rFonts w:hint="eastAsia" w:ascii="仿宋" w:hAnsi="仿宋" w:eastAsia="仿宋"/>
          <w:color w:val="auto"/>
          <w:sz w:val="28"/>
          <w:szCs w:val="28"/>
          <w:highlight w:val="none"/>
          <w:lang w:val="en-US" w:eastAsia="zh-CN"/>
        </w:rPr>
        <w:t>中标人需</w:t>
      </w:r>
      <w:r>
        <w:rPr>
          <w:rFonts w:hint="eastAsia" w:ascii="仿宋" w:hAnsi="仿宋" w:eastAsia="仿宋"/>
          <w:color w:val="auto"/>
          <w:sz w:val="28"/>
          <w:szCs w:val="28"/>
          <w:highlight w:val="none"/>
        </w:rPr>
        <w:t>根据现场实际情况调配车辆大小</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考虑实际综合费用</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确保</w:t>
      </w:r>
      <w:r>
        <w:rPr>
          <w:rFonts w:hint="eastAsia" w:ascii="仿宋" w:hAnsi="仿宋" w:eastAsia="仿宋"/>
          <w:color w:val="auto"/>
          <w:sz w:val="28"/>
          <w:szCs w:val="28"/>
          <w:highlight w:val="none"/>
          <w:lang w:eastAsia="zh-CN"/>
        </w:rPr>
        <w:t>一周内</w:t>
      </w:r>
      <w:r>
        <w:rPr>
          <w:rFonts w:hint="eastAsia" w:ascii="仿宋" w:hAnsi="仿宋" w:eastAsia="仿宋"/>
          <w:color w:val="auto"/>
          <w:sz w:val="28"/>
          <w:szCs w:val="28"/>
          <w:highlight w:val="none"/>
          <w:lang w:val="en-US" w:eastAsia="zh-CN"/>
        </w:rPr>
        <w:t>货到指定地点，每延期一天将货物运送至指定地点的，将处以10000元/天违约金，直接从当期货款中扣除。货物送至指定地点后15日内必须与招标人共同完成货物的对账入库手续，每延期一天将处以5000元/天违约金，直接从当期货款中扣除。</w:t>
      </w:r>
    </w:p>
    <w:p w14:paraId="7ECB9229">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本项目不接受联合体投标。</w:t>
      </w:r>
    </w:p>
    <w:p w14:paraId="3B14CE1F">
      <w:pPr>
        <w:keepNext/>
        <w:keepLines/>
        <w:spacing w:before="260" w:after="260"/>
        <w:rPr>
          <w:rFonts w:ascii="黑体" w:hAnsi="黑体" w:eastAsia="黑体" w:cs="黑体"/>
          <w:color w:val="auto"/>
          <w:sz w:val="28"/>
          <w:szCs w:val="28"/>
          <w:highlight w:val="none"/>
        </w:rPr>
      </w:pPr>
      <w:bookmarkStart w:id="7" w:name="_Toc28359080"/>
      <w:bookmarkStart w:id="8" w:name="_Toc35393622"/>
      <w:bookmarkStart w:id="9" w:name="_Toc35393791"/>
      <w:bookmarkStart w:id="10" w:name="_Toc28359003"/>
      <w:r>
        <w:rPr>
          <w:rFonts w:hint="eastAsia" w:ascii="黑体" w:hAnsi="黑体" w:eastAsia="黑体" w:cs="黑体"/>
          <w:color w:val="auto"/>
          <w:sz w:val="28"/>
          <w:szCs w:val="28"/>
          <w:highlight w:val="none"/>
        </w:rPr>
        <w:t>二、申请人的资格要求</w:t>
      </w:r>
      <w:bookmarkEnd w:id="7"/>
      <w:bookmarkEnd w:id="8"/>
      <w:bookmarkEnd w:id="9"/>
      <w:bookmarkEnd w:id="10"/>
    </w:p>
    <w:p w14:paraId="7C80C807">
      <w:pPr>
        <w:ind w:firstLine="560" w:firstLineChars="200"/>
        <w:rPr>
          <w:rFonts w:ascii="仿宋" w:hAnsi="仿宋" w:eastAsia="仿宋"/>
          <w:color w:val="auto"/>
          <w:sz w:val="28"/>
          <w:szCs w:val="28"/>
          <w:highlight w:val="none"/>
        </w:rPr>
      </w:pPr>
      <w:bookmarkStart w:id="11" w:name="_Toc28359004"/>
      <w:bookmarkStart w:id="12" w:name="_Toc28359081"/>
      <w:bookmarkStart w:id="13" w:name="_Toc35393792"/>
      <w:bookmarkStart w:id="14" w:name="_Toc35393623"/>
      <w:r>
        <w:rPr>
          <w:rFonts w:hint="eastAsia" w:ascii="仿宋" w:hAnsi="仿宋" w:eastAsia="仿宋"/>
          <w:color w:val="auto"/>
          <w:sz w:val="28"/>
          <w:szCs w:val="28"/>
          <w:highlight w:val="none"/>
        </w:rPr>
        <w:t>1.具有独立承担民事责任能力及相应供货能力的生产厂家。</w:t>
      </w:r>
    </w:p>
    <w:p w14:paraId="3F4BB09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.信誉要求：投标人不得存在以下情形：</w:t>
      </w:r>
    </w:p>
    <w:p w14:paraId="441120ED">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①被列入“信用中国”网站“失信被执行人”的;</w:t>
      </w:r>
    </w:p>
    <w:p w14:paraId="109C12C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②被列入“信用中国”网站“重大税收违法失信主体”的；</w:t>
      </w:r>
    </w:p>
    <w:p w14:paraId="30F52FE9">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③被列入“信用中国”网站“拖欠农民工工资失信联合惩戒对象名单”的；</w:t>
      </w:r>
    </w:p>
    <w:p w14:paraId="51FD684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④被列入“信用中国”网站 “严重失信主体名单”的；</w:t>
      </w:r>
    </w:p>
    <w:p w14:paraId="49404A9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⑤在“信用中国”网站上披露的仍在公示期的严重失信行为(具体行为类别及判定依据见附件2)的。</w:t>
      </w:r>
    </w:p>
    <w:p w14:paraId="02E4D973">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⑥被列入</w:t>
      </w:r>
      <w:bookmarkStart w:id="15" w:name="OLE_LINK4"/>
      <w:r>
        <w:rPr>
          <w:rFonts w:hint="eastAsia" w:ascii="仿宋" w:hAnsi="仿宋" w:eastAsia="仿宋"/>
          <w:color w:val="auto"/>
          <w:sz w:val="28"/>
          <w:szCs w:val="28"/>
          <w:highlight w:val="none"/>
        </w:rPr>
        <w:t>国家企业信用信息公示系统网站</w:t>
      </w:r>
      <w:bookmarkEnd w:id="15"/>
      <w:r>
        <w:rPr>
          <w:rFonts w:hint="eastAsia" w:ascii="仿宋" w:hAnsi="仿宋" w:eastAsia="仿宋"/>
          <w:color w:val="auto"/>
          <w:sz w:val="28"/>
          <w:szCs w:val="28"/>
          <w:highlight w:val="none"/>
        </w:rPr>
        <w:t>“经营异常名录”或者“严重违法失信名单”的。</w:t>
      </w:r>
    </w:p>
    <w:p w14:paraId="33C4394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⑦前三年有行贿犯罪行为的单位和个人；</w:t>
      </w:r>
    </w:p>
    <w:p w14:paraId="6B374592">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⑧被滁州市县两级公管部门及各行业主管部门取消在一定期限内的投标资格且在取消期限内的；</w:t>
      </w:r>
    </w:p>
    <w:p w14:paraId="382365CD">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⑨因拖欠农民工工资被县级及以上有关行政主管部门限制投标资格且在限制期限内的；</w:t>
      </w:r>
    </w:p>
    <w:p w14:paraId="1DFD4EF0">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2DC1225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.投标人所属分公司、办事处等分支机构存在第</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款信誉要求①-</w:t>
      </w:r>
      <w:r>
        <w:rPr>
          <w:rFonts w:hint="eastAsia" w:ascii="仿宋" w:hAnsi="仿宋" w:eastAsia="仿宋" w:cs="仿宋"/>
          <w:color w:val="auto"/>
          <w:sz w:val="28"/>
          <w:szCs w:val="28"/>
          <w:highlight w:val="none"/>
        </w:rPr>
        <w:t>⑩</w:t>
      </w:r>
      <w:r>
        <w:rPr>
          <w:rFonts w:hint="eastAsia" w:ascii="仿宋" w:hAnsi="仿宋" w:eastAsia="仿宋"/>
          <w:color w:val="auto"/>
          <w:sz w:val="28"/>
          <w:szCs w:val="28"/>
          <w:highlight w:val="none"/>
        </w:rPr>
        <w:t>项情形之一的，接受投标人参加本项目。</w:t>
      </w:r>
    </w:p>
    <w:p w14:paraId="5AD8E07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备注：第</w:t>
      </w:r>
      <w:r>
        <w:rPr>
          <w:rFonts w:hint="eastAsia" w:ascii="仿宋" w:hAnsi="仿宋" w:eastAsia="仿宋"/>
          <w:color w:val="auto"/>
          <w:sz w:val="28"/>
          <w:szCs w:val="28"/>
          <w:highlight w:val="none"/>
          <w:lang w:val="en-US" w:eastAsia="zh-CN"/>
        </w:rPr>
        <w:t>2、3</w:t>
      </w:r>
      <w:r>
        <w:rPr>
          <w:rFonts w:hint="eastAsia" w:ascii="仿宋" w:hAnsi="仿宋" w:eastAsia="仿宋"/>
          <w:color w:val="auto"/>
          <w:sz w:val="28"/>
          <w:szCs w:val="28"/>
          <w:highlight w:val="none"/>
        </w:rPr>
        <w:t>条按照“关于联合惩戒失信行为加强信用查询管理的通知”查询或承诺。</w:t>
      </w:r>
    </w:p>
    <w:p w14:paraId="0D9A1F75">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1"/>
      <w:bookmarkEnd w:id="12"/>
      <w:bookmarkEnd w:id="13"/>
      <w:bookmarkEnd w:id="14"/>
    </w:p>
    <w:p w14:paraId="698946C5">
      <w:pPr>
        <w:ind w:firstLine="540"/>
        <w:rPr>
          <w:rFonts w:ascii="仿宋" w:hAnsi="仿宋" w:eastAsia="仿宋" w:cs="宋体"/>
          <w:iCs/>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2025年</w:t>
      </w:r>
      <w:r>
        <w:rPr>
          <w:rFonts w:hint="eastAsia" w:ascii="仿宋" w:hAnsi="仿宋" w:eastAsia="仿宋" w:cs="宋体"/>
          <w:color w:val="auto"/>
          <w:sz w:val="28"/>
          <w:szCs w:val="28"/>
          <w:highlight w:val="none"/>
          <w:u w:val="single"/>
          <w:lang w:val="en-US" w:eastAsia="zh-CN"/>
        </w:rPr>
        <w:t>12</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26</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1</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16</w:t>
      </w:r>
      <w:r>
        <w:rPr>
          <w:rFonts w:hint="eastAsia" w:ascii="仿宋" w:hAnsi="仿宋" w:eastAsia="仿宋" w:cs="宋体"/>
          <w:color w:val="auto"/>
          <w:sz w:val="28"/>
          <w:szCs w:val="28"/>
          <w:highlight w:val="none"/>
          <w:u w:val="single"/>
        </w:rPr>
        <w:t>日</w:t>
      </w:r>
      <w:r>
        <w:rPr>
          <w:rFonts w:hint="eastAsia" w:ascii="仿宋" w:hAnsi="仿宋" w:eastAsia="仿宋" w:cs="宋体"/>
          <w:iCs/>
          <w:color w:val="auto"/>
          <w:sz w:val="28"/>
          <w:szCs w:val="28"/>
          <w:highlight w:val="none"/>
          <w:u w:val="single"/>
        </w:rPr>
        <w:t>（提供期限自本公告发布之日起不得少于5个工作日）</w:t>
      </w:r>
    </w:p>
    <w:p w14:paraId="2C5067B1">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地点：滁州市公共资源交易中心网</w:t>
      </w:r>
    </w:p>
    <w:p w14:paraId="56FCFEA8">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4D7A4F3A">
      <w:pPr>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657E3E9E">
      <w:pPr>
        <w:pStyle w:val="3"/>
        <w:numPr>
          <w:ilvl w:val="0"/>
          <w:numId w:val="0"/>
        </w:numPr>
        <w:spacing w:line="240" w:lineRule="auto"/>
        <w:rPr>
          <w:rFonts w:ascii="黑体" w:hAnsi="黑体" w:eastAsia="黑体" w:cs="黑体"/>
          <w:color w:val="auto"/>
          <w:kern w:val="2"/>
          <w:sz w:val="28"/>
          <w:szCs w:val="28"/>
          <w:highlight w:val="none"/>
        </w:rPr>
      </w:pPr>
      <w:bookmarkStart w:id="16" w:name="_Toc28359082"/>
      <w:bookmarkStart w:id="17" w:name="_Toc28359005"/>
      <w:bookmarkStart w:id="18" w:name="_Toc35393624"/>
      <w:bookmarkStart w:id="19" w:name="_Toc35393793"/>
      <w:r>
        <w:rPr>
          <w:rFonts w:hint="eastAsia" w:ascii="黑体" w:hAnsi="黑体" w:eastAsia="黑体" w:cs="黑体"/>
          <w:color w:val="auto"/>
          <w:kern w:val="2"/>
          <w:sz w:val="28"/>
          <w:szCs w:val="28"/>
          <w:highlight w:val="none"/>
        </w:rPr>
        <w:t>四、提交投标文件</w:t>
      </w:r>
      <w:bookmarkEnd w:id="16"/>
      <w:bookmarkEnd w:id="17"/>
      <w:r>
        <w:rPr>
          <w:rFonts w:hint="eastAsia" w:ascii="黑体" w:hAnsi="黑体" w:eastAsia="黑体" w:cs="黑体"/>
          <w:color w:val="auto"/>
          <w:kern w:val="2"/>
          <w:sz w:val="28"/>
          <w:szCs w:val="28"/>
          <w:highlight w:val="none"/>
        </w:rPr>
        <w:t>截止时间、开标时间和地点</w:t>
      </w:r>
      <w:bookmarkEnd w:id="18"/>
      <w:bookmarkEnd w:id="19"/>
    </w:p>
    <w:p w14:paraId="2E3CB6C0">
      <w:pPr>
        <w:ind w:firstLine="560" w:firstLineChars="200"/>
        <w:rPr>
          <w:rFonts w:ascii="仿宋" w:hAnsi="仿宋" w:eastAsia="仿宋"/>
          <w:bCs/>
          <w:iCs/>
          <w:color w:val="auto"/>
          <w:sz w:val="28"/>
          <w:szCs w:val="28"/>
          <w:highlight w:val="none"/>
        </w:rPr>
      </w:pPr>
      <w:r>
        <w:rPr>
          <w:rFonts w:hint="eastAsia" w:ascii="仿宋" w:hAnsi="仿宋" w:eastAsia="仿宋"/>
          <w:bCs/>
          <w:color w:val="auto"/>
          <w:sz w:val="28"/>
          <w:szCs w:val="28"/>
          <w:highlight w:val="none"/>
          <w:u w:val="single"/>
        </w:rPr>
        <w:t>202</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1</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16</w:t>
      </w:r>
      <w:bookmarkStart w:id="123" w:name="_GoBack"/>
      <w:bookmarkEnd w:id="123"/>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8</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r>
        <w:rPr>
          <w:rFonts w:hint="eastAsia" w:ascii="仿宋" w:hAnsi="仿宋" w:eastAsia="仿宋" w:cs="宋体"/>
          <w:iCs/>
          <w:color w:val="auto"/>
          <w:sz w:val="28"/>
          <w:szCs w:val="28"/>
          <w:highlight w:val="none"/>
          <w:u w:val="single"/>
        </w:rPr>
        <w:t>（自招标文件开始发出之日起至投标人提交投标文件截止之日止，不得少于20日）</w:t>
      </w:r>
    </w:p>
    <w:p w14:paraId="36D3414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lang w:val="en-US" w:eastAsia="zh-CN"/>
        </w:rPr>
        <w:t>滁州市公共资源交易平台电子交易系统</w:t>
      </w:r>
    </w:p>
    <w:p w14:paraId="42E5CB41">
      <w:pPr>
        <w:keepNext/>
        <w:keepLines/>
        <w:spacing w:before="260" w:after="260"/>
        <w:rPr>
          <w:rFonts w:ascii="黑体" w:hAnsi="黑体" w:eastAsia="黑体" w:cs="黑体"/>
          <w:color w:val="auto"/>
          <w:sz w:val="28"/>
          <w:szCs w:val="28"/>
          <w:highlight w:val="none"/>
        </w:rPr>
      </w:pPr>
      <w:bookmarkStart w:id="20" w:name="_Toc28359084"/>
      <w:bookmarkStart w:id="21" w:name="_Toc35393794"/>
      <w:bookmarkStart w:id="22" w:name="_Toc28359007"/>
      <w:bookmarkStart w:id="23" w:name="_Toc35393625"/>
      <w:r>
        <w:rPr>
          <w:rFonts w:hint="eastAsia" w:ascii="黑体" w:hAnsi="黑体" w:eastAsia="黑体" w:cs="黑体"/>
          <w:color w:val="auto"/>
          <w:sz w:val="28"/>
          <w:szCs w:val="28"/>
          <w:highlight w:val="none"/>
        </w:rPr>
        <w:t>五、公告期限</w:t>
      </w:r>
      <w:bookmarkEnd w:id="20"/>
      <w:bookmarkEnd w:id="21"/>
      <w:bookmarkEnd w:id="22"/>
      <w:bookmarkEnd w:id="23"/>
    </w:p>
    <w:p w14:paraId="2C4A8B1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3D79CBA8">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六、投标保证金金额及缴纳账户</w:t>
      </w:r>
    </w:p>
    <w:p w14:paraId="5B635BA9">
      <w:pPr>
        <w:pStyle w:val="119"/>
        <w:rPr>
          <w:color w:val="auto"/>
          <w:highlight w:val="none"/>
        </w:rPr>
      </w:pPr>
      <w:bookmarkStart w:id="24" w:name="_Toc35393626"/>
      <w:bookmarkStart w:id="25" w:name="_Toc35393795"/>
      <w:r>
        <w:rPr>
          <w:color w:val="auto"/>
          <w:highlight w:val="none"/>
        </w:rPr>
        <w:t>窗体顶端</w:t>
      </w:r>
    </w:p>
    <w:p w14:paraId="27894E0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本项目</w:t>
      </w:r>
      <w:r>
        <w:rPr>
          <w:rFonts w:hint="eastAsia" w:ascii="仿宋" w:hAnsi="仿宋" w:eastAsia="仿宋"/>
          <w:color w:val="auto"/>
          <w:sz w:val="28"/>
          <w:szCs w:val="28"/>
          <w:highlight w:val="none"/>
        </w:rPr>
        <w:t>不要求投标人提交投标保证金。</w:t>
      </w:r>
    </w:p>
    <w:p w14:paraId="0AA8176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注：</w:t>
      </w:r>
      <w:r>
        <w:rPr>
          <w:rFonts w:hint="eastAsia" w:ascii="仿宋" w:hAnsi="仿宋" w:eastAsia="仿宋"/>
          <w:color w:val="auto"/>
          <w:sz w:val="28"/>
          <w:szCs w:val="28"/>
          <w:highlight w:val="none"/>
        </w:rPr>
        <w:t>如在投标过程中投标人存在本招标文件第二章“投标人须知”中第24.4项约定情形，则无条件按招标人要求的金额</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0.8万元）</w:t>
      </w:r>
      <w:r>
        <w:rPr>
          <w:rFonts w:hint="eastAsia" w:ascii="仿宋" w:hAnsi="仿宋" w:eastAsia="仿宋"/>
          <w:color w:val="auto"/>
          <w:sz w:val="28"/>
          <w:szCs w:val="28"/>
          <w:highlight w:val="none"/>
        </w:rPr>
        <w:t>、时间、账号缴纳投标保证金。</w:t>
      </w:r>
    </w:p>
    <w:p w14:paraId="40A002B0">
      <w:pPr>
        <w:pStyle w:val="120"/>
        <w:rPr>
          <w:color w:val="auto"/>
          <w:highlight w:val="none"/>
        </w:rPr>
      </w:pPr>
      <w:r>
        <w:rPr>
          <w:rFonts w:hint="eastAsia" w:ascii="仿宋" w:hAnsi="仿宋" w:eastAsia="仿宋"/>
          <w:color w:val="auto"/>
          <w:sz w:val="28"/>
          <w:szCs w:val="28"/>
          <w:highlight w:val="none"/>
        </w:rPr>
        <w:t>本项目不缴纳投标保证金条款仅针对在投标过程中未违反本招标文件第二章“投标人须知”中第23.4项约定的投标人。如在投标过程中投标人存在本招标文件第二章“投标人须知”中第23.4项约定情形，则无条件按招标人要求的金额、时间、账号缴纳投标保证金。</w:t>
      </w:r>
      <w:r>
        <w:rPr>
          <w:color w:val="auto"/>
          <w:highlight w:val="none"/>
        </w:rPr>
        <w:t>窗体底端</w:t>
      </w:r>
    </w:p>
    <w:p w14:paraId="1561F0CF">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4"/>
      <w:bookmarkEnd w:id="25"/>
    </w:p>
    <w:p w14:paraId="788CA6B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54B1BF4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4D37DA8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435FE8E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4.投标文件格式、内容和制作要求以招标文件为准，投标文件制作工具中提供的相关格式及内容仅供参考，投标企业可根据招标文件要求自行调整。</w:t>
      </w:r>
    </w:p>
    <w:p w14:paraId="696A4A71">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5.投标人提出异议的截止时间及方式：如投标人对招标文件有异议，请于202</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时</w:t>
      </w:r>
      <w:r>
        <w:rPr>
          <w:rFonts w:hint="eastAsia" w:ascii="仿宋" w:hAnsi="仿宋" w:eastAsia="仿宋"/>
          <w:color w:val="auto"/>
          <w:sz w:val="28"/>
          <w:szCs w:val="28"/>
          <w:highlight w:val="none"/>
          <w:lang w:val="en-US" w:eastAsia="zh-CN"/>
        </w:rPr>
        <w:t>30分</w:t>
      </w:r>
      <w:r>
        <w:rPr>
          <w:rFonts w:hint="eastAsia" w:ascii="仿宋" w:hAnsi="仿宋" w:eastAsia="仿宋"/>
          <w:color w:val="auto"/>
          <w:sz w:val="28"/>
          <w:szCs w:val="28"/>
          <w:highlight w:val="none"/>
        </w:rPr>
        <w:t>（投标截止10日）前在滁州市公共资源交易中心网电子交易系统中进行异议，具体操作步骤和程序请参见服务指南&gt;交易须知&gt;在线异议、质疑和投诉操作手册。</w:t>
      </w:r>
    </w:p>
    <w:p w14:paraId="0FA8ADE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6.受理异议的联系人及联系方式：宋支武0550-3062913、杨韦0550-3519590。</w:t>
      </w:r>
    </w:p>
    <w:p w14:paraId="7DF4B0C0">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74D36C59">
      <w:pPr>
        <w:pStyle w:val="3"/>
        <w:numPr>
          <w:ilvl w:val="0"/>
          <w:numId w:val="0"/>
        </w:numPr>
        <w:adjustRightInd/>
        <w:spacing w:line="240" w:lineRule="auto"/>
        <w:ind w:left="-199" w:leftChars="-95" w:firstLine="560" w:firstLineChars="2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112C2E96">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 xml:space="preserve">滁州市自来水有限公司  </w:t>
      </w:r>
    </w:p>
    <w:p w14:paraId="193F9339">
      <w:pPr>
        <w:ind w:left="-199" w:leftChars="-95" w:firstLine="840" w:firstLineChars="3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滁州市清流西路389号</w:t>
      </w:r>
    </w:p>
    <w:p w14:paraId="4DCB33FA">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 xml:space="preserve">0550-3062913                 </w:t>
      </w:r>
    </w:p>
    <w:p w14:paraId="6A3665B8">
      <w:pPr>
        <w:pStyle w:val="3"/>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2C074CB1">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6421BDEB">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438AF5D7">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31D4A432">
      <w:pPr>
        <w:pStyle w:val="3"/>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034EE741">
      <w:pPr>
        <w:pStyle w:val="19"/>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rPr>
        <w:t xml:space="preserve">宋支武、杨韦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p>
    <w:p w14:paraId="7B0ACDB6">
      <w:pPr>
        <w:ind w:left="-199" w:leftChars="-95" w:firstLine="840" w:firstLineChars="300"/>
        <w:jc w:val="left"/>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xml:space="preserve">0550-3062913、0550-3519590 </w:t>
      </w:r>
    </w:p>
    <w:p w14:paraId="7B686E2B">
      <w:pPr>
        <w:pStyle w:val="52"/>
        <w:ind w:firstLine="560"/>
        <w:rPr>
          <w:rFonts w:ascii="仿宋" w:hAnsi="仿宋" w:eastAsia="仿宋"/>
          <w:color w:val="auto"/>
          <w:sz w:val="28"/>
          <w:szCs w:val="28"/>
          <w:highlight w:val="none"/>
          <w:u w:val="single"/>
        </w:rPr>
      </w:pPr>
    </w:p>
    <w:p w14:paraId="320F345A">
      <w:pPr>
        <w:pStyle w:val="52"/>
        <w:ind w:firstLine="560"/>
        <w:rPr>
          <w:rFonts w:ascii="仿宋" w:hAnsi="仿宋" w:eastAsia="仿宋"/>
          <w:color w:val="auto"/>
          <w:sz w:val="28"/>
          <w:szCs w:val="28"/>
          <w:highlight w:val="none"/>
          <w:u w:val="single"/>
        </w:rPr>
      </w:pPr>
    </w:p>
    <w:p w14:paraId="62180CA7">
      <w:pPr>
        <w:pStyle w:val="52"/>
        <w:ind w:firstLine="0" w:firstLineChars="0"/>
        <w:rPr>
          <w:rFonts w:ascii="仿宋" w:hAnsi="仿宋" w:eastAsia="仿宋"/>
          <w:color w:val="auto"/>
          <w:sz w:val="28"/>
          <w:szCs w:val="28"/>
          <w:highlight w:val="none"/>
          <w:u w:val="single"/>
        </w:rPr>
      </w:pPr>
    </w:p>
    <w:p w14:paraId="72666C2F">
      <w:pPr>
        <w:pStyle w:val="2"/>
        <w:spacing w:before="156" w:beforeLines="50" w:after="156" w:afterLines="50" w:line="579" w:lineRule="auto"/>
        <w:rPr>
          <w:rFonts w:ascii="宋体"/>
          <w:b w:val="0"/>
          <w:color w:val="auto"/>
          <w:szCs w:val="32"/>
          <w:highlight w:val="none"/>
        </w:rPr>
      </w:pPr>
      <w:bookmarkStart w:id="26" w:name="_Toc20364"/>
      <w:r>
        <w:rPr>
          <w:rFonts w:hint="eastAsia"/>
          <w:color w:val="auto"/>
          <w:highlight w:val="none"/>
        </w:rPr>
        <w:br w:type="page"/>
      </w:r>
      <w:r>
        <w:rPr>
          <w:rFonts w:hint="eastAsia"/>
          <w:color w:val="auto"/>
          <w:highlight w:val="none"/>
        </w:rPr>
        <w:t>第二章 投标人须知</w:t>
      </w:r>
      <w:bookmarkEnd w:id="26"/>
    </w:p>
    <w:p w14:paraId="0E28AE93">
      <w:pPr>
        <w:snapToGrid w:val="0"/>
        <w:spacing w:line="440" w:lineRule="exact"/>
        <w:jc w:val="center"/>
        <w:outlineLvl w:val="1"/>
        <w:rPr>
          <w:rFonts w:ascii="宋体"/>
          <w:b/>
          <w:color w:val="auto"/>
          <w:sz w:val="28"/>
          <w:szCs w:val="28"/>
          <w:highlight w:val="none"/>
        </w:rPr>
      </w:pPr>
      <w:bookmarkStart w:id="27" w:name="_Toc58430314"/>
      <w:bookmarkStart w:id="28" w:name="_Toc1019"/>
      <w:bookmarkStart w:id="29" w:name="_Toc449028865"/>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27"/>
      <w:bookmarkEnd w:id="28"/>
      <w:bookmarkEnd w:id="29"/>
    </w:p>
    <w:tbl>
      <w:tblPr>
        <w:tblStyle w:val="35"/>
        <w:tblW w:w="9798"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6610"/>
      </w:tblGrid>
      <w:tr w14:paraId="07AF47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trPr>
        <w:tc>
          <w:tcPr>
            <w:tcW w:w="1048" w:type="dxa"/>
            <w:vAlign w:val="center"/>
          </w:tcPr>
          <w:p w14:paraId="785980A0">
            <w:pPr>
              <w:pStyle w:val="19"/>
              <w:spacing w:line="500" w:lineRule="exact"/>
              <w:jc w:val="center"/>
              <w:rPr>
                <w:rFonts w:hAnsi="宋体" w:cs="宋体"/>
                <w:b/>
                <w:color w:val="auto"/>
                <w:szCs w:val="21"/>
                <w:highlight w:val="none"/>
              </w:rPr>
            </w:pPr>
            <w:r>
              <w:rPr>
                <w:rFonts w:hint="eastAsia" w:hAnsi="宋体" w:cs="宋体"/>
                <w:b/>
                <w:color w:val="auto"/>
                <w:szCs w:val="21"/>
                <w:highlight w:val="none"/>
              </w:rPr>
              <w:t>条款号</w:t>
            </w:r>
          </w:p>
        </w:tc>
        <w:tc>
          <w:tcPr>
            <w:tcW w:w="2140" w:type="dxa"/>
            <w:gridSpan w:val="2"/>
            <w:vAlign w:val="center"/>
          </w:tcPr>
          <w:p w14:paraId="6BF0B1F3">
            <w:pPr>
              <w:pStyle w:val="19"/>
              <w:spacing w:line="500" w:lineRule="exact"/>
              <w:jc w:val="center"/>
              <w:rPr>
                <w:rFonts w:hAnsi="宋体" w:cs="宋体"/>
                <w:b/>
                <w:color w:val="auto"/>
                <w:szCs w:val="21"/>
                <w:highlight w:val="none"/>
              </w:rPr>
            </w:pPr>
            <w:r>
              <w:rPr>
                <w:rFonts w:hint="eastAsia" w:hAnsi="宋体" w:cs="宋体"/>
                <w:b/>
                <w:color w:val="auto"/>
                <w:szCs w:val="21"/>
                <w:highlight w:val="none"/>
              </w:rPr>
              <w:t>内容</w:t>
            </w:r>
          </w:p>
        </w:tc>
        <w:tc>
          <w:tcPr>
            <w:tcW w:w="6610" w:type="dxa"/>
            <w:vAlign w:val="center"/>
          </w:tcPr>
          <w:p w14:paraId="4A838944">
            <w:pPr>
              <w:pStyle w:val="19"/>
              <w:spacing w:line="500" w:lineRule="exact"/>
              <w:jc w:val="center"/>
              <w:rPr>
                <w:rFonts w:hAnsi="宋体" w:cs="宋体"/>
                <w:b/>
                <w:color w:val="auto"/>
                <w:szCs w:val="21"/>
                <w:highlight w:val="none"/>
              </w:rPr>
            </w:pPr>
            <w:r>
              <w:rPr>
                <w:rFonts w:hint="eastAsia" w:hAnsi="宋体" w:cs="宋体"/>
                <w:b/>
                <w:color w:val="auto"/>
                <w:szCs w:val="21"/>
                <w:highlight w:val="none"/>
              </w:rPr>
              <w:t>说明与要求</w:t>
            </w:r>
          </w:p>
        </w:tc>
      </w:tr>
      <w:tr w14:paraId="7E594B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5" w:hRule="atLeast"/>
        </w:trPr>
        <w:tc>
          <w:tcPr>
            <w:tcW w:w="1048" w:type="dxa"/>
            <w:vAlign w:val="center"/>
          </w:tcPr>
          <w:p w14:paraId="055D6770">
            <w:pPr>
              <w:pStyle w:val="19"/>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0ED85F87">
            <w:pPr>
              <w:pStyle w:val="19"/>
              <w:spacing w:line="500" w:lineRule="exact"/>
              <w:jc w:val="center"/>
              <w:rPr>
                <w:rFonts w:hAnsi="宋体" w:cs="宋体"/>
                <w:color w:val="auto"/>
                <w:szCs w:val="21"/>
                <w:highlight w:val="none"/>
              </w:rPr>
            </w:pPr>
            <w:r>
              <w:rPr>
                <w:rFonts w:hint="eastAsia" w:hAnsi="宋体" w:cs="宋体"/>
                <w:color w:val="auto"/>
                <w:szCs w:val="21"/>
                <w:highlight w:val="none"/>
              </w:rPr>
              <w:t>项目名称</w:t>
            </w:r>
          </w:p>
        </w:tc>
        <w:tc>
          <w:tcPr>
            <w:tcW w:w="6610" w:type="dxa"/>
            <w:vAlign w:val="center"/>
          </w:tcPr>
          <w:p w14:paraId="649BE9EA">
            <w:pPr>
              <w:pStyle w:val="19"/>
              <w:spacing w:line="500" w:lineRule="exact"/>
              <w:rPr>
                <w:rFonts w:hint="eastAsia" w:hAnsi="宋体" w:eastAsia="宋体" w:cs="宋体"/>
                <w:color w:val="auto"/>
                <w:szCs w:val="21"/>
                <w:highlight w:val="none"/>
                <w:lang w:eastAsia="zh-CN"/>
              </w:rPr>
            </w:pPr>
            <w:r>
              <w:rPr>
                <w:rFonts w:hint="eastAsia" w:hAnsi="宋体" w:cs="宋体"/>
                <w:color w:val="auto"/>
                <w:szCs w:val="21"/>
                <w:highlight w:val="none"/>
                <w:lang w:eastAsia="zh-CN"/>
              </w:rPr>
              <w:t>滁州市自来水有限公司</w:t>
            </w:r>
            <w:r>
              <w:rPr>
                <w:rFonts w:hint="eastAsia" w:hAnsi="宋体" w:cs="宋体"/>
                <w:color w:val="auto"/>
                <w:szCs w:val="21"/>
                <w:highlight w:val="none"/>
                <w:lang w:val="en-US" w:eastAsia="zh-CN"/>
              </w:rPr>
              <w:t>2026年PPR材料</w:t>
            </w:r>
            <w:r>
              <w:rPr>
                <w:rFonts w:hint="eastAsia" w:hAnsi="宋体" w:cs="宋体"/>
                <w:color w:val="auto"/>
                <w:szCs w:val="21"/>
                <w:highlight w:val="none"/>
                <w:lang w:eastAsia="zh-CN"/>
              </w:rPr>
              <w:t>年度供应商采购项目</w:t>
            </w:r>
          </w:p>
        </w:tc>
      </w:tr>
      <w:tr w14:paraId="3C5E87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9" w:hRule="atLeast"/>
        </w:trPr>
        <w:tc>
          <w:tcPr>
            <w:tcW w:w="1048" w:type="dxa"/>
            <w:vAlign w:val="center"/>
          </w:tcPr>
          <w:p w14:paraId="521367A8">
            <w:pPr>
              <w:pStyle w:val="19"/>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40682243">
            <w:pPr>
              <w:pStyle w:val="19"/>
              <w:spacing w:line="500" w:lineRule="exact"/>
              <w:jc w:val="center"/>
              <w:rPr>
                <w:rFonts w:hAnsi="宋体" w:cs="宋体"/>
                <w:color w:val="auto"/>
                <w:szCs w:val="21"/>
                <w:highlight w:val="none"/>
              </w:rPr>
            </w:pPr>
            <w:r>
              <w:rPr>
                <w:rFonts w:hint="eastAsia" w:hAnsi="宋体" w:cs="宋体"/>
                <w:color w:val="auto"/>
                <w:szCs w:val="21"/>
                <w:highlight w:val="none"/>
              </w:rPr>
              <w:t>项目编号</w:t>
            </w:r>
          </w:p>
        </w:tc>
        <w:tc>
          <w:tcPr>
            <w:tcW w:w="6610" w:type="dxa"/>
            <w:vAlign w:val="center"/>
          </w:tcPr>
          <w:p w14:paraId="1E4B2590">
            <w:pPr>
              <w:pStyle w:val="19"/>
              <w:spacing w:line="500" w:lineRule="exact"/>
              <w:rPr>
                <w:rFonts w:hint="default" w:hAnsi="宋体" w:eastAsia="宋体" w:cs="宋体"/>
                <w:color w:val="auto"/>
                <w:szCs w:val="21"/>
                <w:highlight w:val="none"/>
                <w:lang w:val="en-US" w:eastAsia="zh-CN"/>
              </w:rPr>
            </w:pPr>
            <w:r>
              <w:rPr>
                <w:rFonts w:hint="eastAsia" w:hAnsi="宋体" w:cs="宋体"/>
                <w:color w:val="auto"/>
                <w:szCs w:val="21"/>
                <w:highlight w:val="none"/>
              </w:rPr>
              <w:t>czsjqt2025</w:t>
            </w:r>
            <w:r>
              <w:rPr>
                <w:rFonts w:hint="eastAsia" w:hAnsi="宋体" w:cs="宋体"/>
                <w:color w:val="auto"/>
                <w:szCs w:val="21"/>
                <w:highlight w:val="none"/>
                <w:lang w:val="en-US" w:eastAsia="zh-CN"/>
              </w:rPr>
              <w:t>12-019</w:t>
            </w:r>
          </w:p>
        </w:tc>
      </w:tr>
      <w:tr w14:paraId="248848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1048" w:type="dxa"/>
            <w:vAlign w:val="center"/>
          </w:tcPr>
          <w:p w14:paraId="1DF449E8">
            <w:pPr>
              <w:pStyle w:val="19"/>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1032EAC9">
            <w:pPr>
              <w:pStyle w:val="19"/>
              <w:spacing w:line="500" w:lineRule="exact"/>
              <w:jc w:val="center"/>
              <w:rPr>
                <w:rFonts w:hAnsi="宋体" w:cs="宋体"/>
                <w:color w:val="auto"/>
                <w:szCs w:val="21"/>
                <w:highlight w:val="none"/>
              </w:rPr>
            </w:pPr>
            <w:r>
              <w:rPr>
                <w:rFonts w:hint="eastAsia" w:hAnsi="宋体" w:cs="宋体"/>
                <w:color w:val="auto"/>
                <w:szCs w:val="21"/>
                <w:highlight w:val="none"/>
              </w:rPr>
              <w:t>合同履行期限</w:t>
            </w:r>
          </w:p>
        </w:tc>
        <w:tc>
          <w:tcPr>
            <w:tcW w:w="6610" w:type="dxa"/>
            <w:vAlign w:val="center"/>
          </w:tcPr>
          <w:p w14:paraId="12C94331">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合同有效期为两年，招标人可以根据产品质量、供货时间及售后等因素续签一年，具体以合同签订时间为准。合同签订并接到供货通知后，中标人需根据现场实际情况调配车辆大小，考虑实际综合费用，确保一周内货到指定地点，每延期一天将货物运送至指定地点的，将处以10000元/天违约金，直接从当期货款中扣除。货物送至指定地点后15日内必须与招标人共同完成货物的对账入库手续，每延期一天将处以5000元/天违约金，直接从当期货款中扣除。</w:t>
            </w:r>
          </w:p>
        </w:tc>
      </w:tr>
      <w:tr w14:paraId="3ECA08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trPr>
        <w:tc>
          <w:tcPr>
            <w:tcW w:w="1048" w:type="dxa"/>
            <w:vAlign w:val="center"/>
          </w:tcPr>
          <w:p w14:paraId="0F4F0F9D">
            <w:pPr>
              <w:pStyle w:val="19"/>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61127EEF">
            <w:pPr>
              <w:pStyle w:val="19"/>
              <w:spacing w:line="500" w:lineRule="exact"/>
              <w:jc w:val="center"/>
              <w:rPr>
                <w:rFonts w:hAnsi="宋体" w:cs="宋体"/>
                <w:color w:val="auto"/>
                <w:szCs w:val="21"/>
                <w:highlight w:val="none"/>
              </w:rPr>
            </w:pPr>
            <w:r>
              <w:rPr>
                <w:rFonts w:hint="eastAsia" w:hAnsi="宋体" w:cs="宋体"/>
                <w:color w:val="auto"/>
                <w:szCs w:val="21"/>
                <w:highlight w:val="none"/>
              </w:rPr>
              <w:t>服务地点</w:t>
            </w:r>
          </w:p>
        </w:tc>
        <w:tc>
          <w:tcPr>
            <w:tcW w:w="6610" w:type="dxa"/>
            <w:vAlign w:val="center"/>
          </w:tcPr>
          <w:p w14:paraId="2D91DA09">
            <w:pPr>
              <w:pStyle w:val="19"/>
              <w:spacing w:line="500" w:lineRule="exact"/>
              <w:rPr>
                <w:rFonts w:hint="eastAsia" w:hAnsi="宋体" w:eastAsia="宋体" w:cs="宋体"/>
                <w:color w:val="auto"/>
                <w:szCs w:val="21"/>
                <w:highlight w:val="none"/>
                <w:lang w:eastAsia="zh-CN"/>
              </w:rPr>
            </w:pPr>
            <w:r>
              <w:rPr>
                <w:rFonts w:hint="eastAsia" w:hAnsi="宋体" w:cs="宋体"/>
                <w:color w:val="auto"/>
                <w:szCs w:val="21"/>
                <w:highlight w:val="none"/>
              </w:rPr>
              <w:t>滁州市内</w:t>
            </w:r>
            <w:r>
              <w:rPr>
                <w:rFonts w:hint="eastAsia" w:hAnsi="宋体" w:cs="宋体"/>
                <w:color w:val="auto"/>
                <w:szCs w:val="21"/>
                <w:highlight w:val="none"/>
                <w:lang w:eastAsia="zh-CN"/>
              </w:rPr>
              <w:t>，</w:t>
            </w:r>
            <w:r>
              <w:rPr>
                <w:rFonts w:hint="eastAsia" w:ascii="宋体" w:hAnsi="宋体" w:eastAsia="宋体" w:cs="宋体"/>
                <w:color w:val="auto"/>
                <w:sz w:val="21"/>
                <w:szCs w:val="21"/>
                <w:highlight w:val="none"/>
                <w:lang w:val="en-US" w:eastAsia="zh-CN"/>
              </w:rPr>
              <w:t>货物运至招标人指定地点</w:t>
            </w:r>
          </w:p>
        </w:tc>
      </w:tr>
      <w:tr w14:paraId="570493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trPr>
        <w:tc>
          <w:tcPr>
            <w:tcW w:w="1048" w:type="dxa"/>
            <w:vAlign w:val="center"/>
          </w:tcPr>
          <w:p w14:paraId="777EE9A4">
            <w:pPr>
              <w:pStyle w:val="19"/>
              <w:spacing w:line="500" w:lineRule="exact"/>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64B18217">
            <w:pPr>
              <w:pStyle w:val="19"/>
              <w:spacing w:line="500" w:lineRule="exact"/>
              <w:jc w:val="center"/>
              <w:rPr>
                <w:rFonts w:hAnsi="宋体" w:cs="宋体"/>
                <w:color w:val="auto"/>
                <w:szCs w:val="21"/>
                <w:highlight w:val="none"/>
              </w:rPr>
            </w:pPr>
            <w:r>
              <w:rPr>
                <w:rFonts w:hint="eastAsia" w:hAnsi="宋体" w:cs="宋体"/>
                <w:color w:val="auto"/>
                <w:szCs w:val="21"/>
                <w:highlight w:val="none"/>
              </w:rPr>
              <w:t>招标人联系人及电话</w:t>
            </w:r>
          </w:p>
        </w:tc>
        <w:tc>
          <w:tcPr>
            <w:tcW w:w="6610" w:type="dxa"/>
            <w:vAlign w:val="center"/>
          </w:tcPr>
          <w:p w14:paraId="2FED7BED">
            <w:pPr>
              <w:pStyle w:val="19"/>
              <w:spacing w:line="500" w:lineRule="exact"/>
              <w:rPr>
                <w:rFonts w:hAnsi="宋体" w:cs="宋体"/>
                <w:color w:val="auto"/>
                <w:szCs w:val="21"/>
                <w:highlight w:val="none"/>
              </w:rPr>
            </w:pPr>
            <w:r>
              <w:rPr>
                <w:rFonts w:hint="eastAsia" w:hAnsi="宋体" w:cs="宋体"/>
                <w:color w:val="auto"/>
                <w:szCs w:val="21"/>
                <w:highlight w:val="none"/>
              </w:rPr>
              <w:t>联系人：宋支武              电话：0550-3062913</w:t>
            </w:r>
          </w:p>
        </w:tc>
      </w:tr>
      <w:tr w14:paraId="01AF4C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1048" w:type="dxa"/>
            <w:vAlign w:val="center"/>
          </w:tcPr>
          <w:p w14:paraId="3D8DEFBF">
            <w:pPr>
              <w:pStyle w:val="19"/>
              <w:spacing w:line="500" w:lineRule="exact"/>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73EB7375">
            <w:pPr>
              <w:pStyle w:val="19"/>
              <w:spacing w:line="500" w:lineRule="exact"/>
              <w:jc w:val="center"/>
              <w:rPr>
                <w:rFonts w:hAnsi="宋体" w:cs="宋体"/>
                <w:color w:val="auto"/>
                <w:szCs w:val="21"/>
                <w:highlight w:val="none"/>
              </w:rPr>
            </w:pPr>
            <w:r>
              <w:rPr>
                <w:rFonts w:hint="eastAsia" w:hAnsi="宋体" w:cs="宋体"/>
                <w:color w:val="auto"/>
                <w:szCs w:val="21"/>
                <w:highlight w:val="none"/>
              </w:rPr>
              <w:t>采购代理机构联系人及电话</w:t>
            </w:r>
          </w:p>
        </w:tc>
        <w:tc>
          <w:tcPr>
            <w:tcW w:w="6610" w:type="dxa"/>
            <w:vAlign w:val="center"/>
          </w:tcPr>
          <w:p w14:paraId="75DE1507">
            <w:pPr>
              <w:pStyle w:val="19"/>
              <w:spacing w:line="500" w:lineRule="exact"/>
              <w:rPr>
                <w:rFonts w:hAnsi="宋体" w:cs="宋体"/>
                <w:color w:val="auto"/>
                <w:szCs w:val="21"/>
                <w:highlight w:val="none"/>
              </w:rPr>
            </w:pPr>
            <w:r>
              <w:rPr>
                <w:rFonts w:hint="eastAsia" w:hAnsi="宋体" w:cs="宋体"/>
                <w:color w:val="auto"/>
                <w:szCs w:val="21"/>
                <w:highlight w:val="none"/>
              </w:rPr>
              <w:t>联系人：杨韦                电话0550-3519590   18005501210</w:t>
            </w:r>
          </w:p>
        </w:tc>
      </w:tr>
      <w:tr w14:paraId="685D60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7" w:hRule="atLeast"/>
        </w:trPr>
        <w:tc>
          <w:tcPr>
            <w:tcW w:w="1048" w:type="dxa"/>
            <w:vAlign w:val="center"/>
          </w:tcPr>
          <w:p w14:paraId="6CE28A79">
            <w:pPr>
              <w:pStyle w:val="19"/>
              <w:spacing w:line="500" w:lineRule="exact"/>
              <w:jc w:val="center"/>
              <w:rPr>
                <w:rFonts w:hAnsi="宋体" w:cs="宋体"/>
                <w:color w:val="auto"/>
                <w:szCs w:val="21"/>
                <w:highlight w:val="none"/>
              </w:rPr>
            </w:pPr>
            <w:r>
              <w:rPr>
                <w:rFonts w:hint="eastAsia" w:hAnsi="宋体" w:cs="宋体"/>
                <w:color w:val="auto"/>
                <w:szCs w:val="21"/>
                <w:highlight w:val="none"/>
              </w:rPr>
              <w:t>1.3</w:t>
            </w:r>
          </w:p>
        </w:tc>
        <w:tc>
          <w:tcPr>
            <w:tcW w:w="2140" w:type="dxa"/>
            <w:gridSpan w:val="2"/>
            <w:vAlign w:val="center"/>
          </w:tcPr>
          <w:p w14:paraId="0C59E8F9">
            <w:pPr>
              <w:pStyle w:val="19"/>
              <w:spacing w:line="500" w:lineRule="exact"/>
              <w:jc w:val="center"/>
              <w:rPr>
                <w:rFonts w:hAnsi="宋体" w:cs="宋体"/>
                <w:color w:val="auto"/>
                <w:szCs w:val="21"/>
                <w:highlight w:val="none"/>
              </w:rPr>
            </w:pPr>
            <w:r>
              <w:rPr>
                <w:rFonts w:hint="eastAsia" w:hAnsi="宋体" w:cs="宋体"/>
                <w:color w:val="auto"/>
                <w:szCs w:val="21"/>
                <w:highlight w:val="none"/>
              </w:rPr>
              <w:t>资金来源</w:t>
            </w:r>
          </w:p>
        </w:tc>
        <w:tc>
          <w:tcPr>
            <w:tcW w:w="6610" w:type="dxa"/>
            <w:vAlign w:val="center"/>
          </w:tcPr>
          <w:p w14:paraId="201EEE05">
            <w:pPr>
              <w:pStyle w:val="19"/>
              <w:spacing w:line="500" w:lineRule="exact"/>
              <w:rPr>
                <w:rFonts w:hAnsi="宋体" w:cs="宋体"/>
                <w:color w:val="auto"/>
                <w:szCs w:val="21"/>
                <w:highlight w:val="none"/>
              </w:rPr>
            </w:pPr>
            <w:r>
              <w:rPr>
                <w:rFonts w:hint="eastAsia" w:hAnsi="宋体" w:cs="宋体"/>
                <w:color w:val="auto"/>
                <w:szCs w:val="21"/>
                <w:highlight w:val="none"/>
              </w:rPr>
              <w:t>自筹资金</w:t>
            </w:r>
          </w:p>
        </w:tc>
      </w:tr>
      <w:tr w14:paraId="1D45DA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1048" w:type="dxa"/>
            <w:vAlign w:val="center"/>
          </w:tcPr>
          <w:p w14:paraId="3C769EF2">
            <w:pPr>
              <w:pStyle w:val="19"/>
              <w:spacing w:line="500" w:lineRule="exact"/>
              <w:jc w:val="center"/>
              <w:rPr>
                <w:rFonts w:hAnsi="宋体" w:cs="宋体"/>
                <w:color w:val="auto"/>
                <w:szCs w:val="21"/>
                <w:highlight w:val="none"/>
              </w:rPr>
            </w:pPr>
            <w:r>
              <w:rPr>
                <w:rFonts w:hint="eastAsia" w:hAnsi="宋体" w:cs="宋体"/>
                <w:color w:val="auto"/>
                <w:szCs w:val="21"/>
                <w:highlight w:val="none"/>
              </w:rPr>
              <w:t>1.4</w:t>
            </w:r>
          </w:p>
        </w:tc>
        <w:tc>
          <w:tcPr>
            <w:tcW w:w="2140" w:type="dxa"/>
            <w:gridSpan w:val="2"/>
            <w:vAlign w:val="center"/>
          </w:tcPr>
          <w:p w14:paraId="3F90E657">
            <w:pPr>
              <w:pStyle w:val="19"/>
              <w:spacing w:line="500" w:lineRule="exact"/>
              <w:jc w:val="center"/>
              <w:rPr>
                <w:rFonts w:hAnsi="宋体" w:cs="宋体"/>
                <w:color w:val="auto"/>
                <w:szCs w:val="21"/>
                <w:highlight w:val="none"/>
              </w:rPr>
            </w:pPr>
            <w:r>
              <w:rPr>
                <w:rFonts w:hint="eastAsia" w:hAnsi="宋体" w:cs="宋体"/>
                <w:color w:val="auto"/>
                <w:szCs w:val="21"/>
                <w:highlight w:val="none"/>
              </w:rPr>
              <w:t>采购预算</w:t>
            </w:r>
          </w:p>
        </w:tc>
        <w:tc>
          <w:tcPr>
            <w:tcW w:w="6610" w:type="dxa"/>
            <w:vAlign w:val="center"/>
          </w:tcPr>
          <w:p w14:paraId="2FAF64B0">
            <w:pPr>
              <w:pStyle w:val="19"/>
              <w:spacing w:line="500" w:lineRule="exact"/>
              <w:rPr>
                <w:rFonts w:hAnsi="宋体" w:cs="宋体"/>
                <w:color w:val="auto"/>
                <w:szCs w:val="21"/>
                <w:highlight w:val="none"/>
              </w:rPr>
            </w:pPr>
            <w:r>
              <w:rPr>
                <w:rFonts w:hint="eastAsia" w:hAnsi="宋体" w:cs="宋体"/>
                <w:color w:val="auto"/>
                <w:szCs w:val="21"/>
                <w:highlight w:val="none"/>
              </w:rPr>
              <w:t>437880.5元</w:t>
            </w:r>
          </w:p>
        </w:tc>
      </w:tr>
      <w:tr w14:paraId="7EFB7A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79D0DAC9">
            <w:pPr>
              <w:pStyle w:val="19"/>
              <w:spacing w:line="500" w:lineRule="exact"/>
              <w:jc w:val="center"/>
              <w:rPr>
                <w:rFonts w:hAnsi="宋体" w:cs="宋体"/>
                <w:color w:val="auto"/>
                <w:szCs w:val="21"/>
                <w:highlight w:val="none"/>
              </w:rPr>
            </w:pPr>
            <w:r>
              <w:rPr>
                <w:rFonts w:hint="eastAsia" w:hAnsi="宋体" w:cs="宋体"/>
                <w:color w:val="auto"/>
                <w:szCs w:val="21"/>
                <w:highlight w:val="none"/>
              </w:rPr>
              <w:t>1.5</w:t>
            </w:r>
          </w:p>
        </w:tc>
        <w:tc>
          <w:tcPr>
            <w:tcW w:w="2140" w:type="dxa"/>
            <w:gridSpan w:val="2"/>
            <w:vAlign w:val="center"/>
          </w:tcPr>
          <w:p w14:paraId="6EB97386">
            <w:pPr>
              <w:pStyle w:val="19"/>
              <w:spacing w:line="500" w:lineRule="exact"/>
              <w:jc w:val="center"/>
              <w:rPr>
                <w:rFonts w:hAnsi="宋体" w:cs="宋体"/>
                <w:color w:val="auto"/>
                <w:szCs w:val="21"/>
                <w:highlight w:val="none"/>
              </w:rPr>
            </w:pPr>
            <w:r>
              <w:rPr>
                <w:rFonts w:hint="eastAsia" w:hAnsi="宋体" w:cs="宋体"/>
                <w:color w:val="auto"/>
                <w:szCs w:val="21"/>
                <w:highlight w:val="none"/>
              </w:rPr>
              <w:t>最高限价</w:t>
            </w:r>
          </w:p>
        </w:tc>
        <w:tc>
          <w:tcPr>
            <w:tcW w:w="6610" w:type="dxa"/>
            <w:vAlign w:val="center"/>
          </w:tcPr>
          <w:p w14:paraId="578ACA77">
            <w:pPr>
              <w:spacing w:line="500" w:lineRule="exact"/>
              <w:rPr>
                <w:rFonts w:ascii="宋体" w:hAnsi="宋体" w:cs="宋体"/>
                <w:color w:val="auto"/>
                <w:szCs w:val="21"/>
                <w:highlight w:val="none"/>
                <w:u w:color="000000"/>
              </w:rPr>
            </w:pPr>
            <w:r>
              <w:rPr>
                <w:rFonts w:hint="eastAsia" w:ascii="宋体" w:hAnsi="宋体" w:cs="宋体"/>
                <w:color w:val="auto"/>
                <w:szCs w:val="21"/>
                <w:highlight w:val="none"/>
                <w:u w:color="000000"/>
                <w:lang w:val="en-US" w:eastAsia="zh-CN"/>
              </w:rPr>
              <w:t>437880.5元，各项最高综合单价详见《采购需求及技术要求》</w:t>
            </w:r>
          </w:p>
        </w:tc>
      </w:tr>
      <w:tr w14:paraId="4EB231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048" w:type="dxa"/>
            <w:vAlign w:val="center"/>
          </w:tcPr>
          <w:p w14:paraId="10007E7B">
            <w:pPr>
              <w:pStyle w:val="19"/>
              <w:spacing w:line="500" w:lineRule="exact"/>
              <w:jc w:val="center"/>
              <w:rPr>
                <w:rFonts w:hAnsi="宋体" w:cs="宋体"/>
                <w:color w:val="auto"/>
                <w:szCs w:val="21"/>
                <w:highlight w:val="none"/>
              </w:rPr>
            </w:pPr>
            <w:r>
              <w:rPr>
                <w:rFonts w:hint="eastAsia" w:hAnsi="宋体" w:cs="宋体"/>
                <w:color w:val="auto"/>
                <w:szCs w:val="21"/>
                <w:highlight w:val="none"/>
              </w:rPr>
              <w:t>2.1</w:t>
            </w:r>
          </w:p>
        </w:tc>
        <w:tc>
          <w:tcPr>
            <w:tcW w:w="2140" w:type="dxa"/>
            <w:gridSpan w:val="2"/>
            <w:vAlign w:val="center"/>
          </w:tcPr>
          <w:p w14:paraId="564A54D0">
            <w:pPr>
              <w:pStyle w:val="19"/>
              <w:spacing w:line="500" w:lineRule="exact"/>
              <w:jc w:val="center"/>
              <w:rPr>
                <w:rFonts w:hAnsi="宋体" w:cs="宋体"/>
                <w:color w:val="auto"/>
                <w:szCs w:val="21"/>
                <w:highlight w:val="none"/>
              </w:rPr>
            </w:pPr>
            <w:r>
              <w:rPr>
                <w:rFonts w:hint="eastAsia" w:hAnsi="宋体" w:cs="宋体"/>
                <w:color w:val="auto"/>
                <w:szCs w:val="21"/>
                <w:highlight w:val="none"/>
              </w:rPr>
              <w:t>采购内容</w:t>
            </w:r>
          </w:p>
        </w:tc>
        <w:tc>
          <w:tcPr>
            <w:tcW w:w="6610" w:type="dxa"/>
            <w:vAlign w:val="center"/>
          </w:tcPr>
          <w:p w14:paraId="6C37553D">
            <w:pPr>
              <w:pStyle w:val="19"/>
              <w:spacing w:line="500" w:lineRule="exact"/>
              <w:rPr>
                <w:rFonts w:hAnsi="宋体" w:cs="宋体"/>
                <w:color w:val="auto"/>
                <w:szCs w:val="21"/>
                <w:highlight w:val="none"/>
              </w:rPr>
            </w:pPr>
            <w:r>
              <w:rPr>
                <w:rFonts w:hint="eastAsia" w:hAnsi="宋体" w:cs="宋体"/>
                <w:b/>
                <w:color w:val="auto"/>
                <w:kern w:val="0"/>
                <w:szCs w:val="21"/>
                <w:highlight w:val="none"/>
              </w:rPr>
              <w:t>具体详见《采购内容与技术要求》</w:t>
            </w:r>
          </w:p>
        </w:tc>
      </w:tr>
      <w:tr w14:paraId="0EE59D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71F8ECD1">
            <w:pPr>
              <w:pStyle w:val="19"/>
              <w:spacing w:line="500" w:lineRule="exact"/>
              <w:jc w:val="center"/>
              <w:rPr>
                <w:rFonts w:hAnsi="宋体" w:cs="宋体"/>
                <w:color w:val="auto"/>
                <w:szCs w:val="21"/>
                <w:highlight w:val="none"/>
              </w:rPr>
            </w:pPr>
            <w:r>
              <w:rPr>
                <w:rFonts w:hint="eastAsia" w:hAnsi="宋体" w:cs="宋体"/>
                <w:color w:val="auto"/>
                <w:szCs w:val="21"/>
                <w:highlight w:val="none"/>
              </w:rPr>
              <w:t>3.1</w:t>
            </w:r>
          </w:p>
        </w:tc>
        <w:tc>
          <w:tcPr>
            <w:tcW w:w="2140" w:type="dxa"/>
            <w:gridSpan w:val="2"/>
            <w:vAlign w:val="center"/>
          </w:tcPr>
          <w:p w14:paraId="5432F5AE">
            <w:pPr>
              <w:pStyle w:val="19"/>
              <w:spacing w:line="500" w:lineRule="exact"/>
              <w:jc w:val="center"/>
              <w:rPr>
                <w:rFonts w:hAnsi="宋体" w:cs="宋体"/>
                <w:color w:val="auto"/>
                <w:szCs w:val="21"/>
                <w:highlight w:val="none"/>
              </w:rPr>
            </w:pPr>
            <w:r>
              <w:rPr>
                <w:rFonts w:hint="eastAsia" w:hAnsi="宋体" w:cs="宋体"/>
                <w:color w:val="auto"/>
                <w:szCs w:val="21"/>
                <w:highlight w:val="none"/>
              </w:rPr>
              <w:t>标</w:t>
            </w:r>
            <w:r>
              <w:rPr>
                <w:rFonts w:hint="eastAsia" w:hAnsi="宋体" w:cs="宋体"/>
                <w:color w:val="auto"/>
                <w:szCs w:val="21"/>
                <w:highlight w:val="none"/>
                <w:lang w:val="en-US" w:eastAsia="zh-CN"/>
              </w:rPr>
              <w:t>段</w:t>
            </w:r>
            <w:r>
              <w:rPr>
                <w:rFonts w:hint="eastAsia" w:hAnsi="宋体" w:cs="宋体"/>
                <w:color w:val="auto"/>
                <w:szCs w:val="21"/>
                <w:highlight w:val="none"/>
              </w:rPr>
              <w:t>划分</w:t>
            </w:r>
          </w:p>
        </w:tc>
        <w:tc>
          <w:tcPr>
            <w:tcW w:w="6610" w:type="dxa"/>
            <w:vAlign w:val="center"/>
          </w:tcPr>
          <w:p w14:paraId="57521ACF">
            <w:pPr>
              <w:pStyle w:val="19"/>
              <w:spacing w:line="500" w:lineRule="exact"/>
              <w:rPr>
                <w:rFonts w:hint="default" w:ascii="宋体" w:hAnsi="宋体" w:eastAsia="宋体" w:cs="宋体"/>
                <w:b w:val="0"/>
                <w:color w:val="auto"/>
                <w:sz w:val="21"/>
                <w:szCs w:val="21"/>
                <w:highlight w:val="none"/>
                <w:u w:val="single"/>
                <w:lang w:val="en-US" w:eastAsia="zh-CN"/>
              </w:rPr>
            </w:pPr>
            <w:r>
              <w:rPr>
                <w:rFonts w:hint="eastAsia" w:ascii="宋体" w:hAnsi="宋体" w:eastAsia="宋体" w:cs="宋体"/>
                <w:b/>
                <w:bCs/>
                <w:color w:val="auto"/>
                <w:sz w:val="21"/>
                <w:szCs w:val="21"/>
                <w:highlight w:val="none"/>
              </w:rPr>
              <w:t>本项目划分为</w:t>
            </w:r>
            <w:r>
              <w:rPr>
                <w:rFonts w:hint="eastAsia" w:ascii="宋体" w:hAnsi="宋体" w:eastAsia="宋体" w:cs="宋体"/>
                <w:b/>
                <w:bCs/>
                <w:color w:val="auto"/>
                <w:sz w:val="21"/>
                <w:szCs w:val="21"/>
                <w:highlight w:val="none"/>
                <w:u w:val="single"/>
              </w:rPr>
              <w:t xml:space="preserve"> </w:t>
            </w:r>
            <w:r>
              <w:rPr>
                <w:rFonts w:hint="eastAsia" w:hAnsi="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个标</w:t>
            </w:r>
            <w:r>
              <w:rPr>
                <w:rFonts w:hint="eastAsia" w:hAnsi="宋体" w:cs="宋体"/>
                <w:b/>
                <w:bCs/>
                <w:color w:val="auto"/>
                <w:sz w:val="21"/>
                <w:szCs w:val="21"/>
                <w:highlight w:val="none"/>
                <w:lang w:val="en-US" w:eastAsia="zh-CN"/>
              </w:rPr>
              <w:t>段</w:t>
            </w:r>
          </w:p>
        </w:tc>
      </w:tr>
      <w:tr w14:paraId="0486712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048" w:type="dxa"/>
            <w:vAlign w:val="center"/>
          </w:tcPr>
          <w:p w14:paraId="464B028B">
            <w:pPr>
              <w:pStyle w:val="19"/>
              <w:spacing w:line="500" w:lineRule="exact"/>
              <w:jc w:val="center"/>
              <w:rPr>
                <w:rFonts w:hAnsi="宋体" w:cs="宋体"/>
                <w:color w:val="auto"/>
                <w:szCs w:val="21"/>
                <w:highlight w:val="none"/>
              </w:rPr>
            </w:pPr>
            <w:r>
              <w:rPr>
                <w:rFonts w:hint="eastAsia" w:hAnsi="宋体" w:cs="宋体"/>
                <w:color w:val="auto"/>
                <w:szCs w:val="21"/>
                <w:highlight w:val="none"/>
              </w:rPr>
              <w:t>4.1</w:t>
            </w:r>
          </w:p>
        </w:tc>
        <w:tc>
          <w:tcPr>
            <w:tcW w:w="2140" w:type="dxa"/>
            <w:gridSpan w:val="2"/>
            <w:vAlign w:val="center"/>
          </w:tcPr>
          <w:p w14:paraId="309C76CB">
            <w:pPr>
              <w:pStyle w:val="19"/>
              <w:spacing w:line="500" w:lineRule="exact"/>
              <w:jc w:val="center"/>
              <w:rPr>
                <w:rFonts w:hAnsi="宋体" w:cs="宋体"/>
                <w:color w:val="auto"/>
                <w:szCs w:val="21"/>
                <w:highlight w:val="none"/>
              </w:rPr>
            </w:pPr>
            <w:r>
              <w:rPr>
                <w:rFonts w:hint="eastAsia" w:hAnsi="宋体" w:cs="宋体"/>
                <w:color w:val="auto"/>
                <w:szCs w:val="21"/>
                <w:highlight w:val="none"/>
              </w:rPr>
              <w:t>招标方式</w:t>
            </w:r>
          </w:p>
        </w:tc>
        <w:tc>
          <w:tcPr>
            <w:tcW w:w="6610" w:type="dxa"/>
            <w:vAlign w:val="center"/>
          </w:tcPr>
          <w:p w14:paraId="077CF309">
            <w:pPr>
              <w:pStyle w:val="19"/>
              <w:spacing w:line="500" w:lineRule="exact"/>
              <w:rPr>
                <w:rFonts w:hAnsi="宋体" w:cs="宋体"/>
                <w:color w:val="auto"/>
                <w:szCs w:val="21"/>
                <w:highlight w:val="none"/>
              </w:rPr>
            </w:pPr>
            <w:r>
              <w:rPr>
                <w:rFonts w:hint="eastAsia" w:hAnsi="宋体" w:cs="宋体"/>
                <w:color w:val="auto"/>
                <w:szCs w:val="21"/>
                <w:highlight w:val="none"/>
              </w:rPr>
              <w:t>公开招标</w:t>
            </w:r>
          </w:p>
        </w:tc>
      </w:tr>
      <w:tr w14:paraId="292E7B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1048" w:type="dxa"/>
            <w:vAlign w:val="center"/>
          </w:tcPr>
          <w:p w14:paraId="01A682C0">
            <w:pPr>
              <w:pStyle w:val="19"/>
              <w:spacing w:line="500" w:lineRule="exact"/>
              <w:jc w:val="center"/>
              <w:rPr>
                <w:rFonts w:hAnsi="宋体" w:cs="宋体"/>
                <w:color w:val="auto"/>
                <w:szCs w:val="21"/>
                <w:highlight w:val="none"/>
              </w:rPr>
            </w:pPr>
            <w:r>
              <w:rPr>
                <w:rFonts w:hint="eastAsia" w:hAnsi="宋体" w:cs="宋体"/>
                <w:color w:val="auto"/>
                <w:szCs w:val="21"/>
                <w:highlight w:val="none"/>
              </w:rPr>
              <w:t>7.2</w:t>
            </w:r>
          </w:p>
        </w:tc>
        <w:tc>
          <w:tcPr>
            <w:tcW w:w="2140" w:type="dxa"/>
            <w:gridSpan w:val="2"/>
            <w:vAlign w:val="center"/>
          </w:tcPr>
          <w:p w14:paraId="7142ACE7">
            <w:pPr>
              <w:pStyle w:val="19"/>
              <w:spacing w:line="500" w:lineRule="exact"/>
              <w:jc w:val="center"/>
              <w:rPr>
                <w:rFonts w:hAnsi="宋体" w:cs="宋体"/>
                <w:color w:val="auto"/>
                <w:szCs w:val="21"/>
                <w:highlight w:val="none"/>
              </w:rPr>
            </w:pPr>
            <w:r>
              <w:rPr>
                <w:rFonts w:hint="eastAsia" w:hAnsi="宋体" w:cs="宋体"/>
                <w:color w:val="auto"/>
                <w:szCs w:val="21"/>
                <w:highlight w:val="none"/>
              </w:rPr>
              <w:t>投标人资格条件及其他要求</w:t>
            </w:r>
          </w:p>
        </w:tc>
        <w:tc>
          <w:tcPr>
            <w:tcW w:w="6610" w:type="dxa"/>
            <w:vAlign w:val="center"/>
          </w:tcPr>
          <w:p w14:paraId="21954D95">
            <w:pPr>
              <w:spacing w:line="500" w:lineRule="exact"/>
              <w:rPr>
                <w:rFonts w:ascii="宋体" w:hAnsi="宋体" w:cs="宋体"/>
                <w:color w:val="auto"/>
                <w:szCs w:val="21"/>
                <w:highlight w:val="none"/>
              </w:rPr>
            </w:pPr>
            <w:r>
              <w:rPr>
                <w:rFonts w:hint="eastAsia" w:ascii="宋体" w:hAnsi="宋体" w:cs="宋体"/>
                <w:color w:val="auto"/>
                <w:szCs w:val="21"/>
                <w:highlight w:val="none"/>
              </w:rPr>
              <w:t>详见第一章“招标公告”</w:t>
            </w:r>
          </w:p>
        </w:tc>
      </w:tr>
      <w:tr w14:paraId="57BD77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C8A6CC6">
            <w:pPr>
              <w:pStyle w:val="19"/>
              <w:spacing w:line="500" w:lineRule="exact"/>
              <w:jc w:val="center"/>
              <w:rPr>
                <w:rFonts w:hAnsi="宋体" w:cs="宋体"/>
                <w:color w:val="auto"/>
                <w:szCs w:val="21"/>
                <w:highlight w:val="none"/>
              </w:rPr>
            </w:pPr>
            <w:r>
              <w:rPr>
                <w:rFonts w:hint="eastAsia" w:hAnsi="宋体" w:cs="宋体"/>
                <w:color w:val="auto"/>
                <w:szCs w:val="21"/>
                <w:highlight w:val="none"/>
              </w:rPr>
              <w:t>9.1</w:t>
            </w:r>
          </w:p>
        </w:tc>
        <w:tc>
          <w:tcPr>
            <w:tcW w:w="2140" w:type="dxa"/>
            <w:gridSpan w:val="2"/>
            <w:vAlign w:val="center"/>
          </w:tcPr>
          <w:p w14:paraId="425AD6E2">
            <w:pPr>
              <w:pStyle w:val="19"/>
              <w:spacing w:line="500" w:lineRule="exact"/>
              <w:jc w:val="center"/>
              <w:rPr>
                <w:rFonts w:hAnsi="宋体" w:cs="宋体"/>
                <w:color w:val="auto"/>
                <w:szCs w:val="21"/>
                <w:highlight w:val="none"/>
              </w:rPr>
            </w:pPr>
            <w:r>
              <w:rPr>
                <w:rFonts w:hint="eastAsia" w:hAnsi="宋体" w:cs="宋体"/>
                <w:color w:val="auto"/>
                <w:szCs w:val="21"/>
                <w:highlight w:val="none"/>
              </w:rPr>
              <w:t>踏勘现场</w:t>
            </w:r>
          </w:p>
        </w:tc>
        <w:tc>
          <w:tcPr>
            <w:tcW w:w="6610" w:type="dxa"/>
            <w:vAlign w:val="center"/>
          </w:tcPr>
          <w:p w14:paraId="034305FC">
            <w:pPr>
              <w:pStyle w:val="19"/>
              <w:spacing w:line="500" w:lineRule="exact"/>
              <w:rPr>
                <w:rFonts w:hAnsi="宋体" w:cs="宋体"/>
                <w:color w:val="auto"/>
                <w:szCs w:val="21"/>
                <w:highlight w:val="none"/>
              </w:rPr>
            </w:pPr>
            <w:r>
              <w:rPr>
                <w:rFonts w:hint="eastAsia" w:hAnsi="宋体" w:cs="宋体"/>
                <w:color w:val="auto"/>
                <w:szCs w:val="21"/>
                <w:highlight w:val="none"/>
              </w:rPr>
              <w:t>不组织,投标人自行踏勘。</w:t>
            </w:r>
          </w:p>
        </w:tc>
      </w:tr>
      <w:tr w14:paraId="7123BC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4C113F77">
            <w:pPr>
              <w:pStyle w:val="19"/>
              <w:spacing w:line="500" w:lineRule="exact"/>
              <w:jc w:val="center"/>
              <w:rPr>
                <w:rFonts w:hAnsi="宋体" w:cs="宋体"/>
                <w:color w:val="auto"/>
                <w:szCs w:val="21"/>
                <w:highlight w:val="none"/>
              </w:rPr>
            </w:pPr>
            <w:r>
              <w:rPr>
                <w:rFonts w:hint="eastAsia" w:hAnsi="宋体" w:cs="宋体"/>
                <w:color w:val="auto"/>
                <w:szCs w:val="21"/>
                <w:highlight w:val="none"/>
              </w:rPr>
              <w:t>10.1</w:t>
            </w:r>
          </w:p>
        </w:tc>
        <w:tc>
          <w:tcPr>
            <w:tcW w:w="2140" w:type="dxa"/>
            <w:gridSpan w:val="2"/>
            <w:vAlign w:val="center"/>
          </w:tcPr>
          <w:p w14:paraId="2C613BF2">
            <w:pPr>
              <w:pStyle w:val="19"/>
              <w:spacing w:line="500" w:lineRule="exact"/>
              <w:jc w:val="center"/>
              <w:rPr>
                <w:rFonts w:hAnsi="宋体" w:cs="宋体"/>
                <w:color w:val="auto"/>
                <w:szCs w:val="21"/>
                <w:highlight w:val="none"/>
              </w:rPr>
            </w:pPr>
            <w:r>
              <w:rPr>
                <w:rFonts w:hint="eastAsia" w:hAnsi="宋体" w:cs="宋体"/>
                <w:color w:val="auto"/>
                <w:szCs w:val="21"/>
                <w:highlight w:val="none"/>
              </w:rPr>
              <w:t>投标预备会</w:t>
            </w:r>
          </w:p>
        </w:tc>
        <w:tc>
          <w:tcPr>
            <w:tcW w:w="6610" w:type="dxa"/>
            <w:vAlign w:val="center"/>
          </w:tcPr>
          <w:p w14:paraId="4A0B0AB2">
            <w:pPr>
              <w:pStyle w:val="19"/>
              <w:spacing w:line="500" w:lineRule="exact"/>
              <w:rPr>
                <w:rFonts w:hAnsi="宋体" w:cs="宋体"/>
                <w:color w:val="auto"/>
                <w:szCs w:val="21"/>
                <w:highlight w:val="none"/>
              </w:rPr>
            </w:pPr>
            <w:r>
              <w:rPr>
                <w:rFonts w:hint="eastAsia" w:hAnsi="宋体" w:cs="宋体"/>
                <w:color w:val="auto"/>
                <w:szCs w:val="21"/>
                <w:highlight w:val="none"/>
              </w:rPr>
              <w:t>不召开</w:t>
            </w:r>
          </w:p>
        </w:tc>
      </w:tr>
      <w:tr w14:paraId="55BF47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6F308747">
            <w:pPr>
              <w:pStyle w:val="19"/>
              <w:spacing w:line="500" w:lineRule="exact"/>
              <w:jc w:val="center"/>
              <w:rPr>
                <w:rFonts w:hAnsi="宋体" w:cs="宋体"/>
                <w:color w:val="auto"/>
                <w:szCs w:val="21"/>
                <w:highlight w:val="none"/>
              </w:rPr>
            </w:pPr>
            <w:r>
              <w:rPr>
                <w:rFonts w:hint="eastAsia" w:hAnsi="宋体" w:cs="宋体"/>
                <w:color w:val="auto"/>
                <w:szCs w:val="21"/>
                <w:highlight w:val="none"/>
              </w:rPr>
              <w:t>10.2</w:t>
            </w:r>
          </w:p>
        </w:tc>
        <w:tc>
          <w:tcPr>
            <w:tcW w:w="2140" w:type="dxa"/>
            <w:gridSpan w:val="2"/>
            <w:vAlign w:val="center"/>
          </w:tcPr>
          <w:p w14:paraId="7F439331">
            <w:pPr>
              <w:pStyle w:val="19"/>
              <w:spacing w:line="500" w:lineRule="exact"/>
              <w:jc w:val="center"/>
              <w:rPr>
                <w:rFonts w:hAnsi="宋体" w:cs="宋体"/>
                <w:color w:val="auto"/>
                <w:szCs w:val="21"/>
                <w:highlight w:val="none"/>
              </w:rPr>
            </w:pPr>
            <w:r>
              <w:rPr>
                <w:rFonts w:hint="eastAsia" w:hAnsi="宋体" w:cs="宋体"/>
                <w:color w:val="auto"/>
                <w:szCs w:val="21"/>
                <w:highlight w:val="none"/>
              </w:rPr>
              <w:t>投标人提出疑问的截止时间及方式</w:t>
            </w:r>
          </w:p>
        </w:tc>
        <w:tc>
          <w:tcPr>
            <w:tcW w:w="6610" w:type="dxa"/>
            <w:vAlign w:val="center"/>
          </w:tcPr>
          <w:p w14:paraId="39B180DF">
            <w:pPr>
              <w:pStyle w:val="19"/>
              <w:spacing w:line="500" w:lineRule="exact"/>
              <w:rPr>
                <w:rFonts w:hAnsi="宋体" w:cs="宋体"/>
                <w:color w:val="auto"/>
                <w:szCs w:val="21"/>
                <w:highlight w:val="none"/>
              </w:rPr>
            </w:pPr>
            <w:r>
              <w:rPr>
                <w:rFonts w:hint="eastAsia" w:hAnsi="宋体" w:cs="宋体"/>
                <w:color w:val="auto"/>
                <w:szCs w:val="21"/>
                <w:highlight w:val="none"/>
              </w:rPr>
              <w:t>如投标人对招标文件有疑问，请于</w:t>
            </w:r>
            <w:r>
              <w:rPr>
                <w:rFonts w:hint="eastAsia" w:hAnsi="宋体" w:cs="宋体"/>
                <w:b/>
                <w:bCs/>
                <w:color w:val="auto"/>
                <w:szCs w:val="21"/>
                <w:highlight w:val="none"/>
              </w:rPr>
              <w:t>202</w:t>
            </w:r>
            <w:r>
              <w:rPr>
                <w:rFonts w:hint="eastAsia" w:hAnsi="宋体" w:cs="宋体"/>
                <w:b/>
                <w:bCs/>
                <w:color w:val="auto"/>
                <w:szCs w:val="21"/>
                <w:highlight w:val="none"/>
                <w:lang w:val="en-US" w:eastAsia="zh-CN"/>
              </w:rPr>
              <w:t>6</w:t>
            </w:r>
            <w:r>
              <w:rPr>
                <w:rFonts w:hint="eastAsia" w:hAnsi="宋体" w:cs="宋体"/>
                <w:b/>
                <w:bCs/>
                <w:color w:val="auto"/>
                <w:szCs w:val="21"/>
                <w:highlight w:val="none"/>
              </w:rPr>
              <w:t>年</w:t>
            </w:r>
            <w:r>
              <w:rPr>
                <w:rFonts w:hint="eastAsia" w:hAnsi="宋体" w:cs="宋体"/>
                <w:b/>
                <w:bCs/>
                <w:color w:val="auto"/>
                <w:szCs w:val="21"/>
                <w:highlight w:val="none"/>
                <w:lang w:val="en-US" w:eastAsia="zh-CN"/>
              </w:rPr>
              <w:t>1</w:t>
            </w:r>
            <w:r>
              <w:rPr>
                <w:rFonts w:hint="eastAsia" w:hAnsi="宋体" w:cs="宋体"/>
                <w:b/>
                <w:bCs/>
                <w:color w:val="auto"/>
                <w:szCs w:val="21"/>
                <w:highlight w:val="none"/>
              </w:rPr>
              <w:t>月</w:t>
            </w:r>
            <w:r>
              <w:rPr>
                <w:rFonts w:hint="eastAsia" w:hAnsi="宋体" w:cs="宋体"/>
                <w:b/>
                <w:bCs/>
                <w:color w:val="auto"/>
                <w:szCs w:val="21"/>
                <w:highlight w:val="none"/>
                <w:lang w:val="en-US" w:eastAsia="zh-CN"/>
              </w:rPr>
              <w:t>6</w:t>
            </w:r>
            <w:r>
              <w:rPr>
                <w:rFonts w:hint="eastAsia" w:hAnsi="宋体" w:cs="宋体"/>
                <w:b/>
                <w:bCs/>
                <w:color w:val="auto"/>
                <w:szCs w:val="21"/>
                <w:highlight w:val="none"/>
              </w:rPr>
              <w:t>日</w:t>
            </w:r>
            <w:r>
              <w:rPr>
                <w:rFonts w:hint="eastAsia" w:hAnsi="宋体" w:cs="宋体"/>
                <w:b/>
                <w:bCs/>
                <w:color w:val="auto"/>
                <w:szCs w:val="21"/>
                <w:highlight w:val="none"/>
                <w:lang w:val="en-US" w:eastAsia="zh-CN"/>
              </w:rPr>
              <w:t>8</w:t>
            </w:r>
            <w:r>
              <w:rPr>
                <w:rFonts w:hint="eastAsia" w:hAnsi="宋体" w:cs="宋体"/>
                <w:b/>
                <w:bCs/>
                <w:color w:val="auto"/>
                <w:szCs w:val="21"/>
                <w:highlight w:val="none"/>
              </w:rPr>
              <w:t>时</w:t>
            </w:r>
            <w:r>
              <w:rPr>
                <w:rFonts w:hint="eastAsia" w:hAnsi="宋体" w:cs="宋体"/>
                <w:b/>
                <w:bCs/>
                <w:color w:val="auto"/>
                <w:szCs w:val="21"/>
                <w:highlight w:val="none"/>
                <w:lang w:val="en-US" w:eastAsia="zh-CN"/>
              </w:rPr>
              <w:t>30分</w:t>
            </w:r>
            <w:r>
              <w:rPr>
                <w:rFonts w:hint="eastAsia" w:hAnsi="宋体" w:cs="宋体"/>
                <w:color w:val="auto"/>
                <w:szCs w:val="21"/>
                <w:highlight w:val="none"/>
              </w:rPr>
              <w:t>（投标截止10日）前</w:t>
            </w:r>
            <w:bookmarkStart w:id="30" w:name="_Hlk61815279"/>
            <w:r>
              <w:rPr>
                <w:rFonts w:hint="eastAsia" w:hAnsi="宋体" w:cs="宋体"/>
                <w:color w:val="auto"/>
                <w:szCs w:val="21"/>
                <w:highlight w:val="none"/>
              </w:rPr>
              <w:t xml:space="preserve">在滁州市公共资源交易中心网电子交易系统中进行异议（质疑），具体操作步骤和程序请参见服务指南&gt;交易须知&gt;在线异议、质疑和投诉操作手册。 </w:t>
            </w:r>
            <w:bookmarkEnd w:id="30"/>
          </w:p>
        </w:tc>
      </w:tr>
      <w:tr w14:paraId="38F0A9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AB6C9E4">
            <w:pPr>
              <w:pStyle w:val="19"/>
              <w:spacing w:line="500" w:lineRule="exact"/>
              <w:jc w:val="center"/>
              <w:rPr>
                <w:rFonts w:hAnsi="宋体" w:cs="宋体"/>
                <w:color w:val="auto"/>
                <w:szCs w:val="21"/>
                <w:highlight w:val="none"/>
              </w:rPr>
            </w:pPr>
            <w:r>
              <w:rPr>
                <w:rFonts w:hint="eastAsia" w:hAnsi="宋体" w:cs="宋体"/>
                <w:color w:val="auto"/>
                <w:szCs w:val="21"/>
                <w:highlight w:val="none"/>
              </w:rPr>
              <w:t>10.3</w:t>
            </w:r>
          </w:p>
        </w:tc>
        <w:tc>
          <w:tcPr>
            <w:tcW w:w="2140" w:type="dxa"/>
            <w:gridSpan w:val="2"/>
            <w:vAlign w:val="center"/>
          </w:tcPr>
          <w:p w14:paraId="47DB05B9">
            <w:pPr>
              <w:pStyle w:val="19"/>
              <w:spacing w:line="500" w:lineRule="exact"/>
              <w:jc w:val="center"/>
              <w:rPr>
                <w:rFonts w:hAnsi="宋体" w:cs="宋体"/>
                <w:color w:val="auto"/>
                <w:szCs w:val="21"/>
                <w:highlight w:val="none"/>
              </w:rPr>
            </w:pPr>
            <w:r>
              <w:rPr>
                <w:rFonts w:hint="eastAsia" w:hAnsi="宋体" w:cs="宋体"/>
                <w:color w:val="auto"/>
                <w:szCs w:val="21"/>
                <w:highlight w:val="none"/>
              </w:rPr>
              <w:t>招标人澄清的时间及方式</w:t>
            </w:r>
          </w:p>
        </w:tc>
        <w:tc>
          <w:tcPr>
            <w:tcW w:w="6610" w:type="dxa"/>
            <w:vAlign w:val="center"/>
          </w:tcPr>
          <w:p w14:paraId="5BD32FC9">
            <w:pPr>
              <w:spacing w:line="500" w:lineRule="exact"/>
              <w:rPr>
                <w:rFonts w:ascii="宋体" w:hAnsi="宋体" w:cs="宋体"/>
                <w:color w:val="auto"/>
                <w:szCs w:val="21"/>
                <w:highlight w:val="none"/>
              </w:rPr>
            </w:pPr>
            <w:r>
              <w:rPr>
                <w:rFonts w:hint="eastAsia" w:ascii="宋体" w:hAnsi="宋体" w:cs="宋体"/>
                <w:b/>
                <w:bCs/>
                <w:color w:val="auto"/>
                <w:szCs w:val="21"/>
                <w:highlight w:val="none"/>
                <w:u w:color="000000"/>
              </w:rPr>
              <w:t>202</w:t>
            </w:r>
            <w:r>
              <w:rPr>
                <w:rFonts w:hint="eastAsia" w:ascii="宋体" w:hAnsi="宋体" w:cs="宋体"/>
                <w:b/>
                <w:bCs/>
                <w:color w:val="auto"/>
                <w:szCs w:val="21"/>
                <w:highlight w:val="none"/>
                <w:u w:color="000000"/>
                <w:lang w:val="en-US" w:eastAsia="zh-CN"/>
              </w:rPr>
              <w:t>6</w:t>
            </w:r>
            <w:r>
              <w:rPr>
                <w:rFonts w:hint="eastAsia" w:ascii="宋体" w:hAnsi="宋体" w:cs="宋体"/>
                <w:b/>
                <w:bCs/>
                <w:color w:val="auto"/>
                <w:szCs w:val="21"/>
                <w:highlight w:val="none"/>
                <w:u w:color="000000"/>
              </w:rPr>
              <w:t>年</w:t>
            </w:r>
            <w:r>
              <w:rPr>
                <w:rFonts w:hint="eastAsia" w:ascii="宋体" w:hAnsi="宋体" w:cs="宋体"/>
                <w:b/>
                <w:bCs/>
                <w:color w:val="auto"/>
                <w:szCs w:val="21"/>
                <w:highlight w:val="none"/>
                <w:u w:color="000000"/>
                <w:lang w:val="en-US" w:eastAsia="zh-CN"/>
              </w:rPr>
              <w:t>1</w:t>
            </w:r>
            <w:r>
              <w:rPr>
                <w:rFonts w:hint="eastAsia" w:ascii="宋体" w:hAnsi="宋体" w:cs="宋体"/>
                <w:b/>
                <w:bCs/>
                <w:color w:val="auto"/>
                <w:szCs w:val="21"/>
                <w:highlight w:val="none"/>
                <w:u w:color="000000"/>
              </w:rPr>
              <w:t>月</w:t>
            </w:r>
            <w:r>
              <w:rPr>
                <w:rFonts w:hint="eastAsia" w:ascii="宋体" w:hAnsi="宋体" w:cs="宋体"/>
                <w:b/>
                <w:bCs/>
                <w:color w:val="auto"/>
                <w:szCs w:val="21"/>
                <w:highlight w:val="none"/>
                <w:u w:color="000000"/>
                <w:lang w:val="en-US" w:eastAsia="zh-CN"/>
              </w:rPr>
              <w:t>8</w:t>
            </w:r>
            <w:r>
              <w:rPr>
                <w:rFonts w:hint="eastAsia" w:ascii="宋体" w:hAnsi="宋体" w:cs="宋体"/>
                <w:b/>
                <w:bCs/>
                <w:color w:val="auto"/>
                <w:szCs w:val="21"/>
                <w:highlight w:val="none"/>
                <w:u w:color="000000"/>
              </w:rPr>
              <w:t>日17时</w:t>
            </w:r>
            <w:r>
              <w:rPr>
                <w:rFonts w:hint="eastAsia" w:ascii="宋体" w:hAnsi="宋体" w:cs="宋体"/>
                <w:b/>
                <w:bCs/>
                <w:color w:val="auto"/>
                <w:szCs w:val="21"/>
                <w:highlight w:val="none"/>
              </w:rPr>
              <w:t>前</w:t>
            </w:r>
            <w:r>
              <w:rPr>
                <w:rFonts w:hint="eastAsia" w:ascii="宋体" w:hAnsi="宋体" w:cs="宋体"/>
                <w:color w:val="auto"/>
                <w:szCs w:val="21"/>
                <w:highlight w:val="none"/>
              </w:rPr>
              <w:t>以澄清公告形式在滁州市公共资源交易网（http://ggzy.chuzhou.gov.cn /）“答疑澄清文件”栏目予以公告。</w:t>
            </w:r>
          </w:p>
        </w:tc>
      </w:tr>
      <w:tr w14:paraId="36F274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7" w:hRule="atLeast"/>
        </w:trPr>
        <w:tc>
          <w:tcPr>
            <w:tcW w:w="1048" w:type="dxa"/>
            <w:vAlign w:val="center"/>
          </w:tcPr>
          <w:p w14:paraId="10D83F47">
            <w:pPr>
              <w:pStyle w:val="19"/>
              <w:spacing w:line="500" w:lineRule="exact"/>
              <w:jc w:val="center"/>
              <w:rPr>
                <w:rFonts w:hAnsi="宋体" w:cs="宋体"/>
                <w:color w:val="auto"/>
                <w:szCs w:val="21"/>
                <w:highlight w:val="none"/>
              </w:rPr>
            </w:pPr>
            <w:r>
              <w:rPr>
                <w:rFonts w:hint="eastAsia" w:hAnsi="宋体" w:cs="宋体"/>
                <w:color w:val="auto"/>
                <w:szCs w:val="21"/>
                <w:highlight w:val="none"/>
              </w:rPr>
              <w:t>11.1</w:t>
            </w:r>
          </w:p>
        </w:tc>
        <w:tc>
          <w:tcPr>
            <w:tcW w:w="2140" w:type="dxa"/>
            <w:gridSpan w:val="2"/>
            <w:vAlign w:val="center"/>
          </w:tcPr>
          <w:p w14:paraId="170D9521">
            <w:pPr>
              <w:pStyle w:val="19"/>
              <w:spacing w:line="500" w:lineRule="exact"/>
              <w:jc w:val="center"/>
              <w:rPr>
                <w:rFonts w:hAnsi="宋体" w:cs="宋体"/>
                <w:color w:val="auto"/>
                <w:szCs w:val="21"/>
                <w:highlight w:val="none"/>
              </w:rPr>
            </w:pPr>
            <w:r>
              <w:rPr>
                <w:rFonts w:hint="eastAsia" w:hAnsi="宋体" w:cs="宋体"/>
                <w:color w:val="auto"/>
                <w:szCs w:val="21"/>
                <w:highlight w:val="none"/>
              </w:rPr>
              <w:t>联合体投标</w:t>
            </w:r>
          </w:p>
        </w:tc>
        <w:tc>
          <w:tcPr>
            <w:tcW w:w="6610" w:type="dxa"/>
            <w:vAlign w:val="center"/>
          </w:tcPr>
          <w:p w14:paraId="24C49B3E">
            <w:pPr>
              <w:pStyle w:val="19"/>
              <w:spacing w:line="500" w:lineRule="exact"/>
              <w:rPr>
                <w:rFonts w:hAnsi="宋体" w:cs="宋体"/>
                <w:color w:val="auto"/>
                <w:szCs w:val="21"/>
                <w:highlight w:val="none"/>
              </w:rPr>
            </w:pPr>
            <w:r>
              <w:rPr>
                <w:rFonts w:hint="eastAsia" w:hAnsi="宋体" w:cs="宋体"/>
                <w:color w:val="auto"/>
                <w:szCs w:val="21"/>
                <w:highlight w:val="none"/>
              </w:rPr>
              <w:t>本次招标不接受联合体投标</w:t>
            </w:r>
          </w:p>
        </w:tc>
      </w:tr>
      <w:tr w14:paraId="731AC3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58E3FFA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140" w:type="dxa"/>
            <w:gridSpan w:val="2"/>
            <w:vAlign w:val="center"/>
          </w:tcPr>
          <w:p w14:paraId="068559A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招标代理费</w:t>
            </w:r>
          </w:p>
        </w:tc>
        <w:tc>
          <w:tcPr>
            <w:tcW w:w="6610" w:type="dxa"/>
            <w:vAlign w:val="center"/>
          </w:tcPr>
          <w:p w14:paraId="25ECEFD4">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代理服务费金额：</w:t>
            </w:r>
            <w:r>
              <w:rPr>
                <w:rFonts w:hint="eastAsia" w:ascii="宋体" w:hAnsi="宋体" w:cs="宋体"/>
                <w:color w:val="auto"/>
                <w:szCs w:val="21"/>
                <w:highlight w:val="none"/>
                <w:lang w:val="en-US" w:eastAsia="zh-CN"/>
              </w:rPr>
              <w:t>8700</w:t>
            </w:r>
            <w:r>
              <w:rPr>
                <w:rFonts w:hint="eastAsia" w:ascii="宋体" w:hAnsi="宋体" w:cs="宋体"/>
                <w:color w:val="auto"/>
                <w:szCs w:val="21"/>
                <w:highlight w:val="none"/>
              </w:rPr>
              <w:t>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参考计价格[2002]1980号文件100%）</w:t>
            </w:r>
          </w:p>
          <w:p w14:paraId="7B314D9A">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代理服务费支付主体：中标单位。</w:t>
            </w:r>
          </w:p>
          <w:p w14:paraId="066D7ED4">
            <w:pPr>
              <w:spacing w:line="500" w:lineRule="exact"/>
              <w:rPr>
                <w:rFonts w:ascii="宋体" w:hAnsi="宋体" w:cs="宋体"/>
                <w:color w:val="auto"/>
                <w:szCs w:val="21"/>
                <w:highlight w:val="none"/>
              </w:rPr>
            </w:pPr>
            <w:r>
              <w:rPr>
                <w:rFonts w:hint="eastAsia" w:ascii="宋体" w:hAnsi="宋体" w:cs="宋体"/>
                <w:color w:val="auto"/>
                <w:szCs w:val="21"/>
                <w:highlight w:val="none"/>
              </w:rPr>
              <w:t>专家评审费支付主体：代理机构。</w:t>
            </w:r>
          </w:p>
        </w:tc>
      </w:tr>
      <w:tr w14:paraId="5C5C3E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1D6911D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16.3</w:t>
            </w:r>
          </w:p>
        </w:tc>
        <w:tc>
          <w:tcPr>
            <w:tcW w:w="2140" w:type="dxa"/>
            <w:gridSpan w:val="2"/>
            <w:vAlign w:val="center"/>
          </w:tcPr>
          <w:p w14:paraId="656082E4">
            <w:pPr>
              <w:spacing w:line="500" w:lineRule="exact"/>
              <w:ind w:right="-27" w:rightChars="-13"/>
              <w:jc w:val="center"/>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610" w:type="dxa"/>
            <w:vAlign w:val="center"/>
          </w:tcPr>
          <w:p w14:paraId="1B2709C9">
            <w:pPr>
              <w:spacing w:line="500" w:lineRule="exact"/>
              <w:rPr>
                <w:rFonts w:ascii="宋体" w:hAnsi="宋体" w:cs="宋体"/>
                <w:color w:val="auto"/>
                <w:szCs w:val="21"/>
                <w:highlight w:val="none"/>
              </w:rPr>
            </w:pPr>
            <w:r>
              <w:rPr>
                <w:rFonts w:hint="eastAsia" w:ascii="宋体" w:hAnsi="宋体" w:cs="宋体"/>
                <w:color w:val="auto"/>
                <w:szCs w:val="21"/>
                <w:highlight w:val="none"/>
              </w:rPr>
              <w:t>同表10.2款</w:t>
            </w:r>
          </w:p>
        </w:tc>
      </w:tr>
      <w:tr w14:paraId="4543CE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28BA62B">
            <w:pPr>
              <w:pStyle w:val="19"/>
              <w:spacing w:line="500" w:lineRule="exact"/>
              <w:jc w:val="center"/>
              <w:rPr>
                <w:rFonts w:hAnsi="宋体" w:cs="宋体"/>
                <w:color w:val="auto"/>
                <w:szCs w:val="21"/>
                <w:highlight w:val="none"/>
              </w:rPr>
            </w:pPr>
            <w:r>
              <w:rPr>
                <w:rFonts w:hint="eastAsia" w:hAnsi="宋体" w:cs="宋体"/>
                <w:color w:val="auto"/>
                <w:szCs w:val="21"/>
                <w:highlight w:val="none"/>
              </w:rPr>
              <w:t>23.1</w:t>
            </w:r>
          </w:p>
        </w:tc>
        <w:tc>
          <w:tcPr>
            <w:tcW w:w="2140" w:type="dxa"/>
            <w:gridSpan w:val="2"/>
            <w:vAlign w:val="center"/>
          </w:tcPr>
          <w:p w14:paraId="277EFE33">
            <w:pPr>
              <w:pStyle w:val="19"/>
              <w:spacing w:line="500" w:lineRule="exact"/>
              <w:jc w:val="center"/>
              <w:rPr>
                <w:rFonts w:hAnsi="宋体" w:cs="宋体"/>
                <w:color w:val="auto"/>
                <w:szCs w:val="21"/>
                <w:highlight w:val="none"/>
              </w:rPr>
            </w:pPr>
            <w:r>
              <w:rPr>
                <w:rFonts w:hint="eastAsia" w:hAnsi="宋体" w:cs="宋体"/>
                <w:color w:val="auto"/>
                <w:szCs w:val="21"/>
                <w:highlight w:val="none"/>
              </w:rPr>
              <w:t>投标有效期</w:t>
            </w:r>
          </w:p>
        </w:tc>
        <w:tc>
          <w:tcPr>
            <w:tcW w:w="6610" w:type="dxa"/>
            <w:vAlign w:val="center"/>
          </w:tcPr>
          <w:p w14:paraId="25D466E0">
            <w:pPr>
              <w:pStyle w:val="19"/>
              <w:spacing w:line="500" w:lineRule="exact"/>
              <w:rPr>
                <w:rFonts w:hAnsi="宋体" w:cs="宋体"/>
                <w:color w:val="auto"/>
                <w:szCs w:val="21"/>
                <w:highlight w:val="none"/>
              </w:rPr>
            </w:pPr>
            <w:r>
              <w:rPr>
                <w:rFonts w:hint="eastAsia" w:hAnsi="宋体" w:cs="宋体"/>
                <w:color w:val="auto"/>
                <w:szCs w:val="21"/>
                <w:highlight w:val="none"/>
              </w:rPr>
              <w:t>投标有效期为</w:t>
            </w:r>
            <w:r>
              <w:rPr>
                <w:rFonts w:hint="eastAsia" w:hAnsi="宋体" w:cs="宋体"/>
                <w:color w:val="auto"/>
                <w:szCs w:val="21"/>
                <w:highlight w:val="none"/>
                <w:u w:val="single"/>
              </w:rPr>
              <w:t xml:space="preserve"> 90  </w:t>
            </w:r>
            <w:r>
              <w:rPr>
                <w:rFonts w:hint="eastAsia" w:hAnsi="宋体" w:cs="宋体"/>
                <w:color w:val="auto"/>
                <w:szCs w:val="21"/>
                <w:highlight w:val="none"/>
              </w:rPr>
              <w:t>日历天（从投标截止之日算起）。在此期限内，凡符合本招标文件要求的投标文件均保持有效。</w:t>
            </w:r>
          </w:p>
        </w:tc>
      </w:tr>
      <w:tr w14:paraId="30CD4E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048" w:type="dxa"/>
            <w:vAlign w:val="center"/>
          </w:tcPr>
          <w:p w14:paraId="71E5F0D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2140" w:type="dxa"/>
            <w:gridSpan w:val="2"/>
            <w:vAlign w:val="center"/>
          </w:tcPr>
          <w:p w14:paraId="73CB23F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6610" w:type="dxa"/>
          </w:tcPr>
          <w:p w14:paraId="205D745D">
            <w:pPr>
              <w:widowControl/>
              <w:shd w:val="clear" w:color="auto" w:fill="FFFFFF"/>
              <w:spacing w:line="500" w:lineRule="exact"/>
              <w:jc w:val="left"/>
              <w:rPr>
                <w:rFonts w:ascii="宋体" w:hAnsi="宋体" w:cs="宋体"/>
                <w:color w:val="auto"/>
                <w:szCs w:val="21"/>
                <w:highlight w:val="none"/>
              </w:rPr>
            </w:pPr>
            <w:r>
              <w:rPr>
                <w:rFonts w:hint="eastAsia" w:ascii="宋体" w:hAnsi="宋体" w:cs="宋体"/>
                <w:color w:val="auto"/>
                <w:szCs w:val="21"/>
                <w:highlight w:val="none"/>
                <w:u w:color="000000"/>
              </w:rPr>
              <w:t>详见第一章“招标公告”</w:t>
            </w:r>
          </w:p>
        </w:tc>
      </w:tr>
      <w:tr w14:paraId="0F324D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4005727B">
            <w:pPr>
              <w:pStyle w:val="19"/>
              <w:spacing w:line="500" w:lineRule="exact"/>
              <w:jc w:val="center"/>
              <w:rPr>
                <w:rFonts w:hAnsi="宋体" w:cs="宋体"/>
                <w:color w:val="auto"/>
                <w:szCs w:val="21"/>
                <w:highlight w:val="none"/>
              </w:rPr>
            </w:pPr>
            <w:r>
              <w:rPr>
                <w:rFonts w:hint="eastAsia" w:hAnsi="宋体" w:cs="宋体"/>
                <w:color w:val="auto"/>
                <w:szCs w:val="21"/>
                <w:highlight w:val="none"/>
              </w:rPr>
              <w:t>25.1</w:t>
            </w:r>
          </w:p>
        </w:tc>
        <w:tc>
          <w:tcPr>
            <w:tcW w:w="2140" w:type="dxa"/>
            <w:gridSpan w:val="2"/>
            <w:vAlign w:val="center"/>
          </w:tcPr>
          <w:p w14:paraId="546CAAB9">
            <w:pPr>
              <w:pStyle w:val="19"/>
              <w:spacing w:line="500" w:lineRule="exact"/>
              <w:jc w:val="center"/>
              <w:rPr>
                <w:rFonts w:hAnsi="宋体" w:cs="宋体"/>
                <w:color w:val="auto"/>
                <w:szCs w:val="21"/>
                <w:highlight w:val="none"/>
              </w:rPr>
            </w:pPr>
            <w:r>
              <w:rPr>
                <w:rFonts w:hint="eastAsia" w:hAnsi="宋体" w:cs="宋体"/>
                <w:color w:val="auto"/>
                <w:szCs w:val="21"/>
                <w:highlight w:val="none"/>
              </w:rPr>
              <w:t>投标文件数量</w:t>
            </w:r>
          </w:p>
        </w:tc>
        <w:tc>
          <w:tcPr>
            <w:tcW w:w="6610" w:type="dxa"/>
            <w:vAlign w:val="center"/>
          </w:tcPr>
          <w:p w14:paraId="1BD25900">
            <w:pPr>
              <w:widowControl/>
              <w:spacing w:line="500" w:lineRule="exact"/>
              <w:ind w:firstLine="88" w:firstLineChars="42"/>
              <w:jc w:val="left"/>
              <w:rPr>
                <w:rFonts w:ascii="宋体" w:hAnsi="宋体" w:cs="宋体"/>
                <w:bCs/>
                <w:color w:val="auto"/>
                <w:kern w:val="0"/>
                <w:szCs w:val="21"/>
                <w:highlight w:val="none"/>
              </w:rPr>
            </w:pPr>
            <w:r>
              <w:rPr>
                <w:rFonts w:hint="eastAsia" w:ascii="宋体" w:hAnsi="宋体" w:cs="宋体"/>
                <w:bCs/>
                <w:color w:val="auto"/>
                <w:kern w:val="0"/>
                <w:szCs w:val="21"/>
                <w:highlight w:val="none"/>
              </w:rPr>
              <w:t>网上递交的电子投标文件：一份。以投标人在投标截止时间前网上递交的电子投标文件为准，逾期提交的，投标文件将被拒绝。</w:t>
            </w:r>
          </w:p>
          <w:p w14:paraId="2F2BE6F5">
            <w:pPr>
              <w:widowControl/>
              <w:spacing w:line="500" w:lineRule="exact"/>
              <w:ind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（投标单位中标后须递交与网上电子投标文件完全一致的纸质版投标文件，并按要求加盖公章；份数：正本1份</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中标单位领取中标通知书时，一并递交给代理机构）</w:t>
            </w:r>
          </w:p>
        </w:tc>
      </w:tr>
      <w:tr w14:paraId="6CCEA1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279FA33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25.2</w:t>
            </w:r>
          </w:p>
        </w:tc>
        <w:tc>
          <w:tcPr>
            <w:tcW w:w="2140" w:type="dxa"/>
            <w:gridSpan w:val="2"/>
            <w:vAlign w:val="center"/>
          </w:tcPr>
          <w:p w14:paraId="221E365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6610" w:type="dxa"/>
            <w:vAlign w:val="center"/>
          </w:tcPr>
          <w:p w14:paraId="41234D0D">
            <w:pPr>
              <w:widowControl/>
              <w:spacing w:line="5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电子投标文件须按格式文件要求签字或盖章（电子签章），招标文件格式中要求“签章”部位，指电子签章或盖章后扫描上传均可。</w:t>
            </w:r>
          </w:p>
          <w:p w14:paraId="1446C6F2">
            <w:pPr>
              <w:widowControl/>
              <w:spacing w:line="500" w:lineRule="exact"/>
              <w:ind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否则经评委会一致认定且经过招投标监管部门批准后，按照无效投标处理。</w:t>
            </w:r>
          </w:p>
        </w:tc>
      </w:tr>
      <w:tr w14:paraId="22CF6A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trPr>
        <w:tc>
          <w:tcPr>
            <w:tcW w:w="1048" w:type="dxa"/>
            <w:vAlign w:val="center"/>
          </w:tcPr>
          <w:p w14:paraId="009C8EB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26.1</w:t>
            </w:r>
          </w:p>
        </w:tc>
        <w:tc>
          <w:tcPr>
            <w:tcW w:w="2140" w:type="dxa"/>
            <w:gridSpan w:val="2"/>
            <w:vAlign w:val="center"/>
          </w:tcPr>
          <w:p w14:paraId="4AECF73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投标文件提交截止时间</w:t>
            </w:r>
          </w:p>
        </w:tc>
        <w:tc>
          <w:tcPr>
            <w:tcW w:w="6610" w:type="dxa"/>
            <w:vAlign w:val="center"/>
          </w:tcPr>
          <w:p w14:paraId="0FAB9F11">
            <w:pPr>
              <w:spacing w:line="500" w:lineRule="exact"/>
              <w:rPr>
                <w:rFonts w:ascii="宋体" w:hAnsi="宋体" w:cs="宋体"/>
                <w:color w:val="auto"/>
                <w:szCs w:val="21"/>
                <w:highlight w:val="none"/>
              </w:rPr>
            </w:pPr>
            <w:r>
              <w:rPr>
                <w:rFonts w:hint="eastAsia" w:ascii="宋体" w:hAnsi="宋体" w:cs="宋体"/>
                <w:color w:val="auto"/>
                <w:szCs w:val="21"/>
                <w:highlight w:val="none"/>
              </w:rPr>
              <w:t>网上递交投标文件截止时间：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16</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分（北京时间）</w:t>
            </w:r>
          </w:p>
          <w:p w14:paraId="043CC658">
            <w:pPr>
              <w:spacing w:line="500" w:lineRule="exact"/>
              <w:rPr>
                <w:rFonts w:ascii="宋体" w:hAnsi="宋体" w:cs="宋体"/>
                <w:bCs/>
                <w:color w:val="auto"/>
                <w:szCs w:val="21"/>
                <w:highlight w:val="none"/>
              </w:rPr>
            </w:pPr>
            <w:r>
              <w:rPr>
                <w:rFonts w:hint="eastAsia" w:ascii="宋体" w:hAnsi="宋体" w:cs="宋体"/>
                <w:b/>
                <w:color w:val="auto"/>
                <w:szCs w:val="21"/>
                <w:highlight w:val="none"/>
              </w:rPr>
              <w:t>注：以投标人在投标截止时间前网上递交的电子投标文件为准，逾期提交的，投标文件将被拒绝。</w:t>
            </w:r>
          </w:p>
          <w:p w14:paraId="22911DEE">
            <w:pPr>
              <w:wordWrap w:val="0"/>
              <w:spacing w:line="500" w:lineRule="exact"/>
              <w:rPr>
                <w:rFonts w:ascii="宋体" w:hAnsi="宋体" w:cs="宋体"/>
                <w:color w:val="auto"/>
                <w:szCs w:val="21"/>
                <w:highlight w:val="none"/>
              </w:rPr>
            </w:pPr>
            <w:r>
              <w:rPr>
                <w:rFonts w:hint="eastAsia" w:ascii="宋体" w:hAnsi="宋体" w:cs="宋体"/>
                <w:color w:val="auto"/>
                <w:szCs w:val="21"/>
                <w:highlight w:val="none"/>
              </w:rPr>
              <w:t>1.解密程序开始后60分钟内（以本项目网上招投标系统解密倒计时为准）。</w:t>
            </w:r>
          </w:p>
          <w:p w14:paraId="2CB05AAA">
            <w:pPr>
              <w:wordWrap w:val="0"/>
              <w:spacing w:line="500" w:lineRule="exact"/>
              <w:ind w:left="211" w:hanging="211" w:hangingChars="100"/>
              <w:rPr>
                <w:rFonts w:ascii="宋体" w:hAnsi="宋体" w:cs="宋体"/>
                <w:color w:val="auto"/>
                <w:szCs w:val="21"/>
                <w:highlight w:val="none"/>
              </w:rPr>
            </w:pPr>
            <w:r>
              <w:rPr>
                <w:rFonts w:hint="eastAsia" w:ascii="宋体" w:hAnsi="宋体" w:cs="宋体"/>
                <w:b/>
                <w:bCs/>
                <w:color w:val="auto"/>
                <w:szCs w:val="21"/>
                <w:highlight w:val="none"/>
              </w:rPr>
              <w:t>2.解密时间为202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 xml:space="preserve"> 1</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 xml:space="preserve"> 16</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 xml:space="preserve"> 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分至202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16</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w:t>
            </w:r>
          </w:p>
        </w:tc>
      </w:tr>
      <w:tr w14:paraId="218160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1048" w:type="dxa"/>
            <w:vAlign w:val="center"/>
          </w:tcPr>
          <w:p w14:paraId="6C33AF4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27.3</w:t>
            </w:r>
          </w:p>
        </w:tc>
        <w:tc>
          <w:tcPr>
            <w:tcW w:w="2140" w:type="dxa"/>
            <w:gridSpan w:val="2"/>
            <w:vAlign w:val="center"/>
          </w:tcPr>
          <w:p w14:paraId="7CA6D7A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6610" w:type="dxa"/>
            <w:vAlign w:val="center"/>
          </w:tcPr>
          <w:p w14:paraId="721ACDB6">
            <w:pPr>
              <w:spacing w:line="500" w:lineRule="exact"/>
              <w:rPr>
                <w:rFonts w:ascii="宋体" w:hAnsi="宋体" w:cs="宋体"/>
                <w:color w:val="auto"/>
                <w:szCs w:val="21"/>
                <w:highlight w:val="none"/>
              </w:rPr>
            </w:pPr>
            <w:r>
              <w:rPr>
                <w:rFonts w:hint="eastAsia" w:ascii="宋体" w:hAnsi="宋体" w:cs="宋体"/>
                <w:color w:val="auto"/>
                <w:szCs w:val="21"/>
                <w:highlight w:val="none"/>
              </w:rPr>
              <w:t>否</w:t>
            </w:r>
          </w:p>
        </w:tc>
      </w:tr>
      <w:tr w14:paraId="4D3073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4DAB480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28.1</w:t>
            </w:r>
          </w:p>
        </w:tc>
        <w:tc>
          <w:tcPr>
            <w:tcW w:w="2140" w:type="dxa"/>
            <w:gridSpan w:val="2"/>
            <w:vAlign w:val="center"/>
          </w:tcPr>
          <w:p w14:paraId="452E026A">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开标时间及地点</w:t>
            </w:r>
          </w:p>
        </w:tc>
        <w:tc>
          <w:tcPr>
            <w:tcW w:w="6610" w:type="dxa"/>
            <w:vAlign w:val="center"/>
          </w:tcPr>
          <w:p w14:paraId="017DC649">
            <w:pPr>
              <w:spacing w:line="500" w:lineRule="exact"/>
              <w:rPr>
                <w:rFonts w:ascii="宋体" w:hAnsi="宋体" w:cs="宋体"/>
                <w:b/>
                <w:bCs/>
                <w:color w:val="auto"/>
                <w:szCs w:val="21"/>
                <w:highlight w:val="none"/>
              </w:rPr>
            </w:pPr>
            <w:r>
              <w:rPr>
                <w:rFonts w:hint="eastAsia" w:ascii="宋体" w:hAnsi="宋体" w:cs="宋体"/>
                <w:color w:val="auto"/>
                <w:szCs w:val="21"/>
                <w:highlight w:val="none"/>
              </w:rPr>
              <w:t>开标时间：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 xml:space="preserve"> 16</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 xml:space="preserve"> 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分（北京时间）</w:t>
            </w:r>
          </w:p>
          <w:p w14:paraId="4627F3BC">
            <w:pPr>
              <w:spacing w:line="500" w:lineRule="exact"/>
              <w:rPr>
                <w:rFonts w:ascii="宋体" w:hAnsi="宋体" w:cs="宋体"/>
                <w:color w:val="auto"/>
                <w:szCs w:val="21"/>
                <w:highlight w:val="none"/>
              </w:rPr>
            </w:pPr>
            <w:r>
              <w:rPr>
                <w:rFonts w:hint="eastAsia" w:ascii="宋体" w:hAnsi="宋体" w:cs="宋体"/>
                <w:color w:val="auto"/>
                <w:szCs w:val="21"/>
                <w:highlight w:val="none"/>
              </w:rPr>
              <w:t>开标地点：</w:t>
            </w:r>
            <w:r>
              <w:rPr>
                <w:rFonts w:hint="eastAsia" w:ascii="宋体" w:hAnsi="宋体" w:cs="宋体"/>
                <w:color w:val="auto"/>
                <w:szCs w:val="21"/>
                <w:highlight w:val="none"/>
                <w:lang w:val="en-US" w:eastAsia="zh-CN"/>
              </w:rPr>
              <w:t>滁州市公共资源交易平台电子交易系统</w:t>
            </w:r>
          </w:p>
        </w:tc>
      </w:tr>
      <w:tr w14:paraId="78A772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48" w:type="dxa"/>
            <w:vAlign w:val="center"/>
          </w:tcPr>
          <w:p w14:paraId="6849465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28.3</w:t>
            </w:r>
          </w:p>
        </w:tc>
        <w:tc>
          <w:tcPr>
            <w:tcW w:w="2140" w:type="dxa"/>
            <w:gridSpan w:val="2"/>
            <w:vAlign w:val="center"/>
          </w:tcPr>
          <w:p w14:paraId="740F909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开标程序</w:t>
            </w:r>
          </w:p>
        </w:tc>
        <w:tc>
          <w:tcPr>
            <w:tcW w:w="6610" w:type="dxa"/>
            <w:vAlign w:val="center"/>
          </w:tcPr>
          <w:p w14:paraId="04664B7F">
            <w:pPr>
              <w:spacing w:line="500" w:lineRule="exact"/>
              <w:rPr>
                <w:rFonts w:ascii="宋体" w:hAnsi="宋体" w:cs="宋体"/>
                <w:color w:val="auto"/>
                <w:szCs w:val="21"/>
                <w:highlight w:val="none"/>
              </w:rPr>
            </w:pPr>
            <w:r>
              <w:rPr>
                <w:rFonts w:hint="eastAsia" w:ascii="宋体" w:hAnsi="宋体" w:cs="宋体"/>
                <w:color w:val="auto"/>
                <w:szCs w:val="21"/>
                <w:highlight w:val="none"/>
              </w:rPr>
              <w:t>开标顺序：解密电子投标文件后，由评标委员会评审。</w:t>
            </w:r>
          </w:p>
        </w:tc>
      </w:tr>
      <w:tr w14:paraId="66D647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048" w:type="dxa"/>
            <w:vAlign w:val="center"/>
          </w:tcPr>
          <w:p w14:paraId="48973052">
            <w:pPr>
              <w:pStyle w:val="19"/>
              <w:spacing w:line="500" w:lineRule="exact"/>
              <w:jc w:val="center"/>
              <w:rPr>
                <w:rFonts w:hAnsi="宋体" w:cs="宋体"/>
                <w:color w:val="auto"/>
                <w:szCs w:val="21"/>
                <w:highlight w:val="none"/>
              </w:rPr>
            </w:pPr>
            <w:r>
              <w:rPr>
                <w:rFonts w:hint="eastAsia" w:hAnsi="宋体" w:cs="宋体"/>
                <w:color w:val="auto"/>
                <w:szCs w:val="21"/>
                <w:highlight w:val="none"/>
              </w:rPr>
              <w:t>29.1</w:t>
            </w:r>
          </w:p>
        </w:tc>
        <w:tc>
          <w:tcPr>
            <w:tcW w:w="2140" w:type="dxa"/>
            <w:gridSpan w:val="2"/>
            <w:vAlign w:val="center"/>
          </w:tcPr>
          <w:p w14:paraId="52526561">
            <w:pPr>
              <w:pStyle w:val="19"/>
              <w:spacing w:line="500" w:lineRule="exact"/>
              <w:jc w:val="center"/>
              <w:rPr>
                <w:rFonts w:hAnsi="宋体" w:cs="宋体"/>
                <w:color w:val="auto"/>
                <w:szCs w:val="21"/>
                <w:highlight w:val="none"/>
              </w:rPr>
            </w:pPr>
            <w:r>
              <w:rPr>
                <w:rFonts w:hint="eastAsia" w:hAnsi="宋体" w:cs="宋体"/>
                <w:color w:val="auto"/>
                <w:szCs w:val="21"/>
                <w:highlight w:val="none"/>
              </w:rPr>
              <w:t>评标委员会的组建</w:t>
            </w:r>
          </w:p>
        </w:tc>
        <w:tc>
          <w:tcPr>
            <w:tcW w:w="6610" w:type="dxa"/>
          </w:tcPr>
          <w:p w14:paraId="0832636F">
            <w:pPr>
              <w:spacing w:line="500" w:lineRule="exact"/>
              <w:rPr>
                <w:rFonts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人，其中招标人代表</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人，评标专家</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w:t>
            </w:r>
          </w:p>
          <w:p w14:paraId="33A00371">
            <w:pPr>
              <w:spacing w:line="500" w:lineRule="exact"/>
              <w:rPr>
                <w:rFonts w:ascii="宋体" w:hAnsi="宋体" w:cs="宋体"/>
                <w:color w:val="auto"/>
                <w:szCs w:val="21"/>
                <w:highlight w:val="none"/>
              </w:rPr>
            </w:pPr>
            <w:r>
              <w:rPr>
                <w:rFonts w:hint="eastAsia" w:ascii="宋体" w:hAnsi="宋体" w:cs="宋体"/>
                <w:color w:val="auto"/>
                <w:szCs w:val="21"/>
                <w:highlight w:val="none"/>
              </w:rPr>
              <w:t>评标专家确定方式：专家评委由招标人在开标前从专家库中随机抽取。</w:t>
            </w:r>
          </w:p>
        </w:tc>
      </w:tr>
      <w:tr w14:paraId="38DE42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48" w:type="dxa"/>
            <w:vAlign w:val="center"/>
          </w:tcPr>
          <w:p w14:paraId="0681B718">
            <w:pPr>
              <w:pStyle w:val="19"/>
              <w:spacing w:line="500" w:lineRule="exact"/>
              <w:jc w:val="center"/>
              <w:rPr>
                <w:rFonts w:hAnsi="宋体" w:cs="宋体"/>
                <w:color w:val="auto"/>
                <w:szCs w:val="21"/>
                <w:highlight w:val="none"/>
              </w:rPr>
            </w:pPr>
            <w:r>
              <w:rPr>
                <w:rFonts w:hint="eastAsia" w:hAnsi="宋体" w:cs="宋体"/>
                <w:color w:val="auto"/>
                <w:szCs w:val="21"/>
                <w:highlight w:val="none"/>
              </w:rPr>
              <w:t>32.1.1</w:t>
            </w:r>
          </w:p>
        </w:tc>
        <w:tc>
          <w:tcPr>
            <w:tcW w:w="2140" w:type="dxa"/>
            <w:gridSpan w:val="2"/>
            <w:vAlign w:val="center"/>
          </w:tcPr>
          <w:p w14:paraId="7BFC2EF7">
            <w:pPr>
              <w:pStyle w:val="19"/>
              <w:spacing w:line="500" w:lineRule="exact"/>
              <w:jc w:val="center"/>
              <w:rPr>
                <w:rFonts w:hAnsi="宋体" w:cs="宋体"/>
                <w:color w:val="auto"/>
                <w:szCs w:val="21"/>
                <w:highlight w:val="none"/>
              </w:rPr>
            </w:pPr>
            <w:r>
              <w:rPr>
                <w:rFonts w:hint="eastAsia" w:hAnsi="宋体" w:cs="宋体"/>
                <w:color w:val="auto"/>
                <w:szCs w:val="21"/>
                <w:highlight w:val="none"/>
              </w:rPr>
              <w:t>是否授权评标委员会确定中标候选人</w:t>
            </w:r>
          </w:p>
        </w:tc>
        <w:tc>
          <w:tcPr>
            <w:tcW w:w="6610" w:type="dxa"/>
            <w:vAlign w:val="center"/>
          </w:tcPr>
          <w:p w14:paraId="3404A08C">
            <w:pPr>
              <w:pStyle w:val="19"/>
              <w:spacing w:line="500" w:lineRule="exact"/>
              <w:rPr>
                <w:rFonts w:hAnsi="宋体" w:cs="宋体"/>
                <w:color w:val="auto"/>
                <w:szCs w:val="21"/>
                <w:highlight w:val="none"/>
              </w:rPr>
            </w:pPr>
            <w:r>
              <w:rPr>
                <w:rFonts w:hint="eastAsia" w:hAnsi="宋体" w:cs="宋体"/>
                <w:color w:val="auto"/>
                <w:szCs w:val="21"/>
                <w:highlight w:val="none"/>
              </w:rPr>
              <w:t>是，评标委员会推荐</w:t>
            </w:r>
            <w:r>
              <w:rPr>
                <w:rFonts w:hint="eastAsia" w:hAnsi="宋体" w:cs="宋体"/>
                <w:color w:val="auto"/>
                <w:szCs w:val="21"/>
                <w:highlight w:val="none"/>
                <w:lang w:val="en-US" w:eastAsia="zh-CN"/>
              </w:rPr>
              <w:t>3</w:t>
            </w:r>
            <w:r>
              <w:rPr>
                <w:rFonts w:hint="eastAsia" w:hAnsi="宋体" w:cs="宋体"/>
                <w:color w:val="auto"/>
                <w:szCs w:val="21"/>
                <w:highlight w:val="none"/>
              </w:rPr>
              <w:t>名中标候选人。</w:t>
            </w:r>
          </w:p>
        </w:tc>
      </w:tr>
      <w:tr w14:paraId="1F390D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1048" w:type="dxa"/>
            <w:vAlign w:val="center"/>
          </w:tcPr>
          <w:p w14:paraId="6EEE9378">
            <w:pPr>
              <w:pStyle w:val="19"/>
              <w:spacing w:line="500" w:lineRule="exact"/>
              <w:jc w:val="center"/>
              <w:rPr>
                <w:rFonts w:hAnsi="宋体" w:cs="宋体"/>
                <w:color w:val="auto"/>
                <w:szCs w:val="21"/>
                <w:highlight w:val="none"/>
              </w:rPr>
            </w:pPr>
            <w:r>
              <w:rPr>
                <w:rFonts w:hint="eastAsia" w:hAnsi="宋体" w:cs="宋体"/>
                <w:color w:val="auto"/>
                <w:szCs w:val="21"/>
                <w:highlight w:val="none"/>
              </w:rPr>
              <w:t>32.1.2</w:t>
            </w:r>
          </w:p>
        </w:tc>
        <w:tc>
          <w:tcPr>
            <w:tcW w:w="2140" w:type="dxa"/>
            <w:gridSpan w:val="2"/>
            <w:vAlign w:val="center"/>
          </w:tcPr>
          <w:p w14:paraId="224C6AAE">
            <w:pPr>
              <w:pStyle w:val="19"/>
              <w:spacing w:line="500" w:lineRule="exact"/>
              <w:jc w:val="center"/>
              <w:rPr>
                <w:rFonts w:hAnsi="宋体" w:cs="宋体"/>
                <w:color w:val="auto"/>
                <w:szCs w:val="21"/>
                <w:highlight w:val="none"/>
              </w:rPr>
            </w:pPr>
            <w:r>
              <w:rPr>
                <w:rFonts w:hint="eastAsia" w:hAnsi="宋体" w:cs="宋体"/>
                <w:color w:val="auto"/>
                <w:szCs w:val="21"/>
                <w:highlight w:val="none"/>
              </w:rPr>
              <w:t>中标结果公告媒介及期限</w:t>
            </w:r>
          </w:p>
        </w:tc>
        <w:tc>
          <w:tcPr>
            <w:tcW w:w="6610" w:type="dxa"/>
          </w:tcPr>
          <w:p w14:paraId="364728AF">
            <w:pPr>
              <w:pStyle w:val="19"/>
              <w:spacing w:line="500" w:lineRule="exact"/>
              <w:rPr>
                <w:rFonts w:hAnsi="宋体" w:cs="宋体"/>
                <w:color w:val="auto"/>
                <w:szCs w:val="21"/>
                <w:highlight w:val="none"/>
              </w:rPr>
            </w:pPr>
            <w:r>
              <w:rPr>
                <w:rFonts w:hint="eastAsia" w:hAnsi="宋体" w:cs="宋体"/>
                <w:color w:val="auto"/>
                <w:szCs w:val="21"/>
                <w:highlight w:val="none"/>
              </w:rPr>
              <w:t>公示媒介：同招标公告发布媒介</w:t>
            </w:r>
          </w:p>
          <w:p w14:paraId="367BBAB7">
            <w:pPr>
              <w:pStyle w:val="19"/>
              <w:spacing w:line="500" w:lineRule="exact"/>
              <w:rPr>
                <w:rFonts w:hAnsi="宋体" w:cs="宋体"/>
                <w:color w:val="auto"/>
                <w:spacing w:val="-4"/>
                <w:szCs w:val="21"/>
                <w:highlight w:val="none"/>
              </w:rPr>
            </w:pPr>
            <w:r>
              <w:rPr>
                <w:rFonts w:hint="eastAsia" w:hAnsi="宋体" w:cs="宋体"/>
                <w:color w:val="auto"/>
                <w:szCs w:val="21"/>
                <w:highlight w:val="none"/>
              </w:rPr>
              <w:t>公示期限：公示发布次日起3日（如公示第三日为休息日或节假日，则顺延至休息日或节假日后第一个工作日）</w:t>
            </w:r>
          </w:p>
        </w:tc>
      </w:tr>
      <w:tr w14:paraId="2CF7AD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restart"/>
            <w:vAlign w:val="center"/>
          </w:tcPr>
          <w:p w14:paraId="38FD7FC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32.2</w:t>
            </w:r>
          </w:p>
        </w:tc>
        <w:tc>
          <w:tcPr>
            <w:tcW w:w="2140" w:type="dxa"/>
            <w:gridSpan w:val="2"/>
            <w:vAlign w:val="center"/>
          </w:tcPr>
          <w:p w14:paraId="6FD2972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中标通知书</w:t>
            </w:r>
          </w:p>
        </w:tc>
        <w:tc>
          <w:tcPr>
            <w:tcW w:w="6610" w:type="dxa"/>
            <w:vAlign w:val="center"/>
          </w:tcPr>
          <w:p w14:paraId="33D2F248">
            <w:pPr>
              <w:spacing w:line="500" w:lineRule="exact"/>
              <w:rPr>
                <w:rFonts w:ascii="宋体" w:hAnsi="宋体" w:cs="宋体"/>
                <w:color w:val="auto"/>
                <w:szCs w:val="21"/>
                <w:highlight w:val="none"/>
              </w:rPr>
            </w:pPr>
            <w:r>
              <w:rPr>
                <w:rFonts w:hint="eastAsia" w:ascii="宋体" w:hAnsi="宋体" w:cs="宋体"/>
                <w:color w:val="auto"/>
                <w:szCs w:val="21"/>
                <w:highlight w:val="none"/>
              </w:rPr>
              <w:t>中标通知书须加盖公共资源交易中心见证章后方可发出。</w:t>
            </w:r>
          </w:p>
        </w:tc>
      </w:tr>
      <w:tr w14:paraId="7F90BC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continue"/>
            <w:vAlign w:val="center"/>
          </w:tcPr>
          <w:p w14:paraId="7270C092">
            <w:pPr>
              <w:spacing w:line="500" w:lineRule="exact"/>
              <w:jc w:val="center"/>
              <w:rPr>
                <w:rFonts w:ascii="宋体" w:hAnsi="宋体" w:cs="宋体"/>
                <w:color w:val="auto"/>
                <w:szCs w:val="21"/>
                <w:highlight w:val="none"/>
              </w:rPr>
            </w:pPr>
          </w:p>
        </w:tc>
        <w:tc>
          <w:tcPr>
            <w:tcW w:w="2140" w:type="dxa"/>
            <w:gridSpan w:val="2"/>
            <w:vAlign w:val="center"/>
          </w:tcPr>
          <w:p w14:paraId="02875CB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中标通知书发出形式</w:t>
            </w:r>
          </w:p>
        </w:tc>
        <w:tc>
          <w:tcPr>
            <w:tcW w:w="6610" w:type="dxa"/>
            <w:vAlign w:val="center"/>
          </w:tcPr>
          <w:p w14:paraId="482DFBBC">
            <w:pPr>
              <w:spacing w:line="500" w:lineRule="exact"/>
              <w:rPr>
                <w:rFonts w:ascii="宋体" w:hAnsi="宋体" w:cs="宋体"/>
                <w:color w:val="auto"/>
                <w:szCs w:val="21"/>
                <w:highlight w:val="none"/>
              </w:rPr>
            </w:pPr>
            <w:r>
              <w:rPr>
                <w:rFonts w:hint="eastAsia" w:ascii="宋体" w:hAnsi="宋体" w:cs="宋体"/>
                <w:color w:val="auto"/>
                <w:szCs w:val="21"/>
                <w:highlight w:val="none"/>
              </w:rPr>
              <w:t>数据电文</w:t>
            </w:r>
          </w:p>
        </w:tc>
      </w:tr>
      <w:tr w14:paraId="4C94ED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1048" w:type="dxa"/>
            <w:vAlign w:val="center"/>
          </w:tcPr>
          <w:p w14:paraId="5E177BA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140" w:type="dxa"/>
            <w:gridSpan w:val="2"/>
            <w:vAlign w:val="center"/>
          </w:tcPr>
          <w:p w14:paraId="4CB31D8C">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6610" w:type="dxa"/>
            <w:vAlign w:val="center"/>
          </w:tcPr>
          <w:p w14:paraId="5A004A32">
            <w:pPr>
              <w:tabs>
                <w:tab w:val="left" w:pos="5034"/>
              </w:tabs>
              <w:spacing w:line="500" w:lineRule="exact"/>
              <w:rPr>
                <w:rFonts w:ascii="宋体" w:hAnsi="宋体" w:cs="宋体"/>
                <w:color w:val="auto"/>
                <w:szCs w:val="21"/>
                <w:highlight w:val="none"/>
              </w:rPr>
            </w:pPr>
            <w:r>
              <w:rPr>
                <w:rFonts w:hint="eastAsia" w:ascii="宋体" w:hAnsi="宋体" w:cs="宋体"/>
                <w:color w:val="auto"/>
                <w:szCs w:val="21"/>
                <w:highlight w:val="none"/>
              </w:rPr>
              <w:t>是否收取履约担保：收取</w:t>
            </w:r>
          </w:p>
          <w:p w14:paraId="4EC67825">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履约担保的形式：支持银行转账、银行电汇、银行保函、担保机构担保、保证保险使用 </w:t>
            </w:r>
          </w:p>
          <w:p w14:paraId="6D4892A7">
            <w:pPr>
              <w:spacing w:line="5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履约担保的金额：</w:t>
            </w:r>
            <w:r>
              <w:rPr>
                <w:rFonts w:hint="eastAsia" w:ascii="宋体" w:hAnsi="宋体" w:cs="宋体"/>
                <w:color w:val="auto"/>
                <w:szCs w:val="21"/>
                <w:highlight w:val="none"/>
                <w:lang w:val="en-US" w:eastAsia="zh-CN"/>
              </w:rPr>
              <w:t>中标价*2.5%</w:t>
            </w:r>
          </w:p>
          <w:p w14:paraId="597BA1E7">
            <w:pPr>
              <w:spacing w:line="500" w:lineRule="exact"/>
              <w:rPr>
                <w:rFonts w:ascii="宋体" w:hAnsi="宋体" w:cs="宋体"/>
                <w:color w:val="auto"/>
                <w:szCs w:val="21"/>
                <w:highlight w:val="none"/>
              </w:rPr>
            </w:pPr>
            <w:r>
              <w:rPr>
                <w:rFonts w:hint="eastAsia" w:ascii="宋体" w:hAnsi="宋体" w:cs="宋体"/>
                <w:color w:val="auto"/>
                <w:szCs w:val="21"/>
                <w:highlight w:val="none"/>
              </w:rPr>
              <w:t>收款单位：另行通知</w:t>
            </w:r>
          </w:p>
          <w:p w14:paraId="636D5ED5">
            <w:pPr>
              <w:spacing w:line="500" w:lineRule="exact"/>
              <w:rPr>
                <w:rFonts w:ascii="宋体" w:hAnsi="宋体" w:cs="宋体"/>
                <w:color w:val="auto"/>
                <w:szCs w:val="21"/>
                <w:highlight w:val="none"/>
              </w:rPr>
            </w:pPr>
            <w:r>
              <w:rPr>
                <w:rFonts w:hint="eastAsia" w:ascii="宋体" w:hAnsi="宋体" w:cs="宋体"/>
                <w:color w:val="auto"/>
                <w:szCs w:val="21"/>
                <w:highlight w:val="none"/>
              </w:rPr>
              <w:t>开户行、账号：另行通知</w:t>
            </w:r>
          </w:p>
          <w:p w14:paraId="559A6731">
            <w:pPr>
              <w:spacing w:line="500" w:lineRule="exact"/>
              <w:rPr>
                <w:rFonts w:ascii="宋体" w:hAnsi="宋体" w:cs="宋体"/>
                <w:color w:val="auto"/>
                <w:szCs w:val="21"/>
                <w:highlight w:val="none"/>
              </w:rPr>
            </w:pPr>
            <w:r>
              <w:rPr>
                <w:rFonts w:hint="eastAsia" w:ascii="宋体" w:hAnsi="宋体" w:cs="宋体"/>
                <w:color w:val="auto"/>
                <w:szCs w:val="21"/>
                <w:highlight w:val="none"/>
              </w:rPr>
              <w:t>缴纳时间：签订合同前缴纳。</w:t>
            </w:r>
          </w:p>
          <w:p w14:paraId="16981C4B">
            <w:pPr>
              <w:spacing w:line="500" w:lineRule="exact"/>
              <w:rPr>
                <w:rFonts w:ascii="宋体" w:hAnsi="宋体" w:cs="宋体"/>
                <w:color w:val="auto"/>
                <w:szCs w:val="21"/>
                <w:highlight w:val="none"/>
              </w:rPr>
            </w:pPr>
            <w:r>
              <w:rPr>
                <w:rFonts w:hint="eastAsia" w:ascii="宋体" w:hAnsi="宋体" w:cs="宋体"/>
                <w:color w:val="auto"/>
                <w:szCs w:val="21"/>
                <w:highlight w:val="none"/>
              </w:rPr>
              <w:t>履约保证金退还方式：</w:t>
            </w:r>
            <w:r>
              <w:rPr>
                <w:rFonts w:hint="eastAsia" w:ascii="宋体" w:hAnsi="宋体" w:cs="宋体"/>
                <w:color w:val="auto"/>
                <w:szCs w:val="21"/>
                <w:highlight w:val="none"/>
                <w:lang w:val="en-US" w:eastAsia="zh-CN"/>
              </w:rPr>
              <w:t>合同期满后，全部货物运至指定地点并验收合格后</w:t>
            </w:r>
            <w:r>
              <w:rPr>
                <w:rFonts w:hint="eastAsia" w:ascii="宋体" w:hAnsi="宋体" w:cs="宋体"/>
                <w:color w:val="auto"/>
                <w:szCs w:val="21"/>
                <w:highlight w:val="none"/>
              </w:rPr>
              <w:t>，履约保证金直接转为质保金，一年后退还。</w:t>
            </w:r>
          </w:p>
          <w:p w14:paraId="12AB14ED">
            <w:pPr>
              <w:spacing w:line="500" w:lineRule="exact"/>
              <w:rPr>
                <w:rFonts w:ascii="宋体" w:hAnsi="宋体" w:cs="宋体"/>
                <w:color w:val="auto"/>
                <w:szCs w:val="21"/>
                <w:highlight w:val="none"/>
              </w:rPr>
            </w:pPr>
            <w:r>
              <w:rPr>
                <w:rFonts w:hint="eastAsia" w:ascii="宋体" w:hAnsi="宋体" w:cs="宋体"/>
                <w:color w:val="auto"/>
                <w:szCs w:val="21"/>
                <w:highlight w:val="none"/>
              </w:rPr>
              <w:t>其他相关要求：保函内容及格式等均须经招标人认可。</w:t>
            </w:r>
          </w:p>
        </w:tc>
      </w:tr>
      <w:tr w14:paraId="50E6EC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trPr>
        <w:tc>
          <w:tcPr>
            <w:tcW w:w="1926" w:type="dxa"/>
            <w:gridSpan w:val="2"/>
            <w:vAlign w:val="center"/>
          </w:tcPr>
          <w:p w14:paraId="0778036F">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付款方式、时间、条件</w:t>
            </w:r>
          </w:p>
        </w:tc>
        <w:tc>
          <w:tcPr>
            <w:tcW w:w="7872" w:type="dxa"/>
            <w:gridSpan w:val="2"/>
            <w:vAlign w:val="center"/>
          </w:tcPr>
          <w:p w14:paraId="7DEE8916">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合同履行期间，中标人将货物运至指定地点并验收合格后，招标人将于</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个工作日内支付验收合格且入库货物货款的100%。</w:t>
            </w:r>
            <w:r>
              <w:rPr>
                <w:rFonts w:hint="eastAsia" w:ascii="宋体" w:hAnsi="宋体" w:cs="宋体"/>
                <w:color w:val="auto"/>
                <w:szCs w:val="21"/>
                <w:highlight w:val="none"/>
                <w:lang w:val="en-US" w:eastAsia="zh-CN"/>
              </w:rPr>
              <w:t>合同期满后，全部货物运至指定地点并验收合格后</w:t>
            </w:r>
            <w:r>
              <w:rPr>
                <w:rFonts w:hint="eastAsia" w:ascii="宋体" w:hAnsi="宋体" w:cs="宋体"/>
                <w:color w:val="auto"/>
                <w:szCs w:val="21"/>
                <w:highlight w:val="none"/>
              </w:rPr>
              <w:t>，履约保证金直接转为质保金，质保期从合同最后一批货验收合格起开始计算，质保期</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12个月）</w:t>
            </w:r>
            <w:r>
              <w:rPr>
                <w:rFonts w:hint="eastAsia" w:ascii="宋体" w:hAnsi="宋体" w:cs="宋体"/>
                <w:color w:val="auto"/>
                <w:szCs w:val="21"/>
                <w:highlight w:val="none"/>
              </w:rPr>
              <w:t>满后一个月内一次性付清。中标人与滁州市自来水有限公司子公司滁州市水暖建材有限公司签订采购合同，且由其公司支付合同价款。</w:t>
            </w:r>
          </w:p>
        </w:tc>
      </w:tr>
      <w:tr w14:paraId="31F9B4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018415DC">
            <w:pPr>
              <w:spacing w:line="500" w:lineRule="exact"/>
              <w:rPr>
                <w:rFonts w:ascii="宋体" w:hAnsi="宋体" w:cs="宋体"/>
                <w:color w:val="auto"/>
                <w:szCs w:val="21"/>
                <w:highlight w:val="none"/>
              </w:rPr>
            </w:pPr>
            <w:r>
              <w:rPr>
                <w:rFonts w:hint="eastAsia" w:ascii="宋体" w:hAnsi="宋体" w:cs="宋体"/>
                <w:color w:val="auto"/>
                <w:szCs w:val="21"/>
                <w:highlight w:val="none"/>
              </w:rPr>
              <w:t>招标文件获取方式和时间</w:t>
            </w:r>
          </w:p>
        </w:tc>
        <w:tc>
          <w:tcPr>
            <w:tcW w:w="7872" w:type="dxa"/>
            <w:gridSpan w:val="2"/>
          </w:tcPr>
          <w:p w14:paraId="08A1E311">
            <w:pPr>
              <w:topLinePunct/>
              <w:spacing w:line="500" w:lineRule="exact"/>
              <w:rPr>
                <w:rFonts w:ascii="宋体" w:hAnsi="宋体" w:cs="宋体"/>
                <w:color w:val="auto"/>
                <w:szCs w:val="21"/>
                <w:highlight w:val="none"/>
              </w:rPr>
            </w:pPr>
            <w:r>
              <w:rPr>
                <w:rFonts w:hint="eastAsia" w:ascii="宋体" w:hAnsi="宋体" w:cs="宋体"/>
                <w:color w:val="auto"/>
                <w:szCs w:val="21"/>
                <w:highlight w:val="none"/>
              </w:rPr>
              <w:t>招标文件获取方式：网上下载；</w:t>
            </w:r>
          </w:p>
          <w:p w14:paraId="55B108E3">
            <w:pPr>
              <w:topLinePunct/>
              <w:spacing w:line="500" w:lineRule="exact"/>
              <w:rPr>
                <w:rFonts w:ascii="宋体" w:hAnsi="宋体" w:cs="宋体"/>
                <w:color w:val="auto"/>
                <w:szCs w:val="21"/>
                <w:highlight w:val="none"/>
              </w:rPr>
            </w:pPr>
            <w:r>
              <w:rPr>
                <w:rFonts w:hint="eastAsia" w:ascii="宋体" w:hAnsi="宋体" w:cs="宋体"/>
                <w:color w:val="auto"/>
                <w:szCs w:val="21"/>
                <w:highlight w:val="none"/>
              </w:rPr>
              <w:t>获取时间：招标文件发布至投标截止时间。</w:t>
            </w:r>
          </w:p>
        </w:tc>
      </w:tr>
      <w:tr w14:paraId="33BA2A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0A9BBC86">
            <w:pPr>
              <w:adjustRightInd w:val="0"/>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投诉</w:t>
            </w:r>
          </w:p>
        </w:tc>
        <w:tc>
          <w:tcPr>
            <w:tcW w:w="7872" w:type="dxa"/>
            <w:gridSpan w:val="2"/>
            <w:shd w:val="clear" w:color="auto" w:fill="auto"/>
          </w:tcPr>
          <w:p w14:paraId="684F1D05">
            <w:pPr>
              <w:adjustRightInd w:val="0"/>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投标人或者其他利害关系人认为招标投标活动违反法律、法规和规章规定的，有权向相关行政监督部门投诉。在线投诉具体步骤和程序请参照服务指南&gt;投诉渠道 </w:t>
            </w:r>
            <w:r>
              <w:rPr>
                <w:color w:val="auto"/>
                <w:highlight w:val="none"/>
              </w:rPr>
              <w:fldChar w:fldCharType="begin"/>
            </w:r>
            <w:r>
              <w:rPr>
                <w:color w:val="auto"/>
                <w:highlight w:val="none"/>
              </w:rPr>
              <w:instrText xml:space="preserve"> HYPERLINK "https://ggzy.chuzhou.gov.cn/fwzn/011001/serviceGuide.html" </w:instrText>
            </w:r>
            <w:r>
              <w:rPr>
                <w:color w:val="auto"/>
                <w:highlight w:val="none"/>
              </w:rPr>
              <w:fldChar w:fldCharType="separate"/>
            </w:r>
            <w:r>
              <w:rPr>
                <w:rFonts w:hint="eastAsia" w:ascii="宋体" w:hAnsi="宋体" w:cs="宋体"/>
                <w:color w:val="auto"/>
                <w:szCs w:val="21"/>
                <w:highlight w:val="none"/>
              </w:rPr>
              <w:t>https://ggzy.chuzhou.gov.cn/fwzn/011001/serviceGuide.html</w:t>
            </w:r>
            <w:r>
              <w:rPr>
                <w:rFonts w:hint="eastAsia" w:ascii="宋体" w:hAnsi="宋体" w:cs="宋体"/>
                <w:color w:val="auto"/>
                <w:szCs w:val="21"/>
                <w:highlight w:val="none"/>
              </w:rPr>
              <w:fldChar w:fldCharType="end"/>
            </w:r>
            <w:r>
              <w:rPr>
                <w:rFonts w:hint="eastAsia" w:ascii="宋体" w:hAnsi="宋体" w:cs="宋体"/>
                <w:color w:val="auto"/>
                <w:szCs w:val="21"/>
                <w:highlight w:val="none"/>
              </w:rPr>
              <w:t>；投诉书格式等内容参见服务指南&gt;办事指南&gt;投标人服务&gt;投诉受理一次告知书https://ggzy.chuzhou.gov.cn/fwzn/011001/011001001/011001001003/20211022/4b7d87ec-2c58-49b0-b76c-3a6277377930.html。</w:t>
            </w:r>
          </w:p>
        </w:tc>
      </w:tr>
      <w:tr w14:paraId="4E8046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77599654">
            <w:pPr>
              <w:widowControl/>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特别提示</w:t>
            </w:r>
          </w:p>
        </w:tc>
        <w:tc>
          <w:tcPr>
            <w:tcW w:w="7872" w:type="dxa"/>
            <w:gridSpan w:val="2"/>
            <w:shd w:val="clear" w:color="auto" w:fill="auto"/>
          </w:tcPr>
          <w:p w14:paraId="767EE794">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1.本项目投标保证金、履约保证金、工程质量保证金、农民工工资保证金均支持保函使用。以现金形式提交保证金的，应当同时退还保证金本金和银行同期存款利息。</w:t>
            </w:r>
          </w:p>
          <w:p w14:paraId="0DD6746F">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2.投标人应填写投标信息并下载招标文件，否则无法上传投标文件。</w:t>
            </w:r>
          </w:p>
          <w:p w14:paraId="32A425D4">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145D2A8B">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4.如果过程中出现招标文件更改，应以最后发布的招标答疑澄清文件中的模板制作本项目最新投标文件。</w:t>
            </w:r>
          </w:p>
          <w:p w14:paraId="58274C46">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5.投标人应当用本单位CA数字证书制作投标文件，制作成功后进行投标文件上传。 </w:t>
            </w:r>
          </w:p>
          <w:p w14:paraId="04CC29DF">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1452E129">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7.请投标人注意加密投标文件CA数字证书的有效期，不在有效期的CA数字证书无法解密投标文件。</w:t>
            </w:r>
          </w:p>
          <w:p w14:paraId="6098DED3">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8.投标人投标MAC地址一致或申请开具电子保函MAC地址一致的，由评标委员会否决其投标。</w:t>
            </w:r>
          </w:p>
          <w:p w14:paraId="774FB879">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9.投标人投标文件中单方面出现其他投标人材料的（依法组成联合体投标的除外），由评标委员会否决其投标。</w:t>
            </w:r>
          </w:p>
          <w:p w14:paraId="26A351BC">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1C8E9B05">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11.若存在不予退还投标人投标保证金的情形，银行转账的，由市公共资源交易中心代为收缴，递交保函的，由招标人予以追缴。</w:t>
            </w:r>
          </w:p>
          <w:p w14:paraId="2C077793">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08027FF6">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13.投标人联系人或联系电话相同的，由评标委员会否决其投标，并报告监管部门作不良行为处理和进一步调查。</w:t>
            </w:r>
          </w:p>
          <w:p w14:paraId="4C0B2692">
            <w:pPr>
              <w:spacing w:line="500" w:lineRule="exact"/>
              <w:jc w:val="left"/>
              <w:rPr>
                <w:rFonts w:ascii="宋体" w:hAnsi="宋体" w:cs="宋体"/>
                <w:b/>
                <w:bCs/>
                <w:color w:val="auto"/>
                <w:szCs w:val="21"/>
                <w:highlight w:val="none"/>
                <w:lang w:bidi="ar"/>
              </w:rPr>
            </w:pPr>
            <w:r>
              <w:rPr>
                <w:rFonts w:hint="eastAsia" w:ascii="宋体" w:hAnsi="宋体" w:cs="宋体"/>
                <w:color w:val="auto"/>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2D3B20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5C9122B9">
            <w:pPr>
              <w:spacing w:line="500" w:lineRule="exact"/>
              <w:jc w:val="center"/>
              <w:rPr>
                <w:rFonts w:ascii="宋体" w:hAnsi="宋体" w:cs="宋体"/>
                <w:bCs/>
                <w:color w:val="auto"/>
                <w:szCs w:val="21"/>
                <w:highlight w:val="none"/>
                <w:lang w:bidi="ar"/>
              </w:rPr>
            </w:pPr>
            <w:r>
              <w:rPr>
                <w:rFonts w:hint="eastAsia" w:ascii="宋体" w:hAnsi="宋体" w:cs="宋体"/>
                <w:bCs/>
                <w:color w:val="auto"/>
                <w:szCs w:val="21"/>
                <w:highlight w:val="none"/>
                <w:lang w:bidi="ar"/>
              </w:rPr>
              <w:t>其他</w:t>
            </w:r>
          </w:p>
        </w:tc>
        <w:tc>
          <w:tcPr>
            <w:tcW w:w="7872" w:type="dxa"/>
            <w:gridSpan w:val="2"/>
            <w:shd w:val="clear" w:color="auto" w:fill="auto"/>
          </w:tcPr>
          <w:p w14:paraId="4C68B2BE">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项目负责人必须是投标人本单位工作人员，提供虚假资料谋取中标将被依法处罚。投标人对所提交的投标人或拟派项目负责人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3E338327">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2.中标人未履行下述义务的，滁州市公共资源交易监督管理局将依法对中标人进行处理，追究相关责任：</w:t>
            </w:r>
          </w:p>
          <w:p w14:paraId="25FBF654">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26099394">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②合同签订后，中标人存在规定时间内不组织人员进场开工、不履行供货安装义务等情况，招标人有权解除合同，并追究违约责任，同时将相关违约行为报送监管部门，记不良行为记录， 实施信用惩戒。</w:t>
            </w:r>
          </w:p>
        </w:tc>
      </w:tr>
      <w:tr w14:paraId="1A22FE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2A720CF1">
            <w:pPr>
              <w:adjustRightInd w:val="0"/>
              <w:snapToGrid w:val="0"/>
              <w:spacing w:line="500" w:lineRule="exact"/>
              <w:jc w:val="center"/>
              <w:rPr>
                <w:rFonts w:ascii="宋体" w:hAnsi="宋体" w:cs="宋体"/>
                <w:bCs/>
                <w:color w:val="auto"/>
                <w:szCs w:val="21"/>
                <w:highlight w:val="none"/>
                <w:lang w:bidi="ar"/>
              </w:rPr>
            </w:pPr>
            <w:r>
              <w:rPr>
                <w:rFonts w:hint="eastAsia" w:ascii="宋体" w:hAnsi="宋体" w:cs="宋体"/>
                <w:bCs/>
                <w:color w:val="auto"/>
                <w:szCs w:val="21"/>
                <w:highlight w:val="none"/>
                <w:lang w:bidi="ar"/>
              </w:rPr>
              <w:t>变更招标方式</w:t>
            </w:r>
          </w:p>
        </w:tc>
        <w:tc>
          <w:tcPr>
            <w:tcW w:w="7872" w:type="dxa"/>
            <w:gridSpan w:val="2"/>
            <w:shd w:val="clear" w:color="auto" w:fill="auto"/>
            <w:vAlign w:val="center"/>
          </w:tcPr>
          <w:p w14:paraId="63CED64B">
            <w:pPr>
              <w:pStyle w:val="17"/>
              <w:adjustRightInd w:val="0"/>
              <w:snapToGrid w:val="0"/>
              <w:spacing w:after="0" w:line="500" w:lineRule="exact"/>
              <w:rPr>
                <w:rFonts w:ascii="宋体" w:hAnsi="宋体" w:cs="宋体"/>
                <w:color w:val="auto"/>
                <w:szCs w:val="21"/>
                <w:highlight w:val="none"/>
              </w:rPr>
            </w:pPr>
            <w:r>
              <w:rPr>
                <w:rFonts w:hint="eastAsia" w:ascii="宋体" w:hAnsi="宋体" w:cs="宋体"/>
                <w:color w:val="auto"/>
                <w:szCs w:val="21"/>
                <w:highlight w:val="none"/>
              </w:rPr>
              <w:t>按照滁州市公共资源交易监督管理局现行规定执行。</w:t>
            </w:r>
          </w:p>
        </w:tc>
      </w:tr>
    </w:tbl>
    <w:p w14:paraId="2AB80FFF">
      <w:pPr>
        <w:pageBreakBefore/>
        <w:spacing w:before="312" w:beforeLines="100" w:after="312" w:afterLines="100" w:line="500" w:lineRule="exact"/>
        <w:jc w:val="center"/>
        <w:outlineLvl w:val="1"/>
        <w:rPr>
          <w:rFonts w:ascii="宋体"/>
          <w:b/>
          <w:color w:val="auto"/>
          <w:sz w:val="28"/>
          <w:szCs w:val="32"/>
          <w:highlight w:val="none"/>
        </w:rPr>
      </w:pPr>
      <w:bookmarkStart w:id="31" w:name="_Toc58430315"/>
      <w:bookmarkStart w:id="32" w:name="_Toc449028866"/>
      <w:bookmarkStart w:id="33" w:name="_Toc28397"/>
      <w:r>
        <w:rPr>
          <w:rFonts w:hint="eastAsia" w:ascii="宋体"/>
          <w:b/>
          <w:color w:val="auto"/>
          <w:sz w:val="28"/>
          <w:szCs w:val="28"/>
          <w:highlight w:val="none"/>
        </w:rPr>
        <w:t>二、投标人须知</w:t>
      </w:r>
      <w:bookmarkEnd w:id="31"/>
      <w:bookmarkEnd w:id="32"/>
      <w:bookmarkEnd w:id="33"/>
    </w:p>
    <w:p w14:paraId="641A5452">
      <w:pPr>
        <w:spacing w:before="156" w:beforeLines="50" w:after="156" w:afterLines="50" w:line="500" w:lineRule="exact"/>
        <w:jc w:val="center"/>
        <w:rPr>
          <w:rFonts w:ascii="宋体" w:hAnsi="宋体" w:cs="宋体"/>
          <w:color w:val="auto"/>
          <w:sz w:val="28"/>
          <w:szCs w:val="28"/>
          <w:highlight w:val="none"/>
        </w:rPr>
      </w:pPr>
      <w:bookmarkStart w:id="34" w:name="_Toc449028867"/>
      <w:r>
        <w:rPr>
          <w:rFonts w:hint="eastAsia" w:ascii="宋体" w:hAnsi="宋体" w:cs="宋体"/>
          <w:b/>
          <w:color w:val="auto"/>
          <w:sz w:val="28"/>
          <w:szCs w:val="28"/>
          <w:highlight w:val="none"/>
        </w:rPr>
        <w:t>（一）总  则</w:t>
      </w:r>
      <w:bookmarkEnd w:id="34"/>
    </w:p>
    <w:p w14:paraId="4523D574">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1.项目概况</w:t>
      </w:r>
    </w:p>
    <w:p w14:paraId="33B07B60">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691DAE9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项目编号：见投标人须知前附表。</w:t>
      </w:r>
    </w:p>
    <w:p w14:paraId="4AC9E00A">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7360E161">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供货期：见投标人须知前附表。</w:t>
      </w:r>
    </w:p>
    <w:p w14:paraId="62738E11">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供货地点：见投标人须知前附表。</w:t>
      </w:r>
    </w:p>
    <w:p w14:paraId="6E326D5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1.2招标人及联系人: 见投标人须知前附表。</w:t>
      </w:r>
    </w:p>
    <w:p w14:paraId="18207DE5">
      <w:pPr>
        <w:snapToGrid w:val="0"/>
        <w:spacing w:line="500" w:lineRule="exact"/>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见投标人须知前附表。</w:t>
      </w:r>
    </w:p>
    <w:p w14:paraId="42F5E04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67ADFB0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1.4本项目预算：见投标人须知前附表。</w:t>
      </w:r>
    </w:p>
    <w:p w14:paraId="7025728F">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00A6C2AE">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2.招标范围：</w:t>
      </w:r>
    </w:p>
    <w:p w14:paraId="0430220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2.1 采购内容：详见《采购内容与技术要求》。</w:t>
      </w:r>
    </w:p>
    <w:p w14:paraId="1FE19654">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技术要求：详见《采购内容与技术要求》。</w:t>
      </w:r>
    </w:p>
    <w:p w14:paraId="0FEB5D47">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3.标包划分：</w:t>
      </w:r>
    </w:p>
    <w:p w14:paraId="5FF56492">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0AFA5745">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4.招标方式：</w:t>
      </w:r>
    </w:p>
    <w:p w14:paraId="74C1E57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33EACA23">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5.计价方式：</w:t>
      </w:r>
    </w:p>
    <w:p w14:paraId="10A7A37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固定单价 。</w:t>
      </w:r>
    </w:p>
    <w:p w14:paraId="785365BB">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6.评标办法：</w:t>
      </w:r>
    </w:p>
    <w:p w14:paraId="538156A0">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综合评分法  </w:t>
      </w:r>
      <w:r>
        <w:rPr>
          <w:rFonts w:hint="eastAsia" w:ascii="宋体" w:hAnsi="宋体" w:cs="宋体"/>
          <w:color w:val="auto"/>
          <w:szCs w:val="21"/>
          <w:highlight w:val="none"/>
        </w:rPr>
        <w:t>（详见第三章评标办法）</w:t>
      </w:r>
    </w:p>
    <w:p w14:paraId="3B3D6123">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7.投标人资格：</w:t>
      </w:r>
    </w:p>
    <w:p w14:paraId="2D66DF4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w:t>
      </w:r>
      <w:r>
        <w:rPr>
          <w:rFonts w:hint="eastAsia" w:ascii="宋体"/>
          <w:color w:val="auto"/>
          <w:szCs w:val="21"/>
          <w:highlight w:val="none"/>
        </w:rPr>
        <w:t>详见投标人须知前附表。</w:t>
      </w:r>
    </w:p>
    <w:p w14:paraId="3E2968D1">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7.2根据电子化采购的特点，投标人参加本项目投标，投标人参加本项目投标，需在安徽省公共资源交易市场主体库（http://61.190.70.20/ahggfwpt-zhutiku）登记并进行信息确认提交。</w:t>
      </w:r>
    </w:p>
    <w:p w14:paraId="37BF1234">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7.3投标人必须确保自己在信息库中注册的信息真实、准确，并保证投标文件中的有关信息与库中的信息相一致。否则，投标人因此蒙受损失，招标人概不负责。</w:t>
      </w:r>
    </w:p>
    <w:p w14:paraId="690111D4">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 投标费用</w:t>
      </w:r>
    </w:p>
    <w:p w14:paraId="5DB5E26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32D6E961">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9.</w:t>
      </w:r>
      <w:bookmarkStart w:id="35" w:name="_Toc247592876"/>
      <w:bookmarkStart w:id="36" w:name="_Toc152042315"/>
      <w:bookmarkStart w:id="37" w:name="_Toc144974507"/>
      <w:bookmarkStart w:id="38" w:name="_Toc247513962"/>
      <w:bookmarkStart w:id="39" w:name="_Toc296602429"/>
      <w:bookmarkStart w:id="40" w:name="_Toc152045539"/>
      <w:bookmarkStart w:id="41" w:name="_Toc247527563"/>
      <w:r>
        <w:rPr>
          <w:rFonts w:hint="eastAsia" w:ascii="宋体" w:hAnsi="宋体" w:cs="宋体"/>
          <w:b/>
          <w:color w:val="auto"/>
          <w:szCs w:val="21"/>
          <w:highlight w:val="none"/>
        </w:rPr>
        <w:t xml:space="preserve"> 踏勘现场</w:t>
      </w:r>
      <w:bookmarkEnd w:id="35"/>
      <w:bookmarkEnd w:id="36"/>
      <w:bookmarkEnd w:id="37"/>
      <w:bookmarkEnd w:id="38"/>
      <w:bookmarkEnd w:id="39"/>
      <w:bookmarkEnd w:id="40"/>
      <w:bookmarkEnd w:id="41"/>
    </w:p>
    <w:p w14:paraId="7A9E0ECF">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投标人须知前附表规定组织踏勘现场的，招标人按投标人须知前附表规定的时间、地点组织投标人踏勘项目现场。 </w:t>
      </w:r>
    </w:p>
    <w:p w14:paraId="1ACD264F">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32A9A657">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9.3 除招标人的原因外，投标人自行负责在踏勘现场中所发生的人员伤亡和财产损失。</w:t>
      </w:r>
    </w:p>
    <w:p w14:paraId="27568AA2">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9.4 招标人在踏勘现场中介绍的场地和相关的周边环境情况，供投标人在编制投标文件时参考，招标人不对投标人据此作出的判断和决策负责。</w:t>
      </w:r>
      <w:bookmarkStart w:id="42" w:name="_Toc144974508"/>
      <w:bookmarkStart w:id="43" w:name="_Toc152042316"/>
      <w:bookmarkStart w:id="44" w:name="_Toc247527564"/>
      <w:bookmarkStart w:id="45" w:name="_Toc296602430"/>
      <w:bookmarkStart w:id="46" w:name="_Toc152045540"/>
      <w:bookmarkStart w:id="47" w:name="_Toc247513963"/>
      <w:bookmarkStart w:id="48" w:name="_Toc247592877"/>
    </w:p>
    <w:p w14:paraId="3D432C69">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10. 投标预备会</w:t>
      </w:r>
      <w:bookmarkEnd w:id="42"/>
      <w:bookmarkEnd w:id="43"/>
      <w:bookmarkEnd w:id="44"/>
      <w:bookmarkEnd w:id="45"/>
      <w:bookmarkEnd w:id="46"/>
      <w:bookmarkEnd w:id="47"/>
      <w:bookmarkEnd w:id="48"/>
      <w:r>
        <w:rPr>
          <w:rFonts w:hint="eastAsia" w:ascii="宋体" w:hAnsi="宋体" w:cs="宋体"/>
          <w:b/>
          <w:color w:val="auto"/>
          <w:szCs w:val="21"/>
          <w:highlight w:val="none"/>
        </w:rPr>
        <w:t>（本项目不采用）</w:t>
      </w:r>
    </w:p>
    <w:p w14:paraId="677C24D9">
      <w:pPr>
        <w:spacing w:line="500" w:lineRule="exact"/>
        <w:ind w:firstLine="409" w:firstLineChars="195"/>
        <w:rPr>
          <w:rFonts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556D0C05">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11. 联合投标(本项目不采用）</w:t>
      </w:r>
    </w:p>
    <w:p w14:paraId="0CEC5FE9">
      <w:pPr>
        <w:spacing w:line="500" w:lineRule="exact"/>
        <w:ind w:firstLine="409" w:firstLineChars="195"/>
        <w:rPr>
          <w:rFonts w:ascii="宋体"/>
          <w:color w:val="auto"/>
          <w:szCs w:val="21"/>
          <w:highlight w:val="none"/>
        </w:rPr>
      </w:pPr>
      <w:r>
        <w:rPr>
          <w:rFonts w:hint="eastAsia" w:ascii="宋体" w:hAnsi="宋体" w:cs="宋体"/>
          <w:color w:val="auto"/>
          <w:szCs w:val="21"/>
          <w:highlight w:val="none"/>
        </w:rPr>
        <w:t xml:space="preserve">11.1 </w:t>
      </w:r>
      <w:r>
        <w:rPr>
          <w:rFonts w:hint="eastAsia" w:ascii="宋体"/>
          <w:bCs/>
          <w:color w:val="auto"/>
          <w:szCs w:val="21"/>
          <w:highlight w:val="none"/>
        </w:rPr>
        <w:t>本项</w:t>
      </w:r>
      <w:r>
        <w:rPr>
          <w:rFonts w:hint="eastAsia"/>
          <w:bCs/>
          <w:color w:val="auto"/>
          <w:szCs w:val="21"/>
          <w:highlight w:val="none"/>
        </w:rPr>
        <w:t>目不接受联合体投标。</w:t>
      </w:r>
    </w:p>
    <w:p w14:paraId="0B4226A9">
      <w:pPr>
        <w:spacing w:line="50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12.招标代理费</w:t>
      </w:r>
    </w:p>
    <w:p w14:paraId="45E6EF8C">
      <w:pPr>
        <w:spacing w:line="500" w:lineRule="exact"/>
        <w:ind w:firstLine="210" w:firstLineChars="100"/>
        <w:jc w:val="left"/>
        <w:rPr>
          <w:rFonts w:ascii="宋体"/>
          <w:color w:val="auto"/>
          <w:szCs w:val="21"/>
          <w:highlight w:val="none"/>
        </w:rPr>
      </w:pPr>
      <w:r>
        <w:rPr>
          <w:rFonts w:hint="eastAsia" w:ascii="宋体"/>
          <w:bCs/>
          <w:color w:val="auto"/>
          <w:szCs w:val="21"/>
          <w:highlight w:val="none"/>
        </w:rPr>
        <w:t xml:space="preserve">  12.1</w:t>
      </w:r>
      <w:r>
        <w:rPr>
          <w:rFonts w:ascii="宋体"/>
          <w:bCs/>
          <w:color w:val="auto"/>
          <w:szCs w:val="21"/>
          <w:highlight w:val="none"/>
        </w:rPr>
        <w:t xml:space="preserve"> </w:t>
      </w:r>
      <w:r>
        <w:rPr>
          <w:rFonts w:hint="eastAsia" w:ascii="宋体"/>
          <w:bCs/>
          <w:color w:val="auto"/>
          <w:szCs w:val="21"/>
          <w:highlight w:val="none"/>
        </w:rPr>
        <w:t>招标代理费：</w:t>
      </w:r>
      <w:r>
        <w:rPr>
          <w:rFonts w:hint="eastAsia" w:ascii="宋体"/>
          <w:color w:val="auto"/>
          <w:szCs w:val="21"/>
          <w:highlight w:val="none"/>
        </w:rPr>
        <w:t>见投标人须知前附表。</w:t>
      </w:r>
    </w:p>
    <w:p w14:paraId="6A5493A0">
      <w:pPr>
        <w:spacing w:line="500" w:lineRule="exact"/>
        <w:ind w:firstLine="420" w:firstLineChars="200"/>
        <w:jc w:val="left"/>
        <w:rPr>
          <w:rFonts w:ascii="宋体"/>
          <w:color w:val="auto"/>
          <w:szCs w:val="21"/>
          <w:highlight w:val="none"/>
        </w:rPr>
      </w:pPr>
      <w:r>
        <w:rPr>
          <w:rFonts w:hint="eastAsia" w:ascii="宋体"/>
          <w:bCs/>
          <w:color w:val="auto"/>
          <w:szCs w:val="21"/>
          <w:highlight w:val="none"/>
        </w:rPr>
        <w:t>12.2</w:t>
      </w:r>
      <w:r>
        <w:rPr>
          <w:rFonts w:ascii="宋体"/>
          <w:bCs/>
          <w:color w:val="auto"/>
          <w:szCs w:val="21"/>
          <w:highlight w:val="none"/>
        </w:rPr>
        <w:t xml:space="preserve"> </w:t>
      </w:r>
      <w:r>
        <w:rPr>
          <w:rFonts w:hint="eastAsia" w:ascii="宋体"/>
          <w:bCs/>
          <w:color w:val="auto"/>
          <w:szCs w:val="21"/>
          <w:highlight w:val="none"/>
        </w:rPr>
        <w:t>专家评审劳务费：</w:t>
      </w:r>
      <w:r>
        <w:rPr>
          <w:rFonts w:hint="eastAsia" w:ascii="宋体"/>
          <w:color w:val="auto"/>
          <w:szCs w:val="21"/>
          <w:highlight w:val="none"/>
        </w:rPr>
        <w:t>见投标人须知前附表。</w:t>
      </w:r>
    </w:p>
    <w:p w14:paraId="2981B30B">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13.投标人应注意的事项</w:t>
      </w:r>
    </w:p>
    <w:p w14:paraId="16DFBC8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25BDE9C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13.2投标人对采购内容中规定的技术参数、规格、数量和要求等必须最大限度的满足招标文件的相关要求。</w:t>
      </w:r>
    </w:p>
    <w:p w14:paraId="12B78AE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13.3推荐品牌有助于投标人选择所投产品，仅供参考，并无限制性，可以选择性能不低于推荐品牌的产品，但所投产品的技术参数，要最大限度满足招标文件提供的详细参数。</w:t>
      </w:r>
    </w:p>
    <w:p w14:paraId="32180E50">
      <w:pPr>
        <w:spacing w:line="5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13.4所有投标人的投标保证金都应在投标文件规定的投标保证金缴纳截止时间前缴纳，以资金到账时间为准</w:t>
      </w:r>
      <w:r>
        <w:rPr>
          <w:rFonts w:hint="eastAsia" w:ascii="宋体" w:hAnsi="宋体" w:cs="宋体"/>
          <w:b/>
          <w:color w:val="auto"/>
          <w:szCs w:val="21"/>
          <w:highlight w:val="none"/>
        </w:rPr>
        <w:t>（采用支票、汇票、本票、保函等的，以支票、汇票、本票、保函等递交的时间为准）</w:t>
      </w:r>
      <w:r>
        <w:rPr>
          <w:rFonts w:hint="eastAsia" w:ascii="宋体" w:hAnsi="宋体" w:cs="宋体"/>
          <w:color w:val="auto"/>
          <w:szCs w:val="21"/>
          <w:highlight w:val="none"/>
        </w:rPr>
        <w:t>。</w:t>
      </w:r>
    </w:p>
    <w:p w14:paraId="76D00E3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13.5</w:t>
      </w:r>
      <w:r>
        <w:rPr>
          <w:rFonts w:hint="eastAsia" w:ascii="宋体" w:hAnsi="宋体" w:cs="宋体"/>
          <w:bCs/>
          <w:color w:val="auto"/>
          <w:szCs w:val="21"/>
          <w:highlight w:val="none"/>
        </w:rPr>
        <w:t>单位负责人为同一人或者存在直接控股、管理关系的不同投标人，不得参加同一合同项下的采购活动。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37244206">
      <w:pPr>
        <w:spacing w:line="500" w:lineRule="exact"/>
        <w:ind w:firstLine="417" w:firstLineChars="199"/>
        <w:jc w:val="left"/>
        <w:rPr>
          <w:rFonts w:ascii="宋体" w:hAnsi="宋体" w:cs="宋体"/>
          <w:color w:val="auto"/>
          <w:szCs w:val="21"/>
          <w:highlight w:val="none"/>
        </w:rPr>
      </w:pPr>
      <w:r>
        <w:rPr>
          <w:rFonts w:hint="eastAsia" w:ascii="宋体" w:hAnsi="宋体" w:cs="宋体"/>
          <w:color w:val="auto"/>
          <w:szCs w:val="21"/>
          <w:highlight w:val="none"/>
        </w:rPr>
        <w:t>13.6投标人被视为充分熟悉本招标项目所在地的与履行合同有关的各种情况，包括但不限于：</w:t>
      </w:r>
    </w:p>
    <w:p w14:paraId="2FD5E135">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6E765E71">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043D726C">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（3）招标人的相关场地情况、基础建设、电力供应情况及相关设计标准。</w:t>
      </w:r>
    </w:p>
    <w:p w14:paraId="2D4168E2">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36FF99F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13.7凡投标人在我市公共资源交易活动中出现违法违规、破坏市场秩序等不良行为且被监管部门处罚的，一律在滁州市公共资源交易网等相关网站曝光。</w:t>
      </w:r>
    </w:p>
    <w:p w14:paraId="63149C7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13.8投标人的不良行为、失信行为及行政处罚等效力不因企业名称的变更而改变。</w:t>
      </w:r>
    </w:p>
    <w:p w14:paraId="1B4A94E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13.9中标候选人无正当理由放弃中标候选人资格的，其保证金将不予退还，并被记不良信息记录。</w:t>
      </w:r>
    </w:p>
    <w:p w14:paraId="5F276A23">
      <w:pPr>
        <w:pStyle w:val="12"/>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13.10若存在不予退还投标人投标保证金的情形，银行转账的，由市公共资源交易中心代为收缴，递交保函、支票、汇票、本票的，由招标人予以追缴。</w:t>
      </w:r>
    </w:p>
    <w:p w14:paraId="6E8AF74C">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14.保密</w:t>
      </w:r>
    </w:p>
    <w:p w14:paraId="2115626D">
      <w:pPr>
        <w:pStyle w:val="12"/>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参与招标投标活动的各方应对招标文件和投标文件中的商业和技术等秘密保密，违者应对由此造成的后果承担法律责任。 </w:t>
      </w:r>
    </w:p>
    <w:p w14:paraId="175A6F01">
      <w:pPr>
        <w:spacing w:before="156" w:beforeLines="50" w:after="156" w:afterLines="50" w:line="500" w:lineRule="exact"/>
        <w:jc w:val="center"/>
        <w:rPr>
          <w:rFonts w:ascii="宋体" w:hAnsi="宋体" w:cs="宋体"/>
          <w:b/>
          <w:color w:val="auto"/>
          <w:sz w:val="28"/>
          <w:szCs w:val="28"/>
          <w:highlight w:val="none"/>
        </w:rPr>
      </w:pPr>
      <w:bookmarkStart w:id="49" w:name="_Toc449028868"/>
      <w:r>
        <w:rPr>
          <w:rFonts w:hint="eastAsia" w:ascii="宋体" w:hAnsi="宋体" w:cs="宋体"/>
          <w:b/>
          <w:color w:val="auto"/>
          <w:sz w:val="28"/>
          <w:szCs w:val="28"/>
          <w:highlight w:val="none"/>
        </w:rPr>
        <w:t>（二）</w:t>
      </w:r>
      <w:bookmarkEnd w:id="49"/>
      <w:r>
        <w:rPr>
          <w:rFonts w:hint="eastAsia" w:ascii="宋体" w:hAnsi="宋体" w:cs="宋体"/>
          <w:b/>
          <w:color w:val="auto"/>
          <w:sz w:val="28"/>
          <w:szCs w:val="28"/>
          <w:highlight w:val="none"/>
        </w:rPr>
        <w:t>招标文件</w:t>
      </w:r>
    </w:p>
    <w:p w14:paraId="3E301B31">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15. 招标文件的编制依据</w:t>
      </w:r>
    </w:p>
    <w:p w14:paraId="3FA80646">
      <w:pPr>
        <w:spacing w:line="500" w:lineRule="exact"/>
        <w:ind w:firstLine="420" w:firstLineChars="200"/>
        <w:rPr>
          <w:rFonts w:ascii="宋体"/>
          <w:color w:val="auto"/>
          <w:szCs w:val="21"/>
          <w:highlight w:val="none"/>
        </w:rPr>
      </w:pPr>
      <w:r>
        <w:rPr>
          <w:rFonts w:hint="eastAsia" w:ascii="宋体"/>
          <w:color w:val="auto"/>
          <w:szCs w:val="21"/>
          <w:highlight w:val="none"/>
        </w:rPr>
        <w:t>根据</w:t>
      </w:r>
      <w:r>
        <w:rPr>
          <w:rFonts w:hint="eastAsia"/>
          <w:color w:val="auto"/>
          <w:highlight w:val="none"/>
        </w:rPr>
        <w:t>《中华人民共和国招标投标法》、《中华人民共和国招标投标法实施条例》</w:t>
      </w:r>
      <w:r>
        <w:rPr>
          <w:rFonts w:hint="eastAsia" w:ascii="宋体"/>
          <w:color w:val="auto"/>
          <w:szCs w:val="21"/>
          <w:highlight w:val="none"/>
        </w:rPr>
        <w:t>和</w:t>
      </w:r>
      <w:r>
        <w:rPr>
          <w:rFonts w:hint="eastAsia"/>
          <w:color w:val="auto"/>
          <w:highlight w:val="none"/>
        </w:rPr>
        <w:t>《中华人民共和国民法典》</w:t>
      </w:r>
      <w:r>
        <w:rPr>
          <w:rFonts w:hint="eastAsia" w:ascii="宋体"/>
          <w:color w:val="auto"/>
          <w:spacing w:val="-2"/>
          <w:szCs w:val="21"/>
          <w:highlight w:val="none"/>
        </w:rPr>
        <w:t>等相关法律法规和规章及部、省、市级规范性文件的规定，编制本招标文件。</w:t>
      </w:r>
    </w:p>
    <w:p w14:paraId="59922CD9">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16. 招标文件的组成</w:t>
      </w:r>
    </w:p>
    <w:p w14:paraId="2E703F9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招标文件包括内容：</w:t>
      </w:r>
    </w:p>
    <w:p w14:paraId="5CFF919E">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第一章  招标公告</w:t>
      </w:r>
    </w:p>
    <w:p w14:paraId="2E2ADC5B">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第二章  投标人须知</w:t>
      </w:r>
    </w:p>
    <w:p w14:paraId="4AD6A8E7">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第三章  评标办法</w:t>
      </w:r>
    </w:p>
    <w:p w14:paraId="26C09ECD">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第四章  采购内容与技术要求</w:t>
      </w:r>
    </w:p>
    <w:p w14:paraId="44C0EF5F">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第五章  合同条款及格式</w:t>
      </w:r>
    </w:p>
    <w:p w14:paraId="4E20F926">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1D4324A3">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16.2 除16.1款内容外，招标答疑亦为招标文件的组成部分，对招标人和投标人起约束作用。</w:t>
      </w:r>
    </w:p>
    <w:p w14:paraId="0D7D8CD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16.3投标人应仔细阅读和检查招标文件的全部内容。如发现缺页或附件不全，应及时向招标人提出，以便补齐。</w:t>
      </w:r>
    </w:p>
    <w:p w14:paraId="51C615C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16.4 投标人可以通过电子交易系统对招标文件提出澄清（质疑）。招标文件的澄清将在滁州市公共资源交易中心（</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s="宋体"/>
          <w:color w:val="auto"/>
          <w:szCs w:val="21"/>
          <w:highlight w:val="none"/>
        </w:rPr>
        <w:t>http:// ggzy.chuzhou.gov.cn/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）发布，但不指明澄清问题的来源。如果澄清内容影响投标文件编制的，将相应延长投标截止时间。</w:t>
      </w:r>
    </w:p>
    <w:p w14:paraId="362190CA">
      <w:pPr>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17. 招标文件的异议、澄清</w:t>
      </w:r>
    </w:p>
    <w:p w14:paraId="4684397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 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w:t>
      </w:r>
    </w:p>
    <w:p w14:paraId="1BAEC179">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17.2 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52B62C5C">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17.3招标文件的解释</w:t>
      </w:r>
    </w:p>
    <w:p w14:paraId="0CE18F8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14:paraId="3289ED2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2E13A5D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2377E73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（4）系统中提供的表格（或格式文件）与招标文件中不一致时，以招标文件中提供的为准；</w:t>
      </w:r>
    </w:p>
    <w:p w14:paraId="75407D7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（5）按本款前述规定仍不能形成结论的，由招标人（或其委托的采购代理机构）负责解释。</w:t>
      </w:r>
    </w:p>
    <w:p w14:paraId="0363CB5E">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18. 招标文件的发出</w:t>
      </w:r>
    </w:p>
    <w:p w14:paraId="05D8C72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18.1招标文件、招标文件的澄清、修改、补充及招标答疑等均应报公共资源交易监督管理机构备案后，方可发出。</w:t>
      </w:r>
    </w:p>
    <w:p w14:paraId="6D70E563">
      <w:pPr>
        <w:spacing w:line="500" w:lineRule="exact"/>
        <w:ind w:left="-420" w:leftChars="-200" w:right="-420" w:rightChars="-200" w:firstLine="843" w:firstLineChars="400"/>
        <w:rPr>
          <w:rFonts w:ascii="宋体" w:hAnsi="宋体" w:cs="宋体"/>
          <w:b/>
          <w:bCs/>
          <w:color w:val="auto"/>
          <w:szCs w:val="21"/>
          <w:highlight w:val="none"/>
        </w:rPr>
      </w:pPr>
      <w:bookmarkStart w:id="50" w:name="_Toc449028869"/>
      <w:r>
        <w:rPr>
          <w:rFonts w:hint="eastAsia" w:ascii="宋体" w:hAnsi="宋体" w:cs="宋体"/>
          <w:b/>
          <w:bCs/>
          <w:color w:val="auto"/>
          <w:szCs w:val="21"/>
          <w:highlight w:val="none"/>
        </w:rPr>
        <w:t>19. 样品（本项目不采用）</w:t>
      </w:r>
    </w:p>
    <w:p w14:paraId="6C21D6B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19.1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招标人或代理机构发布中标（成交）结果公告。</w:t>
      </w:r>
    </w:p>
    <w:p w14:paraId="5810E55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19.2招标文件中应明确样品送检方式、检测费用支付方法、投标人在规定时间内无法提供第三方权威检测机构检测报告的处理方式。</w:t>
      </w:r>
    </w:p>
    <w:p w14:paraId="19520681">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（三）投标文件的编制</w:t>
      </w:r>
      <w:bookmarkEnd w:id="50"/>
    </w:p>
    <w:p w14:paraId="716C67B0">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20.投标的语言及度量衡单位</w:t>
      </w:r>
    </w:p>
    <w:p w14:paraId="6EE62412">
      <w:pPr>
        <w:spacing w:line="5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20.1投标人的投标文件、以及投标人与招标人就投标的所有往来函电，均须使用简体中文。</w:t>
      </w:r>
    </w:p>
    <w:p w14:paraId="7118CE8E">
      <w:pPr>
        <w:spacing w:line="5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20.2除招标文件中另有规定外，投标文件所使用的度量衡均须采用法定计量单位。</w:t>
      </w:r>
    </w:p>
    <w:p w14:paraId="0BFE46C2">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21.投标文件的组成、上传说明</w:t>
      </w:r>
    </w:p>
    <w:p w14:paraId="2C1270DF">
      <w:pPr>
        <w:spacing w:line="500" w:lineRule="exact"/>
        <w:ind w:firstLine="211" w:firstLineChars="100"/>
        <w:jc w:val="left"/>
        <w:rPr>
          <w:rFonts w:ascii="宋体" w:hAnsi="宋体" w:cs="宋体"/>
          <w:color w:val="auto"/>
          <w:szCs w:val="21"/>
          <w:highlight w:val="none"/>
        </w:rPr>
      </w:pPr>
      <w:r>
        <w:rPr>
          <w:rFonts w:hint="eastAsia" w:ascii="宋体" w:hAnsi="宋体" w:cs="宋体"/>
          <w:b/>
          <w:color w:val="auto"/>
          <w:szCs w:val="21"/>
          <w:highlight w:val="none"/>
        </w:rPr>
        <w:t>21.1投标文件的组成</w:t>
      </w:r>
    </w:p>
    <w:p w14:paraId="65F2382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投标文件由投标文件一（资信证明文件）、投标文件二（技术标）和投标文件三（商务标）三部分组成。</w:t>
      </w:r>
      <w:r>
        <w:rPr>
          <w:rFonts w:hint="eastAsia" w:ascii="宋体" w:hAnsi="宋体" w:cs="宋体"/>
          <w:b/>
          <w:bCs/>
          <w:color w:val="auto"/>
          <w:szCs w:val="21"/>
          <w:highlight w:val="none"/>
        </w:rPr>
        <w:t>具体内容详见第六章投标文件格式内容。</w:t>
      </w:r>
    </w:p>
    <w:p w14:paraId="4E8B6B38">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21.2投标文件的上传</w:t>
      </w:r>
    </w:p>
    <w:p w14:paraId="28D79876">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投标人在滁州市公共资源交易中心网，利用用户名或CA数字证书登录下载招标文件(.czzf格式)后，在下载投标文件制作工具安装后，在线制作投标文件，制作好的投标文件格式有2种:第一种.cztf格式加密投标文件；第二种.ncztf格式是非加密投标文件。请投标人将第一种投标文件通过系统“上传投标文件”上传到系统中。</w:t>
      </w:r>
    </w:p>
    <w:p w14:paraId="6D19F19A">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（2）如果一个项目有多个标段，则需按标段下载对应标段招标文件分别生成对应的投标文件，通过系统“上传投标文件”按标段分别上传到系统中。</w:t>
      </w:r>
    </w:p>
    <w:p w14:paraId="66BD377F">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（3）请投标人通过系统下载投标工具制作投标文件，并利用CA数字证书进行上传投标文件，上传已加密的投标文件，务必通过此方式上传投标文件。</w:t>
      </w:r>
    </w:p>
    <w:p w14:paraId="474F3B59">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（4）投标人在投标文件编制、签章、上传过程中如有任何操作的疑问请及时联系技术支持，电话：0550-3801701。</w:t>
      </w:r>
    </w:p>
    <w:p w14:paraId="7D4E14C8">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5）如果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7C4F19C7">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21.3投标文件的编制</w:t>
      </w:r>
    </w:p>
    <w:p w14:paraId="62996FC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（1）投标文件应按第六章“投标文件格式”进行编写，如有必要，可以增加附页，作为投标文件的组成部分。</w:t>
      </w:r>
    </w:p>
    <w:p w14:paraId="1700797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（2）本次招标投标不需要提供纸质投标文件，投标人应按照电子招标投标的要求，在投标人的会员系统中制作、电子签章、上传投标文件。</w:t>
      </w:r>
    </w:p>
    <w:p w14:paraId="7E205290">
      <w:pPr>
        <w:spacing w:line="500" w:lineRule="exact"/>
        <w:ind w:left="-9" w:right="-199" w:rightChars="-95" w:firstLine="420" w:firstLineChars="200"/>
        <w:jc w:val="left"/>
        <w:rPr>
          <w:rFonts w:ascii="宋体" w:hAnsi="宋体" w:cs="宋体"/>
          <w:color w:val="auto"/>
          <w:szCs w:val="21"/>
          <w:highlight w:val="none"/>
        </w:rPr>
      </w:pPr>
      <w:r>
        <w:rPr>
          <w:rFonts w:hint="eastAsia" w:ascii="宋体" w:hAnsi="宋体" w:cs="宋体"/>
          <w:color w:val="auto"/>
          <w:szCs w:val="21"/>
          <w:highlight w:val="none"/>
        </w:rPr>
        <w:t>（3）网上递交的电子投标文件制作工具等要求详见系统内帮助模块。</w:t>
      </w:r>
    </w:p>
    <w:p w14:paraId="7099A543">
      <w:pPr>
        <w:spacing w:line="5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（4）网上递交的电子投标文件应按招标文件规定的格式由投标人的法定代表人和投标人分别签章。</w:t>
      </w:r>
    </w:p>
    <w:p w14:paraId="216628B4">
      <w:pPr>
        <w:spacing w:line="50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22</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273404D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投标报价文件中的单价和总价全部采用人民币表示。投标人的报价应含有服务（货物）、利润、税金、政策性文件规定及合同包含的所有风险、责任、义务等，即为完成招标文件要求的服务（货物）内容所包含的一切应有费用，招标人后期不再追加费用，投标供应商自行考虑投标风险。</w:t>
      </w:r>
    </w:p>
    <w:p w14:paraId="75D8E8C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22.2投标报价表上应清楚地标明投标人拟提供货物的名称、型号、生产厂家、数量、单价和总价。</w:t>
      </w:r>
    </w:p>
    <w:p w14:paraId="530E0B5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22.3投标人只允许有一个方案、一个报价。</w:t>
      </w:r>
    </w:p>
    <w:p w14:paraId="7977B32C">
      <w:pPr>
        <w:spacing w:line="5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22.4</w:t>
      </w:r>
      <w:r>
        <w:rPr>
          <w:rFonts w:hint="eastAsia" w:ascii="宋体"/>
          <w:color w:val="auto"/>
          <w:szCs w:val="21"/>
          <w:highlight w:val="none"/>
        </w:rPr>
        <w:t>投标人应按“采购内容及技术要求”所列货物逐项进行单价报价，并最终按货物总量乘以货物单价报总价，不得采用总价下浮的方式进行报价。</w:t>
      </w:r>
      <w:r>
        <w:rPr>
          <w:rFonts w:hint="eastAsia" w:ascii="宋体" w:hAnsi="宋体" w:eastAsia="宋体" w:cs="宋体"/>
          <w:b/>
          <w:bCs/>
          <w:color w:val="auto"/>
          <w:sz w:val="21"/>
          <w:szCs w:val="21"/>
          <w:highlight w:val="none"/>
        </w:rPr>
        <w:t>综合单价包括：材料费、</w:t>
      </w:r>
      <w:r>
        <w:rPr>
          <w:rFonts w:hint="eastAsia" w:ascii="宋体" w:hAnsi="宋体" w:cs="宋体"/>
          <w:b/>
          <w:bCs/>
          <w:color w:val="auto"/>
          <w:sz w:val="21"/>
          <w:szCs w:val="21"/>
          <w:highlight w:val="none"/>
          <w:lang w:val="en-US" w:eastAsia="zh-CN"/>
        </w:rPr>
        <w:t>包装费、</w:t>
      </w:r>
      <w:r>
        <w:rPr>
          <w:rFonts w:hint="eastAsia" w:ascii="宋体" w:hAnsi="宋体" w:eastAsia="宋体" w:cs="宋体"/>
          <w:b/>
          <w:bCs/>
          <w:color w:val="auto"/>
          <w:sz w:val="21"/>
          <w:szCs w:val="21"/>
          <w:highlight w:val="none"/>
        </w:rPr>
        <w:t>装卸费、运输费、管理费、利润、风险费用、招标代理费、</w:t>
      </w:r>
      <w:r>
        <w:rPr>
          <w:rFonts w:hint="eastAsia" w:ascii="宋体" w:hAnsi="宋体" w:eastAsia="宋体" w:cs="宋体"/>
          <w:b/>
          <w:bCs/>
          <w:color w:val="auto"/>
          <w:sz w:val="21"/>
          <w:szCs w:val="21"/>
          <w:highlight w:val="none"/>
          <w:lang w:eastAsia="zh-CN"/>
        </w:rPr>
        <w:t>检测费、</w:t>
      </w:r>
      <w:r>
        <w:rPr>
          <w:rFonts w:hint="eastAsia" w:ascii="宋体" w:hAnsi="宋体" w:eastAsia="宋体" w:cs="宋体"/>
          <w:b/>
          <w:bCs/>
          <w:color w:val="auto"/>
          <w:sz w:val="21"/>
          <w:szCs w:val="21"/>
          <w:highlight w:val="none"/>
        </w:rPr>
        <w:t>调试、验收、培训及后期服务及国家对中标单位征收的各种税费等所有一切费用，综合单价今后将不作任何调整。</w:t>
      </w:r>
      <w:r>
        <w:rPr>
          <w:rFonts w:hint="eastAsia" w:ascii="宋体" w:hAnsi="宋体"/>
          <w:color w:val="auto"/>
          <w:szCs w:val="21"/>
          <w:highlight w:val="none"/>
        </w:rPr>
        <w:t>投标人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p w14:paraId="1FD63B8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22.5投标报价的价格是完成项目全部内容（包括后期的相关服务）交付验收的价格，其价格即为履行合同的固定价格。</w:t>
      </w:r>
    </w:p>
    <w:p w14:paraId="696ABF3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22.6技术要求中规定的安装、调试和培训费用应包括在投标价格中。投标文件报价为含税价，采购人不再为此次招标支付任何费用。</w:t>
      </w:r>
    </w:p>
    <w:p w14:paraId="3C63E49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22.7投标报价应由法定代表人或被授权人签署。</w:t>
      </w:r>
    </w:p>
    <w:p w14:paraId="739AD4A8">
      <w:pPr>
        <w:spacing w:line="50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22.8投标人的报价（或单价）不得高于本次招标最高限价（或单价）</w:t>
      </w:r>
      <w:r>
        <w:rPr>
          <w:rFonts w:hint="eastAsia" w:ascii="宋体" w:hAnsi="宋体" w:cs="宋体"/>
          <w:b/>
          <w:color w:val="auto"/>
          <w:szCs w:val="21"/>
          <w:highlight w:val="none"/>
        </w:rPr>
        <w:t>，</w:t>
      </w:r>
      <w:r>
        <w:rPr>
          <w:rFonts w:hint="eastAsia" w:ascii="宋体" w:hAnsi="宋体" w:cs="宋体"/>
          <w:b/>
          <w:bCs/>
          <w:color w:val="auto"/>
          <w:szCs w:val="21"/>
          <w:highlight w:val="none"/>
        </w:rPr>
        <w:t>否则将作为无效投标处理。</w:t>
      </w:r>
    </w:p>
    <w:p w14:paraId="0CDFB09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22.9如投标文件中未列明全面实现投标货物功能而必须配置的配套或辅助设施及相应技术措施的费用，这些费用将被视为已包含在总投标价中。</w:t>
      </w:r>
    </w:p>
    <w:p w14:paraId="42B8D00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22.10总投标价中不得包含招标文件要求以外的内容，否则，在评标时不予核减，但在授予合同时，采购人有权将这部分价格从其中标价格中扣除。</w:t>
      </w:r>
    </w:p>
    <w:p w14:paraId="78852D8B">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22.11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544C2986">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22.12投标人不得对从第三方采购货物的随机备品、备件另行收费，否则在计算评标价时这部分费用将不予扣除，在授予合同时将从中标价格中扣除该部分费用。</w:t>
      </w:r>
    </w:p>
    <w:p w14:paraId="279818A6">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采购人均无需为维护维修保养所需的专用工具和备品备件另行支付费用。</w:t>
      </w:r>
    </w:p>
    <w:p w14:paraId="01ED3B6E">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23. 投标有效期</w:t>
      </w:r>
    </w:p>
    <w:p w14:paraId="1F09567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23.1 除投标人须知前附表另有规定外，投标有效期为90天。</w:t>
      </w:r>
    </w:p>
    <w:p w14:paraId="7A31F2E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23.2在投标有效期内，投标人撤销或修改其投标文件的，应承担招标文件和法律规定的责任。</w:t>
      </w:r>
    </w:p>
    <w:p w14:paraId="6E0F59A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68CFC9A">
      <w:pPr>
        <w:spacing w:line="500" w:lineRule="exact"/>
        <w:ind w:firstLine="405" w:firstLineChars="192"/>
        <w:jc w:val="left"/>
        <w:rPr>
          <w:rFonts w:ascii="宋体" w:hAnsi="宋体" w:cs="宋体"/>
          <w:b/>
          <w:color w:val="auto"/>
          <w:szCs w:val="21"/>
          <w:highlight w:val="none"/>
        </w:rPr>
      </w:pPr>
      <w:r>
        <w:rPr>
          <w:rFonts w:hint="eastAsia" w:ascii="宋体" w:hAnsi="宋体" w:cs="宋体"/>
          <w:b/>
          <w:color w:val="auto"/>
          <w:szCs w:val="21"/>
          <w:highlight w:val="none"/>
        </w:rPr>
        <w:t>24. 投标保证金</w:t>
      </w:r>
    </w:p>
    <w:p w14:paraId="15BCAECA">
      <w:pPr>
        <w:spacing w:line="500" w:lineRule="exact"/>
        <w:ind w:firstLine="420" w:firstLineChars="200"/>
        <w:jc w:val="left"/>
        <w:rPr>
          <w:rFonts w:ascii="宋体" w:hAnsi="宋体" w:cs="宋体"/>
          <w:color w:val="auto"/>
          <w:szCs w:val="21"/>
          <w:highlight w:val="none"/>
        </w:rPr>
      </w:pPr>
      <w:bookmarkStart w:id="51" w:name="_Toc449028870"/>
      <w:r>
        <w:rPr>
          <w:rFonts w:hint="eastAsia" w:ascii="宋体" w:hAnsi="宋体" w:cs="宋体"/>
          <w:color w:val="auto"/>
          <w:szCs w:val="21"/>
          <w:highlight w:val="none"/>
        </w:rPr>
        <w:t>24.1投标人须知前附表规定递交投标保证金的，投标人在递交投标文件的同时，应按投标人须知前附表规定的金额、担保形式和招标文件规定的或者事先经过招标人认可的保证金格式递交保证金，并作为其投标文件的组成部分。</w:t>
      </w:r>
    </w:p>
    <w:p w14:paraId="7DB099F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23.3项的规定延长了投标有效期，则投标保证金的有效期也相应延长。</w:t>
      </w:r>
    </w:p>
    <w:p w14:paraId="232743E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24.2投标人不按本章第24.1项要求提交投标保证金的，评标委员会将否决其投标。</w:t>
      </w:r>
    </w:p>
    <w:p w14:paraId="0AB6AD7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24.3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3807B96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24.4有下列情形之一的，投标保证金将不予退还： </w:t>
      </w:r>
    </w:p>
    <w:p w14:paraId="0B7C422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3577925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05C940B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24.5投标保证金按《</w:t>
      </w:r>
      <w:r>
        <w:rPr>
          <w:color w:val="auto"/>
          <w:highlight w:val="none"/>
        </w:rPr>
        <w:fldChar w:fldCharType="begin"/>
      </w:r>
      <w:r>
        <w:rPr>
          <w:color w:val="auto"/>
          <w:highlight w:val="none"/>
        </w:rPr>
        <w:instrText xml:space="preserve"> HYPERLINK "https://www.chuzhou.gov.cn/group1/M00/12/83/CpYI8mGDiKqAD_IkAAEIAMLVghw186.doc" \t "_blank" </w:instrText>
      </w:r>
      <w:r>
        <w:rPr>
          <w:color w:val="auto"/>
          <w:highlight w:val="none"/>
        </w:rPr>
        <w:fldChar w:fldCharType="separate"/>
      </w:r>
      <w:r>
        <w:rPr>
          <w:rFonts w:hint="eastAsia" w:ascii="宋体" w:hAnsi="宋体" w:cs="宋体"/>
          <w:color w:val="auto"/>
          <w:szCs w:val="21"/>
          <w:highlight w:val="none"/>
        </w:rPr>
        <w:t>滁州市公共资源交易投标保证金管理规定</w:t>
      </w:r>
      <w:r>
        <w:rPr>
          <w:rFonts w:hint="eastAsia"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2BC9BFEC">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（四）投标文件的递交</w:t>
      </w:r>
      <w:bookmarkEnd w:id="51"/>
    </w:p>
    <w:p w14:paraId="5B262D85">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25. 投标文件的份数和签署</w:t>
      </w:r>
    </w:p>
    <w:p w14:paraId="00C97B31">
      <w:pPr>
        <w:spacing w:line="500" w:lineRule="exact"/>
        <w:ind w:firstLine="420" w:firstLineChars="200"/>
        <w:jc w:val="left"/>
        <w:rPr>
          <w:rFonts w:ascii="宋体" w:hAnsi="宋体" w:cs="宋体"/>
          <w:color w:val="auto"/>
          <w:szCs w:val="21"/>
          <w:highlight w:val="none"/>
        </w:rPr>
      </w:pPr>
      <w:bookmarkStart w:id="52" w:name="_Toc449028871"/>
      <w:r>
        <w:rPr>
          <w:rFonts w:hint="eastAsia" w:ascii="宋体" w:hAnsi="宋体" w:cs="宋体"/>
          <w:color w:val="auto"/>
          <w:szCs w:val="21"/>
          <w:highlight w:val="none"/>
        </w:rPr>
        <w:t>25.1投标人中标后须递交与网上电子投标文件完全一致的纸质版和电子版投标文件，在领取中标通知书时，一并递交给招标代理机构。</w:t>
      </w:r>
    </w:p>
    <w:p w14:paraId="71C7351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25.2电子投标文件须按格式文件要求签字或盖章（电子签章），否则经评委会一致认定且经过公共资源交易监督部门批准后, 按照无效投标处理。</w:t>
      </w:r>
    </w:p>
    <w:p w14:paraId="5F3D974B">
      <w:pPr>
        <w:spacing w:line="500" w:lineRule="exact"/>
        <w:ind w:firstLine="312" w:firstLineChars="148"/>
        <w:jc w:val="left"/>
        <w:rPr>
          <w:rFonts w:ascii="宋体" w:hAnsi="宋体" w:cs="宋体"/>
          <w:b/>
          <w:color w:val="auto"/>
          <w:szCs w:val="21"/>
          <w:highlight w:val="none"/>
        </w:rPr>
      </w:pPr>
      <w:r>
        <w:rPr>
          <w:rFonts w:hint="eastAsia" w:ascii="宋体" w:hAnsi="宋体" w:cs="宋体"/>
          <w:b/>
          <w:color w:val="auto"/>
          <w:szCs w:val="21"/>
          <w:highlight w:val="none"/>
        </w:rPr>
        <w:t>26. 投标文件的提交</w:t>
      </w:r>
    </w:p>
    <w:p w14:paraId="10E065F1">
      <w:pPr>
        <w:spacing w:line="500" w:lineRule="exact"/>
        <w:ind w:firstLine="310" w:firstLineChars="148"/>
        <w:jc w:val="left"/>
        <w:rPr>
          <w:rFonts w:ascii="宋体" w:hAnsi="宋体" w:cs="宋体"/>
          <w:b/>
          <w:color w:val="auto"/>
          <w:szCs w:val="21"/>
          <w:highlight w:val="none"/>
        </w:rPr>
      </w:pPr>
      <w:r>
        <w:rPr>
          <w:rFonts w:hint="eastAsia" w:ascii="宋体" w:hAnsi="宋体" w:cs="宋体"/>
          <w:color w:val="auto"/>
          <w:szCs w:val="21"/>
          <w:highlight w:val="none"/>
        </w:rPr>
        <w:t>26.1 投标人应在投标人须知前附表规定的投标截止时间前在网上递交投标文件。未在开标截止时间前通过网上招标投标系统递交有效电子投标文件的，开标系统不予接收，投标将被拒绝。</w:t>
      </w:r>
    </w:p>
    <w:p w14:paraId="47218780">
      <w:pPr>
        <w:spacing w:line="500" w:lineRule="exact"/>
        <w:ind w:firstLine="314" w:firstLineChars="149"/>
        <w:jc w:val="left"/>
        <w:rPr>
          <w:rFonts w:ascii="宋体" w:hAnsi="宋体" w:cs="宋体"/>
          <w:b/>
          <w:color w:val="auto"/>
          <w:szCs w:val="21"/>
          <w:highlight w:val="none"/>
        </w:rPr>
      </w:pPr>
      <w:r>
        <w:rPr>
          <w:rFonts w:hint="eastAsia" w:ascii="宋体" w:hAnsi="宋体" w:cs="宋体"/>
          <w:b/>
          <w:color w:val="auto"/>
          <w:szCs w:val="21"/>
          <w:highlight w:val="none"/>
        </w:rPr>
        <w:t>27．投标文件的修改与撤回</w:t>
      </w:r>
    </w:p>
    <w:p w14:paraId="7E4F8E2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27.1采用网上招投标的，在规定的投标截止时间前，投标人可以自行从网上招投标系统撤回已递交的投标文件，并可修改后重新上传，开标时以投标截止时间前投标人最终上传的投标文件为准。</w:t>
      </w:r>
    </w:p>
    <w:p w14:paraId="2F3B6777">
      <w:pPr>
        <w:spacing w:line="500" w:lineRule="exact"/>
        <w:ind w:firstLine="421"/>
        <w:jc w:val="left"/>
        <w:rPr>
          <w:rFonts w:ascii="宋体"/>
          <w:b/>
          <w:color w:val="auto"/>
          <w:szCs w:val="21"/>
          <w:highlight w:val="none"/>
        </w:rPr>
      </w:pPr>
      <w:r>
        <w:rPr>
          <w:rFonts w:hint="eastAsia" w:ascii="宋体"/>
          <w:b/>
          <w:color w:val="auto"/>
          <w:szCs w:val="21"/>
          <w:highlight w:val="none"/>
        </w:rPr>
        <w:t>28.偏离</w:t>
      </w:r>
    </w:p>
    <w:p w14:paraId="7B26403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28.1投标文件偏离招标文件某些要求，视为投标文件存在偏差。偏差包括重大偏差和细微偏差。</w:t>
      </w:r>
    </w:p>
    <w:p w14:paraId="5FAD154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28.1.1投标文件应对招标文件的实质性要求和条件作出满足性或更有利于招标人的响应，否则，视为投标文件存在重大偏差，投标人的投标将被否决。</w:t>
      </w:r>
    </w:p>
    <w:p w14:paraId="4766390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7E66F83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28.1.2投标文件中的下列偏差为细微偏差：</w:t>
      </w:r>
    </w:p>
    <w:p w14:paraId="381B757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46F2762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7B4937C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28.1.3评标委员会对投标文件中的细微偏差按如下规定处理：</w:t>
      </w:r>
    </w:p>
    <w:p w14:paraId="0776279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对于本章第28.1.2 项（1）目所述的细微偏差，按照第四章“评标办法”的规定予以修正并要求投标人进行澄清；</w:t>
      </w:r>
    </w:p>
    <w:p w14:paraId="53554EE7">
      <w:pPr>
        <w:spacing w:before="156" w:beforeLines="50" w:after="156" w:afterLines="50" w:line="500" w:lineRule="exact"/>
        <w:ind w:firstLine="420" w:firstLineChars="200"/>
        <w:rPr>
          <w:rFonts w:ascii="宋体" w:hAnsi="宋体" w:cs="宋体"/>
          <w:b/>
          <w:color w:val="auto"/>
          <w:sz w:val="28"/>
          <w:szCs w:val="28"/>
          <w:highlight w:val="none"/>
        </w:rPr>
      </w:pPr>
      <w:r>
        <w:rPr>
          <w:rFonts w:hint="eastAsia" w:ascii="宋体" w:hAnsi="宋体" w:cs="宋体"/>
          <w:color w:val="auto"/>
          <w:szCs w:val="21"/>
          <w:highlight w:val="none"/>
        </w:rPr>
        <w:t>对于本章第28.1.2 项（2）目所述的细微偏差，可要求投标人对细微偏差进行澄清。</w:t>
      </w:r>
    </w:p>
    <w:p w14:paraId="5FC9DC0D">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（五）开标、评标和定标</w:t>
      </w:r>
      <w:bookmarkEnd w:id="52"/>
    </w:p>
    <w:p w14:paraId="0A5DA03C">
      <w:pPr>
        <w:spacing w:line="500" w:lineRule="exact"/>
        <w:ind w:firstLine="421"/>
        <w:jc w:val="left"/>
        <w:rPr>
          <w:rFonts w:ascii="宋体"/>
          <w:b/>
          <w:color w:val="auto"/>
          <w:szCs w:val="21"/>
          <w:highlight w:val="none"/>
        </w:rPr>
      </w:pPr>
      <w:r>
        <w:rPr>
          <w:rFonts w:hint="eastAsia" w:ascii="宋体"/>
          <w:b/>
          <w:color w:val="auto"/>
          <w:szCs w:val="21"/>
          <w:highlight w:val="none"/>
        </w:rPr>
        <w:t>29. 开标</w:t>
      </w:r>
    </w:p>
    <w:p w14:paraId="0607E88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 开标的时间和地点</w:t>
      </w:r>
    </w:p>
    <w:p w14:paraId="7206563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29.1.1招标人</w:t>
      </w:r>
      <w:r>
        <w:rPr>
          <w:rFonts w:hint="eastAsia" w:ascii="宋体"/>
          <w:color w:val="auto"/>
          <w:szCs w:val="21"/>
          <w:highlight w:val="none"/>
        </w:rPr>
        <w:t>按招标公告中的开标时间和地点公开开标，并邀请所有投标人参加。</w:t>
      </w:r>
    </w:p>
    <w:p w14:paraId="363ABA8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 参与开标的监督部门</w:t>
      </w:r>
    </w:p>
    <w:p w14:paraId="0004035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29.2.1招标人可以邀请相关监管部门参加。</w:t>
      </w:r>
    </w:p>
    <w:p w14:paraId="7D28647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29.3开标程序</w:t>
      </w:r>
    </w:p>
    <w:p w14:paraId="62F1EA8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开标会议由采购代理机构主持。</w:t>
      </w:r>
    </w:p>
    <w:p w14:paraId="25B2576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（1）宣布开标纪律；</w:t>
      </w:r>
    </w:p>
    <w:p w14:paraId="3F26E8D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7713C54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（3）公布投标截止时间前，通过滁州市公共资源交易中心网上招投标系统递交投标文件的投标人名称等； </w:t>
      </w:r>
    </w:p>
    <w:p w14:paraId="119F885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01E2DD0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（5）公布投标人投标报价、质量目标、供货期及其他内容，并记录在案；</w:t>
      </w:r>
    </w:p>
    <w:p w14:paraId="5DE2B5B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（6）开标结束。</w:t>
      </w:r>
    </w:p>
    <w:p w14:paraId="091B97E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多标段项目按照标段顺序按以上程序依次开标。</w:t>
      </w:r>
    </w:p>
    <w:p w14:paraId="1E603FAF">
      <w:pPr>
        <w:spacing w:line="500" w:lineRule="exact"/>
        <w:ind w:right="-155" w:rightChars="-74" w:firstLine="420" w:firstLineChars="200"/>
        <w:jc w:val="left"/>
        <w:rPr>
          <w:rFonts w:ascii="宋体"/>
          <w:color w:val="auto"/>
          <w:szCs w:val="21"/>
          <w:highlight w:val="none"/>
        </w:rPr>
      </w:pPr>
      <w:r>
        <w:rPr>
          <w:rFonts w:hint="eastAsia" w:ascii="宋体"/>
          <w:color w:val="auto"/>
          <w:szCs w:val="21"/>
          <w:highlight w:val="none"/>
        </w:rPr>
        <w:t>29.4开标异议</w:t>
      </w:r>
    </w:p>
    <w:p w14:paraId="3F53E0E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投标人对开标有异议的，应当在开标现场提出，招标人当场作出答复，并制作记录。异议与答复应通过电子交易系统进行。</w:t>
      </w:r>
    </w:p>
    <w:p w14:paraId="199A7564">
      <w:pPr>
        <w:spacing w:line="500" w:lineRule="exact"/>
        <w:ind w:firstLine="421"/>
        <w:jc w:val="left"/>
        <w:rPr>
          <w:rFonts w:ascii="宋体"/>
          <w:b/>
          <w:color w:val="auto"/>
          <w:szCs w:val="21"/>
          <w:highlight w:val="none"/>
        </w:rPr>
      </w:pPr>
      <w:r>
        <w:rPr>
          <w:rFonts w:hint="eastAsia" w:ascii="宋体"/>
          <w:b/>
          <w:color w:val="auto"/>
          <w:szCs w:val="21"/>
          <w:highlight w:val="none"/>
        </w:rPr>
        <w:t>30.评标委员会</w:t>
      </w:r>
    </w:p>
    <w:p w14:paraId="2AE3FD4B">
      <w:pPr>
        <w:spacing w:line="500" w:lineRule="exact"/>
        <w:ind w:firstLine="420" w:firstLineChars="200"/>
        <w:jc w:val="left"/>
        <w:rPr>
          <w:rFonts w:ascii="宋体" w:cs="宋体"/>
          <w:color w:val="auto"/>
          <w:szCs w:val="21"/>
          <w:highlight w:val="none"/>
        </w:rPr>
      </w:pPr>
      <w:r>
        <w:rPr>
          <w:rFonts w:hint="eastAsia" w:ascii="宋体"/>
          <w:color w:val="auto"/>
          <w:szCs w:val="21"/>
          <w:highlight w:val="none"/>
        </w:rPr>
        <w:t>30.1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E1E9D19">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0856E397">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03E491C9">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B139FDD">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03859C12">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057C14C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6D63AD2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46FE027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36E2BE6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30.3评标过程中，评标委员会成员有回避事由、擅离职守或因健康等原因不能继续评标的， 招标人有权更换。被更换的评标委员会成员作出的评审结论无效，由更换后的评标委员会成员重新进行评审。</w:t>
      </w:r>
    </w:p>
    <w:p w14:paraId="71B394F5">
      <w:pPr>
        <w:spacing w:line="500" w:lineRule="exact"/>
        <w:ind w:firstLine="421"/>
        <w:jc w:val="left"/>
        <w:rPr>
          <w:rFonts w:ascii="宋体"/>
          <w:b/>
          <w:color w:val="auto"/>
          <w:szCs w:val="21"/>
          <w:highlight w:val="none"/>
        </w:rPr>
      </w:pPr>
      <w:r>
        <w:rPr>
          <w:rFonts w:hint="eastAsia" w:ascii="宋体"/>
          <w:b/>
          <w:color w:val="auto"/>
          <w:szCs w:val="21"/>
          <w:highlight w:val="none"/>
        </w:rPr>
        <w:t>31.评标</w:t>
      </w:r>
    </w:p>
    <w:p w14:paraId="3210B18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31.1评标委员会按照第三章“评标办法”规定的方法、评审因素、标准和程序对投标文件进行评审。第三章“评标办法”没有规定的方法、评审因素和标准，不作为评标依据。</w:t>
      </w:r>
    </w:p>
    <w:p w14:paraId="20B6D7D0">
      <w:pPr>
        <w:spacing w:line="500" w:lineRule="exact"/>
        <w:ind w:firstLine="420" w:firstLineChars="200"/>
        <w:jc w:val="left"/>
        <w:rPr>
          <w:rFonts w:ascii="宋体" w:hAnsi="宋体" w:cs="宋体"/>
          <w:color w:val="auto"/>
          <w:szCs w:val="21"/>
          <w:highlight w:val="none"/>
        </w:rPr>
      </w:pPr>
      <w:bookmarkStart w:id="53" w:name="_Toc449028873"/>
      <w:r>
        <w:rPr>
          <w:rFonts w:hint="eastAsia" w:ascii="宋体" w:hAnsi="宋体" w:cs="宋体"/>
          <w:color w:val="auto"/>
          <w:szCs w:val="21"/>
          <w:highlight w:val="none"/>
        </w:rPr>
        <w:t>31.2评标完成后，评标委员会应向招标人提交书面评标报告和中标候选人名单。评标委员会推荐中标候选人的人数见投标人须知前附表。</w:t>
      </w:r>
    </w:p>
    <w:p w14:paraId="189AF9D2">
      <w:pPr>
        <w:spacing w:line="500" w:lineRule="exact"/>
        <w:ind w:firstLine="420" w:firstLineChars="200"/>
        <w:jc w:val="left"/>
        <w:rPr>
          <w:rFonts w:ascii="宋体"/>
          <w:color w:val="auto"/>
          <w:szCs w:val="21"/>
          <w:highlight w:val="none"/>
        </w:rPr>
      </w:pPr>
      <w:r>
        <w:rPr>
          <w:rFonts w:hint="eastAsia" w:ascii="宋体"/>
          <w:color w:val="auto"/>
          <w:szCs w:val="21"/>
          <w:highlight w:val="none"/>
        </w:rPr>
        <w:t>31.3评标原则：遵循公平、公正、科学和择优的原则。</w:t>
      </w:r>
    </w:p>
    <w:p w14:paraId="1928928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31.4投标文件的澄清</w:t>
      </w:r>
    </w:p>
    <w:p w14:paraId="15EFC466">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31.4.1在评标过程中，评标委员会认为需要，在公共资源交易监督管理部门的监督下，可要求投标人对投标文件中的有关问题进行澄清或提供补充说明及有关资料，投标人应做出书面答复。</w:t>
      </w:r>
    </w:p>
    <w:p w14:paraId="1C173C4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31.4.2书面答复须经投标人法定代表人或其委托代理人签字或盖章，签字或盖章的书面答复将被视为投标文件的组成部分。</w:t>
      </w:r>
    </w:p>
    <w:p w14:paraId="68606F30">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31.5报价合理性的判断</w:t>
      </w:r>
    </w:p>
    <w:p w14:paraId="101DF238">
      <w:pPr>
        <w:spacing w:line="50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95EA087">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31.6评审意见分歧的处理办法</w:t>
      </w:r>
    </w:p>
    <w:p w14:paraId="0BE2873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59451A19">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72C61FF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31.7评标报告的签署</w:t>
      </w:r>
    </w:p>
    <w:p w14:paraId="75BF38AF">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56855158">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31.8评标过程的保密</w:t>
      </w:r>
    </w:p>
    <w:p w14:paraId="1D6A6CAC">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3D0E8608">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31.9评标结果公告</w:t>
      </w:r>
    </w:p>
    <w:p w14:paraId="0B1DCBC0">
      <w:pPr>
        <w:tabs>
          <w:tab w:val="left" w:pos="720"/>
        </w:tabs>
        <w:spacing w:line="500" w:lineRule="exact"/>
        <w:ind w:firstLine="420" w:firstLineChars="200"/>
        <w:jc w:val="left"/>
        <w:rPr>
          <w:color w:val="auto"/>
          <w:highlight w:val="none"/>
        </w:rPr>
      </w:pPr>
      <w:r>
        <w:rPr>
          <w:rFonts w:hint="eastAsia" w:ascii="宋体"/>
          <w:color w:val="auto"/>
          <w:szCs w:val="21"/>
          <w:highlight w:val="none"/>
        </w:rPr>
        <w:t>招标人应将中标人的情况在滁州市公共资源交易中心等网站上予以公告，公告期为3日。</w:t>
      </w:r>
    </w:p>
    <w:p w14:paraId="608C7C50">
      <w:pPr>
        <w:spacing w:line="500" w:lineRule="exact"/>
        <w:ind w:firstLine="421"/>
        <w:jc w:val="left"/>
        <w:rPr>
          <w:rFonts w:ascii="宋体"/>
          <w:b/>
          <w:color w:val="auto"/>
          <w:szCs w:val="21"/>
          <w:highlight w:val="none"/>
        </w:rPr>
      </w:pPr>
      <w:r>
        <w:rPr>
          <w:rFonts w:hint="eastAsia" w:ascii="宋体"/>
          <w:b/>
          <w:color w:val="auto"/>
          <w:szCs w:val="21"/>
          <w:highlight w:val="none"/>
        </w:rPr>
        <w:t>32.定标</w:t>
      </w:r>
    </w:p>
    <w:p w14:paraId="1019DA5F">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 中标人的确定</w:t>
      </w:r>
    </w:p>
    <w:p w14:paraId="501E3673">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32.1.1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C83975E">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32.1.2中标人确定后，招标人应将中标信息在滁州市公共资源交易中心等网站上公告。</w:t>
      </w:r>
    </w:p>
    <w:p w14:paraId="46576F4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 中标通知书</w:t>
      </w:r>
    </w:p>
    <w:p w14:paraId="7E2D7523">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32.2.1招标人或代理机构应在中标人确定之日起2个工作日内，在滁州市公共资源交易中心等网站公告中标结果并同时向中标人发出中标通知书。</w:t>
      </w:r>
    </w:p>
    <w:p w14:paraId="3DF222E0">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32.2.2中标通知书须加盖招标人、代理机构公章并经公共资源交易中心加盖见证章后，方可发出。</w:t>
      </w:r>
    </w:p>
    <w:p w14:paraId="65AF9D17">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32.2.3招标人将在发出中标通知书的同时，向未通过资格审查的投标人告知其未通过的原因。</w:t>
      </w:r>
    </w:p>
    <w:p w14:paraId="2CFA01C6">
      <w:pPr>
        <w:spacing w:line="500" w:lineRule="exact"/>
        <w:ind w:firstLine="421"/>
        <w:jc w:val="left"/>
        <w:rPr>
          <w:rFonts w:ascii="宋体"/>
          <w:b/>
          <w:color w:val="auto"/>
          <w:szCs w:val="21"/>
          <w:highlight w:val="none"/>
        </w:rPr>
      </w:pPr>
      <w:r>
        <w:rPr>
          <w:rFonts w:hint="eastAsia" w:ascii="宋体"/>
          <w:b/>
          <w:color w:val="auto"/>
          <w:szCs w:val="21"/>
          <w:highlight w:val="none"/>
        </w:rPr>
        <w:t>33.开评标异常情况处理</w:t>
      </w:r>
    </w:p>
    <w:p w14:paraId="5A9F20BE">
      <w:pPr>
        <w:spacing w:line="500" w:lineRule="exact"/>
        <w:ind w:firstLine="421"/>
        <w:jc w:val="left"/>
        <w:rPr>
          <w:rFonts w:ascii="宋体"/>
          <w:b/>
          <w:color w:val="auto"/>
          <w:szCs w:val="21"/>
          <w:highlight w:val="none"/>
        </w:rPr>
      </w:pPr>
      <w:r>
        <w:rPr>
          <w:rFonts w:hint="eastAsia" w:ascii="宋体"/>
          <w:color w:val="auto"/>
          <w:kern w:val="10"/>
          <w:szCs w:val="21"/>
          <w:highlight w:val="none"/>
        </w:rPr>
        <w:t>33.1</w:t>
      </w:r>
      <w:r>
        <w:rPr>
          <w:rFonts w:hint="eastAsia" w:ascii="宋体"/>
          <w:b/>
          <w:color w:val="auto"/>
          <w:szCs w:val="21"/>
          <w:highlight w:val="none"/>
        </w:rPr>
        <w:t xml:space="preserve">重新招标 </w:t>
      </w:r>
    </w:p>
    <w:p w14:paraId="3D15DDF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项目有下列情形之一的，招标人将重新招标：</w:t>
      </w:r>
    </w:p>
    <w:p w14:paraId="20052200">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 xml:space="preserve">(1)投标截止时间止，投标人少于三个的； </w:t>
      </w:r>
    </w:p>
    <w:p w14:paraId="1ED041F4">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14:paraId="40675912">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(3)出现影响招标公正的违法、违规行为的；</w:t>
      </w:r>
    </w:p>
    <w:p w14:paraId="74137B72">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(4)投标人的报价均脱离实际且无充分证据的；</w:t>
      </w:r>
    </w:p>
    <w:p w14:paraId="1E5345A0">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(5)技术标暗标项目，所有投标人的技术标均能反映投标人信息的；</w:t>
      </w:r>
    </w:p>
    <w:p w14:paraId="6E8FE141">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(6)因重大变故，采购任务取消的。</w:t>
      </w:r>
    </w:p>
    <w:p w14:paraId="5EE0F09E">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33.2变更采购方式</w:t>
      </w:r>
    </w:p>
    <w:p w14:paraId="0B41FD1E">
      <w:pPr>
        <w:tabs>
          <w:tab w:val="left" w:pos="720"/>
        </w:tabs>
        <w:spacing w:line="500" w:lineRule="exact"/>
        <w:ind w:firstLine="420" w:firstLineChars="200"/>
        <w:jc w:val="left"/>
        <w:rPr>
          <w:rFonts w:ascii="宋体"/>
          <w:color w:val="auto"/>
          <w:szCs w:val="21"/>
          <w:highlight w:val="none"/>
        </w:rPr>
      </w:pPr>
      <w:bookmarkStart w:id="54" w:name="_Toc449028872"/>
      <w:r>
        <w:rPr>
          <w:rFonts w:hint="eastAsia" w:ascii="宋体"/>
          <w:color w:val="auto"/>
          <w:szCs w:val="21"/>
          <w:highlight w:val="none"/>
        </w:rPr>
        <w:t>按照滁州市公管局相关规定执行。</w:t>
      </w:r>
      <w:bookmarkEnd w:id="54"/>
    </w:p>
    <w:p w14:paraId="16F3C947">
      <w:pPr>
        <w:spacing w:line="500" w:lineRule="exact"/>
        <w:jc w:val="center"/>
        <w:rPr>
          <w:rFonts w:ascii="黑体" w:eastAsia="黑体"/>
          <w:color w:val="auto"/>
          <w:sz w:val="24"/>
          <w:highlight w:val="none"/>
        </w:rPr>
      </w:pPr>
      <w:r>
        <w:rPr>
          <w:rFonts w:hint="eastAsia" w:ascii="黑体" w:eastAsia="黑体"/>
          <w:color w:val="auto"/>
          <w:sz w:val="28"/>
          <w:szCs w:val="28"/>
          <w:highlight w:val="none"/>
        </w:rPr>
        <w:t>（六）合同的授予</w:t>
      </w:r>
      <w:bookmarkEnd w:id="53"/>
    </w:p>
    <w:p w14:paraId="0637C40B">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34. 合同授予标准</w:t>
      </w:r>
    </w:p>
    <w:p w14:paraId="344F4EDE">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34.1 本招标项目的合同将授予按本投标须知第32.1.1条规定所确定的中标人。</w:t>
      </w:r>
    </w:p>
    <w:p w14:paraId="46607530">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35. 合同协议书的签订</w:t>
      </w:r>
    </w:p>
    <w:p w14:paraId="68E7E6FF">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35.1 招标人与中标人将于中标通知书发出之日起30日内，按照招标文件和中标人的投标文件订立书面采购合同。招标人和中标人不得再行订立背离合同实质性内容的其他协议。</w:t>
      </w:r>
    </w:p>
    <w:p w14:paraId="333A8394">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35.2发出中标通知书后，招标人无正当理由拒签合同的，招标人向中标人退还投标保证金；给中标人造成损失的，还应当赔偿损失。</w:t>
      </w:r>
    </w:p>
    <w:p w14:paraId="4F611FB3">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依法必须进行招标的项目，除中标人以外的其他投标人存在串通投标、弄虚作假、行贿情形且在评标过程中未被发现的，视为对中标结果没有造成实质性影响，招标人可以依法继续开展招标活动。</w:t>
      </w:r>
    </w:p>
    <w:p w14:paraId="00403CB4">
      <w:pPr>
        <w:spacing w:line="500" w:lineRule="exact"/>
        <w:rPr>
          <w:rFonts w:ascii="宋体" w:hAnsi="宋体" w:cs="宋体"/>
          <w:b/>
          <w:color w:val="auto"/>
          <w:szCs w:val="21"/>
          <w:highlight w:val="none"/>
        </w:rPr>
      </w:pPr>
      <w:r>
        <w:rPr>
          <w:rFonts w:hint="eastAsia" w:ascii="宋体" w:hAnsi="宋体" w:cs="宋体"/>
          <w:color w:val="auto"/>
          <w:szCs w:val="21"/>
          <w:highlight w:val="none"/>
        </w:rPr>
        <w:t xml:space="preserve">    36.</w:t>
      </w:r>
      <w:bookmarkStart w:id="55"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w:t>
      </w:r>
      <w:bookmarkEnd w:id="55"/>
      <w:r>
        <w:rPr>
          <w:rFonts w:hint="eastAsia" w:ascii="宋体" w:hAnsi="宋体" w:cs="宋体"/>
          <w:b/>
          <w:color w:val="auto"/>
          <w:szCs w:val="21"/>
          <w:highlight w:val="none"/>
        </w:rPr>
        <w:t>担保</w:t>
      </w:r>
    </w:p>
    <w:p w14:paraId="543C6ED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36.1在签订合同前，中标人应按投标人须知前附表规定的担保形式、金额和招标文件第五章“合同条款及格式”规定的或者事先经过招标人书面认可的履约担保格式向招标人提交履约担保。</w:t>
      </w:r>
    </w:p>
    <w:p w14:paraId="4C4986A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36.2 中标人不能按本章第36.1项要求提交履约担保的，视为放弃中标，其投标保证金不予退还，</w:t>
      </w:r>
      <w:r>
        <w:rPr>
          <w:rFonts w:hint="eastAsia" w:ascii="宋体" w:hAnsi="宋体" w:cs="宋体"/>
          <w:color w:val="auto"/>
          <w:szCs w:val="21"/>
          <w:highlight w:val="none"/>
          <w:shd w:val="clear" w:color="auto" w:fill="FFFFFF"/>
        </w:rPr>
        <w:t>给招标人造成损失的，依法承担民事责任</w:t>
      </w:r>
      <w:r>
        <w:rPr>
          <w:rFonts w:hint="eastAsia" w:ascii="宋体" w:hAnsi="宋体" w:cs="宋体"/>
          <w:color w:val="auto"/>
          <w:szCs w:val="21"/>
          <w:highlight w:val="none"/>
        </w:rPr>
        <w:t>。</w:t>
      </w:r>
    </w:p>
    <w:p w14:paraId="4C0B4D1A">
      <w:pPr>
        <w:spacing w:before="312" w:beforeLines="100" w:after="312" w:afterLines="100" w:line="500" w:lineRule="exact"/>
        <w:jc w:val="center"/>
        <w:rPr>
          <w:rFonts w:ascii="宋体"/>
          <w:b/>
          <w:color w:val="auto"/>
          <w:sz w:val="28"/>
          <w:szCs w:val="28"/>
          <w:highlight w:val="none"/>
        </w:rPr>
      </w:pPr>
      <w:bookmarkStart w:id="56" w:name="_Toc449028874"/>
      <w:r>
        <w:rPr>
          <w:rFonts w:hint="eastAsia" w:ascii="宋体"/>
          <w:b/>
          <w:color w:val="auto"/>
          <w:sz w:val="28"/>
          <w:szCs w:val="28"/>
          <w:highlight w:val="none"/>
        </w:rPr>
        <w:t>（七）纪律和监督</w:t>
      </w:r>
      <w:bookmarkEnd w:id="56"/>
    </w:p>
    <w:p w14:paraId="1F901C93">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37. 对招标人的纪律要求 </w:t>
      </w:r>
    </w:p>
    <w:p w14:paraId="09E4C285">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 xml:space="preserve">37.1招标人不得泄漏招标投标活动中应当保密的情况和资料，不得与投标人串通损害国家利益，社会公共利益或者他人合法权益。 </w:t>
      </w:r>
    </w:p>
    <w:p w14:paraId="04095F83">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38. 对投标人的纪律要求 </w:t>
      </w:r>
    </w:p>
    <w:p w14:paraId="79C573F2">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38.1投标人不得相互串通投标或者与招标人串通投标，不得向招标人或者评标委员会成员行贿谋取中标，不得以他人名义投标或者以其他方式弄虚作假骗取中标；投标人不得以任何方式干扰、影响评标工作。</w:t>
      </w:r>
    </w:p>
    <w:p w14:paraId="46C0FF31">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39. 对评标委员会成员的纪律要求 </w:t>
      </w:r>
    </w:p>
    <w:p w14:paraId="13BEBCBF">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39.1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3ED8255">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40. 对与评标活动有关的工作人员的纪律要求 </w:t>
      </w:r>
    </w:p>
    <w:p w14:paraId="30255809">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40.1与评标活动有关的工作人员不得收受他人的财物或者其他好处，不得向他人透漏对投标文件的评审和比较、中标人的推荐情况以及评标有关的其他情况。在评标活动中，与评标活动有关的工作人员不得擅离职守，影响评标程序正常进行。</w:t>
      </w:r>
    </w:p>
    <w:p w14:paraId="3E1E07E8">
      <w:pPr>
        <w:spacing w:before="312" w:beforeLines="100" w:after="312" w:afterLines="100" w:line="500" w:lineRule="exact"/>
        <w:jc w:val="center"/>
        <w:rPr>
          <w:rFonts w:ascii="宋体"/>
          <w:b/>
          <w:color w:val="auto"/>
          <w:sz w:val="28"/>
          <w:szCs w:val="28"/>
          <w:highlight w:val="none"/>
        </w:rPr>
      </w:pPr>
      <w:r>
        <w:rPr>
          <w:rFonts w:hint="eastAsia" w:ascii="宋体"/>
          <w:b/>
          <w:color w:val="auto"/>
          <w:sz w:val="28"/>
          <w:szCs w:val="28"/>
          <w:highlight w:val="none"/>
        </w:rPr>
        <w:t>（八）投诉</w:t>
      </w:r>
    </w:p>
    <w:p w14:paraId="19FB63ED">
      <w:pPr>
        <w:spacing w:line="500" w:lineRule="exact"/>
        <w:ind w:firstLine="314" w:firstLineChars="149"/>
        <w:jc w:val="left"/>
        <w:rPr>
          <w:rFonts w:ascii="宋体" w:hAnsi="宋体"/>
          <w:b/>
          <w:color w:val="auto"/>
          <w:szCs w:val="21"/>
          <w:highlight w:val="none"/>
        </w:rPr>
      </w:pPr>
      <w:r>
        <w:rPr>
          <w:rFonts w:hint="eastAsia" w:ascii="宋体" w:hAnsi="宋体"/>
          <w:b/>
          <w:color w:val="auto"/>
          <w:szCs w:val="21"/>
          <w:highlight w:val="none"/>
        </w:rPr>
        <w:t>41. 投诉</w:t>
      </w:r>
    </w:p>
    <w:p w14:paraId="1C883C89">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41.1投标人或者其他利害关系人认为招标投标活动违反法律、法规和规章规定的，有权向相关行政监督部门投诉。投诉应当有明确的请求和必要的证明材料。</w:t>
      </w:r>
    </w:p>
    <w:p w14:paraId="27E08C67">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41.2投标人和其他利害关系人对招标文件、开标和评标结果事项投诉的，应当按照投标人须知的规定先向招标人提出异议。异议答复期间不计算在第41.1项规定的期限内。</w:t>
      </w:r>
    </w:p>
    <w:p w14:paraId="13D3B01F">
      <w:pPr>
        <w:spacing w:line="440" w:lineRule="exact"/>
        <w:ind w:firstLine="600" w:firstLineChars="200"/>
        <w:jc w:val="left"/>
        <w:rPr>
          <w:rFonts w:ascii="黑体" w:eastAsia="黑体"/>
          <w:color w:val="auto"/>
          <w:sz w:val="30"/>
          <w:szCs w:val="30"/>
          <w:highlight w:val="none"/>
        </w:rPr>
      </w:pPr>
    </w:p>
    <w:p w14:paraId="779260C8">
      <w:pPr>
        <w:spacing w:line="440" w:lineRule="exact"/>
        <w:ind w:firstLine="450" w:firstLineChars="150"/>
        <w:jc w:val="left"/>
        <w:rPr>
          <w:rFonts w:ascii="黑体" w:eastAsia="黑体"/>
          <w:color w:val="auto"/>
          <w:sz w:val="30"/>
          <w:szCs w:val="30"/>
          <w:highlight w:val="none"/>
        </w:rPr>
      </w:pPr>
    </w:p>
    <w:p w14:paraId="4925729A">
      <w:pPr>
        <w:pStyle w:val="2"/>
        <w:spacing w:line="280" w:lineRule="exact"/>
        <w:rPr>
          <w:rFonts w:ascii="宋体"/>
          <w:b w:val="0"/>
          <w:color w:val="auto"/>
          <w:szCs w:val="32"/>
          <w:highlight w:val="none"/>
        </w:rPr>
      </w:pPr>
      <w:r>
        <w:rPr>
          <w:rFonts w:ascii="宋体"/>
          <w:b w:val="0"/>
          <w:color w:val="auto"/>
          <w:szCs w:val="32"/>
          <w:highlight w:val="none"/>
        </w:rPr>
        <w:br w:type="page"/>
      </w:r>
      <w:bookmarkStart w:id="57" w:name="_Toc28871"/>
      <w:r>
        <w:rPr>
          <w:rFonts w:hint="eastAsia" w:ascii="宋体"/>
          <w:bCs w:val="0"/>
          <w:color w:val="auto"/>
          <w:szCs w:val="32"/>
          <w:highlight w:val="none"/>
        </w:rPr>
        <w:t>第三章 评标办法（综合评分法）</w:t>
      </w:r>
      <w:bookmarkEnd w:id="57"/>
    </w:p>
    <w:p w14:paraId="512131A4">
      <w:pPr>
        <w:spacing w:before="156" w:beforeLines="50" w:after="156" w:afterLines="50" w:line="500" w:lineRule="exact"/>
        <w:jc w:val="center"/>
        <w:outlineLvl w:val="1"/>
        <w:rPr>
          <w:rFonts w:ascii="宋体" w:hAnsi="宋体" w:cs="宋体"/>
          <w:b/>
          <w:color w:val="auto"/>
          <w:sz w:val="28"/>
          <w:szCs w:val="28"/>
          <w:highlight w:val="none"/>
        </w:rPr>
      </w:pPr>
      <w:bookmarkStart w:id="58" w:name="_Toc20697"/>
      <w:bookmarkStart w:id="59" w:name="_Toc449028877"/>
      <w:bookmarkStart w:id="60" w:name="_Toc58430317"/>
      <w:bookmarkStart w:id="61" w:name="_Toc362983801"/>
      <w:bookmarkStart w:id="62" w:name="_Toc267320058"/>
      <w:bookmarkStart w:id="63" w:name="_Toc363135205"/>
      <w:r>
        <w:rPr>
          <w:rFonts w:hint="eastAsia" w:ascii="宋体" w:hAnsi="宋体" w:cs="宋体"/>
          <w:b/>
          <w:color w:val="auto"/>
          <w:sz w:val="28"/>
          <w:szCs w:val="28"/>
          <w:highlight w:val="none"/>
        </w:rPr>
        <w:t>一、总则</w:t>
      </w:r>
      <w:bookmarkEnd w:id="58"/>
      <w:bookmarkEnd w:id="59"/>
      <w:bookmarkEnd w:id="60"/>
      <w:bookmarkEnd w:id="61"/>
    </w:p>
    <w:p w14:paraId="2A5769B8">
      <w:pPr>
        <w:spacing w:line="500" w:lineRule="exact"/>
        <w:ind w:firstLine="316" w:firstLineChars="150"/>
        <w:jc w:val="left"/>
        <w:rPr>
          <w:rFonts w:ascii="宋体" w:hAnsi="宋体" w:cs="宋体"/>
          <w:b/>
          <w:color w:val="auto"/>
          <w:szCs w:val="21"/>
          <w:highlight w:val="none"/>
        </w:rPr>
      </w:pPr>
      <w:r>
        <w:rPr>
          <w:rFonts w:hint="eastAsia" w:ascii="宋体" w:hAnsi="宋体" w:cs="宋体"/>
          <w:b/>
          <w:color w:val="auto"/>
          <w:szCs w:val="21"/>
          <w:highlight w:val="none"/>
        </w:rPr>
        <w:t xml:space="preserve"> 1. 本次评标采用综合评分法</w:t>
      </w:r>
    </w:p>
    <w:p w14:paraId="2D48D88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1.1综合评分法是指投标文件满足招标文件全部实质性要求且按照评审因素的量化指标评审总得分从高到低的供应商为中标候选人的评标方法。</w:t>
      </w:r>
    </w:p>
    <w:p w14:paraId="5C36A51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1.2综合评分法一般适用于较为复杂、评价指标难以量化且价格为非主要因素的非标准定制商品和非通用服务项目的项目评审。</w:t>
      </w:r>
    </w:p>
    <w:p w14:paraId="73E8D7EA">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2．评标程序</w:t>
      </w:r>
    </w:p>
    <w:p w14:paraId="7841099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2.1投标文件的初审</w:t>
      </w:r>
    </w:p>
    <w:p w14:paraId="2ED2965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2.1.1资格性检查。依据法律法规和招标文件的规定，对投标文件中的资格证明、投标保证金等进行审查，以确定投标人是否具备投标资格。 </w:t>
      </w:r>
    </w:p>
    <w:p w14:paraId="656CA1A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2.1.2符合性检查。依据招标文件的规定，从投标文件的有效性、完整性和对招标文件的响应程度进行审查，以确定投标人是否对招标文件的实质性要求作出响应。</w:t>
      </w:r>
    </w:p>
    <w:p w14:paraId="74D2548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2.2投标文件的澄清</w:t>
      </w:r>
    </w:p>
    <w:p w14:paraId="48E8DD4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36C2AEAC">
      <w:pPr>
        <w:wordWrap w:val="0"/>
        <w:spacing w:line="50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本项目采用远程开标，具体操作方法详见服务指南&gt;交易须知&gt;开标大厅远程解密、质疑(异议)及回复以及评标过程中询标流程操作手册。</w:t>
      </w:r>
    </w:p>
    <w:p w14:paraId="7B57856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5543D36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  招标人不接受投标人主动提出的澄清。</w:t>
      </w:r>
    </w:p>
    <w:p w14:paraId="56F55CA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2.3比较与评价</w:t>
      </w:r>
    </w:p>
    <w:p w14:paraId="2010394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2．3.1按招标文件中规定的评标方法和标准，对资格性检查和符合性检查合格的投标文件进行资信、商务和技术评估，综合比较与评价。 </w:t>
      </w:r>
    </w:p>
    <w:p w14:paraId="082B99D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2.4推荐中标候选人名单</w:t>
      </w:r>
    </w:p>
    <w:p w14:paraId="723DE54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2.4.1中标候选人数量应当根据采购需要确定，但必须按顺序排列中标候选人。</w:t>
      </w:r>
    </w:p>
    <w:p w14:paraId="0FEA3449">
      <w:pPr>
        <w:spacing w:line="500" w:lineRule="exact"/>
        <w:ind w:firstLine="420" w:firstLineChars="200"/>
        <w:jc w:val="left"/>
        <w:rPr>
          <w:rFonts w:ascii="宋体" w:hAnsi="宋体" w:cs="宋体"/>
          <w:color w:val="auto"/>
          <w:highlight w:val="none"/>
        </w:rPr>
      </w:pPr>
      <w:r>
        <w:rPr>
          <w:rFonts w:hint="eastAsia" w:ascii="宋体" w:hAnsi="宋体" w:cs="宋体"/>
          <w:color w:val="auto"/>
          <w:szCs w:val="21"/>
          <w:highlight w:val="none"/>
        </w:rPr>
        <w:t>2.5在投标文件的审查、澄清、评价和比较以及授予合同过程中，投标人对招标人和评标委员会成员施加影响的任何行为，都将导致取消其中标资格。</w:t>
      </w:r>
      <w:bookmarkStart w:id="64" w:name="_Toc362983802"/>
      <w:bookmarkStart w:id="65" w:name="_Toc449028878"/>
      <w:bookmarkStart w:id="66" w:name="_Toc58430318"/>
    </w:p>
    <w:p w14:paraId="51A634FF">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二、投标文件初审</w:t>
      </w:r>
      <w:bookmarkEnd w:id="64"/>
      <w:bookmarkEnd w:id="65"/>
      <w:bookmarkEnd w:id="66"/>
    </w:p>
    <w:p w14:paraId="6D8CC56E">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3.资格性审查:</w:t>
      </w:r>
    </w:p>
    <w:p w14:paraId="79B6D8F0">
      <w:pPr>
        <w:spacing w:line="500" w:lineRule="exact"/>
        <w:ind w:firstLine="308" w:firstLineChars="147"/>
        <w:jc w:val="left"/>
        <w:rPr>
          <w:rFonts w:ascii="宋体" w:hAnsi="宋体" w:cs="宋体"/>
          <w:color w:val="auto"/>
          <w:szCs w:val="21"/>
          <w:highlight w:val="none"/>
        </w:rPr>
      </w:pPr>
      <w:r>
        <w:rPr>
          <w:rFonts w:hint="eastAsia" w:ascii="宋体" w:hAnsi="宋体" w:cs="宋体"/>
          <w:color w:val="auto"/>
          <w:szCs w:val="21"/>
          <w:highlight w:val="none"/>
        </w:rPr>
        <w:t>3.1评审细则</w:t>
      </w:r>
    </w:p>
    <w:tbl>
      <w:tblPr>
        <w:tblStyle w:val="35"/>
        <w:tblW w:w="9926" w:type="dxa"/>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25"/>
        <w:gridCol w:w="4305"/>
        <w:gridCol w:w="3176"/>
      </w:tblGrid>
      <w:tr w14:paraId="3C69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0" w:type="dxa"/>
            <w:vAlign w:val="center"/>
          </w:tcPr>
          <w:p w14:paraId="6CDAEED1">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030" w:type="dxa"/>
            <w:gridSpan w:val="2"/>
            <w:vAlign w:val="center"/>
          </w:tcPr>
          <w:p w14:paraId="4C736979">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176" w:type="dxa"/>
            <w:vAlign w:val="center"/>
          </w:tcPr>
          <w:p w14:paraId="4F1DC8F6">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6E54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0" w:type="dxa"/>
            <w:vAlign w:val="center"/>
          </w:tcPr>
          <w:p w14:paraId="086AD63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725" w:type="dxa"/>
            <w:vAlign w:val="center"/>
          </w:tcPr>
          <w:p w14:paraId="0F37F91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重要要求</w:t>
            </w:r>
          </w:p>
        </w:tc>
        <w:tc>
          <w:tcPr>
            <w:tcW w:w="4305" w:type="dxa"/>
            <w:vAlign w:val="center"/>
          </w:tcPr>
          <w:p w14:paraId="40EEE13F">
            <w:pPr>
              <w:spacing w:line="500" w:lineRule="exact"/>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3176" w:type="dxa"/>
            <w:vAlign w:val="center"/>
          </w:tcPr>
          <w:p w14:paraId="3E888FCB">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检验电子标书</w:t>
            </w:r>
          </w:p>
        </w:tc>
      </w:tr>
      <w:tr w14:paraId="0423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720" w:type="dxa"/>
            <w:vMerge w:val="restart"/>
            <w:vAlign w:val="center"/>
          </w:tcPr>
          <w:p w14:paraId="1C89C92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725" w:type="dxa"/>
            <w:vMerge w:val="restart"/>
            <w:vAlign w:val="center"/>
          </w:tcPr>
          <w:p w14:paraId="5FA5F034">
            <w:pPr>
              <w:spacing w:line="500" w:lineRule="exact"/>
              <w:rPr>
                <w:rFonts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4305" w:type="dxa"/>
            <w:vAlign w:val="center"/>
          </w:tcPr>
          <w:p w14:paraId="250B9627">
            <w:pPr>
              <w:spacing w:line="500" w:lineRule="exact"/>
              <w:rPr>
                <w:rFonts w:ascii="宋体" w:hAnsi="宋体" w:cs="宋体"/>
                <w:color w:val="auto"/>
                <w:szCs w:val="21"/>
                <w:highlight w:val="none"/>
              </w:rPr>
            </w:pPr>
            <w:r>
              <w:rPr>
                <w:rFonts w:hint="eastAsia" w:ascii="宋体" w:hAnsi="宋体" w:cs="宋体"/>
                <w:color w:val="auto"/>
                <w:szCs w:val="21"/>
                <w:highlight w:val="none"/>
              </w:rPr>
              <w:t>（2）具有独立承担民事责任能力及相应供货能力的生产厂家</w:t>
            </w:r>
          </w:p>
        </w:tc>
        <w:tc>
          <w:tcPr>
            <w:tcW w:w="3176" w:type="dxa"/>
            <w:vAlign w:val="center"/>
          </w:tcPr>
          <w:p w14:paraId="4DACB031">
            <w:pPr>
              <w:spacing w:line="500" w:lineRule="exact"/>
              <w:rPr>
                <w:rFonts w:hint="eastAsia" w:ascii="宋体" w:hAnsi="宋体" w:cs="宋体"/>
                <w:color w:val="auto"/>
                <w:szCs w:val="21"/>
                <w:highlight w:val="none"/>
              </w:rPr>
            </w:pPr>
            <w:r>
              <w:rPr>
                <w:rFonts w:hint="eastAsia" w:ascii="宋体" w:hAnsi="宋体" w:cs="宋体"/>
                <w:b/>
                <w:color w:val="auto"/>
                <w:szCs w:val="21"/>
                <w:highlight w:val="none"/>
              </w:rPr>
              <w:t>评审核验电子标书中的下列证书、证明材料：</w:t>
            </w:r>
            <w:r>
              <w:rPr>
                <w:rFonts w:hint="eastAsia" w:ascii="宋体" w:hAnsi="宋体" w:cs="宋体"/>
                <w:color w:val="auto"/>
                <w:szCs w:val="21"/>
                <w:highlight w:val="none"/>
              </w:rPr>
              <w:t>投标人有效的营业执照（或“三证合一证书”）</w:t>
            </w:r>
          </w:p>
        </w:tc>
      </w:tr>
      <w:tr w14:paraId="492B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20" w:type="dxa"/>
            <w:vMerge w:val="continue"/>
            <w:vAlign w:val="center"/>
          </w:tcPr>
          <w:p w14:paraId="4B74D6EA">
            <w:pPr>
              <w:spacing w:line="500" w:lineRule="exact"/>
              <w:jc w:val="center"/>
              <w:rPr>
                <w:rFonts w:ascii="宋体" w:hAnsi="宋体" w:cs="宋体"/>
                <w:color w:val="auto"/>
                <w:szCs w:val="21"/>
                <w:highlight w:val="none"/>
              </w:rPr>
            </w:pPr>
          </w:p>
        </w:tc>
        <w:tc>
          <w:tcPr>
            <w:tcW w:w="1725" w:type="dxa"/>
            <w:vMerge w:val="continue"/>
            <w:vAlign w:val="center"/>
          </w:tcPr>
          <w:p w14:paraId="60F3040E">
            <w:pPr>
              <w:spacing w:line="500" w:lineRule="exact"/>
              <w:rPr>
                <w:rFonts w:ascii="宋体" w:hAnsi="宋体" w:cs="宋体"/>
                <w:color w:val="auto"/>
                <w:szCs w:val="21"/>
                <w:highlight w:val="none"/>
              </w:rPr>
            </w:pPr>
          </w:p>
        </w:tc>
        <w:tc>
          <w:tcPr>
            <w:tcW w:w="4305" w:type="dxa"/>
            <w:vAlign w:val="center"/>
          </w:tcPr>
          <w:p w14:paraId="6ADF7C06">
            <w:pPr>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）诚信投标承诺书或公共信用信息报告（无违法违规证明版或核查版）</w:t>
            </w:r>
          </w:p>
        </w:tc>
        <w:tc>
          <w:tcPr>
            <w:tcW w:w="3176" w:type="dxa"/>
            <w:vAlign w:val="center"/>
          </w:tcPr>
          <w:p w14:paraId="246275A6">
            <w:pPr>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格式见附件，检验电子标书</w:t>
            </w:r>
          </w:p>
        </w:tc>
      </w:tr>
    </w:tbl>
    <w:p w14:paraId="123E2869">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3.2资格审查材料必须上传到投标人系统-安徽省公共资源交易市场主体库中对应栏目，制作资格审查文件时插上CA数字证书，从投标企业注册信息中挑选相关材料。若所需材料无对应栏目，则将该材料上传至“其他投标用证明材料”里或电子投标文件对应栏中，做电子投标文件时从“其他所需材料”里获取。请各投标人位自行完善主体库管理中的单位信息，保证信息最新且有效。</w:t>
      </w:r>
    </w:p>
    <w:p w14:paraId="38996DA5">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3.3如评标专家在检验电子投标文件过程中，如果由于投标人自身原因导致评标专家无法查看并检验电子投标文件中相关资料的，否决其投标。即使投标人将原件携带至现场的，同样按否决投标处理。</w:t>
      </w:r>
    </w:p>
    <w:p w14:paraId="7BDB207C">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4.符合性审查</w:t>
      </w:r>
    </w:p>
    <w:p w14:paraId="527D650B">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4.1评审细则</w:t>
      </w:r>
    </w:p>
    <w:tbl>
      <w:tblPr>
        <w:tblStyle w:val="35"/>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91"/>
      </w:tblGrid>
      <w:tr w14:paraId="752B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vAlign w:val="center"/>
          </w:tcPr>
          <w:p w14:paraId="49993AC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vAlign w:val="center"/>
          </w:tcPr>
          <w:p w14:paraId="1BB32DA0">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审查因素</w:t>
            </w:r>
          </w:p>
        </w:tc>
        <w:tc>
          <w:tcPr>
            <w:tcW w:w="4691" w:type="dxa"/>
            <w:vAlign w:val="center"/>
          </w:tcPr>
          <w:p w14:paraId="5636289F">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r>
      <w:tr w14:paraId="5340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vAlign w:val="center"/>
          </w:tcPr>
          <w:p w14:paraId="261A689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vAlign w:val="center"/>
          </w:tcPr>
          <w:p w14:paraId="46BA2FFD">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vAlign w:val="center"/>
          </w:tcPr>
          <w:p w14:paraId="502EC2BF">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91" w:type="dxa"/>
            <w:vAlign w:val="center"/>
          </w:tcPr>
          <w:p w14:paraId="1233601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p w14:paraId="46F2E478">
            <w:pPr>
              <w:spacing w:line="500" w:lineRule="exact"/>
              <w:jc w:val="left"/>
              <w:rPr>
                <w:rFonts w:ascii="宋体" w:hAnsi="宋体" w:cs="宋体"/>
                <w:color w:val="auto"/>
                <w:szCs w:val="21"/>
                <w:highlight w:val="none"/>
              </w:rPr>
            </w:pPr>
            <w:r>
              <w:rPr>
                <w:rFonts w:hint="eastAsia" w:ascii="宋体" w:hAnsi="宋体" w:cs="宋体"/>
                <w:b/>
                <w:bCs/>
                <w:color w:val="auto"/>
                <w:szCs w:val="21"/>
                <w:highlight w:val="none"/>
                <w:lang w:val="zh-CN"/>
              </w:rPr>
              <w:t>（</w:t>
            </w:r>
            <w:r>
              <w:rPr>
                <w:rFonts w:hint="eastAsia" w:ascii="宋体" w:hAnsi="宋体" w:cs="宋体"/>
                <w:b/>
                <w:bCs/>
                <w:color w:val="auto"/>
                <w:szCs w:val="21"/>
                <w:highlight w:val="none"/>
              </w:rPr>
              <w:t>注：技术标采用暗标，无需签字、盖章）</w:t>
            </w:r>
          </w:p>
        </w:tc>
      </w:tr>
      <w:tr w14:paraId="1352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vAlign w:val="center"/>
          </w:tcPr>
          <w:p w14:paraId="764D7A21">
            <w:pPr>
              <w:spacing w:line="500" w:lineRule="exact"/>
              <w:jc w:val="left"/>
              <w:rPr>
                <w:rFonts w:ascii="宋体" w:hAnsi="宋体" w:cs="宋体"/>
                <w:color w:val="auto"/>
                <w:szCs w:val="21"/>
                <w:highlight w:val="none"/>
              </w:rPr>
            </w:pPr>
          </w:p>
        </w:tc>
        <w:tc>
          <w:tcPr>
            <w:tcW w:w="1318" w:type="dxa"/>
            <w:vMerge w:val="continue"/>
            <w:vAlign w:val="center"/>
          </w:tcPr>
          <w:p w14:paraId="441C4D06">
            <w:pPr>
              <w:spacing w:line="500" w:lineRule="exact"/>
              <w:jc w:val="left"/>
              <w:rPr>
                <w:rFonts w:ascii="宋体" w:hAnsi="宋体" w:cs="宋体"/>
                <w:color w:val="auto"/>
                <w:szCs w:val="21"/>
                <w:highlight w:val="none"/>
              </w:rPr>
            </w:pPr>
          </w:p>
        </w:tc>
        <w:tc>
          <w:tcPr>
            <w:tcW w:w="2931" w:type="dxa"/>
            <w:vAlign w:val="center"/>
          </w:tcPr>
          <w:p w14:paraId="4A99E96A">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91" w:type="dxa"/>
            <w:vAlign w:val="center"/>
          </w:tcPr>
          <w:p w14:paraId="0FB08359">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1077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vAlign w:val="center"/>
          </w:tcPr>
          <w:p w14:paraId="61EAC2E2">
            <w:pPr>
              <w:spacing w:line="500" w:lineRule="exact"/>
              <w:jc w:val="left"/>
              <w:rPr>
                <w:rFonts w:ascii="宋体" w:hAnsi="宋体" w:cs="宋体"/>
                <w:color w:val="auto"/>
                <w:szCs w:val="21"/>
                <w:highlight w:val="none"/>
              </w:rPr>
            </w:pPr>
          </w:p>
        </w:tc>
        <w:tc>
          <w:tcPr>
            <w:tcW w:w="1318" w:type="dxa"/>
            <w:vMerge w:val="continue"/>
            <w:vAlign w:val="center"/>
          </w:tcPr>
          <w:p w14:paraId="7B55FFD7">
            <w:pPr>
              <w:spacing w:line="500" w:lineRule="exact"/>
              <w:jc w:val="left"/>
              <w:rPr>
                <w:rFonts w:ascii="宋体" w:hAnsi="宋体" w:cs="宋体"/>
                <w:color w:val="auto"/>
                <w:szCs w:val="21"/>
                <w:highlight w:val="none"/>
              </w:rPr>
            </w:pPr>
          </w:p>
        </w:tc>
        <w:tc>
          <w:tcPr>
            <w:tcW w:w="2931" w:type="dxa"/>
            <w:vAlign w:val="center"/>
          </w:tcPr>
          <w:p w14:paraId="2FC4410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rPr>
              <w:t>（3）报价唯一</w:t>
            </w:r>
          </w:p>
        </w:tc>
        <w:tc>
          <w:tcPr>
            <w:tcW w:w="4691" w:type="dxa"/>
            <w:vAlign w:val="center"/>
          </w:tcPr>
          <w:p w14:paraId="5836F0F4">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724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vAlign w:val="center"/>
          </w:tcPr>
          <w:p w14:paraId="23FACB2B">
            <w:pPr>
              <w:spacing w:line="500" w:lineRule="exact"/>
              <w:jc w:val="left"/>
              <w:rPr>
                <w:rFonts w:ascii="宋体" w:hAnsi="宋体" w:cs="宋体"/>
                <w:color w:val="auto"/>
                <w:szCs w:val="21"/>
                <w:highlight w:val="none"/>
              </w:rPr>
            </w:pPr>
          </w:p>
        </w:tc>
        <w:tc>
          <w:tcPr>
            <w:tcW w:w="1318" w:type="dxa"/>
            <w:vMerge w:val="continue"/>
            <w:vAlign w:val="center"/>
          </w:tcPr>
          <w:p w14:paraId="6583FAB9">
            <w:pPr>
              <w:spacing w:line="500" w:lineRule="exact"/>
              <w:jc w:val="left"/>
              <w:rPr>
                <w:rFonts w:ascii="宋体" w:hAnsi="宋体" w:cs="宋体"/>
                <w:color w:val="auto"/>
                <w:szCs w:val="21"/>
                <w:highlight w:val="none"/>
              </w:rPr>
            </w:pPr>
          </w:p>
        </w:tc>
        <w:tc>
          <w:tcPr>
            <w:tcW w:w="2931" w:type="dxa"/>
            <w:vAlign w:val="center"/>
          </w:tcPr>
          <w:p w14:paraId="0EAC31BB">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91" w:type="dxa"/>
            <w:vAlign w:val="center"/>
          </w:tcPr>
          <w:p w14:paraId="03C2CD6F">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66C7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vAlign w:val="center"/>
          </w:tcPr>
          <w:p w14:paraId="4A214BA0">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vAlign w:val="center"/>
          </w:tcPr>
          <w:p w14:paraId="722171E1">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vAlign w:val="center"/>
          </w:tcPr>
          <w:p w14:paraId="700ED12B">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91" w:type="dxa"/>
            <w:vAlign w:val="center"/>
          </w:tcPr>
          <w:p w14:paraId="6DB713DE">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网上递交的电子投标文件：一份； </w:t>
            </w:r>
          </w:p>
        </w:tc>
      </w:tr>
      <w:tr w14:paraId="2234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vAlign w:val="center"/>
          </w:tcPr>
          <w:p w14:paraId="64861DC6">
            <w:pPr>
              <w:spacing w:line="500" w:lineRule="exact"/>
              <w:jc w:val="left"/>
              <w:rPr>
                <w:rFonts w:ascii="宋体" w:hAnsi="宋体" w:cs="宋体"/>
                <w:color w:val="auto"/>
                <w:szCs w:val="21"/>
                <w:highlight w:val="none"/>
              </w:rPr>
            </w:pPr>
          </w:p>
        </w:tc>
        <w:tc>
          <w:tcPr>
            <w:tcW w:w="1318" w:type="dxa"/>
            <w:vMerge w:val="continue"/>
            <w:vAlign w:val="center"/>
          </w:tcPr>
          <w:p w14:paraId="50DA4CEC">
            <w:pPr>
              <w:spacing w:line="500" w:lineRule="exact"/>
              <w:jc w:val="left"/>
              <w:rPr>
                <w:rFonts w:ascii="宋体" w:hAnsi="宋体" w:cs="宋体"/>
                <w:color w:val="auto"/>
                <w:szCs w:val="21"/>
                <w:highlight w:val="none"/>
              </w:rPr>
            </w:pPr>
          </w:p>
        </w:tc>
        <w:tc>
          <w:tcPr>
            <w:tcW w:w="2931" w:type="dxa"/>
            <w:vAlign w:val="center"/>
          </w:tcPr>
          <w:p w14:paraId="1F54978E">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91" w:type="dxa"/>
            <w:vAlign w:val="center"/>
          </w:tcPr>
          <w:p w14:paraId="2318CAEB">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2035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vAlign w:val="center"/>
          </w:tcPr>
          <w:p w14:paraId="72B7DC37">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vAlign w:val="center"/>
          </w:tcPr>
          <w:p w14:paraId="1F445382">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vAlign w:val="center"/>
          </w:tcPr>
          <w:p w14:paraId="2E4E2EA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91" w:type="dxa"/>
            <w:vAlign w:val="center"/>
          </w:tcPr>
          <w:p w14:paraId="0E56B08C">
            <w:pPr>
              <w:spacing w:line="500" w:lineRule="exact"/>
              <w:jc w:val="left"/>
              <w:rPr>
                <w:rFonts w:ascii="宋体" w:hAnsi="宋体" w:cs="宋体"/>
                <w:color w:val="auto"/>
                <w:highlight w:val="none"/>
              </w:rPr>
            </w:pPr>
            <w:r>
              <w:rPr>
                <w:rFonts w:hint="eastAsia" w:ascii="宋体" w:hAnsi="宋体" w:cs="宋体"/>
                <w:color w:val="auto"/>
                <w:highlight w:val="none"/>
              </w:rPr>
              <w:t>最大限度响应</w:t>
            </w:r>
            <w:r>
              <w:rPr>
                <w:rFonts w:hint="eastAsia" w:ascii="宋体" w:hAnsi="宋体" w:cs="宋体"/>
                <w:color w:val="auto"/>
                <w:highlight w:val="none"/>
                <w:lang w:val="zh-CN"/>
              </w:rPr>
              <w:t>招标文件要求。</w:t>
            </w:r>
          </w:p>
        </w:tc>
      </w:tr>
      <w:tr w14:paraId="7144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vAlign w:val="center"/>
          </w:tcPr>
          <w:p w14:paraId="35C235CD">
            <w:pPr>
              <w:spacing w:line="500" w:lineRule="exact"/>
              <w:jc w:val="left"/>
              <w:rPr>
                <w:rFonts w:ascii="宋体" w:hAnsi="宋体" w:cs="宋体"/>
                <w:color w:val="auto"/>
                <w:szCs w:val="21"/>
                <w:highlight w:val="none"/>
              </w:rPr>
            </w:pPr>
          </w:p>
        </w:tc>
        <w:tc>
          <w:tcPr>
            <w:tcW w:w="1318" w:type="dxa"/>
            <w:vMerge w:val="continue"/>
            <w:vAlign w:val="center"/>
          </w:tcPr>
          <w:p w14:paraId="71B07229">
            <w:pPr>
              <w:spacing w:line="500" w:lineRule="exact"/>
              <w:jc w:val="left"/>
              <w:rPr>
                <w:rFonts w:ascii="宋体" w:hAnsi="宋体" w:cs="宋体"/>
                <w:color w:val="auto"/>
                <w:szCs w:val="21"/>
                <w:highlight w:val="none"/>
              </w:rPr>
            </w:pPr>
          </w:p>
        </w:tc>
        <w:tc>
          <w:tcPr>
            <w:tcW w:w="2931" w:type="dxa"/>
            <w:vAlign w:val="center"/>
          </w:tcPr>
          <w:p w14:paraId="0CCC0804">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（8）商务条款响应程度（包括不限于业绩、</w:t>
            </w:r>
            <w:r>
              <w:rPr>
                <w:rFonts w:hint="eastAsia" w:ascii="宋体" w:hAnsi="宋体" w:cs="宋体"/>
                <w:color w:val="auto"/>
                <w:szCs w:val="21"/>
                <w:highlight w:val="none"/>
              </w:rPr>
              <w:t>供货</w:t>
            </w:r>
            <w:r>
              <w:rPr>
                <w:rFonts w:hint="eastAsia" w:ascii="宋体" w:hAnsi="宋体" w:cs="宋体"/>
                <w:color w:val="auto"/>
                <w:szCs w:val="21"/>
                <w:highlight w:val="none"/>
                <w:lang w:val="zh-CN"/>
              </w:rPr>
              <w:t>期、售后服务、技术培训等）</w:t>
            </w:r>
          </w:p>
        </w:tc>
        <w:tc>
          <w:tcPr>
            <w:tcW w:w="4691" w:type="dxa"/>
            <w:vAlign w:val="center"/>
          </w:tcPr>
          <w:p w14:paraId="68A084F6">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响应招标文件要求。</w:t>
            </w:r>
          </w:p>
        </w:tc>
      </w:tr>
    </w:tbl>
    <w:p w14:paraId="7B8E1F03">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4.2资格审查及评分细则中涉及的有关证明材料及相关证书，电子投标文件中须按招标文件要求上传</w:t>
      </w:r>
      <w:r>
        <w:rPr>
          <w:rFonts w:hint="eastAsia" w:ascii="宋体" w:hAnsi="宋体" w:cs="宋体"/>
          <w:b/>
          <w:color w:val="auto"/>
          <w:szCs w:val="21"/>
          <w:highlight w:val="none"/>
        </w:rPr>
        <w:t>扫描件</w:t>
      </w:r>
      <w:r>
        <w:rPr>
          <w:rFonts w:hint="eastAsia" w:ascii="宋体" w:hAnsi="宋体" w:cs="宋体"/>
          <w:color w:val="auto"/>
          <w:szCs w:val="21"/>
          <w:highlight w:val="none"/>
        </w:rPr>
        <w:t>，以供审查。</w:t>
      </w:r>
    </w:p>
    <w:p w14:paraId="36F088EC">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164ED9C0">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059EDE82">
      <w:pP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4.5投标人可在现场20分钟内对评标委员会的评审结论提出质疑，评标委员会根据招标文件及有关规定对投标人的质疑进行复议。</w:t>
      </w:r>
    </w:p>
    <w:p w14:paraId="6BC8ADE2">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4.6只有通过初审的投标人才能进入下一步程序。</w:t>
      </w:r>
    </w:p>
    <w:p w14:paraId="03D92F18">
      <w:pPr>
        <w:spacing w:line="500" w:lineRule="exact"/>
        <w:ind w:right="36" w:rightChars="17"/>
        <w:jc w:val="left"/>
        <w:rPr>
          <w:rFonts w:ascii="宋体" w:hAnsi="宋体" w:cs="宋体"/>
          <w:b/>
          <w:color w:val="auto"/>
          <w:szCs w:val="21"/>
          <w:highlight w:val="none"/>
        </w:rPr>
      </w:pPr>
      <w:r>
        <w:rPr>
          <w:rFonts w:hint="eastAsia" w:ascii="宋体" w:hAnsi="宋体" w:cs="宋体"/>
          <w:b/>
          <w:color w:val="auto"/>
          <w:szCs w:val="21"/>
          <w:highlight w:val="none"/>
        </w:rPr>
        <w:t>温馨提示：1.请各投标人自行完善安徽省公共资源交易市场主体库中的单位基本信息，保证信息最新且有效。</w:t>
      </w:r>
    </w:p>
    <w:p w14:paraId="756039F1">
      <w:pPr>
        <w:spacing w:line="500" w:lineRule="exact"/>
        <w:ind w:right="36" w:rightChars="17"/>
        <w:jc w:val="left"/>
        <w:rPr>
          <w:rFonts w:ascii="宋体" w:hAnsi="宋体" w:cs="宋体"/>
          <w:color w:val="auto"/>
          <w:szCs w:val="21"/>
          <w:highlight w:val="none"/>
        </w:rPr>
      </w:pPr>
      <w:r>
        <w:rPr>
          <w:rFonts w:hint="eastAsia" w:ascii="宋体" w:hAnsi="宋体" w:cs="宋体"/>
          <w:b/>
          <w:color w:val="auto"/>
          <w:szCs w:val="21"/>
          <w:highlight w:val="none"/>
        </w:rPr>
        <w:t>2.投标文件资格审查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64E50E4C">
      <w:pPr>
        <w:spacing w:before="156" w:beforeLines="50" w:after="156" w:afterLines="50"/>
        <w:jc w:val="center"/>
        <w:outlineLvl w:val="1"/>
        <w:rPr>
          <w:rFonts w:ascii="宋体"/>
          <w:b/>
          <w:color w:val="auto"/>
          <w:sz w:val="28"/>
          <w:szCs w:val="28"/>
          <w:highlight w:val="none"/>
        </w:rPr>
      </w:pPr>
      <w:bookmarkStart w:id="67" w:name="_Toc449028879"/>
      <w:bookmarkStart w:id="68" w:name="_Toc362983803"/>
      <w:bookmarkStart w:id="69" w:name="_Toc58430319"/>
      <w:bookmarkStart w:id="70" w:name="_Toc14002"/>
      <w:r>
        <w:rPr>
          <w:rFonts w:hint="eastAsia" w:ascii="宋体"/>
          <w:b/>
          <w:color w:val="auto"/>
          <w:sz w:val="28"/>
          <w:szCs w:val="28"/>
          <w:highlight w:val="none"/>
        </w:rPr>
        <w:t>三、投标文件的澄清和补正</w:t>
      </w:r>
      <w:bookmarkEnd w:id="67"/>
      <w:bookmarkEnd w:id="68"/>
      <w:bookmarkEnd w:id="69"/>
      <w:bookmarkEnd w:id="70"/>
    </w:p>
    <w:p w14:paraId="4954B7C1">
      <w:pP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55EC0638">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书的范围或者改变投标书的实质性内容。具体操作方法详见服务指南&gt;交易须知&gt;开标大厅远程解密、质疑(异议)及回复以及评标过程中询标流程操作手册。</w:t>
      </w:r>
    </w:p>
    <w:p w14:paraId="78544B74">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5.3评委会修正错误的原则：</w:t>
      </w:r>
    </w:p>
    <w:p w14:paraId="1AF6DFCE">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565C6525">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45A64345">
      <w:pPr>
        <w:spacing w:line="500" w:lineRule="exact"/>
        <w:ind w:right="36" w:rightChars="17" w:firstLine="403" w:firstLineChars="192"/>
        <w:jc w:val="left"/>
        <w:rPr>
          <w:rFonts w:ascii="宋体" w:hAnsi="宋体" w:cs="宋体"/>
          <w:color w:val="auto"/>
          <w:szCs w:val="21"/>
          <w:highlight w:val="none"/>
        </w:rPr>
      </w:pPr>
      <w:r>
        <w:rPr>
          <w:rFonts w:hint="eastAsia" w:ascii="宋体" w:hAnsi="宋体" w:cs="宋体"/>
          <w:color w:val="auto"/>
          <w:szCs w:val="21"/>
          <w:highlight w:val="none"/>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62"/>
    <w:p w14:paraId="675FCDA9">
      <w:pPr>
        <w:spacing w:before="156" w:beforeLines="50" w:after="156" w:afterLines="50"/>
        <w:jc w:val="center"/>
        <w:outlineLvl w:val="1"/>
        <w:rPr>
          <w:rFonts w:ascii="宋体"/>
          <w:b/>
          <w:color w:val="auto"/>
          <w:sz w:val="28"/>
          <w:szCs w:val="28"/>
          <w:highlight w:val="none"/>
        </w:rPr>
      </w:pPr>
      <w:bookmarkStart w:id="71" w:name="_Toc58430320"/>
      <w:bookmarkStart w:id="72" w:name="_Toc3630"/>
      <w:bookmarkStart w:id="73" w:name="_Toc449028880"/>
      <w:bookmarkStart w:id="74" w:name="_Hlk101517174"/>
      <w:r>
        <w:rPr>
          <w:rFonts w:hint="eastAsia" w:ascii="宋体"/>
          <w:b/>
          <w:color w:val="auto"/>
          <w:sz w:val="28"/>
          <w:szCs w:val="28"/>
          <w:highlight w:val="none"/>
        </w:rPr>
        <w:t>四、比较与评价</w:t>
      </w:r>
      <w:bookmarkEnd w:id="71"/>
      <w:bookmarkEnd w:id="72"/>
      <w:bookmarkEnd w:id="73"/>
    </w:p>
    <w:p w14:paraId="79EB45B1">
      <w:pPr>
        <w:spacing w:line="500" w:lineRule="exact"/>
        <w:ind w:right="36" w:rightChars="17" w:firstLine="417" w:firstLineChars="198"/>
        <w:jc w:val="left"/>
        <w:rPr>
          <w:rFonts w:ascii="宋体" w:hAnsi="宋体" w:cs="宋体"/>
          <w:b/>
          <w:color w:val="auto"/>
          <w:szCs w:val="21"/>
          <w:highlight w:val="none"/>
        </w:rPr>
      </w:pPr>
      <w:r>
        <w:rPr>
          <w:rFonts w:hint="eastAsia" w:ascii="宋体" w:hAnsi="宋体" w:cs="宋体"/>
          <w:b/>
          <w:color w:val="auto"/>
          <w:szCs w:val="21"/>
          <w:highlight w:val="none"/>
        </w:rPr>
        <w:t xml:space="preserve"> 6.</w:t>
      </w:r>
      <w:bookmarkStart w:id="75" w:name="_Toc362983805"/>
      <w:r>
        <w:rPr>
          <w:rFonts w:hint="eastAsia" w:ascii="宋体" w:hAnsi="宋体" w:cs="宋体"/>
          <w:b/>
          <w:color w:val="auto"/>
          <w:szCs w:val="21"/>
          <w:highlight w:val="none"/>
        </w:rPr>
        <w:t>详细评审即按招标文件中规定的评标方法和标准，评标委员会将对通过初审的投标文件，进行资信、技术和商务部分评估、综合比较与评价。</w:t>
      </w:r>
    </w:p>
    <w:p w14:paraId="507F3F37">
      <w:pPr>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6.1资信标评分细则（</w:t>
      </w:r>
      <w:r>
        <w:rPr>
          <w:rFonts w:hint="eastAsia" w:ascii="宋体" w:hAnsi="宋体" w:cs="宋体"/>
          <w:b/>
          <w:bCs/>
          <w:color w:val="auto"/>
          <w:szCs w:val="21"/>
          <w:highlight w:val="none"/>
          <w:lang w:val="en-US" w:eastAsia="zh-CN"/>
        </w:rPr>
        <w:t>60</w:t>
      </w:r>
      <w:r>
        <w:rPr>
          <w:rFonts w:hint="eastAsia" w:ascii="宋体" w:hAnsi="宋体" w:cs="宋体"/>
          <w:b/>
          <w:bCs/>
          <w:color w:val="auto"/>
          <w:szCs w:val="21"/>
          <w:highlight w:val="none"/>
        </w:rPr>
        <w:t>分）</w:t>
      </w:r>
    </w:p>
    <w:tbl>
      <w:tblPr>
        <w:tblStyle w:val="35"/>
        <w:tblW w:w="10192"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5"/>
        <w:gridCol w:w="900"/>
        <w:gridCol w:w="7350"/>
      </w:tblGrid>
      <w:tr w14:paraId="4274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AFFA01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45" w:type="dxa"/>
            <w:vAlign w:val="center"/>
          </w:tcPr>
          <w:p w14:paraId="344AE4B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900" w:type="dxa"/>
            <w:vAlign w:val="center"/>
          </w:tcPr>
          <w:p w14:paraId="0645DDE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7350" w:type="dxa"/>
            <w:vAlign w:val="center"/>
          </w:tcPr>
          <w:p w14:paraId="1B2CBC0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14:paraId="301A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DC0351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1245" w:type="dxa"/>
            <w:vAlign w:val="center"/>
          </w:tcPr>
          <w:p w14:paraId="088A3DA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企业认证</w:t>
            </w:r>
          </w:p>
        </w:tc>
        <w:tc>
          <w:tcPr>
            <w:tcW w:w="900" w:type="dxa"/>
            <w:vAlign w:val="center"/>
          </w:tcPr>
          <w:p w14:paraId="5481C46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12分</w:t>
            </w:r>
          </w:p>
        </w:tc>
        <w:tc>
          <w:tcPr>
            <w:tcW w:w="7350" w:type="dxa"/>
            <w:vAlign w:val="center"/>
          </w:tcPr>
          <w:p w14:paraId="77C198D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投标人具有经中国国家认证认可监督管理委员会认证机构颁发的质量管理体系认证证书、职业健康安全管理体系认证证书、环境管理体系认证证书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每提供一个证书得4分，满分12分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投标文件中</w:t>
            </w:r>
            <w:r>
              <w:rPr>
                <w:rFonts w:hint="eastAsia" w:ascii="宋体" w:hAnsi="宋体" w:eastAsia="宋体" w:cs="宋体"/>
                <w:b/>
                <w:bCs/>
                <w:color w:val="auto"/>
                <w:sz w:val="21"/>
                <w:szCs w:val="21"/>
                <w:highlight w:val="none"/>
                <w:lang w:val="en-US" w:eastAsia="zh-CN"/>
              </w:rPr>
              <w:t>须</w:t>
            </w:r>
            <w:r>
              <w:rPr>
                <w:rFonts w:hint="eastAsia" w:ascii="宋体" w:hAnsi="宋体" w:eastAsia="宋体" w:cs="宋体"/>
                <w:b/>
                <w:bCs/>
                <w:color w:val="auto"/>
                <w:sz w:val="21"/>
                <w:szCs w:val="21"/>
                <w:highlight w:val="none"/>
              </w:rPr>
              <w:t>同时提供证书（证书获得单位名称必须与投标单位完全一致，并在有效期内）扫描件和在国家认证认可监督管理委员会网站全国认证认可信息公共服务平台的查询截图。</w:t>
            </w:r>
            <w:r>
              <w:rPr>
                <w:rFonts w:hint="eastAsia" w:ascii="宋体" w:hAnsi="宋体" w:eastAsia="宋体" w:cs="宋体"/>
                <w:color w:val="auto"/>
                <w:sz w:val="21"/>
                <w:szCs w:val="21"/>
                <w:highlight w:val="none"/>
                <w:lang w:eastAsia="zh-CN"/>
              </w:rPr>
              <w:t>）</w:t>
            </w:r>
          </w:p>
        </w:tc>
      </w:tr>
      <w:tr w14:paraId="477D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4214DB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245" w:type="dxa"/>
            <w:vAlign w:val="center"/>
          </w:tcPr>
          <w:p w14:paraId="5DEA779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检测报告</w:t>
            </w:r>
          </w:p>
        </w:tc>
        <w:tc>
          <w:tcPr>
            <w:tcW w:w="900" w:type="dxa"/>
            <w:vAlign w:val="center"/>
          </w:tcPr>
          <w:p w14:paraId="42A8175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9分</w:t>
            </w:r>
          </w:p>
        </w:tc>
        <w:tc>
          <w:tcPr>
            <w:tcW w:w="7350" w:type="dxa"/>
            <w:vAlign w:val="center"/>
          </w:tcPr>
          <w:p w14:paraId="5146F701">
            <w:pPr>
              <w:pStyle w:val="131"/>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70" w:right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1.所投产品具有国家级相关检测资质的检测单位出具的《产品质量检测报告》（2</w:t>
            </w:r>
            <w:r>
              <w:rPr>
                <w:rFonts w:hint="eastAsia" w:cs="宋体"/>
                <w:color w:val="auto"/>
                <w:kern w:val="2"/>
                <w:sz w:val="21"/>
                <w:szCs w:val="21"/>
                <w:highlight w:val="none"/>
                <w:lang w:val="en-US" w:eastAsia="zh-CN" w:bidi="ar-SA"/>
              </w:rPr>
              <w:t>023</w:t>
            </w:r>
            <w:r>
              <w:rPr>
                <w:rFonts w:hint="eastAsia" w:ascii="宋体" w:hAnsi="宋体" w:eastAsia="宋体" w:cs="宋体"/>
                <w:color w:val="auto"/>
                <w:kern w:val="2"/>
                <w:sz w:val="21"/>
                <w:szCs w:val="21"/>
                <w:highlight w:val="none"/>
                <w:lang w:val="en-US" w:eastAsia="zh-CN" w:bidi="ar-SA"/>
              </w:rPr>
              <w:t xml:space="preserve"> 年度及以后）得9分；</w:t>
            </w:r>
          </w:p>
          <w:p w14:paraId="1664E96A">
            <w:pPr>
              <w:pStyle w:val="131"/>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70" w:right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2.所投产品具有省级相关检测资质的检测单位出具的《产品质量检测报告》（2</w:t>
            </w:r>
            <w:r>
              <w:rPr>
                <w:rFonts w:hint="eastAsia" w:cs="宋体"/>
                <w:color w:val="auto"/>
                <w:kern w:val="2"/>
                <w:sz w:val="21"/>
                <w:szCs w:val="21"/>
                <w:highlight w:val="none"/>
                <w:lang w:val="en-US" w:eastAsia="zh-CN" w:bidi="ar-SA"/>
              </w:rPr>
              <w:t>023</w:t>
            </w:r>
            <w:r>
              <w:rPr>
                <w:rFonts w:hint="eastAsia" w:ascii="宋体" w:hAnsi="宋体" w:eastAsia="宋体" w:cs="宋体"/>
                <w:color w:val="auto"/>
                <w:kern w:val="2"/>
                <w:sz w:val="21"/>
                <w:szCs w:val="21"/>
                <w:highlight w:val="none"/>
                <w:lang w:val="en-US" w:eastAsia="zh-CN" w:bidi="ar-SA"/>
              </w:rPr>
              <w:t xml:space="preserve"> 年度及以后）得6分；</w:t>
            </w:r>
          </w:p>
          <w:p w14:paraId="57BA99A2">
            <w:pPr>
              <w:pStyle w:val="131"/>
              <w:keepNext w:val="0"/>
              <w:keepLines w:val="0"/>
              <w:pageBreakBefore w:val="0"/>
              <w:widowControl w:val="0"/>
              <w:kinsoku/>
              <w:wordWrap/>
              <w:overflowPunct/>
              <w:topLinePunct w:val="0"/>
              <w:autoSpaceDE/>
              <w:autoSpaceDN/>
              <w:bidi w:val="0"/>
              <w:adjustRightInd/>
              <w:snapToGrid/>
              <w:spacing w:line="520" w:lineRule="exact"/>
              <w:ind w:right="69"/>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3.所投产品具有市级相关检测资质的检测单位出具的《产品质量检测报告》（2</w:t>
            </w:r>
            <w:r>
              <w:rPr>
                <w:rFonts w:hint="eastAsia" w:cs="宋体"/>
                <w:color w:val="auto"/>
                <w:kern w:val="2"/>
                <w:sz w:val="21"/>
                <w:szCs w:val="21"/>
                <w:highlight w:val="none"/>
                <w:lang w:val="en-US" w:eastAsia="zh-CN" w:bidi="ar-SA"/>
              </w:rPr>
              <w:t>023</w:t>
            </w:r>
            <w:r>
              <w:rPr>
                <w:rFonts w:hint="eastAsia" w:ascii="宋体" w:hAnsi="宋体" w:eastAsia="宋体" w:cs="宋体"/>
                <w:color w:val="auto"/>
                <w:kern w:val="2"/>
                <w:sz w:val="21"/>
                <w:szCs w:val="21"/>
                <w:highlight w:val="none"/>
                <w:lang w:val="en-US" w:eastAsia="zh-CN" w:bidi="ar-SA"/>
              </w:rPr>
              <w:t xml:space="preserve"> 年度及以后）得3分；</w:t>
            </w:r>
          </w:p>
          <w:p w14:paraId="647CAC20">
            <w:pPr>
              <w:pStyle w:val="131"/>
              <w:keepNext w:val="0"/>
              <w:keepLines w:val="0"/>
              <w:pageBreakBefore w:val="0"/>
              <w:widowControl w:val="0"/>
              <w:kinsoku/>
              <w:wordWrap/>
              <w:overflowPunct/>
              <w:topLinePunct w:val="0"/>
              <w:autoSpaceDE/>
              <w:autoSpaceDN/>
              <w:bidi w:val="0"/>
              <w:adjustRightInd/>
              <w:snapToGrid/>
              <w:spacing w:line="520" w:lineRule="exact"/>
              <w:ind w:right="69"/>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4.本项目满分9分。</w:t>
            </w:r>
          </w:p>
          <w:p w14:paraId="41D6982B">
            <w:pPr>
              <w:pStyle w:val="131"/>
              <w:keepNext w:val="0"/>
              <w:keepLines w:val="0"/>
              <w:pageBreakBefore w:val="0"/>
              <w:widowControl w:val="0"/>
              <w:kinsoku/>
              <w:wordWrap/>
              <w:overflowPunct/>
              <w:topLinePunct w:val="0"/>
              <w:autoSpaceDE/>
              <w:autoSpaceDN/>
              <w:bidi w:val="0"/>
              <w:adjustRightInd/>
              <w:snapToGrid/>
              <w:spacing w:line="520" w:lineRule="exact"/>
              <w:ind w:right="69"/>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（投标文件中须提供检测报告扫描件（提供本次采购清单中任意两个规格产品的检测报告即可，产品压力等级可以大于本次采购要求。）</w:t>
            </w:r>
          </w:p>
        </w:tc>
      </w:tr>
      <w:tr w14:paraId="0226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697" w:type="dxa"/>
            <w:vAlign w:val="center"/>
          </w:tcPr>
          <w:p w14:paraId="00CFACA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1245" w:type="dxa"/>
            <w:vAlign w:val="center"/>
          </w:tcPr>
          <w:p w14:paraId="1D58E63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企业实力</w:t>
            </w:r>
          </w:p>
        </w:tc>
        <w:tc>
          <w:tcPr>
            <w:tcW w:w="900" w:type="dxa"/>
            <w:vAlign w:val="center"/>
          </w:tcPr>
          <w:p w14:paraId="410C4EC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19分</w:t>
            </w:r>
          </w:p>
        </w:tc>
        <w:tc>
          <w:tcPr>
            <w:tcW w:w="7350" w:type="dxa"/>
            <w:vAlign w:val="center"/>
          </w:tcPr>
          <w:p w14:paraId="3E9B7CD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自20</w:t>
            </w:r>
            <w:r>
              <w:rPr>
                <w:rFonts w:hint="eastAsia" w:ascii="宋体" w:hAnsi="宋体" w:cs="宋体"/>
                <w:color w:val="auto"/>
                <w:kern w:val="2"/>
                <w:sz w:val="21"/>
                <w:szCs w:val="21"/>
                <w:highlight w:val="none"/>
                <w:lang w:val="en-US" w:eastAsia="zh-CN" w:bidi="ar-SA"/>
              </w:rPr>
              <w:t>23</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日以来，投标</w:t>
            </w:r>
            <w:r>
              <w:rPr>
                <w:rFonts w:hint="eastAsia" w:ascii="宋体" w:hAnsi="宋体" w:cs="宋体"/>
                <w:color w:val="auto"/>
                <w:kern w:val="2"/>
                <w:sz w:val="21"/>
                <w:szCs w:val="21"/>
                <w:highlight w:val="none"/>
                <w:lang w:val="en-US" w:eastAsia="zh-CN" w:bidi="ar-SA"/>
              </w:rPr>
              <w:t>人</w:t>
            </w:r>
            <w:r>
              <w:rPr>
                <w:rFonts w:hint="eastAsia" w:ascii="宋体" w:hAnsi="宋体" w:eastAsia="宋体" w:cs="宋体"/>
                <w:color w:val="auto"/>
                <w:kern w:val="2"/>
                <w:sz w:val="21"/>
                <w:szCs w:val="21"/>
                <w:highlight w:val="none"/>
                <w:lang w:val="en-US" w:eastAsia="zh-CN" w:bidi="ar-SA"/>
              </w:rPr>
              <w:t>（含全资的子、分公司）获得过中国合格评定国家认可委员会（CNAS）实验室认可证书的得</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，满分5分。</w:t>
            </w:r>
            <w:r>
              <w:rPr>
                <w:rFonts w:hint="eastAsia" w:ascii="宋体" w:hAnsi="宋体" w:eastAsia="宋体" w:cs="宋体"/>
                <w:b/>
                <w:bCs/>
                <w:color w:val="auto"/>
                <w:kern w:val="2"/>
                <w:sz w:val="21"/>
                <w:szCs w:val="21"/>
                <w:highlight w:val="none"/>
                <w:lang w:val="en-US" w:eastAsia="zh-CN" w:bidi="ar-SA"/>
              </w:rPr>
              <w:t>（投标文件中提供有效证书扫描件）。</w:t>
            </w:r>
          </w:p>
          <w:p w14:paraId="0D4BD4C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2.管材、管件获得“新华节水产品认证”证书的得5分，满分5分。</w:t>
            </w:r>
            <w:r>
              <w:rPr>
                <w:rFonts w:hint="eastAsia" w:ascii="宋体" w:hAnsi="宋体" w:eastAsia="宋体" w:cs="宋体"/>
                <w:b/>
                <w:bCs/>
                <w:color w:val="auto"/>
                <w:kern w:val="2"/>
                <w:sz w:val="21"/>
                <w:szCs w:val="21"/>
                <w:highlight w:val="none"/>
                <w:lang w:val="en-US" w:eastAsia="zh-CN" w:bidi="ar-SA"/>
              </w:rPr>
              <w:t>（投标文件中提供有效证书扫描件）。</w:t>
            </w:r>
          </w:p>
          <w:p w14:paraId="4366AF2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3.投标人具有国家级企业技术中心研发机构的得5分，满分5分。</w:t>
            </w:r>
            <w:r>
              <w:rPr>
                <w:rFonts w:hint="eastAsia" w:ascii="宋体" w:hAnsi="宋体" w:eastAsia="宋体" w:cs="宋体"/>
                <w:b/>
                <w:bCs/>
                <w:color w:val="auto"/>
                <w:kern w:val="2"/>
                <w:sz w:val="21"/>
                <w:szCs w:val="21"/>
                <w:highlight w:val="none"/>
                <w:lang w:val="en-US" w:eastAsia="zh-CN" w:bidi="ar-SA"/>
              </w:rPr>
              <w:t>（投标文件中提供国家政府部门的批文扫描件）。</w:t>
            </w:r>
          </w:p>
          <w:p w14:paraId="39639CAE">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4.投标人（含全资的子、分公司）获得五星级售后服务体系的认证证书的得4分，满分4分。</w:t>
            </w:r>
            <w:r>
              <w:rPr>
                <w:rFonts w:hint="eastAsia" w:ascii="宋体" w:hAnsi="宋体" w:cs="宋体"/>
                <w:b/>
                <w:bCs/>
                <w:color w:val="auto"/>
                <w:kern w:val="2"/>
                <w:sz w:val="21"/>
                <w:szCs w:val="21"/>
                <w:highlight w:val="none"/>
                <w:lang w:val="en-US" w:eastAsia="zh-CN" w:bidi="ar-SA"/>
              </w:rPr>
              <w:t>（投标文件中提供证书扫描件）</w:t>
            </w:r>
          </w:p>
        </w:tc>
      </w:tr>
      <w:tr w14:paraId="3512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66DE675F">
            <w:pPr>
              <w:pStyle w:val="17"/>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245" w:type="dxa"/>
            <w:vAlign w:val="center"/>
          </w:tcPr>
          <w:p w14:paraId="3AD2736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生产能力</w:t>
            </w:r>
          </w:p>
        </w:tc>
        <w:tc>
          <w:tcPr>
            <w:tcW w:w="900" w:type="dxa"/>
            <w:vAlign w:val="center"/>
          </w:tcPr>
          <w:p w14:paraId="7224351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7350" w:type="dxa"/>
            <w:vAlign w:val="center"/>
          </w:tcPr>
          <w:p w14:paraId="61950FC7">
            <w:pPr>
              <w:pStyle w:val="131"/>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1.投标人</w:t>
            </w:r>
            <w:r>
              <w:rPr>
                <w:rFonts w:hint="eastAsia" w:cs="宋体"/>
                <w:color w:val="auto"/>
                <w:kern w:val="2"/>
                <w:sz w:val="21"/>
                <w:szCs w:val="21"/>
                <w:highlight w:val="none"/>
                <w:lang w:val="en-US" w:eastAsia="zh-CN" w:bidi="ar-SA"/>
              </w:rPr>
              <w:t>PPR</w:t>
            </w:r>
            <w:r>
              <w:rPr>
                <w:rFonts w:hint="eastAsia" w:ascii="宋体" w:hAnsi="宋体" w:eastAsia="宋体" w:cs="宋体"/>
                <w:color w:val="auto"/>
                <w:kern w:val="2"/>
                <w:sz w:val="21"/>
                <w:szCs w:val="21"/>
                <w:highlight w:val="none"/>
                <w:lang w:val="en-US" w:eastAsia="zh-CN" w:bidi="ar-SA"/>
              </w:rPr>
              <w:t xml:space="preserve">管材生产线在10条及以上的得5分；8-9条得3分；5-7条得1分；4条及以下不得分。 </w:t>
            </w:r>
          </w:p>
          <w:p w14:paraId="136AFA4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2.投标人</w:t>
            </w:r>
            <w:r>
              <w:rPr>
                <w:rFonts w:hint="eastAsia" w:ascii="宋体" w:hAnsi="宋体" w:cs="宋体"/>
                <w:color w:val="auto"/>
                <w:kern w:val="2"/>
                <w:sz w:val="21"/>
                <w:szCs w:val="21"/>
                <w:highlight w:val="none"/>
                <w:lang w:val="en-US" w:eastAsia="zh-CN" w:bidi="ar-SA"/>
              </w:rPr>
              <w:t>PPR</w:t>
            </w:r>
            <w:r>
              <w:rPr>
                <w:rFonts w:hint="eastAsia" w:ascii="宋体" w:hAnsi="宋体" w:eastAsia="宋体" w:cs="宋体"/>
                <w:color w:val="auto"/>
                <w:kern w:val="2"/>
                <w:sz w:val="21"/>
                <w:szCs w:val="21"/>
                <w:highlight w:val="none"/>
                <w:lang w:val="en-US" w:eastAsia="zh-CN" w:bidi="ar-SA"/>
              </w:rPr>
              <w:t>管材生产线具有DN</w:t>
            </w:r>
            <w:r>
              <w:rPr>
                <w:rFonts w:hint="eastAsia" w:ascii="宋体" w:hAnsi="宋体" w:cs="宋体"/>
                <w:color w:val="auto"/>
                <w:kern w:val="2"/>
                <w:sz w:val="21"/>
                <w:szCs w:val="21"/>
                <w:highlight w:val="none"/>
                <w:lang w:val="en-US" w:eastAsia="zh-CN" w:bidi="ar-SA"/>
              </w:rPr>
              <w:t>160</w:t>
            </w:r>
            <w:r>
              <w:rPr>
                <w:rFonts w:hint="eastAsia" w:ascii="宋体" w:hAnsi="宋体" w:eastAsia="宋体" w:cs="宋体"/>
                <w:color w:val="auto"/>
                <w:kern w:val="2"/>
                <w:sz w:val="21"/>
                <w:szCs w:val="21"/>
                <w:highlight w:val="none"/>
                <w:lang w:val="en-US" w:eastAsia="zh-CN" w:bidi="ar-SA"/>
              </w:rPr>
              <w:t>口径管材及配件生产能力的得 5 分。</w:t>
            </w:r>
          </w:p>
          <w:p w14:paraId="07A6003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3.本项满分10分。</w:t>
            </w:r>
          </w:p>
          <w:p w14:paraId="551E1FA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kern w:val="2"/>
                <w:sz w:val="21"/>
                <w:szCs w:val="21"/>
                <w:highlight w:val="none"/>
                <w:lang w:val="en-US" w:eastAsia="zh-CN" w:bidi="ar-SA"/>
              </w:rPr>
              <w:t>（投标文件中提供生产线图片及生产线设备发票扫描件）</w:t>
            </w:r>
          </w:p>
        </w:tc>
      </w:tr>
      <w:tr w14:paraId="30DC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428B15A">
            <w:pPr>
              <w:pStyle w:val="17"/>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1245" w:type="dxa"/>
            <w:vAlign w:val="center"/>
          </w:tcPr>
          <w:p w14:paraId="65075319">
            <w:pPr>
              <w:pStyle w:val="131"/>
              <w:spacing w:before="69" w:line="220" w:lineRule="auto"/>
              <w:jc w:val="center"/>
              <w:rPr>
                <w:rFonts w:hint="eastAsia" w:ascii="宋体" w:hAnsi="宋体" w:cs="宋体"/>
                <w:b w:val="0"/>
                <w:bCs w:val="0"/>
                <w:color w:val="auto"/>
                <w:sz w:val="21"/>
                <w:szCs w:val="21"/>
                <w:highlight w:val="none"/>
                <w:lang w:val="en-US" w:eastAsia="zh-CN"/>
              </w:rPr>
            </w:pPr>
            <w:r>
              <w:rPr>
                <w:b w:val="0"/>
                <w:bCs w:val="0"/>
                <w:color w:val="auto"/>
                <w:spacing w:val="-2"/>
                <w:highlight w:val="none"/>
              </w:rPr>
              <w:t>企业业绩</w:t>
            </w:r>
          </w:p>
        </w:tc>
        <w:tc>
          <w:tcPr>
            <w:tcW w:w="900" w:type="dxa"/>
            <w:vAlign w:val="center"/>
          </w:tcPr>
          <w:p w14:paraId="583911A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10分</w:t>
            </w:r>
          </w:p>
        </w:tc>
        <w:tc>
          <w:tcPr>
            <w:tcW w:w="7350" w:type="dxa"/>
            <w:vAlign w:val="top"/>
          </w:tcPr>
          <w:p w14:paraId="7DA971E8">
            <w:pPr>
              <w:pStyle w:val="131"/>
              <w:keepNext w:val="0"/>
              <w:keepLines w:val="0"/>
              <w:pageBreakBefore w:val="0"/>
              <w:widowControl w:val="0"/>
              <w:kinsoku/>
              <w:wordWrap/>
              <w:overflowPunct/>
              <w:topLinePunct w:val="0"/>
              <w:autoSpaceDE/>
              <w:autoSpaceDN/>
              <w:bidi w:val="0"/>
              <w:adjustRightInd/>
              <w:snapToGrid/>
              <w:spacing w:line="520" w:lineRule="exact"/>
              <w:ind w:right="84"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自</w:t>
            </w:r>
            <w:r>
              <w:rPr>
                <w:rFonts w:hint="eastAsia" w:cs="宋体"/>
                <w:color w:val="auto"/>
                <w:kern w:val="2"/>
                <w:sz w:val="21"/>
                <w:szCs w:val="21"/>
                <w:highlight w:val="none"/>
                <w:lang w:val="en-US" w:eastAsia="zh-CN" w:bidi="ar-SA"/>
              </w:rPr>
              <w:t>2023</w:t>
            </w:r>
            <w:r>
              <w:rPr>
                <w:rFonts w:hint="eastAsia" w:ascii="宋体" w:hAnsi="宋体" w:eastAsia="宋体" w:cs="宋体"/>
                <w:color w:val="auto"/>
                <w:kern w:val="2"/>
                <w:sz w:val="21"/>
                <w:szCs w:val="21"/>
                <w:highlight w:val="none"/>
                <w:lang w:val="en-US" w:eastAsia="zh-CN" w:bidi="ar-SA"/>
              </w:rPr>
              <w:t>年1月1日以来（以合同签订时间为准），每提供一个</w:t>
            </w:r>
            <w:r>
              <w:rPr>
                <w:rFonts w:hint="eastAsia" w:cs="宋体"/>
                <w:color w:val="auto"/>
                <w:kern w:val="2"/>
                <w:sz w:val="21"/>
                <w:szCs w:val="21"/>
                <w:highlight w:val="none"/>
                <w:lang w:val="en-US" w:eastAsia="zh-CN" w:bidi="ar-SA"/>
              </w:rPr>
              <w:t>PPR</w:t>
            </w:r>
            <w:r>
              <w:rPr>
                <w:rFonts w:hint="eastAsia" w:ascii="宋体" w:hAnsi="宋体" w:eastAsia="宋体" w:cs="宋体"/>
                <w:color w:val="auto"/>
                <w:kern w:val="2"/>
                <w:sz w:val="21"/>
                <w:szCs w:val="21"/>
                <w:highlight w:val="none"/>
                <w:lang w:val="en-US" w:eastAsia="zh-CN" w:bidi="ar-SA"/>
              </w:rPr>
              <w:t>管材供货业绩的得</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分，满分10分。</w:t>
            </w:r>
            <w:r>
              <w:rPr>
                <w:rFonts w:hint="eastAsia" w:ascii="宋体" w:hAnsi="宋体" w:eastAsia="宋体" w:cs="宋体"/>
                <w:b/>
                <w:bCs/>
                <w:color w:val="auto"/>
                <w:kern w:val="2"/>
                <w:sz w:val="21"/>
                <w:szCs w:val="21"/>
                <w:highlight w:val="none"/>
                <w:lang w:val="en-US" w:eastAsia="zh-CN" w:bidi="ar-SA"/>
              </w:rPr>
              <w:t>（投标文件中须提供合同扫描件）</w:t>
            </w:r>
          </w:p>
        </w:tc>
      </w:tr>
      <w:bookmarkEnd w:id="74"/>
    </w:tbl>
    <w:p w14:paraId="1D9ED517">
      <w:pPr>
        <w:adjustRightInd w:val="0"/>
        <w:snapToGrid w:val="0"/>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6.2技术标评审细则（</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w:t>
      </w:r>
    </w:p>
    <w:tbl>
      <w:tblPr>
        <w:tblStyle w:val="35"/>
        <w:tblW w:w="10192"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5"/>
        <w:gridCol w:w="900"/>
        <w:gridCol w:w="7350"/>
      </w:tblGrid>
      <w:tr w14:paraId="7840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833BB3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序号</w:t>
            </w:r>
          </w:p>
        </w:tc>
        <w:tc>
          <w:tcPr>
            <w:tcW w:w="1245" w:type="dxa"/>
            <w:vAlign w:val="center"/>
          </w:tcPr>
          <w:p w14:paraId="34531DD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评分因素</w:t>
            </w:r>
          </w:p>
        </w:tc>
        <w:tc>
          <w:tcPr>
            <w:tcW w:w="900" w:type="dxa"/>
            <w:vAlign w:val="center"/>
          </w:tcPr>
          <w:p w14:paraId="48885CC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分值</w:t>
            </w:r>
          </w:p>
        </w:tc>
        <w:tc>
          <w:tcPr>
            <w:tcW w:w="7350" w:type="dxa"/>
            <w:vAlign w:val="center"/>
          </w:tcPr>
          <w:p w14:paraId="4390ACB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评审细则</w:t>
            </w:r>
          </w:p>
        </w:tc>
      </w:tr>
      <w:tr w14:paraId="7F79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AC0A0D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1</w:t>
            </w:r>
          </w:p>
        </w:tc>
        <w:tc>
          <w:tcPr>
            <w:tcW w:w="1245" w:type="dxa"/>
            <w:vAlign w:val="center"/>
          </w:tcPr>
          <w:p w14:paraId="2851DF15">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实施方案</w:t>
            </w:r>
          </w:p>
        </w:tc>
        <w:tc>
          <w:tcPr>
            <w:tcW w:w="900" w:type="dxa"/>
            <w:vAlign w:val="center"/>
          </w:tcPr>
          <w:p w14:paraId="262C6D52">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5分</w:t>
            </w:r>
          </w:p>
        </w:tc>
        <w:tc>
          <w:tcPr>
            <w:tcW w:w="7350" w:type="dxa"/>
            <w:vAlign w:val="center"/>
          </w:tcPr>
          <w:p w14:paraId="15197F15">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color w:val="auto"/>
                <w:kern w:val="2"/>
                <w:sz w:val="21"/>
                <w:szCs w:val="21"/>
                <w:highlight w:val="none"/>
                <w:lang w:val="en-US" w:eastAsia="zh-CN" w:bidi="ar-SA"/>
              </w:rPr>
              <w:t>投标人制定针对本项目的供货方案，确保产品质量的保障措施，应急处理措施及合理化建议等，确保本项目保质保量准时完成，包括项目人员配备、采购供应、产品质量保证等情况，优的得5分，良好的4.5分，一般的得4分，合格的得3.5分，差的或未提供的不得分。</w:t>
            </w:r>
          </w:p>
        </w:tc>
      </w:tr>
      <w:tr w14:paraId="3C2A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13A8C5B2">
            <w:pPr>
              <w:pStyle w:val="17"/>
              <w:keepNext w:val="0"/>
              <w:keepLines w:val="0"/>
              <w:pageBreakBefore w:val="0"/>
              <w:kinsoku/>
              <w:wordWrap/>
              <w:overflowPunct/>
              <w:topLinePunct w:val="0"/>
              <w:autoSpaceDE/>
              <w:autoSpaceDN/>
              <w:bidi w:val="0"/>
              <w:adjustRightInd/>
              <w:snapToGrid/>
              <w:spacing w:after="0" w:line="520" w:lineRule="exact"/>
              <w:jc w:val="center"/>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val="en-US" w:eastAsia="zh-CN"/>
              </w:rPr>
              <w:t>2</w:t>
            </w:r>
          </w:p>
        </w:tc>
        <w:tc>
          <w:tcPr>
            <w:tcW w:w="1245" w:type="dxa"/>
            <w:vAlign w:val="center"/>
          </w:tcPr>
          <w:p w14:paraId="7B583DC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售后服务</w:t>
            </w:r>
          </w:p>
        </w:tc>
        <w:tc>
          <w:tcPr>
            <w:tcW w:w="900" w:type="dxa"/>
            <w:vAlign w:val="center"/>
          </w:tcPr>
          <w:p w14:paraId="77AE217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lang w:val="en-US" w:eastAsia="zh-CN"/>
              </w:rPr>
              <w:t>5</w:t>
            </w:r>
            <w:r>
              <w:rPr>
                <w:rFonts w:hint="eastAsia" w:asciiTheme="majorEastAsia" w:hAnsiTheme="majorEastAsia" w:eastAsiaTheme="majorEastAsia" w:cstheme="majorEastAsia"/>
                <w:b/>
                <w:bCs/>
                <w:color w:val="auto"/>
                <w:sz w:val="21"/>
                <w:szCs w:val="21"/>
                <w:highlight w:val="none"/>
              </w:rPr>
              <w:t>分</w:t>
            </w:r>
          </w:p>
        </w:tc>
        <w:tc>
          <w:tcPr>
            <w:tcW w:w="7350" w:type="dxa"/>
            <w:vAlign w:val="center"/>
          </w:tcPr>
          <w:p w14:paraId="397BD1DB">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2"/>
                <w:sz w:val="21"/>
                <w:szCs w:val="21"/>
                <w:highlight w:val="none"/>
                <w:lang w:val="en-US" w:eastAsia="zh-CN" w:bidi="ar-SA"/>
              </w:rPr>
              <w:t>对服务机构设置、服务方案（包括服务人员的配备、响应时间、响应程度、解决问题的能力、紧急故障处理预案等），售后服务时间与本项目实际情况的符合性、售后服务内容的全面完整性、保证措施的可行性进行综合评价。优的得5分，良好的4.5分，一般的得4分，合格的得3.5分，不合格或未提供的不得分。</w:t>
            </w:r>
          </w:p>
        </w:tc>
      </w:tr>
      <w:tr w14:paraId="4614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192" w:type="dxa"/>
            <w:gridSpan w:val="4"/>
            <w:vAlign w:val="center"/>
          </w:tcPr>
          <w:p w14:paraId="227832E6">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Theme="majorEastAsia" w:hAnsiTheme="majorEastAsia" w:eastAsiaTheme="majorEastAsia" w:cstheme="majorEastAsia"/>
                <w:color w:val="auto"/>
                <w:kern w:val="0"/>
                <w:sz w:val="21"/>
                <w:szCs w:val="21"/>
                <w:highlight w:val="none"/>
                <w:lang w:bidi="ar"/>
              </w:rPr>
            </w:pPr>
            <w:r>
              <w:rPr>
                <w:rFonts w:hint="eastAsia" w:asciiTheme="majorEastAsia" w:hAnsiTheme="majorEastAsia" w:eastAsiaTheme="majorEastAsia" w:cstheme="majorEastAsia"/>
                <w:color w:val="auto"/>
                <w:kern w:val="0"/>
                <w:sz w:val="21"/>
                <w:szCs w:val="21"/>
                <w:highlight w:val="none"/>
                <w:lang w:bidi="ar"/>
              </w:rPr>
              <w:t>注：1.该项由专家评委评审打分，取所有评委评分中分别去掉一个最高和最低评分后的平均值为最终得分，保留两位小数点，第三位四舍五入。</w:t>
            </w:r>
          </w:p>
          <w:p w14:paraId="13AC3092">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Theme="majorEastAsia" w:hAnsiTheme="majorEastAsia" w:eastAsiaTheme="majorEastAsia" w:cstheme="majorEastAsia"/>
                <w:color w:val="auto"/>
                <w:kern w:val="0"/>
                <w:sz w:val="21"/>
                <w:szCs w:val="21"/>
                <w:highlight w:val="none"/>
                <w:lang w:bidi="ar"/>
              </w:rPr>
            </w:pPr>
            <w:r>
              <w:rPr>
                <w:rFonts w:hint="eastAsia" w:asciiTheme="majorEastAsia" w:hAnsiTheme="majorEastAsia" w:eastAsiaTheme="majorEastAsia" w:cstheme="majorEastAsia"/>
                <w:color w:val="auto"/>
                <w:kern w:val="0"/>
                <w:sz w:val="21"/>
                <w:szCs w:val="21"/>
                <w:highlight w:val="none"/>
                <w:lang w:bidi="ar"/>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263588BB">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Theme="majorEastAsia" w:hAnsiTheme="majorEastAsia" w:eastAsiaTheme="majorEastAsia" w:cstheme="majorEastAsia"/>
                <w:color w:val="auto"/>
                <w:kern w:val="0"/>
                <w:sz w:val="21"/>
                <w:szCs w:val="21"/>
                <w:highlight w:val="none"/>
                <w:lang w:bidi="ar"/>
              </w:rPr>
            </w:pPr>
            <w:r>
              <w:rPr>
                <w:rFonts w:hint="eastAsia" w:asciiTheme="majorEastAsia" w:hAnsiTheme="majorEastAsia" w:eastAsiaTheme="majorEastAsia" w:cstheme="majorEastAsia"/>
                <w:color w:val="auto"/>
                <w:kern w:val="0"/>
                <w:sz w:val="21"/>
                <w:szCs w:val="21"/>
                <w:highlight w:val="none"/>
                <w:lang w:bidi="ar"/>
              </w:rPr>
              <w:t>2.1 技术标暗标不设空白页。技术标投标文件封面不出现投标人、法定代表人签章内容，格式以系统设置为准。正文必须按招标文件要求的顺序进行排版；</w:t>
            </w:r>
          </w:p>
          <w:p w14:paraId="2637FE93">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Theme="majorEastAsia" w:hAnsiTheme="majorEastAsia" w:eastAsiaTheme="majorEastAsia" w:cstheme="majorEastAsia"/>
                <w:color w:val="auto"/>
                <w:kern w:val="0"/>
                <w:sz w:val="21"/>
                <w:szCs w:val="21"/>
                <w:highlight w:val="none"/>
                <w:lang w:bidi="ar"/>
              </w:rPr>
            </w:pPr>
            <w:r>
              <w:rPr>
                <w:rFonts w:hint="eastAsia" w:asciiTheme="majorEastAsia" w:hAnsiTheme="majorEastAsia" w:eastAsiaTheme="majorEastAsia" w:cstheme="majorEastAsia"/>
                <w:color w:val="auto"/>
                <w:kern w:val="0"/>
                <w:sz w:val="21"/>
                <w:szCs w:val="21"/>
                <w:highlight w:val="none"/>
                <w:lang w:bidi="ar"/>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p>
          <w:p w14:paraId="114BAE7A">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Theme="majorEastAsia" w:hAnsiTheme="majorEastAsia" w:eastAsiaTheme="majorEastAsia" w:cstheme="majorEastAsia"/>
                <w:color w:val="auto"/>
                <w:kern w:val="0"/>
                <w:sz w:val="21"/>
                <w:szCs w:val="21"/>
                <w:highlight w:val="none"/>
                <w:lang w:bidi="ar"/>
              </w:rPr>
            </w:pPr>
            <w:r>
              <w:rPr>
                <w:rFonts w:hint="eastAsia" w:asciiTheme="majorEastAsia" w:hAnsiTheme="majorEastAsia" w:eastAsiaTheme="majorEastAsia" w:cstheme="majorEastAsia"/>
                <w:color w:val="auto"/>
                <w:kern w:val="0"/>
                <w:sz w:val="21"/>
                <w:szCs w:val="21"/>
                <w:highlight w:val="none"/>
                <w:lang w:bidi="ar"/>
              </w:rPr>
              <w:t>2.3 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646C8783">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Theme="majorEastAsia" w:hAnsiTheme="majorEastAsia" w:eastAsiaTheme="majorEastAsia" w:cstheme="majorEastAsia"/>
                <w:color w:val="auto"/>
                <w:kern w:val="0"/>
                <w:sz w:val="21"/>
                <w:szCs w:val="21"/>
                <w:highlight w:val="none"/>
                <w:lang w:bidi="ar"/>
              </w:rPr>
            </w:pPr>
            <w:r>
              <w:rPr>
                <w:rFonts w:hint="eastAsia" w:asciiTheme="majorEastAsia" w:hAnsiTheme="majorEastAsia" w:eastAsiaTheme="majorEastAsia" w:cstheme="majorEastAsia"/>
                <w:color w:val="auto"/>
                <w:kern w:val="0"/>
                <w:sz w:val="21"/>
                <w:szCs w:val="21"/>
                <w:highlight w:val="none"/>
                <w:lang w:bidi="ar"/>
              </w:rPr>
              <w:t>3.技术标暗标文件的格式、制作不符合上述要求的，每一分项扣0.2分。技术标实行暗标的，对技术标（暗标）部分不予澄清、说明或者补正。</w:t>
            </w:r>
          </w:p>
          <w:p w14:paraId="713E0E7B">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Theme="majorEastAsia" w:hAnsiTheme="majorEastAsia" w:eastAsiaTheme="majorEastAsia" w:cstheme="majorEastAsia"/>
                <w:color w:val="auto"/>
                <w:kern w:val="0"/>
                <w:sz w:val="21"/>
                <w:szCs w:val="21"/>
                <w:highlight w:val="none"/>
                <w:lang w:bidi="ar"/>
              </w:rPr>
            </w:pPr>
            <w:r>
              <w:rPr>
                <w:rFonts w:hint="eastAsia" w:asciiTheme="majorEastAsia" w:hAnsiTheme="majorEastAsia" w:eastAsiaTheme="majorEastAsia" w:cstheme="majorEastAsia"/>
                <w:color w:val="auto"/>
                <w:kern w:val="0"/>
                <w:sz w:val="21"/>
                <w:szCs w:val="21"/>
                <w:highlight w:val="none"/>
                <w:lang w:bidi="ar"/>
              </w:rPr>
              <w:t>4.</w:t>
            </w:r>
            <w:r>
              <w:rPr>
                <w:rFonts w:hint="eastAsia" w:asciiTheme="majorEastAsia" w:hAnsiTheme="majorEastAsia" w:eastAsiaTheme="majorEastAsia" w:cstheme="majorEastAsia"/>
                <w:color w:val="auto"/>
                <w:kern w:val="0"/>
                <w:sz w:val="21"/>
                <w:szCs w:val="21"/>
                <w:highlight w:val="none"/>
              </w:rPr>
              <w:t>技术标的</w:t>
            </w:r>
            <w:r>
              <w:rPr>
                <w:rFonts w:hint="eastAsia" w:asciiTheme="majorEastAsia" w:hAnsiTheme="majorEastAsia" w:eastAsiaTheme="majorEastAsia" w:cstheme="majorEastAsia"/>
                <w:color w:val="auto"/>
                <w:kern w:val="0"/>
                <w:sz w:val="21"/>
                <w:szCs w:val="21"/>
                <w:highlight w:val="none"/>
                <w:lang w:val="en-US" w:eastAsia="zh-CN"/>
              </w:rPr>
              <w:t>每个评分点</w:t>
            </w:r>
            <w:r>
              <w:rPr>
                <w:rFonts w:hint="eastAsia" w:asciiTheme="majorEastAsia" w:hAnsiTheme="majorEastAsia" w:eastAsiaTheme="majorEastAsia" w:cstheme="majorEastAsia"/>
                <w:color w:val="auto"/>
                <w:kern w:val="0"/>
                <w:sz w:val="21"/>
                <w:szCs w:val="21"/>
                <w:highlight w:val="none"/>
              </w:rPr>
              <w:t>页数不多于10页</w:t>
            </w:r>
            <w:r>
              <w:rPr>
                <w:rFonts w:hint="eastAsia" w:asciiTheme="majorEastAsia" w:hAnsiTheme="majorEastAsia" w:eastAsiaTheme="majorEastAsia" w:cstheme="majorEastAsia"/>
                <w:color w:val="auto"/>
                <w:kern w:val="0"/>
                <w:sz w:val="21"/>
                <w:szCs w:val="21"/>
                <w:highlight w:val="none"/>
                <w:lang w:bidi="ar"/>
              </w:rPr>
              <w:t>。</w:t>
            </w:r>
            <w:r>
              <w:rPr>
                <w:rFonts w:hint="eastAsia" w:asciiTheme="majorEastAsia" w:hAnsiTheme="majorEastAsia" w:eastAsiaTheme="majorEastAsia" w:cstheme="majorEastAsia"/>
                <w:color w:val="auto"/>
                <w:sz w:val="21"/>
                <w:szCs w:val="21"/>
                <w:highlight w:val="none"/>
              </w:rPr>
              <w:t>具体篇幅(字数)要求及扣分标准（扣分值为0.2分）。偏离规定标准的，评标委员会应酌情扣分。</w:t>
            </w:r>
          </w:p>
          <w:p w14:paraId="4193321E">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Theme="majorEastAsia" w:hAnsiTheme="majorEastAsia" w:eastAsiaTheme="majorEastAsia" w:cstheme="majorEastAsia"/>
                <w:color w:val="auto"/>
                <w:kern w:val="0"/>
                <w:sz w:val="21"/>
                <w:szCs w:val="21"/>
                <w:highlight w:val="none"/>
                <w:lang w:bidi="ar"/>
              </w:rPr>
            </w:pPr>
            <w:r>
              <w:rPr>
                <w:rFonts w:hint="eastAsia" w:asciiTheme="majorEastAsia" w:hAnsiTheme="majorEastAsia" w:eastAsiaTheme="majorEastAsia" w:cstheme="majorEastAsia"/>
                <w:color w:val="auto"/>
                <w:kern w:val="0"/>
                <w:sz w:val="21"/>
                <w:szCs w:val="21"/>
                <w:highlight w:val="none"/>
                <w:lang w:bidi="ar"/>
              </w:rPr>
              <w:t>5.</w:t>
            </w:r>
            <w:r>
              <w:rPr>
                <w:rFonts w:hint="eastAsia" w:asciiTheme="majorEastAsia" w:hAnsiTheme="majorEastAsia" w:eastAsiaTheme="majorEastAsia" w:cstheme="majorEastAsia"/>
                <w:color w:val="auto"/>
                <w:sz w:val="21"/>
                <w:szCs w:val="21"/>
                <w:highlight w:val="none"/>
              </w:rPr>
              <w:t>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4DAE828D">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bidi="ar"/>
              </w:rPr>
              <w:t>6.</w:t>
            </w:r>
            <w:r>
              <w:rPr>
                <w:rFonts w:hint="eastAsia" w:asciiTheme="majorEastAsia" w:hAnsiTheme="majorEastAsia" w:eastAsiaTheme="majorEastAsia" w:cstheme="majorEastAsia"/>
                <w:color w:val="auto"/>
                <w:sz w:val="21"/>
                <w:szCs w:val="21"/>
                <w:highlight w:val="none"/>
              </w:rPr>
              <w:t>如所有投标企业技术标都出现能反映企业信息等相关内容的，该项目流标。</w:t>
            </w:r>
          </w:p>
        </w:tc>
      </w:tr>
    </w:tbl>
    <w:p w14:paraId="6A7849FD">
      <w:pPr>
        <w:adjustRightInd w:val="0"/>
        <w:snapToGrid w:val="0"/>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6.3商务标评审细则（</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w:t>
      </w:r>
    </w:p>
    <w:tbl>
      <w:tblPr>
        <w:tblStyle w:val="35"/>
        <w:tblW w:w="9929"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584"/>
      </w:tblGrid>
      <w:tr w14:paraId="73D9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14:paraId="449DBDFE">
            <w:pPr>
              <w:spacing w:line="500" w:lineRule="exact"/>
              <w:jc w:val="center"/>
              <w:rPr>
                <w:rFonts w:ascii="宋体" w:hAnsi="宋体" w:cs="宋体"/>
                <w:b/>
                <w:bCs/>
                <w:color w:val="auto"/>
                <w:highlight w:val="none"/>
              </w:rPr>
            </w:pPr>
            <w:bookmarkStart w:id="76" w:name="_Toc23311"/>
            <w:bookmarkStart w:id="77" w:name="_Toc449028881"/>
            <w:bookmarkStart w:id="78" w:name="_Toc58430321"/>
            <w:r>
              <w:rPr>
                <w:rFonts w:hint="eastAsia" w:ascii="宋体" w:hAnsi="宋体" w:cs="宋体"/>
                <w:b/>
                <w:bCs/>
                <w:color w:val="auto"/>
                <w:highlight w:val="none"/>
              </w:rPr>
              <w:t>评分因素</w:t>
            </w:r>
          </w:p>
        </w:tc>
        <w:tc>
          <w:tcPr>
            <w:tcW w:w="8584" w:type="dxa"/>
            <w:vAlign w:val="center"/>
          </w:tcPr>
          <w:p w14:paraId="501FA1D1">
            <w:pPr>
              <w:spacing w:line="500" w:lineRule="exact"/>
              <w:jc w:val="center"/>
              <w:rPr>
                <w:rFonts w:ascii="宋体" w:hAnsi="宋体" w:cs="宋体"/>
                <w:b/>
                <w:bCs/>
                <w:color w:val="auto"/>
                <w:highlight w:val="none"/>
              </w:rPr>
            </w:pPr>
            <w:r>
              <w:rPr>
                <w:rFonts w:hint="eastAsia" w:ascii="宋体" w:hAnsi="宋体" w:cs="宋体"/>
                <w:b/>
                <w:bCs/>
                <w:color w:val="auto"/>
                <w:highlight w:val="none"/>
              </w:rPr>
              <w:t>评审细则</w:t>
            </w:r>
          </w:p>
        </w:tc>
      </w:tr>
      <w:tr w14:paraId="643D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1345" w:type="dxa"/>
            <w:vAlign w:val="center"/>
          </w:tcPr>
          <w:p w14:paraId="307D7666">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商务标</w:t>
            </w:r>
          </w:p>
          <w:p w14:paraId="37ED3458">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8584" w:type="dxa"/>
          </w:tcPr>
          <w:p w14:paraId="2CB22052">
            <w:pPr>
              <w:tabs>
                <w:tab w:val="left" w:pos="1080"/>
              </w:tabs>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招标人设置投标报价最高限价，各投标人有效报价不得高于最高限价，否则，其投标文件按无效标处理。</w:t>
            </w:r>
          </w:p>
          <w:p w14:paraId="546965FF">
            <w:pPr>
              <w:tabs>
                <w:tab w:val="left" w:pos="1080"/>
              </w:tabs>
              <w:spacing w:line="500" w:lineRule="exact"/>
              <w:jc w:val="left"/>
              <w:rPr>
                <w:rFonts w:ascii="宋体" w:hAnsi="宋体" w:cs="宋体"/>
                <w:color w:val="auto"/>
                <w:szCs w:val="21"/>
                <w:highlight w:val="none"/>
              </w:rPr>
            </w:pPr>
            <w:r>
              <w:rPr>
                <w:rFonts w:hint="eastAsia" w:ascii="宋体" w:hAnsi="宋体" w:cs="宋体"/>
                <w:color w:val="auto"/>
                <w:szCs w:val="21"/>
                <w:highlight w:val="none"/>
              </w:rPr>
              <w:t>1、评审基准价=所有有效投标人的最低报价；其得分为满分；</w:t>
            </w:r>
          </w:p>
          <w:p w14:paraId="186F9358">
            <w:pPr>
              <w:tabs>
                <w:tab w:val="left" w:pos="1080"/>
              </w:tabs>
              <w:spacing w:line="500" w:lineRule="exact"/>
              <w:jc w:val="left"/>
              <w:rPr>
                <w:rFonts w:ascii="宋体" w:hAnsi="宋体" w:cs="宋体"/>
                <w:color w:val="auto"/>
                <w:szCs w:val="21"/>
                <w:highlight w:val="none"/>
              </w:rPr>
            </w:pPr>
            <w:r>
              <w:rPr>
                <w:rFonts w:hint="eastAsia" w:ascii="宋体" w:hAnsi="宋体" w:cs="宋体"/>
                <w:color w:val="auto"/>
                <w:szCs w:val="21"/>
                <w:highlight w:val="none"/>
              </w:rPr>
              <w:t>2、其它报价得分=评审基准价/投标报价*满分，小数点后保留两位小数，第三位四舍五入；</w:t>
            </w:r>
          </w:p>
          <w:p w14:paraId="4FDC7C2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3、本项分值由评审委员会负责组织计算。</w:t>
            </w:r>
          </w:p>
        </w:tc>
      </w:tr>
    </w:tbl>
    <w:p w14:paraId="647BF181">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五、推荐中标候选人</w:t>
      </w:r>
      <w:bookmarkEnd w:id="75"/>
      <w:bookmarkEnd w:id="76"/>
      <w:bookmarkEnd w:id="77"/>
      <w:bookmarkEnd w:id="78"/>
    </w:p>
    <w:p w14:paraId="6C62FC2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7.评标委员会按资信、技术及商务三部分得分之和从高到低按顺序，推荐</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名中标候选人。 </w:t>
      </w:r>
    </w:p>
    <w:p w14:paraId="37B9EDA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7.1总得分相同的，按报价由低到高顺序排列。总得分且报价相同的并列，由招标人现场采取随机摇号的方式确定中标候选人。</w:t>
      </w:r>
    </w:p>
    <w:p w14:paraId="0CA4031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7.2在同等条件、同等价格的情况下，所投产品为节能产品、环境标志产品或节能产品、环境标志产品数量多者优先。（本项目不采用）</w:t>
      </w:r>
    </w:p>
    <w:p w14:paraId="5E52D297">
      <w:pPr>
        <w:snapToGrid w:val="0"/>
        <w:spacing w:line="500" w:lineRule="exact"/>
        <w:ind w:right="-420" w:rightChars="-200" w:firstLine="422" w:firstLineChars="200"/>
        <w:rPr>
          <w:rFonts w:ascii="宋体" w:hAnsi="宋体" w:cs="宋体"/>
          <w:b/>
          <w:color w:val="auto"/>
          <w:szCs w:val="21"/>
          <w:highlight w:val="none"/>
        </w:rPr>
      </w:pPr>
      <w:r>
        <w:rPr>
          <w:rFonts w:hint="eastAsia" w:ascii="宋体" w:hAnsi="宋体" w:cs="宋体"/>
          <w:b/>
          <w:color w:val="auto"/>
          <w:szCs w:val="21"/>
          <w:highlight w:val="none"/>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6BB828D4">
      <w:pPr>
        <w:snapToGrid w:val="0"/>
        <w:spacing w:line="500" w:lineRule="exact"/>
        <w:ind w:right="-212" w:rightChars="-101"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8.无效投标条款</w:t>
      </w:r>
    </w:p>
    <w:p w14:paraId="5D4FE9C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58AE26C1">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 未在开标截止时间前通过网上招标投标系统递交有效电子投标文件的，开标系统不予接收，投标将被拒绝。</w:t>
      </w:r>
    </w:p>
    <w:p w14:paraId="154D0183">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60分钟，否则投标文件将被拒绝。</w:t>
      </w:r>
    </w:p>
    <w:p w14:paraId="63FDAE1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8.2投标人有下列情形之一的,资格审查后其投标作无效投标处理：</w:t>
      </w:r>
    </w:p>
    <w:p w14:paraId="5EF126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18436E5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72466F8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(3)评标专家无法查看并检验电子投标文件中相关资料的；</w:t>
      </w:r>
    </w:p>
    <w:p w14:paraId="32AFCDB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(4)联合体投标未提交联合体协议的；</w:t>
      </w:r>
    </w:p>
    <w:p w14:paraId="690CEA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(5)被暂停营业的；</w:t>
      </w:r>
    </w:p>
    <w:p w14:paraId="56351AE5">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(6)被暂停或取消投标资格的；</w:t>
      </w:r>
    </w:p>
    <w:p w14:paraId="4442BA5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(7)财产被接管或冻结的；</w:t>
      </w:r>
    </w:p>
    <w:p w14:paraId="68DC7073">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(8)投标人单位负责人为同一人或者存在控股、管理关系的不同单位的；</w:t>
      </w:r>
    </w:p>
    <w:p w14:paraId="289C01F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(9)保证金不按第二章“投标人须知”及其前附表要求提交投标保证金的；</w:t>
      </w:r>
    </w:p>
    <w:p w14:paraId="7574FDA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(10)投标人未办理省主体库登记入库手续的；</w:t>
      </w:r>
    </w:p>
    <w:p w14:paraId="071541A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(11)投标人申请开具电子保函 MAC 地址一致的；</w:t>
      </w:r>
    </w:p>
    <w:p w14:paraId="1B9485C4">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(12)投标人基本资格条件和特定资格条件中有一项及以上不符合要求的；</w:t>
      </w:r>
    </w:p>
    <w:p w14:paraId="7A8ABA9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(13)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1FB15149">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(14)其它情形，经评标委员会委提出按无效投标处理，并经公共资源交易监督部门核准的；</w:t>
      </w:r>
    </w:p>
    <w:p w14:paraId="7B12840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(15)投标人投标MAC地址或投标人联系人或联系电话相同的，由评标委员会否决其投标，并报告监管部门作不良行为处理和进一步调查；</w:t>
      </w:r>
    </w:p>
    <w:p w14:paraId="6D1A39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(16)投标人单方面出现其他投标人材料的；</w:t>
      </w:r>
    </w:p>
    <w:p w14:paraId="7C4973B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(17)招标文件规定的其它无效投标情形。</w:t>
      </w:r>
    </w:p>
    <w:p w14:paraId="398BCF3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8.3 投标人有下列情形之一的,符合性审查后其投标按无效投标处理：</w:t>
      </w:r>
    </w:p>
    <w:p w14:paraId="32EC0C40">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(1)投标文件签字、盖章不全，经评标委员会一致认定对开评标内容有实质性影响并经公共资源交易监督部门核准的；</w:t>
      </w:r>
    </w:p>
    <w:p w14:paraId="791BDFA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(2)未按规定的格式填写导致实质性内容不全以及实质上不响应，或者关键字迹模糊、无法辨认； 经公共资源交易监督部门核准的；</w:t>
      </w:r>
    </w:p>
    <w:p w14:paraId="52CB13B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17C989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58FD56A4">
      <w:pPr>
        <w:spacing w:line="500" w:lineRule="exact"/>
        <w:ind w:right="-212" w:rightChars="-101"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(5)投标报价超出规定的投标限价或公布的采购预算的或投标人的投标报价各项单价高于招标文件给定的单价最高限价；</w:t>
      </w:r>
    </w:p>
    <w:p w14:paraId="1B870A7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6D1D488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（7）其它情形，经评标委员会委提出按无效投标处理，并经公共资源交易监督部门核准的；</w:t>
      </w:r>
    </w:p>
    <w:p w14:paraId="26003E8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3D53EC8A">
      <w:pPr>
        <w:tabs>
          <w:tab w:val="left" w:pos="1123"/>
        </w:tabs>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7DB57E4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275FB2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0DFF3F6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58EB06A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(3)投标文件含有违反国家法律、法规的内容，或附有招标人不能接受的条件的；</w:t>
      </w:r>
    </w:p>
    <w:p w14:paraId="32C669F8">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（4）报价明显低于其他投标人，且不能证明报价合理性的投标无效；</w:t>
      </w:r>
    </w:p>
    <w:p w14:paraId="3E0EE1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（5）拒不确认评标委员会评审修正的投标无效；</w:t>
      </w:r>
    </w:p>
    <w:p w14:paraId="03540B6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（6）其它情形，经评标委员会委提出按无效投标处理，并经公共资源交易监督部门核准的；</w:t>
      </w:r>
    </w:p>
    <w:p w14:paraId="6348D5D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（8）招标文件规定的其它无效投标情形。</w:t>
      </w:r>
    </w:p>
    <w:bookmarkEnd w:id="63"/>
    <w:p w14:paraId="1525D758">
      <w:pPr>
        <w:numPr>
          <w:ilvl w:val="0"/>
          <w:numId w:val="8"/>
        </w:numPr>
        <w:snapToGrid w:val="0"/>
        <w:spacing w:line="440" w:lineRule="exact"/>
        <w:ind w:left="-10" w:leftChars="-5" w:right="-334" w:rightChars="-159" w:firstLine="14"/>
        <w:jc w:val="center"/>
        <w:outlineLvl w:val="0"/>
        <w:rPr>
          <w:rFonts w:hAnsi="宋体"/>
          <w:b/>
          <w:bCs/>
          <w:color w:val="auto"/>
          <w:sz w:val="32"/>
          <w:szCs w:val="32"/>
          <w:highlight w:val="none"/>
        </w:rPr>
      </w:pPr>
      <w:bookmarkStart w:id="79" w:name="_Toc30417"/>
      <w:bookmarkStart w:id="80" w:name="_Toc22340"/>
      <w:bookmarkStart w:id="81" w:name="_Toc449028945"/>
      <w:r>
        <w:rPr>
          <w:rFonts w:hint="eastAsia" w:ascii="宋体"/>
          <w:b/>
          <w:color w:val="auto"/>
          <w:sz w:val="32"/>
          <w:szCs w:val="32"/>
          <w:highlight w:val="none"/>
        </w:rPr>
        <w:br w:type="page"/>
      </w:r>
      <w:r>
        <w:rPr>
          <w:rFonts w:hint="eastAsia" w:ascii="宋体"/>
          <w:b/>
          <w:color w:val="auto"/>
          <w:sz w:val="32"/>
          <w:szCs w:val="32"/>
          <w:highlight w:val="none"/>
        </w:rPr>
        <w:t xml:space="preserve"> </w:t>
      </w:r>
      <w:r>
        <w:rPr>
          <w:rFonts w:hint="eastAsia" w:hAnsi="宋体"/>
          <w:b/>
          <w:bCs/>
          <w:color w:val="auto"/>
          <w:sz w:val="32"/>
          <w:szCs w:val="32"/>
          <w:highlight w:val="none"/>
        </w:rPr>
        <w:t>采购内容及技术要求</w:t>
      </w:r>
      <w:bookmarkEnd w:id="79"/>
    </w:p>
    <w:p w14:paraId="743C03B4">
      <w:pPr>
        <w:spacing w:before="156" w:beforeLines="50" w:after="156" w:afterLines="50" w:line="440" w:lineRule="exact"/>
        <w:jc w:val="center"/>
        <w:outlineLvl w:val="2"/>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一、采购</w:t>
      </w:r>
      <w:r>
        <w:rPr>
          <w:rFonts w:hint="eastAsia" w:ascii="宋体" w:hAnsi="宋体" w:cs="宋体"/>
          <w:b/>
          <w:color w:val="auto"/>
          <w:sz w:val="28"/>
          <w:szCs w:val="28"/>
          <w:highlight w:val="none"/>
          <w:lang w:val="en-US" w:eastAsia="zh-CN"/>
        </w:rPr>
        <w:t>需求</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910"/>
        <w:gridCol w:w="1185"/>
        <w:gridCol w:w="810"/>
        <w:gridCol w:w="907"/>
        <w:gridCol w:w="1161"/>
        <w:gridCol w:w="1161"/>
      </w:tblGrid>
      <w:tr w14:paraId="5CFB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03DBEB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序号</w:t>
            </w:r>
          </w:p>
        </w:tc>
        <w:tc>
          <w:tcPr>
            <w:tcW w:w="2910" w:type="dxa"/>
            <w:vAlign w:val="center"/>
          </w:tcPr>
          <w:p w14:paraId="287E15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产品名称</w:t>
            </w:r>
          </w:p>
        </w:tc>
        <w:tc>
          <w:tcPr>
            <w:tcW w:w="1185" w:type="dxa"/>
            <w:vAlign w:val="center"/>
          </w:tcPr>
          <w:p w14:paraId="48B270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产品型号</w:t>
            </w:r>
          </w:p>
        </w:tc>
        <w:tc>
          <w:tcPr>
            <w:tcW w:w="810" w:type="dxa"/>
            <w:vAlign w:val="center"/>
          </w:tcPr>
          <w:p w14:paraId="401BEB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单位</w:t>
            </w:r>
          </w:p>
        </w:tc>
        <w:tc>
          <w:tcPr>
            <w:tcW w:w="907" w:type="dxa"/>
            <w:vAlign w:val="center"/>
          </w:tcPr>
          <w:p w14:paraId="77F971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p>
        </w:tc>
        <w:tc>
          <w:tcPr>
            <w:tcW w:w="1161" w:type="dxa"/>
            <w:vAlign w:val="center"/>
          </w:tcPr>
          <w:p w14:paraId="3E05DE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最高综合单价（元）</w:t>
            </w:r>
          </w:p>
        </w:tc>
        <w:tc>
          <w:tcPr>
            <w:tcW w:w="1161" w:type="dxa"/>
            <w:vAlign w:val="center"/>
          </w:tcPr>
          <w:p w14:paraId="00C745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小计（元）</w:t>
            </w:r>
          </w:p>
        </w:tc>
      </w:tr>
      <w:tr w14:paraId="28A7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1E71D10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2910" w:type="dxa"/>
            <w:vAlign w:val="center"/>
          </w:tcPr>
          <w:p w14:paraId="569FAA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给水管(DE20)</w:t>
            </w:r>
          </w:p>
        </w:tc>
        <w:tc>
          <w:tcPr>
            <w:tcW w:w="1185" w:type="dxa"/>
            <w:vAlign w:val="center"/>
          </w:tcPr>
          <w:p w14:paraId="5A94CB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DE20</w:t>
            </w:r>
          </w:p>
        </w:tc>
        <w:tc>
          <w:tcPr>
            <w:tcW w:w="810" w:type="dxa"/>
            <w:vAlign w:val="center"/>
          </w:tcPr>
          <w:p w14:paraId="4C7BB39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米</w:t>
            </w:r>
          </w:p>
        </w:tc>
        <w:tc>
          <w:tcPr>
            <w:tcW w:w="907" w:type="dxa"/>
            <w:vAlign w:val="center"/>
          </w:tcPr>
          <w:p w14:paraId="2F6F99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10000</w:t>
            </w:r>
          </w:p>
        </w:tc>
        <w:tc>
          <w:tcPr>
            <w:tcW w:w="1161" w:type="dxa"/>
            <w:vAlign w:val="center"/>
          </w:tcPr>
          <w:p w14:paraId="417E2C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w:t>
            </w:r>
          </w:p>
        </w:tc>
        <w:tc>
          <w:tcPr>
            <w:tcW w:w="1161" w:type="dxa"/>
            <w:vAlign w:val="center"/>
          </w:tcPr>
          <w:p w14:paraId="735B27E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34000.00 </w:t>
            </w:r>
          </w:p>
        </w:tc>
      </w:tr>
      <w:tr w14:paraId="3277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0755F43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w:t>
            </w:r>
          </w:p>
        </w:tc>
        <w:tc>
          <w:tcPr>
            <w:tcW w:w="2910" w:type="dxa"/>
            <w:vAlign w:val="center"/>
          </w:tcPr>
          <w:p w14:paraId="38C49A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给水管(DE25)</w:t>
            </w:r>
          </w:p>
        </w:tc>
        <w:tc>
          <w:tcPr>
            <w:tcW w:w="1185" w:type="dxa"/>
            <w:vAlign w:val="center"/>
          </w:tcPr>
          <w:p w14:paraId="6DF83E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DE25</w:t>
            </w:r>
          </w:p>
        </w:tc>
        <w:tc>
          <w:tcPr>
            <w:tcW w:w="810" w:type="dxa"/>
            <w:vAlign w:val="center"/>
          </w:tcPr>
          <w:p w14:paraId="0F760B3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米</w:t>
            </w:r>
          </w:p>
        </w:tc>
        <w:tc>
          <w:tcPr>
            <w:tcW w:w="907" w:type="dxa"/>
            <w:vAlign w:val="center"/>
          </w:tcPr>
          <w:p w14:paraId="7E5263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2000</w:t>
            </w:r>
          </w:p>
        </w:tc>
        <w:tc>
          <w:tcPr>
            <w:tcW w:w="1161" w:type="dxa"/>
            <w:vAlign w:val="center"/>
          </w:tcPr>
          <w:p w14:paraId="520F61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5.29</w:t>
            </w:r>
          </w:p>
        </w:tc>
        <w:tc>
          <w:tcPr>
            <w:tcW w:w="1161" w:type="dxa"/>
            <w:vAlign w:val="center"/>
          </w:tcPr>
          <w:p w14:paraId="69A3EC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10580.00 </w:t>
            </w:r>
          </w:p>
        </w:tc>
      </w:tr>
      <w:tr w14:paraId="50C1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5BAC9A6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3</w:t>
            </w:r>
          </w:p>
        </w:tc>
        <w:tc>
          <w:tcPr>
            <w:tcW w:w="2910" w:type="dxa"/>
            <w:vAlign w:val="center"/>
          </w:tcPr>
          <w:p w14:paraId="50709A8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给水管(DE32)</w:t>
            </w:r>
          </w:p>
        </w:tc>
        <w:tc>
          <w:tcPr>
            <w:tcW w:w="1185" w:type="dxa"/>
            <w:vAlign w:val="center"/>
          </w:tcPr>
          <w:p w14:paraId="6A743B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DE32</w:t>
            </w:r>
          </w:p>
        </w:tc>
        <w:tc>
          <w:tcPr>
            <w:tcW w:w="810" w:type="dxa"/>
            <w:vAlign w:val="center"/>
          </w:tcPr>
          <w:p w14:paraId="26929A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米</w:t>
            </w:r>
          </w:p>
        </w:tc>
        <w:tc>
          <w:tcPr>
            <w:tcW w:w="907" w:type="dxa"/>
            <w:vAlign w:val="center"/>
          </w:tcPr>
          <w:p w14:paraId="11AD21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2000</w:t>
            </w:r>
          </w:p>
        </w:tc>
        <w:tc>
          <w:tcPr>
            <w:tcW w:w="1161" w:type="dxa"/>
            <w:vAlign w:val="center"/>
          </w:tcPr>
          <w:p w14:paraId="205C23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8.51</w:t>
            </w:r>
          </w:p>
        </w:tc>
        <w:tc>
          <w:tcPr>
            <w:tcW w:w="1161" w:type="dxa"/>
            <w:vAlign w:val="center"/>
          </w:tcPr>
          <w:p w14:paraId="6E4467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17020.00 </w:t>
            </w:r>
          </w:p>
        </w:tc>
      </w:tr>
      <w:tr w14:paraId="070B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280EAE3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4</w:t>
            </w:r>
          </w:p>
        </w:tc>
        <w:tc>
          <w:tcPr>
            <w:tcW w:w="2910" w:type="dxa"/>
            <w:vAlign w:val="center"/>
          </w:tcPr>
          <w:p w14:paraId="3BC3E2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给水管(DE63)</w:t>
            </w:r>
          </w:p>
        </w:tc>
        <w:tc>
          <w:tcPr>
            <w:tcW w:w="1185" w:type="dxa"/>
            <w:vAlign w:val="center"/>
          </w:tcPr>
          <w:p w14:paraId="6A3AED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DE63</w:t>
            </w:r>
          </w:p>
        </w:tc>
        <w:tc>
          <w:tcPr>
            <w:tcW w:w="810" w:type="dxa"/>
            <w:vAlign w:val="center"/>
          </w:tcPr>
          <w:p w14:paraId="5A8A9F6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米</w:t>
            </w:r>
          </w:p>
        </w:tc>
        <w:tc>
          <w:tcPr>
            <w:tcW w:w="907" w:type="dxa"/>
            <w:vAlign w:val="center"/>
          </w:tcPr>
          <w:p w14:paraId="1175EE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500</w:t>
            </w:r>
          </w:p>
        </w:tc>
        <w:tc>
          <w:tcPr>
            <w:tcW w:w="1161" w:type="dxa"/>
            <w:vAlign w:val="center"/>
          </w:tcPr>
          <w:p w14:paraId="099EB39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33.48</w:t>
            </w:r>
          </w:p>
        </w:tc>
        <w:tc>
          <w:tcPr>
            <w:tcW w:w="1161" w:type="dxa"/>
            <w:vAlign w:val="center"/>
          </w:tcPr>
          <w:p w14:paraId="1041AB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16740.00 </w:t>
            </w:r>
          </w:p>
        </w:tc>
      </w:tr>
      <w:tr w14:paraId="4B7E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30A46BE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w:t>
            </w:r>
          </w:p>
        </w:tc>
        <w:tc>
          <w:tcPr>
            <w:tcW w:w="2910" w:type="dxa"/>
            <w:vAlign w:val="center"/>
          </w:tcPr>
          <w:p w14:paraId="7F7420E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等径直接(DE20)</w:t>
            </w:r>
          </w:p>
        </w:tc>
        <w:tc>
          <w:tcPr>
            <w:tcW w:w="1185" w:type="dxa"/>
            <w:vAlign w:val="center"/>
          </w:tcPr>
          <w:p w14:paraId="50644E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DE20</w:t>
            </w:r>
          </w:p>
        </w:tc>
        <w:tc>
          <w:tcPr>
            <w:tcW w:w="810" w:type="dxa"/>
            <w:vAlign w:val="center"/>
          </w:tcPr>
          <w:p w14:paraId="2346C9B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464143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2000</w:t>
            </w:r>
          </w:p>
        </w:tc>
        <w:tc>
          <w:tcPr>
            <w:tcW w:w="1161" w:type="dxa"/>
            <w:vAlign w:val="center"/>
          </w:tcPr>
          <w:p w14:paraId="2F153F6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0.49</w:t>
            </w:r>
          </w:p>
        </w:tc>
        <w:tc>
          <w:tcPr>
            <w:tcW w:w="1161" w:type="dxa"/>
            <w:vAlign w:val="center"/>
          </w:tcPr>
          <w:p w14:paraId="113D6A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980.00 </w:t>
            </w:r>
          </w:p>
        </w:tc>
      </w:tr>
      <w:tr w14:paraId="5F24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0F31E02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6</w:t>
            </w:r>
          </w:p>
        </w:tc>
        <w:tc>
          <w:tcPr>
            <w:tcW w:w="2910" w:type="dxa"/>
            <w:vAlign w:val="center"/>
          </w:tcPr>
          <w:p w14:paraId="733EB18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等径直接(DE25)</w:t>
            </w:r>
          </w:p>
        </w:tc>
        <w:tc>
          <w:tcPr>
            <w:tcW w:w="1185" w:type="dxa"/>
            <w:vAlign w:val="center"/>
          </w:tcPr>
          <w:p w14:paraId="780729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DE25</w:t>
            </w:r>
          </w:p>
        </w:tc>
        <w:tc>
          <w:tcPr>
            <w:tcW w:w="810" w:type="dxa"/>
            <w:vAlign w:val="center"/>
          </w:tcPr>
          <w:p w14:paraId="1697AA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600CAF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500</w:t>
            </w:r>
          </w:p>
        </w:tc>
        <w:tc>
          <w:tcPr>
            <w:tcW w:w="1161" w:type="dxa"/>
            <w:vAlign w:val="center"/>
          </w:tcPr>
          <w:p w14:paraId="3CEF89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0.71</w:t>
            </w:r>
          </w:p>
        </w:tc>
        <w:tc>
          <w:tcPr>
            <w:tcW w:w="1161" w:type="dxa"/>
            <w:vAlign w:val="center"/>
          </w:tcPr>
          <w:p w14:paraId="16FD9C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355.00 </w:t>
            </w:r>
          </w:p>
        </w:tc>
      </w:tr>
      <w:tr w14:paraId="4497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04AB862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7</w:t>
            </w:r>
          </w:p>
        </w:tc>
        <w:tc>
          <w:tcPr>
            <w:tcW w:w="2910" w:type="dxa"/>
            <w:vAlign w:val="center"/>
          </w:tcPr>
          <w:p w14:paraId="5EF5FE3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等径直接(DE32)</w:t>
            </w:r>
          </w:p>
        </w:tc>
        <w:tc>
          <w:tcPr>
            <w:tcW w:w="1185" w:type="dxa"/>
            <w:vAlign w:val="center"/>
          </w:tcPr>
          <w:p w14:paraId="6F8977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DE32</w:t>
            </w:r>
          </w:p>
        </w:tc>
        <w:tc>
          <w:tcPr>
            <w:tcW w:w="810" w:type="dxa"/>
            <w:vAlign w:val="center"/>
          </w:tcPr>
          <w:p w14:paraId="0F3FF7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3395DF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500</w:t>
            </w:r>
          </w:p>
        </w:tc>
        <w:tc>
          <w:tcPr>
            <w:tcW w:w="1161" w:type="dxa"/>
            <w:vAlign w:val="center"/>
          </w:tcPr>
          <w:p w14:paraId="661925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1.18</w:t>
            </w:r>
          </w:p>
        </w:tc>
        <w:tc>
          <w:tcPr>
            <w:tcW w:w="1161" w:type="dxa"/>
            <w:vAlign w:val="center"/>
          </w:tcPr>
          <w:p w14:paraId="6DE793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590.00 </w:t>
            </w:r>
          </w:p>
        </w:tc>
      </w:tr>
      <w:tr w14:paraId="3083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5758269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8</w:t>
            </w:r>
          </w:p>
        </w:tc>
        <w:tc>
          <w:tcPr>
            <w:tcW w:w="2910" w:type="dxa"/>
            <w:vAlign w:val="center"/>
          </w:tcPr>
          <w:p w14:paraId="7D9C779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等径直接(DE63)</w:t>
            </w:r>
          </w:p>
        </w:tc>
        <w:tc>
          <w:tcPr>
            <w:tcW w:w="1185" w:type="dxa"/>
            <w:vAlign w:val="center"/>
          </w:tcPr>
          <w:p w14:paraId="323B42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DE63</w:t>
            </w:r>
          </w:p>
        </w:tc>
        <w:tc>
          <w:tcPr>
            <w:tcW w:w="810" w:type="dxa"/>
            <w:vAlign w:val="center"/>
          </w:tcPr>
          <w:p w14:paraId="70A7E7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680356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50</w:t>
            </w:r>
          </w:p>
        </w:tc>
        <w:tc>
          <w:tcPr>
            <w:tcW w:w="1161" w:type="dxa"/>
            <w:vAlign w:val="center"/>
          </w:tcPr>
          <w:p w14:paraId="1E4EEA3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6.22</w:t>
            </w:r>
          </w:p>
        </w:tc>
        <w:tc>
          <w:tcPr>
            <w:tcW w:w="1161" w:type="dxa"/>
            <w:vAlign w:val="center"/>
          </w:tcPr>
          <w:p w14:paraId="48B90EF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311.00 </w:t>
            </w:r>
          </w:p>
        </w:tc>
      </w:tr>
      <w:tr w14:paraId="2D4E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0EE2AA2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9</w:t>
            </w:r>
          </w:p>
        </w:tc>
        <w:tc>
          <w:tcPr>
            <w:tcW w:w="2910" w:type="dxa"/>
            <w:vAlign w:val="center"/>
          </w:tcPr>
          <w:p w14:paraId="53DBAB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异径直接(DE25*20)</w:t>
            </w:r>
          </w:p>
        </w:tc>
        <w:tc>
          <w:tcPr>
            <w:tcW w:w="1185" w:type="dxa"/>
            <w:vAlign w:val="center"/>
          </w:tcPr>
          <w:p w14:paraId="1655B1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DE25*20</w:t>
            </w:r>
          </w:p>
        </w:tc>
        <w:tc>
          <w:tcPr>
            <w:tcW w:w="810" w:type="dxa"/>
            <w:vAlign w:val="center"/>
          </w:tcPr>
          <w:p w14:paraId="6B90F7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1D398A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1500</w:t>
            </w:r>
          </w:p>
        </w:tc>
        <w:tc>
          <w:tcPr>
            <w:tcW w:w="1161" w:type="dxa"/>
            <w:vAlign w:val="center"/>
          </w:tcPr>
          <w:p w14:paraId="4BAD84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0.65</w:t>
            </w:r>
          </w:p>
        </w:tc>
        <w:tc>
          <w:tcPr>
            <w:tcW w:w="1161" w:type="dxa"/>
            <w:vAlign w:val="center"/>
          </w:tcPr>
          <w:p w14:paraId="1CDCD0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975.00 </w:t>
            </w:r>
          </w:p>
        </w:tc>
      </w:tr>
      <w:tr w14:paraId="1931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03E543E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w:t>
            </w:r>
          </w:p>
        </w:tc>
        <w:tc>
          <w:tcPr>
            <w:tcW w:w="2910" w:type="dxa"/>
            <w:vAlign w:val="center"/>
          </w:tcPr>
          <w:p w14:paraId="5E0F0F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PPR 异径直接(DE32*20)</w:t>
            </w:r>
          </w:p>
        </w:tc>
        <w:tc>
          <w:tcPr>
            <w:tcW w:w="1185" w:type="dxa"/>
            <w:vAlign w:val="center"/>
          </w:tcPr>
          <w:p w14:paraId="0A2613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DE32*20</w:t>
            </w:r>
          </w:p>
        </w:tc>
        <w:tc>
          <w:tcPr>
            <w:tcW w:w="810" w:type="dxa"/>
            <w:vAlign w:val="center"/>
          </w:tcPr>
          <w:p w14:paraId="1A9CBFB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2937397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1000</w:t>
            </w:r>
          </w:p>
        </w:tc>
        <w:tc>
          <w:tcPr>
            <w:tcW w:w="1161" w:type="dxa"/>
            <w:vAlign w:val="center"/>
          </w:tcPr>
          <w:p w14:paraId="33A3A1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0.96</w:t>
            </w:r>
          </w:p>
        </w:tc>
        <w:tc>
          <w:tcPr>
            <w:tcW w:w="1161" w:type="dxa"/>
            <w:vAlign w:val="center"/>
          </w:tcPr>
          <w:p w14:paraId="1C4564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960.00 </w:t>
            </w:r>
          </w:p>
        </w:tc>
      </w:tr>
      <w:tr w14:paraId="5CD9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5EDF405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11</w:t>
            </w:r>
          </w:p>
        </w:tc>
        <w:tc>
          <w:tcPr>
            <w:tcW w:w="2910" w:type="dxa"/>
            <w:vAlign w:val="center"/>
          </w:tcPr>
          <w:p w14:paraId="476A53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PPR 异径直接(DE63*20)</w:t>
            </w:r>
          </w:p>
        </w:tc>
        <w:tc>
          <w:tcPr>
            <w:tcW w:w="1185" w:type="dxa"/>
            <w:vAlign w:val="center"/>
          </w:tcPr>
          <w:p w14:paraId="770082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DE63*20</w:t>
            </w:r>
          </w:p>
        </w:tc>
        <w:tc>
          <w:tcPr>
            <w:tcW w:w="810" w:type="dxa"/>
            <w:vAlign w:val="center"/>
          </w:tcPr>
          <w:p w14:paraId="3C3EBE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28E20B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50</w:t>
            </w:r>
          </w:p>
        </w:tc>
        <w:tc>
          <w:tcPr>
            <w:tcW w:w="1161" w:type="dxa"/>
            <w:vAlign w:val="center"/>
          </w:tcPr>
          <w:p w14:paraId="5917FE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4.25</w:t>
            </w:r>
          </w:p>
        </w:tc>
        <w:tc>
          <w:tcPr>
            <w:tcW w:w="1161" w:type="dxa"/>
            <w:vAlign w:val="center"/>
          </w:tcPr>
          <w:p w14:paraId="1B270A8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212.50 </w:t>
            </w:r>
          </w:p>
        </w:tc>
      </w:tr>
      <w:tr w14:paraId="16CB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49E3F95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12</w:t>
            </w:r>
          </w:p>
        </w:tc>
        <w:tc>
          <w:tcPr>
            <w:tcW w:w="2910" w:type="dxa"/>
            <w:vAlign w:val="center"/>
          </w:tcPr>
          <w:p w14:paraId="33E80E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PPR 异径直接(DE63*25)</w:t>
            </w:r>
          </w:p>
        </w:tc>
        <w:tc>
          <w:tcPr>
            <w:tcW w:w="1185" w:type="dxa"/>
            <w:vAlign w:val="center"/>
          </w:tcPr>
          <w:p w14:paraId="4BBCC7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DE63*25</w:t>
            </w:r>
          </w:p>
        </w:tc>
        <w:tc>
          <w:tcPr>
            <w:tcW w:w="810" w:type="dxa"/>
            <w:vAlign w:val="center"/>
          </w:tcPr>
          <w:p w14:paraId="180D87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0AB2BB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50</w:t>
            </w:r>
          </w:p>
        </w:tc>
        <w:tc>
          <w:tcPr>
            <w:tcW w:w="1161" w:type="dxa"/>
            <w:vAlign w:val="center"/>
          </w:tcPr>
          <w:p w14:paraId="2B61F2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4.64</w:t>
            </w:r>
          </w:p>
        </w:tc>
        <w:tc>
          <w:tcPr>
            <w:tcW w:w="1161" w:type="dxa"/>
            <w:vAlign w:val="center"/>
          </w:tcPr>
          <w:p w14:paraId="3236DF2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232.00 </w:t>
            </w:r>
          </w:p>
        </w:tc>
      </w:tr>
      <w:tr w14:paraId="0F4E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0EA9C93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13</w:t>
            </w:r>
          </w:p>
        </w:tc>
        <w:tc>
          <w:tcPr>
            <w:tcW w:w="2910" w:type="dxa"/>
            <w:vAlign w:val="center"/>
          </w:tcPr>
          <w:p w14:paraId="028CFD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异径直接(DE63*32)</w:t>
            </w:r>
          </w:p>
        </w:tc>
        <w:tc>
          <w:tcPr>
            <w:tcW w:w="1185" w:type="dxa"/>
            <w:vAlign w:val="center"/>
          </w:tcPr>
          <w:p w14:paraId="3022AB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DE63*32</w:t>
            </w:r>
          </w:p>
        </w:tc>
        <w:tc>
          <w:tcPr>
            <w:tcW w:w="810" w:type="dxa"/>
            <w:vAlign w:val="center"/>
          </w:tcPr>
          <w:p w14:paraId="189DB0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15EE30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50</w:t>
            </w:r>
          </w:p>
        </w:tc>
        <w:tc>
          <w:tcPr>
            <w:tcW w:w="1161" w:type="dxa"/>
            <w:vAlign w:val="center"/>
          </w:tcPr>
          <w:p w14:paraId="3707B26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w:t>
            </w:r>
          </w:p>
        </w:tc>
        <w:tc>
          <w:tcPr>
            <w:tcW w:w="1161" w:type="dxa"/>
            <w:vAlign w:val="center"/>
          </w:tcPr>
          <w:p w14:paraId="54A061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255.00 </w:t>
            </w:r>
          </w:p>
        </w:tc>
      </w:tr>
      <w:tr w14:paraId="7E1B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0C3B49D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14</w:t>
            </w:r>
          </w:p>
        </w:tc>
        <w:tc>
          <w:tcPr>
            <w:tcW w:w="2910" w:type="dxa"/>
            <w:vAlign w:val="center"/>
          </w:tcPr>
          <w:p w14:paraId="4CAA0D3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等径90度弯头(DE20)</w:t>
            </w:r>
          </w:p>
        </w:tc>
        <w:tc>
          <w:tcPr>
            <w:tcW w:w="1185" w:type="dxa"/>
            <w:vAlign w:val="center"/>
          </w:tcPr>
          <w:p w14:paraId="602956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DE20</w:t>
            </w:r>
          </w:p>
        </w:tc>
        <w:tc>
          <w:tcPr>
            <w:tcW w:w="810" w:type="dxa"/>
            <w:vAlign w:val="center"/>
          </w:tcPr>
          <w:p w14:paraId="7F689E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007937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10000</w:t>
            </w:r>
          </w:p>
        </w:tc>
        <w:tc>
          <w:tcPr>
            <w:tcW w:w="1161" w:type="dxa"/>
            <w:vAlign w:val="center"/>
          </w:tcPr>
          <w:p w14:paraId="54D6F1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0.74</w:t>
            </w:r>
          </w:p>
        </w:tc>
        <w:tc>
          <w:tcPr>
            <w:tcW w:w="1161" w:type="dxa"/>
            <w:vAlign w:val="center"/>
          </w:tcPr>
          <w:p w14:paraId="052724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7400.00 </w:t>
            </w:r>
          </w:p>
        </w:tc>
      </w:tr>
      <w:tr w14:paraId="2189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28D6251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15</w:t>
            </w:r>
          </w:p>
        </w:tc>
        <w:tc>
          <w:tcPr>
            <w:tcW w:w="2910" w:type="dxa"/>
            <w:vAlign w:val="center"/>
          </w:tcPr>
          <w:p w14:paraId="7B5343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等径90度弯头(DE25)</w:t>
            </w:r>
          </w:p>
        </w:tc>
        <w:tc>
          <w:tcPr>
            <w:tcW w:w="1185" w:type="dxa"/>
            <w:vAlign w:val="center"/>
          </w:tcPr>
          <w:p w14:paraId="3A1409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DE25</w:t>
            </w:r>
          </w:p>
        </w:tc>
        <w:tc>
          <w:tcPr>
            <w:tcW w:w="810" w:type="dxa"/>
            <w:vAlign w:val="center"/>
          </w:tcPr>
          <w:p w14:paraId="6C7A6A6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671692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500</w:t>
            </w:r>
          </w:p>
        </w:tc>
        <w:tc>
          <w:tcPr>
            <w:tcW w:w="1161" w:type="dxa"/>
            <w:vAlign w:val="center"/>
          </w:tcPr>
          <w:p w14:paraId="52F70B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1.13</w:t>
            </w:r>
          </w:p>
        </w:tc>
        <w:tc>
          <w:tcPr>
            <w:tcW w:w="1161" w:type="dxa"/>
            <w:vAlign w:val="center"/>
          </w:tcPr>
          <w:p w14:paraId="010060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565.00 </w:t>
            </w:r>
          </w:p>
        </w:tc>
      </w:tr>
      <w:tr w14:paraId="42DF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40C8374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16</w:t>
            </w:r>
          </w:p>
        </w:tc>
        <w:tc>
          <w:tcPr>
            <w:tcW w:w="2910" w:type="dxa"/>
            <w:vAlign w:val="center"/>
          </w:tcPr>
          <w:p w14:paraId="01F1FD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等径90度弯头(DE32)</w:t>
            </w:r>
          </w:p>
        </w:tc>
        <w:tc>
          <w:tcPr>
            <w:tcW w:w="1185" w:type="dxa"/>
            <w:vAlign w:val="center"/>
          </w:tcPr>
          <w:p w14:paraId="0EE888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DE32</w:t>
            </w:r>
          </w:p>
        </w:tc>
        <w:tc>
          <w:tcPr>
            <w:tcW w:w="810" w:type="dxa"/>
            <w:vAlign w:val="center"/>
          </w:tcPr>
          <w:p w14:paraId="045A74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30D016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500</w:t>
            </w:r>
          </w:p>
        </w:tc>
        <w:tc>
          <w:tcPr>
            <w:tcW w:w="1161" w:type="dxa"/>
            <w:vAlign w:val="center"/>
          </w:tcPr>
          <w:p w14:paraId="763018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1.96</w:t>
            </w:r>
          </w:p>
        </w:tc>
        <w:tc>
          <w:tcPr>
            <w:tcW w:w="1161" w:type="dxa"/>
            <w:vAlign w:val="center"/>
          </w:tcPr>
          <w:p w14:paraId="0DC3F13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980.00 </w:t>
            </w:r>
          </w:p>
        </w:tc>
      </w:tr>
      <w:tr w14:paraId="1F60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107446D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17</w:t>
            </w:r>
          </w:p>
        </w:tc>
        <w:tc>
          <w:tcPr>
            <w:tcW w:w="2910" w:type="dxa"/>
            <w:vAlign w:val="center"/>
          </w:tcPr>
          <w:p w14:paraId="497E4AB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等径90度弯头(DE63)</w:t>
            </w:r>
          </w:p>
        </w:tc>
        <w:tc>
          <w:tcPr>
            <w:tcW w:w="1185" w:type="dxa"/>
            <w:vAlign w:val="center"/>
          </w:tcPr>
          <w:p w14:paraId="2DFD71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DE63</w:t>
            </w:r>
          </w:p>
        </w:tc>
        <w:tc>
          <w:tcPr>
            <w:tcW w:w="810" w:type="dxa"/>
            <w:vAlign w:val="center"/>
          </w:tcPr>
          <w:p w14:paraId="0E256D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43E1DC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50</w:t>
            </w:r>
          </w:p>
        </w:tc>
        <w:tc>
          <w:tcPr>
            <w:tcW w:w="1161" w:type="dxa"/>
            <w:vAlign w:val="center"/>
          </w:tcPr>
          <w:p w14:paraId="2587E4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12.03</w:t>
            </w:r>
          </w:p>
        </w:tc>
        <w:tc>
          <w:tcPr>
            <w:tcW w:w="1161" w:type="dxa"/>
            <w:vAlign w:val="center"/>
          </w:tcPr>
          <w:p w14:paraId="53450F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601.50 </w:t>
            </w:r>
          </w:p>
        </w:tc>
      </w:tr>
      <w:tr w14:paraId="30BF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680B143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18</w:t>
            </w:r>
          </w:p>
        </w:tc>
        <w:tc>
          <w:tcPr>
            <w:tcW w:w="2910" w:type="dxa"/>
            <w:vAlign w:val="center"/>
          </w:tcPr>
          <w:p w14:paraId="3FE708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异径弯头(DE25*20)</w:t>
            </w:r>
          </w:p>
        </w:tc>
        <w:tc>
          <w:tcPr>
            <w:tcW w:w="1185" w:type="dxa"/>
            <w:vAlign w:val="center"/>
          </w:tcPr>
          <w:p w14:paraId="006742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DE25*20</w:t>
            </w:r>
          </w:p>
        </w:tc>
        <w:tc>
          <w:tcPr>
            <w:tcW w:w="810" w:type="dxa"/>
            <w:vAlign w:val="center"/>
          </w:tcPr>
          <w:p w14:paraId="501C203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2A6856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1000</w:t>
            </w:r>
          </w:p>
        </w:tc>
        <w:tc>
          <w:tcPr>
            <w:tcW w:w="1161" w:type="dxa"/>
            <w:vAlign w:val="center"/>
          </w:tcPr>
          <w:p w14:paraId="0255A9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1" w:type="dxa"/>
            <w:vAlign w:val="center"/>
          </w:tcPr>
          <w:p w14:paraId="346576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1200.00 </w:t>
            </w:r>
          </w:p>
        </w:tc>
      </w:tr>
      <w:tr w14:paraId="2C5A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3B33C28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19</w:t>
            </w:r>
          </w:p>
        </w:tc>
        <w:tc>
          <w:tcPr>
            <w:tcW w:w="2910" w:type="dxa"/>
            <w:vAlign w:val="center"/>
          </w:tcPr>
          <w:p w14:paraId="5AD20F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异径弯头(DE32*20)</w:t>
            </w:r>
          </w:p>
        </w:tc>
        <w:tc>
          <w:tcPr>
            <w:tcW w:w="1185" w:type="dxa"/>
            <w:vAlign w:val="center"/>
          </w:tcPr>
          <w:p w14:paraId="7E99FAD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DE32*20</w:t>
            </w:r>
          </w:p>
        </w:tc>
        <w:tc>
          <w:tcPr>
            <w:tcW w:w="810" w:type="dxa"/>
            <w:vAlign w:val="center"/>
          </w:tcPr>
          <w:p w14:paraId="233B34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261BD6B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50</w:t>
            </w:r>
          </w:p>
        </w:tc>
        <w:tc>
          <w:tcPr>
            <w:tcW w:w="1161" w:type="dxa"/>
            <w:vAlign w:val="center"/>
          </w:tcPr>
          <w:p w14:paraId="1C03C0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w:t>
            </w:r>
          </w:p>
        </w:tc>
        <w:tc>
          <w:tcPr>
            <w:tcW w:w="1161" w:type="dxa"/>
            <w:vAlign w:val="center"/>
          </w:tcPr>
          <w:p w14:paraId="4FB8D3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101.00 </w:t>
            </w:r>
          </w:p>
        </w:tc>
      </w:tr>
      <w:tr w14:paraId="173A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0577FF5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20</w:t>
            </w:r>
          </w:p>
        </w:tc>
        <w:tc>
          <w:tcPr>
            <w:tcW w:w="2910" w:type="dxa"/>
            <w:vAlign w:val="center"/>
          </w:tcPr>
          <w:p w14:paraId="0BC40C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等径三通(DE20)</w:t>
            </w:r>
          </w:p>
        </w:tc>
        <w:tc>
          <w:tcPr>
            <w:tcW w:w="1185" w:type="dxa"/>
            <w:vAlign w:val="center"/>
          </w:tcPr>
          <w:p w14:paraId="001BF3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DE20</w:t>
            </w:r>
          </w:p>
        </w:tc>
        <w:tc>
          <w:tcPr>
            <w:tcW w:w="810" w:type="dxa"/>
            <w:vAlign w:val="center"/>
          </w:tcPr>
          <w:p w14:paraId="7D55B3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239A62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50</w:t>
            </w:r>
          </w:p>
        </w:tc>
        <w:tc>
          <w:tcPr>
            <w:tcW w:w="1161" w:type="dxa"/>
            <w:vAlign w:val="center"/>
          </w:tcPr>
          <w:p w14:paraId="19D4E1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0.91</w:t>
            </w:r>
          </w:p>
        </w:tc>
        <w:tc>
          <w:tcPr>
            <w:tcW w:w="1161" w:type="dxa"/>
            <w:vAlign w:val="center"/>
          </w:tcPr>
          <w:p w14:paraId="1C1BF4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45.50 </w:t>
            </w:r>
          </w:p>
        </w:tc>
      </w:tr>
      <w:tr w14:paraId="55C2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14A14EA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21</w:t>
            </w:r>
          </w:p>
        </w:tc>
        <w:tc>
          <w:tcPr>
            <w:tcW w:w="2910" w:type="dxa"/>
            <w:vAlign w:val="center"/>
          </w:tcPr>
          <w:p w14:paraId="0CF1B9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等径三通(DE25)</w:t>
            </w:r>
          </w:p>
        </w:tc>
        <w:tc>
          <w:tcPr>
            <w:tcW w:w="1185" w:type="dxa"/>
            <w:vAlign w:val="center"/>
          </w:tcPr>
          <w:p w14:paraId="5311DB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DE25</w:t>
            </w:r>
          </w:p>
        </w:tc>
        <w:tc>
          <w:tcPr>
            <w:tcW w:w="810" w:type="dxa"/>
            <w:vAlign w:val="center"/>
          </w:tcPr>
          <w:p w14:paraId="74C26D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3810EA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50</w:t>
            </w:r>
          </w:p>
        </w:tc>
        <w:tc>
          <w:tcPr>
            <w:tcW w:w="1161" w:type="dxa"/>
            <w:vAlign w:val="center"/>
          </w:tcPr>
          <w:p w14:paraId="603520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1.43</w:t>
            </w:r>
          </w:p>
        </w:tc>
        <w:tc>
          <w:tcPr>
            <w:tcW w:w="1161" w:type="dxa"/>
            <w:vAlign w:val="center"/>
          </w:tcPr>
          <w:p w14:paraId="2FC96D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71.50 </w:t>
            </w:r>
          </w:p>
        </w:tc>
      </w:tr>
      <w:tr w14:paraId="21E3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5F15830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22</w:t>
            </w:r>
          </w:p>
        </w:tc>
        <w:tc>
          <w:tcPr>
            <w:tcW w:w="2910" w:type="dxa"/>
            <w:vAlign w:val="center"/>
          </w:tcPr>
          <w:p w14:paraId="724C90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等径三通(DE32)</w:t>
            </w:r>
          </w:p>
        </w:tc>
        <w:tc>
          <w:tcPr>
            <w:tcW w:w="1185" w:type="dxa"/>
            <w:vAlign w:val="center"/>
          </w:tcPr>
          <w:p w14:paraId="7DE4F05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DE32</w:t>
            </w:r>
          </w:p>
        </w:tc>
        <w:tc>
          <w:tcPr>
            <w:tcW w:w="810" w:type="dxa"/>
            <w:vAlign w:val="center"/>
          </w:tcPr>
          <w:p w14:paraId="2A7203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504964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50</w:t>
            </w:r>
          </w:p>
        </w:tc>
        <w:tc>
          <w:tcPr>
            <w:tcW w:w="1161" w:type="dxa"/>
            <w:vAlign w:val="center"/>
          </w:tcPr>
          <w:p w14:paraId="76F0E3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2.62</w:t>
            </w:r>
          </w:p>
        </w:tc>
        <w:tc>
          <w:tcPr>
            <w:tcW w:w="1161" w:type="dxa"/>
            <w:vAlign w:val="center"/>
          </w:tcPr>
          <w:p w14:paraId="710E15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131.00 </w:t>
            </w:r>
          </w:p>
        </w:tc>
      </w:tr>
      <w:tr w14:paraId="3DC2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383C444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23</w:t>
            </w:r>
          </w:p>
        </w:tc>
        <w:tc>
          <w:tcPr>
            <w:tcW w:w="2910" w:type="dxa"/>
            <w:vAlign w:val="center"/>
          </w:tcPr>
          <w:p w14:paraId="7B7975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等径三通(DE63)</w:t>
            </w:r>
          </w:p>
        </w:tc>
        <w:tc>
          <w:tcPr>
            <w:tcW w:w="1185" w:type="dxa"/>
            <w:vAlign w:val="center"/>
          </w:tcPr>
          <w:p w14:paraId="0AED8DD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DE63</w:t>
            </w:r>
          </w:p>
        </w:tc>
        <w:tc>
          <w:tcPr>
            <w:tcW w:w="810" w:type="dxa"/>
            <w:vAlign w:val="center"/>
          </w:tcPr>
          <w:p w14:paraId="62DFD5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382D32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50</w:t>
            </w:r>
          </w:p>
        </w:tc>
        <w:tc>
          <w:tcPr>
            <w:tcW w:w="1161" w:type="dxa"/>
            <w:vAlign w:val="center"/>
          </w:tcPr>
          <w:p w14:paraId="16C326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15.54</w:t>
            </w:r>
          </w:p>
        </w:tc>
        <w:tc>
          <w:tcPr>
            <w:tcW w:w="1161" w:type="dxa"/>
            <w:vAlign w:val="center"/>
          </w:tcPr>
          <w:p w14:paraId="6E237A5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777.00 </w:t>
            </w:r>
          </w:p>
        </w:tc>
      </w:tr>
      <w:tr w14:paraId="1BB1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4AF6F1E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24</w:t>
            </w:r>
          </w:p>
        </w:tc>
        <w:tc>
          <w:tcPr>
            <w:tcW w:w="2910" w:type="dxa"/>
            <w:vAlign w:val="center"/>
          </w:tcPr>
          <w:p w14:paraId="2C9D57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异径三通(DE25*20)</w:t>
            </w:r>
          </w:p>
        </w:tc>
        <w:tc>
          <w:tcPr>
            <w:tcW w:w="1185" w:type="dxa"/>
            <w:vAlign w:val="center"/>
          </w:tcPr>
          <w:p w14:paraId="5905C1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DE25*20</w:t>
            </w:r>
          </w:p>
        </w:tc>
        <w:tc>
          <w:tcPr>
            <w:tcW w:w="810" w:type="dxa"/>
            <w:vAlign w:val="center"/>
          </w:tcPr>
          <w:p w14:paraId="45F3F9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1A799D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50</w:t>
            </w:r>
          </w:p>
        </w:tc>
        <w:tc>
          <w:tcPr>
            <w:tcW w:w="1161" w:type="dxa"/>
            <w:vAlign w:val="center"/>
          </w:tcPr>
          <w:p w14:paraId="5C131C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1.38</w:t>
            </w:r>
          </w:p>
        </w:tc>
        <w:tc>
          <w:tcPr>
            <w:tcW w:w="1161" w:type="dxa"/>
            <w:vAlign w:val="center"/>
          </w:tcPr>
          <w:p w14:paraId="53E3E2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69.00 </w:t>
            </w:r>
          </w:p>
        </w:tc>
      </w:tr>
      <w:tr w14:paraId="7B59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3C70DCD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25</w:t>
            </w:r>
          </w:p>
        </w:tc>
        <w:tc>
          <w:tcPr>
            <w:tcW w:w="2910" w:type="dxa"/>
            <w:vAlign w:val="center"/>
          </w:tcPr>
          <w:p w14:paraId="6B4BEF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异径三通(DE32*20)</w:t>
            </w:r>
          </w:p>
        </w:tc>
        <w:tc>
          <w:tcPr>
            <w:tcW w:w="1185" w:type="dxa"/>
            <w:vAlign w:val="center"/>
          </w:tcPr>
          <w:p w14:paraId="5F65FE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DE32*20</w:t>
            </w:r>
          </w:p>
        </w:tc>
        <w:tc>
          <w:tcPr>
            <w:tcW w:w="810" w:type="dxa"/>
            <w:vAlign w:val="center"/>
          </w:tcPr>
          <w:p w14:paraId="527E4F3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2D979B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500</w:t>
            </w:r>
          </w:p>
        </w:tc>
        <w:tc>
          <w:tcPr>
            <w:tcW w:w="1161" w:type="dxa"/>
            <w:vAlign w:val="center"/>
          </w:tcPr>
          <w:p w14:paraId="43DAF6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2.21</w:t>
            </w:r>
          </w:p>
        </w:tc>
        <w:tc>
          <w:tcPr>
            <w:tcW w:w="1161" w:type="dxa"/>
            <w:vAlign w:val="center"/>
          </w:tcPr>
          <w:p w14:paraId="1D24BE4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1105.00 </w:t>
            </w:r>
          </w:p>
        </w:tc>
      </w:tr>
      <w:tr w14:paraId="5A9C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2242D42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26</w:t>
            </w:r>
          </w:p>
        </w:tc>
        <w:tc>
          <w:tcPr>
            <w:tcW w:w="2910" w:type="dxa"/>
            <w:vAlign w:val="center"/>
          </w:tcPr>
          <w:p w14:paraId="37FE6A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异径三通(DE32*25)</w:t>
            </w:r>
          </w:p>
        </w:tc>
        <w:tc>
          <w:tcPr>
            <w:tcW w:w="1185" w:type="dxa"/>
            <w:vAlign w:val="center"/>
          </w:tcPr>
          <w:p w14:paraId="49AEA3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DE32*25</w:t>
            </w:r>
          </w:p>
        </w:tc>
        <w:tc>
          <w:tcPr>
            <w:tcW w:w="810" w:type="dxa"/>
            <w:vAlign w:val="center"/>
          </w:tcPr>
          <w:p w14:paraId="0CC564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427B7C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50</w:t>
            </w:r>
          </w:p>
        </w:tc>
        <w:tc>
          <w:tcPr>
            <w:tcW w:w="1161" w:type="dxa"/>
            <w:vAlign w:val="center"/>
          </w:tcPr>
          <w:p w14:paraId="643145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2.54</w:t>
            </w:r>
          </w:p>
        </w:tc>
        <w:tc>
          <w:tcPr>
            <w:tcW w:w="1161" w:type="dxa"/>
            <w:vAlign w:val="center"/>
          </w:tcPr>
          <w:p w14:paraId="5DE696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127.00 </w:t>
            </w:r>
          </w:p>
        </w:tc>
      </w:tr>
      <w:tr w14:paraId="5A79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6D7BFAD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27</w:t>
            </w:r>
          </w:p>
        </w:tc>
        <w:tc>
          <w:tcPr>
            <w:tcW w:w="2910" w:type="dxa"/>
            <w:vAlign w:val="center"/>
          </w:tcPr>
          <w:p w14:paraId="350BA4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异径三通(DE63*20)</w:t>
            </w:r>
          </w:p>
        </w:tc>
        <w:tc>
          <w:tcPr>
            <w:tcW w:w="1185" w:type="dxa"/>
            <w:vAlign w:val="center"/>
          </w:tcPr>
          <w:p w14:paraId="44DC45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DE63*20</w:t>
            </w:r>
          </w:p>
        </w:tc>
        <w:tc>
          <w:tcPr>
            <w:tcW w:w="810" w:type="dxa"/>
            <w:vAlign w:val="center"/>
          </w:tcPr>
          <w:p w14:paraId="3D663E9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7E6610F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50</w:t>
            </w:r>
          </w:p>
        </w:tc>
        <w:tc>
          <w:tcPr>
            <w:tcW w:w="1161" w:type="dxa"/>
            <w:vAlign w:val="center"/>
          </w:tcPr>
          <w:p w14:paraId="64C6FDC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11.2</w:t>
            </w:r>
          </w:p>
        </w:tc>
        <w:tc>
          <w:tcPr>
            <w:tcW w:w="1161" w:type="dxa"/>
            <w:vAlign w:val="center"/>
          </w:tcPr>
          <w:p w14:paraId="1DB2A6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560.00 </w:t>
            </w:r>
          </w:p>
        </w:tc>
      </w:tr>
      <w:tr w14:paraId="3BC2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2D535E1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28</w:t>
            </w:r>
          </w:p>
        </w:tc>
        <w:tc>
          <w:tcPr>
            <w:tcW w:w="2910" w:type="dxa"/>
            <w:vAlign w:val="center"/>
          </w:tcPr>
          <w:p w14:paraId="0F28D11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外牙直接(DE20*15)</w:t>
            </w:r>
          </w:p>
        </w:tc>
        <w:tc>
          <w:tcPr>
            <w:tcW w:w="1185" w:type="dxa"/>
            <w:vAlign w:val="center"/>
          </w:tcPr>
          <w:p w14:paraId="2BE936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DE20*1/2"</w:t>
            </w:r>
          </w:p>
        </w:tc>
        <w:tc>
          <w:tcPr>
            <w:tcW w:w="810" w:type="dxa"/>
            <w:vAlign w:val="center"/>
          </w:tcPr>
          <w:p w14:paraId="2898FF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0B3A29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40000</w:t>
            </w:r>
          </w:p>
        </w:tc>
        <w:tc>
          <w:tcPr>
            <w:tcW w:w="1161" w:type="dxa"/>
            <w:vAlign w:val="center"/>
          </w:tcPr>
          <w:p w14:paraId="5B45B56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7.03</w:t>
            </w:r>
          </w:p>
        </w:tc>
        <w:tc>
          <w:tcPr>
            <w:tcW w:w="1161" w:type="dxa"/>
            <w:vAlign w:val="center"/>
          </w:tcPr>
          <w:p w14:paraId="15A248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281200.00 </w:t>
            </w:r>
          </w:p>
        </w:tc>
      </w:tr>
      <w:tr w14:paraId="544C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66F1641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29</w:t>
            </w:r>
          </w:p>
        </w:tc>
        <w:tc>
          <w:tcPr>
            <w:tcW w:w="2910" w:type="dxa"/>
            <w:vAlign w:val="center"/>
          </w:tcPr>
          <w:p w14:paraId="225922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外牙直接(DE25*20)</w:t>
            </w:r>
          </w:p>
        </w:tc>
        <w:tc>
          <w:tcPr>
            <w:tcW w:w="1185" w:type="dxa"/>
            <w:vAlign w:val="center"/>
          </w:tcPr>
          <w:p w14:paraId="31BE3F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DE25*3/4"</w:t>
            </w:r>
          </w:p>
        </w:tc>
        <w:tc>
          <w:tcPr>
            <w:tcW w:w="810" w:type="dxa"/>
            <w:vAlign w:val="center"/>
          </w:tcPr>
          <w:p w14:paraId="1E4C69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759A34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3000</w:t>
            </w:r>
          </w:p>
        </w:tc>
        <w:tc>
          <w:tcPr>
            <w:tcW w:w="1161" w:type="dxa"/>
            <w:vAlign w:val="center"/>
          </w:tcPr>
          <w:p w14:paraId="7FCC15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10.29</w:t>
            </w:r>
          </w:p>
        </w:tc>
        <w:tc>
          <w:tcPr>
            <w:tcW w:w="1161" w:type="dxa"/>
            <w:vAlign w:val="center"/>
          </w:tcPr>
          <w:p w14:paraId="0EEFA1B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30870.00 </w:t>
            </w:r>
          </w:p>
        </w:tc>
      </w:tr>
      <w:tr w14:paraId="3B22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21E1D24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30</w:t>
            </w:r>
          </w:p>
        </w:tc>
        <w:tc>
          <w:tcPr>
            <w:tcW w:w="2910" w:type="dxa"/>
            <w:vAlign w:val="center"/>
          </w:tcPr>
          <w:p w14:paraId="6DE004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外牙直接(DE32*25)</w:t>
            </w:r>
          </w:p>
        </w:tc>
        <w:tc>
          <w:tcPr>
            <w:tcW w:w="1185" w:type="dxa"/>
            <w:vAlign w:val="center"/>
          </w:tcPr>
          <w:p w14:paraId="22E24D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DE32*1"</w:t>
            </w:r>
          </w:p>
        </w:tc>
        <w:tc>
          <w:tcPr>
            <w:tcW w:w="810" w:type="dxa"/>
            <w:vAlign w:val="center"/>
          </w:tcPr>
          <w:p w14:paraId="7E4D7C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4EBAA3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w:t>
            </w:r>
          </w:p>
        </w:tc>
        <w:tc>
          <w:tcPr>
            <w:tcW w:w="1161" w:type="dxa"/>
            <w:vAlign w:val="center"/>
          </w:tcPr>
          <w:p w14:paraId="7FFC6F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21.42</w:t>
            </w:r>
          </w:p>
        </w:tc>
        <w:tc>
          <w:tcPr>
            <w:tcW w:w="1161" w:type="dxa"/>
            <w:vAlign w:val="center"/>
          </w:tcPr>
          <w:p w14:paraId="72DA16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2142.00 </w:t>
            </w:r>
          </w:p>
        </w:tc>
      </w:tr>
      <w:tr w14:paraId="290F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1BB55EB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31</w:t>
            </w:r>
          </w:p>
        </w:tc>
        <w:tc>
          <w:tcPr>
            <w:tcW w:w="2910" w:type="dxa"/>
            <w:vAlign w:val="center"/>
          </w:tcPr>
          <w:p w14:paraId="622CBC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外牙直接(DE63*50)</w:t>
            </w:r>
          </w:p>
        </w:tc>
        <w:tc>
          <w:tcPr>
            <w:tcW w:w="1185" w:type="dxa"/>
            <w:vAlign w:val="center"/>
          </w:tcPr>
          <w:p w14:paraId="63DCC26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DE63*2"</w:t>
            </w:r>
          </w:p>
        </w:tc>
        <w:tc>
          <w:tcPr>
            <w:tcW w:w="810" w:type="dxa"/>
            <w:vAlign w:val="center"/>
          </w:tcPr>
          <w:p w14:paraId="4844F4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7674B0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w:t>
            </w:r>
          </w:p>
        </w:tc>
        <w:tc>
          <w:tcPr>
            <w:tcW w:w="1161" w:type="dxa"/>
            <w:vAlign w:val="center"/>
          </w:tcPr>
          <w:p w14:paraId="329C9C4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63.65</w:t>
            </w:r>
          </w:p>
        </w:tc>
        <w:tc>
          <w:tcPr>
            <w:tcW w:w="1161" w:type="dxa"/>
            <w:vAlign w:val="center"/>
          </w:tcPr>
          <w:p w14:paraId="147A78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6365.00 </w:t>
            </w:r>
          </w:p>
        </w:tc>
      </w:tr>
      <w:tr w14:paraId="00F0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7748CCF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32</w:t>
            </w:r>
          </w:p>
        </w:tc>
        <w:tc>
          <w:tcPr>
            <w:tcW w:w="2910" w:type="dxa"/>
            <w:vAlign w:val="center"/>
          </w:tcPr>
          <w:p w14:paraId="0C295F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内牙直接(DE20*15)</w:t>
            </w:r>
          </w:p>
        </w:tc>
        <w:tc>
          <w:tcPr>
            <w:tcW w:w="1185" w:type="dxa"/>
            <w:vAlign w:val="center"/>
          </w:tcPr>
          <w:p w14:paraId="294B6A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DE20*1/2"</w:t>
            </w:r>
          </w:p>
        </w:tc>
        <w:tc>
          <w:tcPr>
            <w:tcW w:w="810" w:type="dxa"/>
            <w:vAlign w:val="center"/>
          </w:tcPr>
          <w:p w14:paraId="2D7195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3ED083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2000</w:t>
            </w:r>
          </w:p>
        </w:tc>
        <w:tc>
          <w:tcPr>
            <w:tcW w:w="1161" w:type="dxa"/>
            <w:vAlign w:val="center"/>
          </w:tcPr>
          <w:p w14:paraId="6636A9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5.81</w:t>
            </w:r>
          </w:p>
        </w:tc>
        <w:tc>
          <w:tcPr>
            <w:tcW w:w="1161" w:type="dxa"/>
            <w:vAlign w:val="center"/>
          </w:tcPr>
          <w:p w14:paraId="7228A8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11620.00 </w:t>
            </w:r>
          </w:p>
        </w:tc>
      </w:tr>
      <w:tr w14:paraId="51CF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18DA4BE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33</w:t>
            </w:r>
          </w:p>
        </w:tc>
        <w:tc>
          <w:tcPr>
            <w:tcW w:w="2910" w:type="dxa"/>
            <w:vAlign w:val="center"/>
          </w:tcPr>
          <w:p w14:paraId="60214D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内牙直接(DE25*15)</w:t>
            </w:r>
          </w:p>
        </w:tc>
        <w:tc>
          <w:tcPr>
            <w:tcW w:w="1185" w:type="dxa"/>
            <w:vAlign w:val="center"/>
          </w:tcPr>
          <w:p w14:paraId="6AF3D9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DE25*1/2"</w:t>
            </w:r>
          </w:p>
        </w:tc>
        <w:tc>
          <w:tcPr>
            <w:tcW w:w="810" w:type="dxa"/>
            <w:vAlign w:val="center"/>
          </w:tcPr>
          <w:p w14:paraId="60CDC5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6F683F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50</w:t>
            </w:r>
          </w:p>
        </w:tc>
        <w:tc>
          <w:tcPr>
            <w:tcW w:w="1161" w:type="dxa"/>
            <w:vAlign w:val="center"/>
          </w:tcPr>
          <w:p w14:paraId="7523CA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6.01</w:t>
            </w:r>
          </w:p>
        </w:tc>
        <w:tc>
          <w:tcPr>
            <w:tcW w:w="1161" w:type="dxa"/>
            <w:vAlign w:val="center"/>
          </w:tcPr>
          <w:p w14:paraId="4E8A7EE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300.50 </w:t>
            </w:r>
          </w:p>
        </w:tc>
      </w:tr>
      <w:tr w14:paraId="1A3F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2166E08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34</w:t>
            </w:r>
          </w:p>
        </w:tc>
        <w:tc>
          <w:tcPr>
            <w:tcW w:w="2910" w:type="dxa"/>
            <w:vAlign w:val="center"/>
          </w:tcPr>
          <w:p w14:paraId="6A08CE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内牙直接(DE25*20)</w:t>
            </w:r>
          </w:p>
        </w:tc>
        <w:tc>
          <w:tcPr>
            <w:tcW w:w="1185" w:type="dxa"/>
            <w:vAlign w:val="center"/>
          </w:tcPr>
          <w:p w14:paraId="4E0B54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DE25*3/4"</w:t>
            </w:r>
          </w:p>
        </w:tc>
        <w:tc>
          <w:tcPr>
            <w:tcW w:w="810" w:type="dxa"/>
            <w:vAlign w:val="center"/>
          </w:tcPr>
          <w:p w14:paraId="64519D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59E4C8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200</w:t>
            </w:r>
          </w:p>
        </w:tc>
        <w:tc>
          <w:tcPr>
            <w:tcW w:w="1161" w:type="dxa"/>
            <w:vAlign w:val="center"/>
          </w:tcPr>
          <w:p w14:paraId="42B297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8.51</w:t>
            </w:r>
          </w:p>
        </w:tc>
        <w:tc>
          <w:tcPr>
            <w:tcW w:w="1161" w:type="dxa"/>
            <w:vAlign w:val="center"/>
          </w:tcPr>
          <w:p w14:paraId="1C9E43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1702.00 </w:t>
            </w:r>
          </w:p>
        </w:tc>
      </w:tr>
      <w:tr w14:paraId="70A3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25149BE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35</w:t>
            </w:r>
          </w:p>
        </w:tc>
        <w:tc>
          <w:tcPr>
            <w:tcW w:w="2910" w:type="dxa"/>
            <w:vAlign w:val="center"/>
          </w:tcPr>
          <w:p w14:paraId="45585A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内牙直接(DE32*20)</w:t>
            </w:r>
          </w:p>
        </w:tc>
        <w:tc>
          <w:tcPr>
            <w:tcW w:w="1185" w:type="dxa"/>
            <w:vAlign w:val="center"/>
          </w:tcPr>
          <w:p w14:paraId="49D86E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DE32*3/4"</w:t>
            </w:r>
          </w:p>
        </w:tc>
        <w:tc>
          <w:tcPr>
            <w:tcW w:w="810" w:type="dxa"/>
            <w:vAlign w:val="center"/>
          </w:tcPr>
          <w:p w14:paraId="5393444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27596A3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50</w:t>
            </w:r>
          </w:p>
        </w:tc>
        <w:tc>
          <w:tcPr>
            <w:tcW w:w="1161" w:type="dxa"/>
            <w:vAlign w:val="center"/>
          </w:tcPr>
          <w:p w14:paraId="42601C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9.48</w:t>
            </w:r>
          </w:p>
        </w:tc>
        <w:tc>
          <w:tcPr>
            <w:tcW w:w="1161" w:type="dxa"/>
            <w:vAlign w:val="center"/>
          </w:tcPr>
          <w:p w14:paraId="6543635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474.00 </w:t>
            </w:r>
          </w:p>
        </w:tc>
      </w:tr>
      <w:tr w14:paraId="3033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2C3E883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36</w:t>
            </w:r>
          </w:p>
        </w:tc>
        <w:tc>
          <w:tcPr>
            <w:tcW w:w="2910" w:type="dxa"/>
            <w:vAlign w:val="center"/>
          </w:tcPr>
          <w:p w14:paraId="7FC5E9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内牙直接(DE32*25)</w:t>
            </w:r>
          </w:p>
        </w:tc>
        <w:tc>
          <w:tcPr>
            <w:tcW w:w="1185" w:type="dxa"/>
            <w:vAlign w:val="center"/>
          </w:tcPr>
          <w:p w14:paraId="0547E01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DE32*1"</w:t>
            </w:r>
          </w:p>
        </w:tc>
        <w:tc>
          <w:tcPr>
            <w:tcW w:w="810" w:type="dxa"/>
            <w:vAlign w:val="center"/>
          </w:tcPr>
          <w:p w14:paraId="30D7E8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4F5EF9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50</w:t>
            </w:r>
          </w:p>
        </w:tc>
        <w:tc>
          <w:tcPr>
            <w:tcW w:w="1161" w:type="dxa"/>
            <w:vAlign w:val="center"/>
          </w:tcPr>
          <w:p w14:paraId="19C393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17.03</w:t>
            </w:r>
          </w:p>
        </w:tc>
        <w:tc>
          <w:tcPr>
            <w:tcW w:w="1161" w:type="dxa"/>
            <w:vAlign w:val="center"/>
          </w:tcPr>
          <w:p w14:paraId="19BC60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851.50 </w:t>
            </w:r>
          </w:p>
        </w:tc>
      </w:tr>
      <w:tr w14:paraId="13B1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639F7F2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37</w:t>
            </w:r>
          </w:p>
        </w:tc>
        <w:tc>
          <w:tcPr>
            <w:tcW w:w="2910" w:type="dxa"/>
            <w:vAlign w:val="center"/>
          </w:tcPr>
          <w:p w14:paraId="511696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内牙直接(DE63*50)</w:t>
            </w:r>
          </w:p>
        </w:tc>
        <w:tc>
          <w:tcPr>
            <w:tcW w:w="1185" w:type="dxa"/>
            <w:vAlign w:val="center"/>
          </w:tcPr>
          <w:p w14:paraId="1AC3E9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DE63*2"</w:t>
            </w:r>
          </w:p>
        </w:tc>
        <w:tc>
          <w:tcPr>
            <w:tcW w:w="810" w:type="dxa"/>
            <w:vAlign w:val="center"/>
          </w:tcPr>
          <w:p w14:paraId="4B559D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48B5CD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50</w:t>
            </w:r>
          </w:p>
        </w:tc>
        <w:tc>
          <w:tcPr>
            <w:tcW w:w="1161" w:type="dxa"/>
            <w:vAlign w:val="center"/>
          </w:tcPr>
          <w:p w14:paraId="7CB540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52.53</w:t>
            </w:r>
          </w:p>
        </w:tc>
        <w:tc>
          <w:tcPr>
            <w:tcW w:w="1161" w:type="dxa"/>
            <w:vAlign w:val="center"/>
          </w:tcPr>
          <w:p w14:paraId="121472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2626.50 </w:t>
            </w:r>
          </w:p>
        </w:tc>
      </w:tr>
      <w:tr w14:paraId="1941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0F0844F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38</w:t>
            </w:r>
          </w:p>
        </w:tc>
        <w:tc>
          <w:tcPr>
            <w:tcW w:w="2910" w:type="dxa"/>
            <w:vAlign w:val="center"/>
          </w:tcPr>
          <w:p w14:paraId="1959BE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外牙弯头(DE20*15)</w:t>
            </w:r>
          </w:p>
        </w:tc>
        <w:tc>
          <w:tcPr>
            <w:tcW w:w="1185" w:type="dxa"/>
            <w:vAlign w:val="center"/>
          </w:tcPr>
          <w:p w14:paraId="374F1A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DE20*1/2"</w:t>
            </w:r>
          </w:p>
        </w:tc>
        <w:tc>
          <w:tcPr>
            <w:tcW w:w="810" w:type="dxa"/>
            <w:vAlign w:val="center"/>
          </w:tcPr>
          <w:p w14:paraId="19179A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69EA7C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50</w:t>
            </w:r>
          </w:p>
        </w:tc>
        <w:tc>
          <w:tcPr>
            <w:tcW w:w="1161" w:type="dxa"/>
            <w:vAlign w:val="center"/>
          </w:tcPr>
          <w:p w14:paraId="662AAB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7.67</w:t>
            </w:r>
          </w:p>
        </w:tc>
        <w:tc>
          <w:tcPr>
            <w:tcW w:w="1161" w:type="dxa"/>
            <w:vAlign w:val="center"/>
          </w:tcPr>
          <w:p w14:paraId="5DB7E19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383.50 </w:t>
            </w:r>
          </w:p>
        </w:tc>
      </w:tr>
      <w:tr w14:paraId="3D56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6F059B9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39</w:t>
            </w:r>
          </w:p>
        </w:tc>
        <w:tc>
          <w:tcPr>
            <w:tcW w:w="2910" w:type="dxa"/>
            <w:vAlign w:val="center"/>
          </w:tcPr>
          <w:p w14:paraId="4439D6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外牙弯头(DE32*25)</w:t>
            </w:r>
          </w:p>
        </w:tc>
        <w:tc>
          <w:tcPr>
            <w:tcW w:w="1185" w:type="dxa"/>
            <w:vAlign w:val="center"/>
          </w:tcPr>
          <w:p w14:paraId="6A0522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DE32*1"</w:t>
            </w:r>
          </w:p>
        </w:tc>
        <w:tc>
          <w:tcPr>
            <w:tcW w:w="810" w:type="dxa"/>
            <w:vAlign w:val="center"/>
          </w:tcPr>
          <w:p w14:paraId="317F02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6521104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50</w:t>
            </w:r>
          </w:p>
        </w:tc>
        <w:tc>
          <w:tcPr>
            <w:tcW w:w="1161" w:type="dxa"/>
            <w:vAlign w:val="center"/>
          </w:tcPr>
          <w:p w14:paraId="122C51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23.05</w:t>
            </w:r>
          </w:p>
        </w:tc>
        <w:tc>
          <w:tcPr>
            <w:tcW w:w="1161" w:type="dxa"/>
            <w:vAlign w:val="center"/>
          </w:tcPr>
          <w:p w14:paraId="47AD74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1152.50 </w:t>
            </w:r>
          </w:p>
        </w:tc>
      </w:tr>
      <w:tr w14:paraId="1671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2D492D9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40</w:t>
            </w:r>
          </w:p>
        </w:tc>
        <w:tc>
          <w:tcPr>
            <w:tcW w:w="2910" w:type="dxa"/>
            <w:vAlign w:val="center"/>
          </w:tcPr>
          <w:p w14:paraId="63AD135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内牙弯头(DE20*15)</w:t>
            </w:r>
          </w:p>
        </w:tc>
        <w:tc>
          <w:tcPr>
            <w:tcW w:w="1185" w:type="dxa"/>
            <w:vAlign w:val="center"/>
          </w:tcPr>
          <w:p w14:paraId="7896F7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DE20*1/2"</w:t>
            </w:r>
          </w:p>
        </w:tc>
        <w:tc>
          <w:tcPr>
            <w:tcW w:w="810" w:type="dxa"/>
            <w:vAlign w:val="center"/>
          </w:tcPr>
          <w:p w14:paraId="230EA2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77F01C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50</w:t>
            </w:r>
          </w:p>
        </w:tc>
        <w:tc>
          <w:tcPr>
            <w:tcW w:w="1161" w:type="dxa"/>
            <w:vAlign w:val="center"/>
          </w:tcPr>
          <w:p w14:paraId="770A7F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6.26</w:t>
            </w:r>
          </w:p>
        </w:tc>
        <w:tc>
          <w:tcPr>
            <w:tcW w:w="1161" w:type="dxa"/>
            <w:vAlign w:val="center"/>
          </w:tcPr>
          <w:p w14:paraId="6567F6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313.00 </w:t>
            </w:r>
          </w:p>
        </w:tc>
      </w:tr>
      <w:tr w14:paraId="3BA0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bottom"/>
          </w:tcPr>
          <w:p w14:paraId="0AAED72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41</w:t>
            </w:r>
          </w:p>
        </w:tc>
        <w:tc>
          <w:tcPr>
            <w:tcW w:w="2910" w:type="dxa"/>
            <w:vAlign w:val="center"/>
          </w:tcPr>
          <w:p w14:paraId="0A450F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PPR 内牙弯头(DE32*25)</w:t>
            </w:r>
          </w:p>
        </w:tc>
        <w:tc>
          <w:tcPr>
            <w:tcW w:w="1185" w:type="dxa"/>
            <w:vAlign w:val="center"/>
          </w:tcPr>
          <w:p w14:paraId="6ECF16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DE32*1"</w:t>
            </w:r>
          </w:p>
        </w:tc>
        <w:tc>
          <w:tcPr>
            <w:tcW w:w="810" w:type="dxa"/>
            <w:vAlign w:val="center"/>
          </w:tcPr>
          <w:p w14:paraId="49E618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只</w:t>
            </w:r>
          </w:p>
        </w:tc>
        <w:tc>
          <w:tcPr>
            <w:tcW w:w="907" w:type="dxa"/>
            <w:vAlign w:val="center"/>
          </w:tcPr>
          <w:p w14:paraId="68C32B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color w:val="auto"/>
                <w:kern w:val="0"/>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50</w:t>
            </w:r>
          </w:p>
        </w:tc>
        <w:tc>
          <w:tcPr>
            <w:tcW w:w="1161" w:type="dxa"/>
            <w:vAlign w:val="center"/>
          </w:tcPr>
          <w:p w14:paraId="18E576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18.72</w:t>
            </w:r>
          </w:p>
        </w:tc>
        <w:tc>
          <w:tcPr>
            <w:tcW w:w="1161" w:type="dxa"/>
            <w:vAlign w:val="center"/>
          </w:tcPr>
          <w:p w14:paraId="176B43F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936.00 </w:t>
            </w:r>
          </w:p>
        </w:tc>
      </w:tr>
      <w:tr w14:paraId="0B0E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4" w:type="dxa"/>
            <w:gridSpan w:val="7"/>
            <w:vAlign w:val="bottom"/>
          </w:tcPr>
          <w:p w14:paraId="7233571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最高限价：（大写）肆拾叁万柒仟捌佰捌拾元伍角（小写）437880.5元</w:t>
            </w:r>
          </w:p>
        </w:tc>
      </w:tr>
    </w:tbl>
    <w:p w14:paraId="5238754E">
      <w:pPr>
        <w:keepNext w:val="0"/>
        <w:keepLines w:val="0"/>
        <w:pageBreakBefore w:val="0"/>
        <w:widowControl/>
        <w:kinsoku/>
        <w:wordWrap/>
        <w:overflowPunct/>
        <w:topLinePunct w:val="0"/>
        <w:autoSpaceDE w:val="0"/>
        <w:autoSpaceDN w:val="0"/>
        <w:bidi w:val="0"/>
        <w:adjustRightInd/>
        <w:snapToGrid/>
        <w:spacing w:line="520" w:lineRule="exact"/>
        <w:ind w:firstLine="422" w:firstLineChars="200"/>
        <w:jc w:val="left"/>
        <w:textAlignment w:val="baseline"/>
        <w:rPr>
          <w:rFonts w:ascii="宋体" w:hAnsi="宋体" w:eastAsia="宋体"/>
          <w:b/>
          <w:color w:val="auto"/>
          <w:kern w:val="0"/>
          <w:szCs w:val="21"/>
          <w:highlight w:val="none"/>
        </w:rPr>
      </w:pPr>
      <w:r>
        <w:rPr>
          <w:rFonts w:hint="eastAsia" w:ascii="宋体" w:hAnsi="宋体"/>
          <w:b/>
          <w:color w:val="auto"/>
          <w:kern w:val="0"/>
          <w:szCs w:val="21"/>
          <w:highlight w:val="none"/>
        </w:rPr>
        <w:t>注：1</w:t>
      </w:r>
      <w:r>
        <w:rPr>
          <w:rFonts w:hint="eastAsia" w:ascii="宋体" w:hAnsi="宋体"/>
          <w:b/>
          <w:color w:val="auto"/>
          <w:kern w:val="0"/>
          <w:szCs w:val="21"/>
          <w:highlight w:val="none"/>
          <w:lang w:val="en-US" w:eastAsia="zh-CN"/>
        </w:rPr>
        <w:t>.</w:t>
      </w:r>
      <w:r>
        <w:rPr>
          <w:rFonts w:hint="eastAsia" w:ascii="宋体" w:hAnsi="宋体"/>
          <w:b/>
          <w:color w:val="auto"/>
          <w:kern w:val="0"/>
          <w:szCs w:val="21"/>
          <w:highlight w:val="none"/>
        </w:rPr>
        <w:t>以上采购数量为一年暂定数量，仅供评标用，实际供货与结算时有可能发生变化，实际供货以采购人通知数量，结算时以实际供货数量为准，请供应商在报价时考虑，供货期内中标综合单价不予调整。投标报价均保留两位小数点。</w:t>
      </w:r>
    </w:p>
    <w:p w14:paraId="6EAE5B02">
      <w:pPr>
        <w:keepNext w:val="0"/>
        <w:keepLines w:val="0"/>
        <w:pageBreakBefore w:val="0"/>
        <w:widowControl/>
        <w:numPr>
          <w:ilvl w:val="0"/>
          <w:numId w:val="0"/>
        </w:numPr>
        <w:kinsoku/>
        <w:wordWrap/>
        <w:overflowPunct/>
        <w:topLinePunct w:val="0"/>
        <w:autoSpaceDE w:val="0"/>
        <w:autoSpaceDN w:val="0"/>
        <w:bidi w:val="0"/>
        <w:adjustRightInd/>
        <w:snapToGrid/>
        <w:spacing w:line="520" w:lineRule="exact"/>
        <w:ind w:firstLine="843" w:firstLineChars="400"/>
        <w:jc w:val="left"/>
        <w:textAlignment w:val="baseline"/>
        <w:rPr>
          <w:rFonts w:hint="eastAsia" w:ascii="宋体" w:hAnsi="宋体"/>
          <w:b/>
          <w:color w:val="auto"/>
          <w:kern w:val="0"/>
          <w:szCs w:val="21"/>
          <w:highlight w:val="none"/>
        </w:rPr>
      </w:pPr>
      <w:r>
        <w:rPr>
          <w:rFonts w:hint="eastAsia" w:ascii="宋体" w:hAnsi="宋体"/>
          <w:b/>
          <w:color w:val="auto"/>
          <w:kern w:val="0"/>
          <w:szCs w:val="21"/>
          <w:highlight w:val="none"/>
          <w:lang w:val="en-US" w:eastAsia="zh-CN"/>
        </w:rPr>
        <w:t>2.在后续实施过程中，如产生不在本次招标清单里的材料，由中标单位按比例核算和业主双方协商确定单价。</w:t>
      </w:r>
    </w:p>
    <w:p w14:paraId="443936F3">
      <w:pPr>
        <w:pStyle w:val="12"/>
        <w:keepNext w:val="0"/>
        <w:keepLines w:val="0"/>
        <w:pageBreakBefore w:val="0"/>
        <w:widowControl w:val="0"/>
        <w:kinsoku/>
        <w:wordWrap/>
        <w:overflowPunct/>
        <w:topLinePunct w:val="0"/>
        <w:autoSpaceDE/>
        <w:autoSpaceDN/>
        <w:bidi w:val="0"/>
        <w:adjustRightInd/>
        <w:snapToGrid/>
        <w:spacing w:after="0" w:line="520" w:lineRule="exact"/>
        <w:ind w:left="0" w:leftChars="0" w:firstLine="843" w:firstLineChars="400"/>
        <w:jc w:val="left"/>
        <w:textAlignment w:val="auto"/>
        <w:rPr>
          <w:rFonts w:hint="default"/>
          <w:color w:val="auto"/>
          <w:highlight w:val="none"/>
          <w:lang w:val="en-US" w:eastAsia="zh-CN"/>
        </w:rPr>
      </w:pPr>
      <w:r>
        <w:rPr>
          <w:rFonts w:hint="eastAsia" w:hAnsi="宋体" w:eastAsia="宋体" w:cs="Times New Roman"/>
          <w:b/>
          <w:color w:val="auto"/>
          <w:kern w:val="0"/>
          <w:sz w:val="21"/>
          <w:szCs w:val="21"/>
          <w:highlight w:val="none"/>
          <w:lang w:val="en-US" w:eastAsia="zh-CN" w:bidi="ar-SA"/>
        </w:rPr>
        <w:t>3</w:t>
      </w:r>
      <w:r>
        <w:rPr>
          <w:rFonts w:hint="eastAsia" w:hAnsi="宋体" w:cs="Times New Roman"/>
          <w:b/>
          <w:color w:val="auto"/>
          <w:kern w:val="0"/>
          <w:sz w:val="21"/>
          <w:szCs w:val="21"/>
          <w:highlight w:val="none"/>
          <w:lang w:val="en-US" w:eastAsia="zh-CN" w:bidi="ar-SA"/>
        </w:rPr>
        <w:t>.</w:t>
      </w:r>
      <w:r>
        <w:rPr>
          <w:rFonts w:hint="eastAsia" w:hAnsi="宋体" w:eastAsia="宋体" w:cs="Times New Roman"/>
          <w:b/>
          <w:color w:val="auto"/>
          <w:kern w:val="0"/>
          <w:sz w:val="21"/>
          <w:szCs w:val="21"/>
          <w:highlight w:val="none"/>
          <w:lang w:val="en-US" w:eastAsia="zh-CN" w:bidi="ar-SA"/>
        </w:rPr>
        <w:t>此项目清单限价，管材等级均为16公斤。</w:t>
      </w:r>
    </w:p>
    <w:p w14:paraId="3C2693A9">
      <w:pPr>
        <w:spacing w:before="156" w:beforeLines="50" w:after="156" w:afterLines="50" w:line="440" w:lineRule="exact"/>
        <w:jc w:val="center"/>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二、商务要求</w:t>
      </w:r>
    </w:p>
    <w:p w14:paraId="42C2DDFF">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（一）货物的生产、维修、检验、验收等按照以下原则执行：有国家标准的执行国家标准；无国家标准的执行行业标准；无行业标准的执行地方标准；无地方标准的执行企业标准。</w:t>
      </w:r>
    </w:p>
    <w:p w14:paraId="01634371">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（二）如果在技术参数或配置中标明了品牌或产地，则仅供参考，并非指定，但投标人提供的货物必须满足主要技术参数及配置要求，投标人可以选用替代的方案，但这种替代整体上要优于或相当于</w:t>
      </w:r>
      <w:r>
        <w:rPr>
          <w:rFonts w:hint="eastAsia" w:ascii="宋体" w:hAnsi="宋体" w:cs="宋体"/>
          <w:bCs/>
          <w:color w:val="auto"/>
          <w:szCs w:val="21"/>
          <w:highlight w:val="none"/>
          <w:lang w:eastAsia="zh-CN"/>
        </w:rPr>
        <w:t>招标文件</w:t>
      </w:r>
      <w:r>
        <w:rPr>
          <w:rFonts w:hint="eastAsia" w:ascii="宋体" w:hAnsi="宋体" w:cs="宋体"/>
          <w:bCs/>
          <w:color w:val="auto"/>
          <w:szCs w:val="21"/>
          <w:highlight w:val="none"/>
        </w:rPr>
        <w:t>的相关要求。</w:t>
      </w:r>
    </w:p>
    <w:p w14:paraId="3ABD0C1D">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（三）</w:t>
      </w:r>
      <w:r>
        <w:rPr>
          <w:rFonts w:hint="eastAsia" w:ascii="宋体" w:hAnsi="宋体" w:cs="宋体"/>
          <w:bCs/>
          <w:color w:val="auto"/>
          <w:szCs w:val="21"/>
          <w:highlight w:val="none"/>
        </w:rPr>
        <w:t>供货时所有货物</w:t>
      </w:r>
      <w:r>
        <w:rPr>
          <w:rFonts w:hint="eastAsia" w:ascii="宋体" w:hAnsi="宋体" w:cs="宋体"/>
          <w:color w:val="auto"/>
          <w:szCs w:val="21"/>
          <w:highlight w:val="none"/>
        </w:rPr>
        <w:t>（包括零部件）</w:t>
      </w:r>
      <w:r>
        <w:rPr>
          <w:rFonts w:hint="eastAsia" w:ascii="宋体" w:hAnsi="宋体" w:cs="宋体"/>
          <w:bCs/>
          <w:color w:val="auto"/>
          <w:szCs w:val="21"/>
          <w:highlight w:val="none"/>
        </w:rPr>
        <w:t>须为</w:t>
      </w:r>
      <w:r>
        <w:rPr>
          <w:rFonts w:hint="eastAsia" w:ascii="宋体" w:hAnsi="宋体" w:cs="宋体"/>
          <w:color w:val="auto"/>
          <w:szCs w:val="21"/>
          <w:highlight w:val="none"/>
        </w:rPr>
        <w:t>全新的、未使用过的</w:t>
      </w:r>
      <w:r>
        <w:rPr>
          <w:rFonts w:hint="eastAsia" w:ascii="宋体" w:hAnsi="宋体" w:cs="宋体"/>
          <w:bCs/>
          <w:color w:val="auto"/>
          <w:szCs w:val="21"/>
          <w:highlight w:val="none"/>
        </w:rPr>
        <w:t>原装正品，</w:t>
      </w:r>
      <w:r>
        <w:rPr>
          <w:rFonts w:hint="eastAsia" w:ascii="宋体" w:hAnsi="宋体" w:cs="宋体"/>
          <w:b/>
          <w:bCs w:val="0"/>
          <w:color w:val="auto"/>
          <w:szCs w:val="21"/>
          <w:highlight w:val="none"/>
        </w:rPr>
        <w:t>每套设备名称中包括所有的备品备件，安装后确保能够正常使用</w:t>
      </w:r>
      <w:r>
        <w:rPr>
          <w:rFonts w:hint="eastAsia" w:ascii="宋体" w:hAnsi="宋体" w:cs="宋体"/>
          <w:b/>
          <w:bCs w:val="0"/>
          <w:color w:val="auto"/>
          <w:szCs w:val="21"/>
          <w:highlight w:val="none"/>
          <w:lang w:eastAsia="zh-CN"/>
        </w:rPr>
        <w:t>，</w:t>
      </w:r>
      <w:r>
        <w:rPr>
          <w:rFonts w:hint="eastAsia" w:ascii="宋体" w:hAnsi="宋体" w:cs="宋体"/>
          <w:color w:val="auto"/>
          <w:szCs w:val="21"/>
          <w:highlight w:val="none"/>
        </w:rPr>
        <w:t>并完全符合国家质量标准，</w:t>
      </w:r>
      <w:r>
        <w:rPr>
          <w:rFonts w:hint="eastAsia" w:ascii="宋体" w:hAnsi="宋体" w:cs="宋体"/>
          <w:bCs/>
          <w:color w:val="auto"/>
          <w:szCs w:val="21"/>
          <w:highlight w:val="none"/>
        </w:rPr>
        <w:t>提供厂家出具的合格证书、有国家强制性认证要求的产品须提供相应证书，</w:t>
      </w:r>
      <w:r>
        <w:rPr>
          <w:rFonts w:hint="eastAsia" w:ascii="宋体" w:hAnsi="宋体" w:cs="宋体"/>
          <w:color w:val="auto"/>
          <w:szCs w:val="21"/>
          <w:highlight w:val="none"/>
        </w:rPr>
        <w:t xml:space="preserve">货物的技术参数及配置情况必须由投标人提供国家相关检测机构出具的检验报告、生产厂家公开发布的印刷资料等技术资料予以支持。没有技术资料支持的技术参数及配置不能视为响应。 </w:t>
      </w:r>
      <w:r>
        <w:rPr>
          <w:rFonts w:hint="eastAsia" w:ascii="宋体" w:hAnsi="宋体" w:cs="宋体"/>
          <w:b/>
          <w:color w:val="auto"/>
          <w:szCs w:val="21"/>
          <w:highlight w:val="none"/>
        </w:rPr>
        <w:t>(厂家出具的合格证书供货时提供)</w:t>
      </w:r>
    </w:p>
    <w:p w14:paraId="14E22397">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（四）技术支持</w:t>
      </w:r>
    </w:p>
    <w:p w14:paraId="032CD543">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中标人应向招标人提供全方位、及时而有效的技术支持和服务。</w:t>
      </w:r>
    </w:p>
    <w:p w14:paraId="7FF8B481">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中标人负责供货、调试等。</w:t>
      </w:r>
    </w:p>
    <w:p w14:paraId="382ED43E">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人负责将货物的全部有关技术文件（外文应提供中文翻译资料，下同）、施工图纸、资料、测试、验收报告等汇集成册交付招标人，涉及进口的产品或部件配件软件等须提供中国海关进口货物报关单、完税证明及商检证明等材料。</w:t>
      </w:r>
    </w:p>
    <w:p w14:paraId="5BFC47E3">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（五）质保及售后服务：</w:t>
      </w:r>
    </w:p>
    <w:p w14:paraId="2AAC338B">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中标人须提供至少</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年的免费质保服务，所有质保费用均已包含在投标报价中，质保期满后，应提供优先的有偿售后服务及按不高于投标文件中主要配件、易损件清单所报价格供应原厂零配件等。</w:t>
      </w:r>
    </w:p>
    <w:p w14:paraId="20EF36D0">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中标人须设有维修服务电话，负责解答用户在货物使用中遇到的问题，及时提出解决问题的建议和操作方法。</w:t>
      </w:r>
    </w:p>
    <w:p w14:paraId="5F8DC062">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（六）培训：中标人负责为招标方操作人员提供操作及维护培训，直至其能熟练独立操作及日常维护与保养，简单故障诊断与排除。</w:t>
      </w:r>
    </w:p>
    <w:p w14:paraId="4E7828B9">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（七）交货期:</w:t>
      </w:r>
      <w:r>
        <w:rPr>
          <w:rFonts w:hint="eastAsia" w:ascii="宋体" w:hAnsi="宋体" w:cs="宋体"/>
          <w:color w:val="auto"/>
          <w:szCs w:val="21"/>
          <w:highlight w:val="none"/>
          <w:lang w:eastAsia="zh-CN"/>
        </w:rPr>
        <w:t>合同有效期为</w:t>
      </w:r>
      <w:r>
        <w:rPr>
          <w:rFonts w:hint="eastAsia" w:ascii="宋体" w:hAnsi="宋体" w:cs="宋体"/>
          <w:color w:val="auto"/>
          <w:szCs w:val="21"/>
          <w:highlight w:val="none"/>
          <w:lang w:val="en-US" w:eastAsia="zh-CN"/>
        </w:rPr>
        <w:t>两</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招标人</w:t>
      </w:r>
      <w:r>
        <w:rPr>
          <w:rFonts w:hint="eastAsia" w:ascii="宋体" w:hAnsi="宋体" w:cs="宋体"/>
          <w:color w:val="auto"/>
          <w:szCs w:val="21"/>
          <w:highlight w:val="none"/>
          <w:lang w:eastAsia="zh-CN"/>
        </w:rPr>
        <w:t>可以根据产品质量、供货时间及售后等因素续签</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年，具体以合同签订时间为准。合同签订</w:t>
      </w:r>
      <w:r>
        <w:rPr>
          <w:rFonts w:hint="eastAsia" w:ascii="宋体" w:hAnsi="宋体" w:cs="宋体"/>
          <w:color w:val="auto"/>
          <w:szCs w:val="21"/>
          <w:highlight w:val="none"/>
          <w:lang w:val="en-US" w:eastAsia="zh-CN"/>
        </w:rPr>
        <w:t>并</w:t>
      </w:r>
      <w:r>
        <w:rPr>
          <w:rFonts w:hint="eastAsia" w:ascii="宋体" w:hAnsi="宋体" w:cs="宋体"/>
          <w:color w:val="auto"/>
          <w:szCs w:val="21"/>
          <w:highlight w:val="none"/>
          <w:lang w:eastAsia="zh-CN"/>
        </w:rPr>
        <w:t>接到供货通知后，</w:t>
      </w:r>
      <w:r>
        <w:rPr>
          <w:rFonts w:hint="eastAsia" w:ascii="宋体" w:hAnsi="宋体" w:cs="宋体"/>
          <w:color w:val="auto"/>
          <w:szCs w:val="21"/>
          <w:highlight w:val="none"/>
          <w:lang w:val="en-US" w:eastAsia="zh-CN"/>
        </w:rPr>
        <w:t>中标人需</w:t>
      </w:r>
      <w:r>
        <w:rPr>
          <w:rFonts w:hint="eastAsia" w:ascii="宋体" w:hAnsi="宋体" w:cs="宋体"/>
          <w:color w:val="auto"/>
          <w:szCs w:val="21"/>
          <w:highlight w:val="none"/>
          <w:lang w:eastAsia="zh-CN"/>
        </w:rPr>
        <w:t>根据现场实际情况调配车辆大小，考虑实际综合费用，</w:t>
      </w:r>
      <w:r>
        <w:rPr>
          <w:rFonts w:hint="eastAsia" w:ascii="宋体" w:hAnsi="宋体" w:cs="宋体"/>
          <w:color w:val="auto"/>
          <w:szCs w:val="21"/>
          <w:highlight w:val="none"/>
          <w:lang w:val="en-US" w:eastAsia="zh-CN"/>
        </w:rPr>
        <w:t>确保</w:t>
      </w:r>
      <w:r>
        <w:rPr>
          <w:rFonts w:hint="eastAsia" w:ascii="宋体" w:hAnsi="宋体" w:cs="宋体"/>
          <w:color w:val="auto"/>
          <w:szCs w:val="21"/>
          <w:highlight w:val="none"/>
          <w:lang w:eastAsia="zh-CN"/>
        </w:rPr>
        <w:t>一周内</w:t>
      </w:r>
      <w:r>
        <w:rPr>
          <w:rFonts w:hint="eastAsia" w:ascii="宋体" w:hAnsi="宋体" w:cs="宋体"/>
          <w:color w:val="auto"/>
          <w:szCs w:val="21"/>
          <w:highlight w:val="none"/>
          <w:lang w:val="en-US" w:eastAsia="zh-CN"/>
        </w:rPr>
        <w:t>货到指定地点，每延期一天将货物运送至指定地点的，将处以10000元/天违约金，直接从当期货款中扣除。货物送至指定地点后15日内必须与采购人共同完成货物的对账入库手续，每延期一天将处以5000元/天违约金，直接从当期货款中扣除。</w:t>
      </w:r>
    </w:p>
    <w:p w14:paraId="4D8B9CCC">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（八）交货地点：</w:t>
      </w:r>
      <w:r>
        <w:rPr>
          <w:rFonts w:hint="eastAsia" w:ascii="宋体" w:hAnsi="宋体" w:cs="宋体"/>
          <w:color w:val="auto"/>
          <w:szCs w:val="21"/>
          <w:highlight w:val="none"/>
          <w:lang w:eastAsia="zh-CN"/>
        </w:rPr>
        <w:t>货物运至</w:t>
      </w:r>
      <w:r>
        <w:rPr>
          <w:rFonts w:hint="eastAsia" w:ascii="宋体" w:hAnsi="宋体" w:cs="宋体"/>
          <w:color w:val="auto"/>
          <w:szCs w:val="21"/>
          <w:highlight w:val="none"/>
          <w:lang w:val="en-US" w:eastAsia="zh-CN"/>
        </w:rPr>
        <w:t>招标人</w:t>
      </w:r>
      <w:r>
        <w:rPr>
          <w:rFonts w:hint="eastAsia" w:ascii="宋体" w:hAnsi="宋体" w:cs="宋体"/>
          <w:color w:val="auto"/>
          <w:szCs w:val="21"/>
          <w:highlight w:val="none"/>
          <w:lang w:eastAsia="zh-CN"/>
        </w:rPr>
        <w:t>指定地点</w:t>
      </w:r>
      <w:r>
        <w:rPr>
          <w:rFonts w:hint="eastAsia" w:ascii="宋体" w:hAnsi="宋体" w:cs="宋体"/>
          <w:color w:val="auto"/>
          <w:szCs w:val="21"/>
          <w:highlight w:val="none"/>
        </w:rPr>
        <w:t>。</w:t>
      </w:r>
    </w:p>
    <w:p w14:paraId="11F8E679">
      <w:pPr>
        <w:pStyle w:val="3"/>
        <w:keepNext w:val="0"/>
        <w:keepLines w:val="0"/>
        <w:pageBreakBefore w:val="0"/>
        <w:widowControl w:val="0"/>
        <w:numPr>
          <w:ilvl w:val="0"/>
          <w:numId w:val="0"/>
        </w:numPr>
        <w:tabs>
          <w:tab w:val="left" w:pos="7545"/>
        </w:tabs>
        <w:kinsoku/>
        <w:wordWrap/>
        <w:overflowPunct/>
        <w:topLinePunct w:val="0"/>
        <w:autoSpaceDE/>
        <w:autoSpaceDN/>
        <w:bidi w:val="0"/>
        <w:snapToGrid/>
        <w:spacing w:line="52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（九）验收：</w:t>
      </w:r>
    </w:p>
    <w:p w14:paraId="6FFDE84D">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招标人和相关部门按照国家规定标准验收，没有国家标准的按行业标准验收，无行业标准的按地方或企业标准验收，中标人予以配合。涉及安全、消防、环保等其他需要由质检或行业主管部门验收的项目，招标人须约请相关部门和专家参加项目验收。</w:t>
      </w:r>
    </w:p>
    <w:p w14:paraId="22D2DC57">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14:paraId="73FA7775">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材料运至指定地点后，招标人将组织验收，若所供货物质量、规格、参数等任意一项与招标文件不符的，将扣除质保金的50%作为违约金；第二次随机抽样后发现仍有不合格的，质保金将不予支付，同时招标人有权单方解除合同，并报送滁州市公共资源交易监督管理局加入滁州市招投标黑名单。</w:t>
      </w:r>
    </w:p>
    <w:p w14:paraId="10B16A5E">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（十）付款方式：见投标人须知前附表。</w:t>
      </w:r>
    </w:p>
    <w:p w14:paraId="5F67B700">
      <w:pPr>
        <w:rPr>
          <w:rFonts w:ascii="宋体"/>
          <w:b/>
          <w:bCs/>
          <w:color w:val="auto"/>
          <w:sz w:val="36"/>
          <w:szCs w:val="52"/>
          <w:highlight w:val="none"/>
        </w:rPr>
      </w:pPr>
    </w:p>
    <w:p w14:paraId="6BD695E9">
      <w:pPr>
        <w:rPr>
          <w:rFonts w:hint="eastAsia" w:ascii="宋体"/>
          <w:b/>
          <w:bCs/>
          <w:color w:val="auto"/>
          <w:sz w:val="36"/>
          <w:szCs w:val="52"/>
          <w:highlight w:val="none"/>
        </w:rPr>
      </w:pPr>
      <w:r>
        <w:rPr>
          <w:rFonts w:hint="eastAsia" w:ascii="宋体"/>
          <w:b/>
          <w:bCs/>
          <w:color w:val="auto"/>
          <w:sz w:val="36"/>
          <w:szCs w:val="52"/>
          <w:highlight w:val="none"/>
        </w:rPr>
        <w:br w:type="page"/>
      </w:r>
    </w:p>
    <w:p w14:paraId="600BE527">
      <w:pPr>
        <w:spacing w:line="440" w:lineRule="exact"/>
        <w:ind w:firstLine="542" w:firstLineChars="150"/>
        <w:jc w:val="center"/>
        <w:rPr>
          <w:rFonts w:ascii="宋体"/>
          <w:color w:val="auto"/>
          <w:szCs w:val="32"/>
          <w:highlight w:val="none"/>
        </w:rPr>
      </w:pPr>
      <w:r>
        <w:rPr>
          <w:rFonts w:hint="eastAsia" w:ascii="宋体"/>
          <w:b/>
          <w:bCs/>
          <w:color w:val="auto"/>
          <w:sz w:val="36"/>
          <w:szCs w:val="52"/>
          <w:highlight w:val="none"/>
        </w:rPr>
        <w:t>第五章  合同条款及格式</w:t>
      </w:r>
      <w:bookmarkEnd w:id="80"/>
      <w:bookmarkEnd w:id="81"/>
    </w:p>
    <w:p w14:paraId="08C2EA82">
      <w:pPr>
        <w:pStyle w:val="3"/>
        <w:numPr>
          <w:ilvl w:val="0"/>
          <w:numId w:val="9"/>
        </w:numPr>
        <w:ind w:left="1260" w:hanging="420"/>
        <w:jc w:val="center"/>
        <w:rPr>
          <w:b/>
          <w:bCs/>
          <w:color w:val="auto"/>
          <w:szCs w:val="24"/>
          <w:highlight w:val="none"/>
        </w:rPr>
      </w:pPr>
      <w:bookmarkStart w:id="82" w:name="_Toc29433"/>
      <w:bookmarkStart w:id="83" w:name="_Toc4982"/>
      <w:bookmarkStart w:id="84" w:name="_Toc11690"/>
      <w:bookmarkStart w:id="85" w:name="_Toc449028948"/>
      <w:r>
        <w:rPr>
          <w:rFonts w:hint="eastAsia"/>
          <w:b/>
          <w:bCs/>
          <w:color w:val="auto"/>
          <w:szCs w:val="24"/>
          <w:highlight w:val="none"/>
        </w:rPr>
        <w:t>合同协议书（格式）</w:t>
      </w:r>
      <w:bookmarkEnd w:id="82"/>
      <w:bookmarkEnd w:id="83"/>
      <w:bookmarkEnd w:id="84"/>
    </w:p>
    <w:p w14:paraId="2F6F72A4">
      <w:pPr>
        <w:rPr>
          <w:color w:val="auto"/>
          <w:highlight w:val="none"/>
        </w:rPr>
      </w:pPr>
    </w:p>
    <w:p w14:paraId="007DCCB4">
      <w:pPr>
        <w:spacing w:line="440" w:lineRule="exact"/>
        <w:ind w:firstLine="2932" w:firstLineChars="1043"/>
        <w:rPr>
          <w:rFonts w:ascii="宋体" w:hAnsi="宋体" w:cs="宋体"/>
          <w:color w:val="auto"/>
          <w:sz w:val="24"/>
          <w:highlight w:val="none"/>
        </w:rPr>
      </w:pPr>
      <w:r>
        <w:rPr>
          <w:rFonts w:hint="eastAsia" w:ascii="宋体" w:hAnsi="宋体" w:cs="宋体"/>
          <w:b/>
          <w:color w:val="auto"/>
          <w:sz w:val="28"/>
          <w:szCs w:val="28"/>
          <w:highlight w:val="none"/>
        </w:rPr>
        <w:t xml:space="preserve">合同名称 </w:t>
      </w: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编号</w:t>
      </w:r>
    </w:p>
    <w:p w14:paraId="022535A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bookmarkStart w:id="86" w:name="_Toc152045610"/>
      <w:bookmarkStart w:id="87" w:name="_Toc246996253"/>
      <w:bookmarkStart w:id="88" w:name="_Toc152042388"/>
      <w:bookmarkStart w:id="89" w:name="_Toc247085768"/>
      <w:bookmarkStart w:id="90" w:name="_Toc144974578"/>
      <w:bookmarkStart w:id="91" w:name="_Toc469495742"/>
      <w:bookmarkStart w:id="92" w:name="_Toc179632628"/>
      <w:bookmarkStart w:id="93" w:name="_Toc246996996"/>
      <w:bookmarkStart w:id="94" w:name="_Toc296602498"/>
      <w:r>
        <w:rPr>
          <w:rFonts w:hint="eastAsia" w:ascii="宋体" w:hAnsi="宋体" w:cs="宋体"/>
          <w:color w:val="auto"/>
          <w:szCs w:val="21"/>
          <w:highlight w:val="none"/>
        </w:rPr>
        <w:t>买    方：                                   卖    方：</w:t>
      </w:r>
    </w:p>
    <w:p w14:paraId="2D5798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电    话：                                   电    话：</w:t>
      </w:r>
    </w:p>
    <w:p w14:paraId="6E0E4C0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住    所：                                   住    所：                       </w:t>
      </w:r>
    </w:p>
    <w:p w14:paraId="094B386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u w:val="single"/>
        </w:rPr>
        <w:t>（买方）</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中所需</w:t>
      </w:r>
      <w:r>
        <w:rPr>
          <w:rFonts w:hint="eastAsia" w:ascii="宋体" w:hAnsi="宋体" w:cs="宋体"/>
          <w:color w:val="auto"/>
          <w:szCs w:val="21"/>
          <w:highlight w:val="none"/>
          <w:u w:val="single"/>
        </w:rPr>
        <w:t>（产品名称）</w:t>
      </w:r>
      <w:r>
        <w:rPr>
          <w:rFonts w:hint="eastAsia" w:ascii="宋体" w:hAnsi="宋体" w:cs="宋体"/>
          <w:color w:val="auto"/>
          <w:szCs w:val="21"/>
          <w:highlight w:val="none"/>
        </w:rPr>
        <w:t xml:space="preserve"> 经公开招标，确定</w:t>
      </w:r>
      <w:r>
        <w:rPr>
          <w:rFonts w:hint="eastAsia" w:ascii="宋体" w:hAnsi="宋体" w:cs="宋体"/>
          <w:color w:val="auto"/>
          <w:szCs w:val="21"/>
          <w:highlight w:val="none"/>
          <w:u w:val="single"/>
        </w:rPr>
        <w:t>（卖方）</w:t>
      </w:r>
      <w:r>
        <w:rPr>
          <w:rFonts w:hint="eastAsia" w:ascii="宋体" w:hAnsi="宋体" w:cs="宋体"/>
          <w:color w:val="auto"/>
          <w:szCs w:val="21"/>
          <w:highlight w:val="none"/>
        </w:rPr>
        <w:t>为中标人。按照《中华人民共和国民法典》的规定，买卖双方同意按照下述的条款和条件，签署本合同。</w:t>
      </w:r>
    </w:p>
    <w:p w14:paraId="53A1A6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本合同文件</w:t>
      </w:r>
    </w:p>
    <w:p w14:paraId="7957BAC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下列每一文件均应作为合同的组成部分进行阅读和解释：</w:t>
      </w:r>
    </w:p>
    <w:p w14:paraId="5199F80B">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招标文件；</w:t>
      </w:r>
    </w:p>
    <w:p w14:paraId="074DB85F">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投标文件；</w:t>
      </w:r>
    </w:p>
    <w:p w14:paraId="4B13BD8D">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中标通知书；</w:t>
      </w:r>
    </w:p>
    <w:p w14:paraId="31CF207C">
      <w:pPr>
        <w:keepNext w:val="0"/>
        <w:keepLines w:val="0"/>
        <w:pageBreakBefore w:val="0"/>
        <w:widowControl w:val="0"/>
        <w:kinsoku/>
        <w:wordWrap/>
        <w:overflowPunct/>
        <w:topLinePunct w:val="0"/>
        <w:autoSpaceDE/>
        <w:autoSpaceDN/>
        <w:bidi w:val="0"/>
        <w:adjustRightInd/>
        <w:snapToGrid/>
        <w:spacing w:line="440" w:lineRule="exact"/>
        <w:ind w:left="210" w:leftChars="10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（4）经双方确认进入合同的其它文件、补充条款或说明。</w:t>
      </w:r>
    </w:p>
    <w:p w14:paraId="77E5AA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采购标的、数量、质量要求</w:t>
      </w:r>
    </w:p>
    <w:p w14:paraId="2B548EC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综合单价合同</w:t>
      </w:r>
    </w:p>
    <w:p w14:paraId="0C0900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合同总价为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元人民币。</w:t>
      </w:r>
    </w:p>
    <w:p w14:paraId="6E140DBC">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注：</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实际供货与结算时有可能发生变化，实际供货以采购人通知数量，结算时以实际供货数量为准，供货期内中标综合单价不予调整。</w:t>
      </w:r>
    </w:p>
    <w:p w14:paraId="1FF53196">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2.在后续实施过程中，如产生不在本次招标清单里的材料，由中标单位按比例核算和业主双方协商确定单价。</w:t>
      </w:r>
    </w:p>
    <w:p w14:paraId="12780A8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b/>
          <w:bCs/>
          <w:color w:val="auto"/>
          <w:szCs w:val="21"/>
          <w:highlight w:val="none"/>
        </w:rPr>
      </w:pPr>
      <w:r>
        <w:rPr>
          <w:rFonts w:hint="eastAsia" w:ascii="宋体" w:hAnsi="宋体" w:cs="宋体"/>
          <w:color w:val="auto"/>
          <w:szCs w:val="21"/>
          <w:highlight w:val="none"/>
        </w:rPr>
        <w:t>4、付款方式</w:t>
      </w:r>
      <w:r>
        <w:rPr>
          <w:rFonts w:hint="eastAsia" w:ascii="宋体" w:hAnsi="宋体" w:cs="宋体"/>
          <w:b/>
          <w:bCs/>
          <w:color w:val="auto"/>
          <w:szCs w:val="21"/>
          <w:highlight w:val="none"/>
        </w:rPr>
        <w:t>：</w:t>
      </w:r>
      <w:r>
        <w:rPr>
          <w:rFonts w:hint="eastAsia" w:ascii="宋体" w:hAnsi="宋体" w:cs="宋体"/>
          <w:color w:val="auto"/>
          <w:szCs w:val="21"/>
          <w:highlight w:val="none"/>
        </w:rPr>
        <w:t>合同履行期间，中标人将货物运至指定地点并验收合格后，招标人将于</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个工作日内支付验收合格且入库货物货款的100%。</w:t>
      </w:r>
      <w:r>
        <w:rPr>
          <w:rFonts w:hint="eastAsia" w:ascii="宋体" w:hAnsi="宋体" w:cs="宋体"/>
          <w:color w:val="auto"/>
          <w:szCs w:val="21"/>
          <w:highlight w:val="none"/>
          <w:lang w:val="en-US" w:eastAsia="zh-CN"/>
        </w:rPr>
        <w:t>合同期满后，全部货物运至指定地点并验收合格后</w:t>
      </w:r>
      <w:r>
        <w:rPr>
          <w:rFonts w:hint="eastAsia" w:ascii="宋体" w:hAnsi="宋体" w:cs="宋体"/>
          <w:color w:val="auto"/>
          <w:szCs w:val="21"/>
          <w:highlight w:val="none"/>
        </w:rPr>
        <w:t>，履约保证金直接转为质保金，质保期从合同最后一批货验收合格起开始计算，质保期</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12个月）</w:t>
      </w:r>
      <w:r>
        <w:rPr>
          <w:rFonts w:hint="eastAsia" w:ascii="宋体" w:hAnsi="宋体" w:cs="宋体"/>
          <w:color w:val="auto"/>
          <w:szCs w:val="21"/>
          <w:highlight w:val="none"/>
        </w:rPr>
        <w:t>满后一个月内一次性付清。</w:t>
      </w:r>
    </w:p>
    <w:p w14:paraId="5A5F64C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合同供货期限：</w:t>
      </w:r>
      <w:r>
        <w:rPr>
          <w:rFonts w:hint="eastAsia" w:ascii="宋体" w:hAnsi="宋体" w:cs="宋体"/>
          <w:color w:val="auto"/>
          <w:szCs w:val="21"/>
          <w:highlight w:val="none"/>
          <w:lang w:eastAsia="zh-CN"/>
        </w:rPr>
        <w:t>合同有效期为</w:t>
      </w:r>
      <w:r>
        <w:rPr>
          <w:rFonts w:hint="eastAsia" w:ascii="宋体" w:hAnsi="宋体" w:cs="宋体"/>
          <w:color w:val="auto"/>
          <w:szCs w:val="21"/>
          <w:highlight w:val="none"/>
          <w:lang w:val="en-US" w:eastAsia="zh-CN"/>
        </w:rPr>
        <w:t>两</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招标人</w:t>
      </w:r>
      <w:r>
        <w:rPr>
          <w:rFonts w:hint="eastAsia" w:ascii="宋体" w:hAnsi="宋体" w:cs="宋体"/>
          <w:color w:val="auto"/>
          <w:szCs w:val="21"/>
          <w:highlight w:val="none"/>
          <w:lang w:eastAsia="zh-CN"/>
        </w:rPr>
        <w:t>可以根据产品质量、供货时间及售后等因素续签</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年，具体以合同签订时间为准。合同签订</w:t>
      </w:r>
      <w:r>
        <w:rPr>
          <w:rFonts w:hint="eastAsia" w:ascii="宋体" w:hAnsi="宋体" w:cs="宋体"/>
          <w:color w:val="auto"/>
          <w:szCs w:val="21"/>
          <w:highlight w:val="none"/>
          <w:lang w:val="en-US" w:eastAsia="zh-CN"/>
        </w:rPr>
        <w:t>并</w:t>
      </w:r>
      <w:r>
        <w:rPr>
          <w:rFonts w:hint="eastAsia" w:ascii="宋体" w:hAnsi="宋体" w:cs="宋体"/>
          <w:color w:val="auto"/>
          <w:szCs w:val="21"/>
          <w:highlight w:val="none"/>
          <w:lang w:eastAsia="zh-CN"/>
        </w:rPr>
        <w:t>接到供货通知后，</w:t>
      </w:r>
      <w:r>
        <w:rPr>
          <w:rFonts w:hint="eastAsia" w:ascii="宋体" w:hAnsi="宋体" w:cs="宋体"/>
          <w:color w:val="auto"/>
          <w:szCs w:val="21"/>
          <w:highlight w:val="none"/>
          <w:lang w:val="en-US" w:eastAsia="zh-CN"/>
        </w:rPr>
        <w:t>中标人需</w:t>
      </w:r>
      <w:r>
        <w:rPr>
          <w:rFonts w:hint="eastAsia" w:ascii="宋体" w:hAnsi="宋体" w:cs="宋体"/>
          <w:color w:val="auto"/>
          <w:szCs w:val="21"/>
          <w:highlight w:val="none"/>
        </w:rPr>
        <w:t>根据现场实际情况调配车辆大小</w:t>
      </w:r>
      <w:r>
        <w:rPr>
          <w:rFonts w:hint="eastAsia" w:ascii="宋体" w:hAnsi="宋体" w:cs="宋体"/>
          <w:color w:val="auto"/>
          <w:szCs w:val="21"/>
          <w:highlight w:val="none"/>
          <w:lang w:eastAsia="zh-CN"/>
        </w:rPr>
        <w:t>，</w:t>
      </w:r>
      <w:r>
        <w:rPr>
          <w:rFonts w:hint="eastAsia" w:ascii="宋体" w:hAnsi="宋体" w:cs="宋体"/>
          <w:color w:val="auto"/>
          <w:szCs w:val="21"/>
          <w:highlight w:val="none"/>
        </w:rPr>
        <w:t>考虑实际综合费用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确保</w:t>
      </w:r>
      <w:r>
        <w:rPr>
          <w:rFonts w:hint="eastAsia" w:ascii="宋体" w:hAnsi="宋体" w:cs="宋体"/>
          <w:color w:val="auto"/>
          <w:szCs w:val="21"/>
          <w:highlight w:val="none"/>
          <w:lang w:eastAsia="zh-CN"/>
        </w:rPr>
        <w:t>一周内</w:t>
      </w:r>
      <w:r>
        <w:rPr>
          <w:rFonts w:hint="eastAsia" w:ascii="宋体" w:hAnsi="宋体" w:cs="宋体"/>
          <w:color w:val="auto"/>
          <w:szCs w:val="21"/>
          <w:highlight w:val="none"/>
          <w:lang w:val="en-US" w:eastAsia="zh-CN"/>
        </w:rPr>
        <w:t>货到指定地点，每延期一天将货物运送至指定地点的，将处以10000元/天违约金，直接从当期货款中扣除。货物送至指定地点后15日内必须与采购人共同完成货物的对账入库手续，每延期一天将处以5000元/天违约金，直接从当期货款中扣除。</w:t>
      </w:r>
    </w:p>
    <w:p w14:paraId="6B983B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供货地点：货物运至招标人指定地点。</w:t>
      </w:r>
    </w:p>
    <w:p w14:paraId="0D70919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b/>
          <w:bCs/>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验收要求及违约责任：</w:t>
      </w:r>
    </w:p>
    <w:p w14:paraId="5C3886F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cs="宋体"/>
          <w:color w:val="auto"/>
          <w:szCs w:val="21"/>
          <w:highlight w:val="none"/>
        </w:rPr>
        <w:t>违约责任及解决争议方法</w:t>
      </w:r>
    </w:p>
    <w:p w14:paraId="67049CD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合同的生效</w:t>
      </w:r>
    </w:p>
    <w:p w14:paraId="632F1295">
      <w:pPr>
        <w:pStyle w:val="1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合同经双方授权代表签署，买卖双方加盖印章之后生效。</w:t>
      </w:r>
    </w:p>
    <w:p w14:paraId="17105E4C">
      <w:pPr>
        <w:pStyle w:val="1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本合同一式     份，双方各执     份。</w:t>
      </w:r>
    </w:p>
    <w:p w14:paraId="4611904D">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买  方：                          卖  方：</w:t>
      </w:r>
    </w:p>
    <w:p w14:paraId="0AAD23AB">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名  称：（盖章）                   名  称：（盖章）</w:t>
      </w:r>
    </w:p>
    <w:p w14:paraId="05DC866C">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法定代表人（或委托代理人）：       法定代表人（或委托代理人）：</w:t>
      </w:r>
    </w:p>
    <w:p w14:paraId="3ABF43EC">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（签字）                        （签字）</w:t>
      </w:r>
    </w:p>
    <w:p w14:paraId="63AC3F9A">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地    址：                        地    址：</w:t>
      </w:r>
    </w:p>
    <w:p w14:paraId="71BD4254">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邮政编码：                        邮政编码：</w:t>
      </w:r>
    </w:p>
    <w:p w14:paraId="4CB60C26">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电    话：                        电    话：</w:t>
      </w:r>
    </w:p>
    <w:p w14:paraId="240F4F8B">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开户银行：                        开户银行：</w:t>
      </w:r>
    </w:p>
    <w:p w14:paraId="6F5153AF">
      <w:pPr>
        <w:pStyle w:val="13"/>
        <w:spacing w:after="0" w:line="440" w:lineRule="exact"/>
        <w:ind w:left="0" w:leftChars="0" w:firstLine="420" w:firstLineChars="200"/>
        <w:rPr>
          <w:rFonts w:ascii="宋体" w:hAnsi="宋体" w:cs="宋体"/>
          <w:b/>
          <w:color w:val="auto"/>
          <w:sz w:val="30"/>
          <w:szCs w:val="30"/>
          <w:highlight w:val="none"/>
        </w:rPr>
      </w:pPr>
      <w:r>
        <w:rPr>
          <w:rFonts w:hint="eastAsia" w:ascii="宋体" w:hAnsi="宋体" w:cs="宋体"/>
          <w:color w:val="auto"/>
          <w:kern w:val="0"/>
          <w:szCs w:val="21"/>
          <w:highlight w:val="none"/>
          <w:u w:color="000000"/>
        </w:rPr>
        <w:t>帐    号：                        帐    号：</w:t>
      </w:r>
    </w:p>
    <w:p w14:paraId="54DCB26B">
      <w:pPr>
        <w:rPr>
          <w:color w:val="auto"/>
          <w:highlight w:val="none"/>
        </w:rPr>
      </w:pPr>
      <w:r>
        <w:rPr>
          <w:rFonts w:hint="eastAsia"/>
          <w:color w:val="auto"/>
          <w:highlight w:val="none"/>
        </w:rPr>
        <w:br w:type="page"/>
      </w:r>
    </w:p>
    <w:p w14:paraId="07842D99">
      <w:pPr>
        <w:pStyle w:val="3"/>
        <w:numPr>
          <w:ilvl w:val="0"/>
          <w:numId w:val="9"/>
        </w:numPr>
        <w:ind w:left="1260" w:hanging="420"/>
        <w:jc w:val="center"/>
        <w:rPr>
          <w:b/>
          <w:bCs/>
          <w:color w:val="auto"/>
          <w:szCs w:val="24"/>
          <w:highlight w:val="none"/>
        </w:rPr>
      </w:pPr>
      <w:bookmarkStart w:id="95" w:name="_Toc4456"/>
      <w:bookmarkStart w:id="96" w:name="_Toc8755"/>
      <w:bookmarkStart w:id="97" w:name="_Toc16580"/>
      <w:r>
        <w:rPr>
          <w:rFonts w:hint="eastAsia"/>
          <w:b/>
          <w:bCs/>
          <w:color w:val="auto"/>
          <w:szCs w:val="24"/>
          <w:highlight w:val="none"/>
        </w:rPr>
        <w:t>合同条款</w:t>
      </w:r>
      <w:bookmarkEnd w:id="86"/>
      <w:bookmarkEnd w:id="87"/>
      <w:bookmarkEnd w:id="88"/>
      <w:bookmarkEnd w:id="89"/>
      <w:bookmarkEnd w:id="90"/>
      <w:bookmarkEnd w:id="91"/>
      <w:bookmarkEnd w:id="92"/>
      <w:bookmarkEnd w:id="93"/>
      <w:bookmarkEnd w:id="94"/>
      <w:bookmarkEnd w:id="95"/>
      <w:bookmarkEnd w:id="96"/>
      <w:bookmarkEnd w:id="97"/>
    </w:p>
    <w:p w14:paraId="32C1C4D3">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一.  合同文件</w:t>
      </w:r>
    </w:p>
    <w:p w14:paraId="21F71728">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1、合同文件适用法律</w:t>
      </w:r>
    </w:p>
    <w:p w14:paraId="73D08141">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适用于合同文件的法律是中华人民共和国现行法律、法规及招标人所在地的地方性法规。</w:t>
      </w:r>
    </w:p>
    <w:p w14:paraId="69870FD2">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2、合同文件组成和解释顺序</w:t>
      </w:r>
    </w:p>
    <w:p w14:paraId="2485BA4C">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(1)合同文件的组成和解释顺序如下：</w:t>
      </w:r>
    </w:p>
    <w:p w14:paraId="7BB420D8">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&lt;1&gt;合同的主要条款；</w:t>
      </w:r>
    </w:p>
    <w:p w14:paraId="4CA1ABB9">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&lt;2&gt;合同的一般性条款；</w:t>
      </w:r>
    </w:p>
    <w:p w14:paraId="52703A2A">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&lt;3&gt;洽商、变更等明确双方权利义务的纪要、协议；</w:t>
      </w:r>
    </w:p>
    <w:p w14:paraId="275A608C">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&lt;4&gt;中标通知书、投标文件和招标文件；</w:t>
      </w:r>
    </w:p>
    <w:p w14:paraId="3A964A36">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&lt;5&gt;有关图纸、标准、规范和其它有关技术资料、技术要求。</w:t>
      </w:r>
    </w:p>
    <w:p w14:paraId="0095E110">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&lt;6&gt;合同的主要条款的效力优于合同的一般性条款的效力。</w:t>
      </w:r>
    </w:p>
    <w:p w14:paraId="214D1820">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3、合同文件使用文字</w:t>
      </w:r>
    </w:p>
    <w:p w14:paraId="5DCEA000">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(1)合同文件使用中文书写、解释和说明。</w:t>
      </w:r>
    </w:p>
    <w:p w14:paraId="3D3A036B">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 xml:space="preserve">(2)合同文件使用技术性条款约定的为国家标准和规范；国家没有相应标准、规范时，可使用行业标准、规范。非标货物应按约定的技术性条款的标准和规范。 </w:t>
      </w:r>
    </w:p>
    <w:p w14:paraId="61CC55D5">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  标的物的一般条款</w:t>
      </w:r>
    </w:p>
    <w:p w14:paraId="5912ECB2">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4、完整物权</w:t>
      </w:r>
    </w:p>
    <w:p w14:paraId="73EF2EBF">
      <w:pPr>
        <w:keepNext w:val="0"/>
        <w:keepLines w:val="0"/>
        <w:pageBreakBefore w:val="0"/>
        <w:widowControl w:val="0"/>
        <w:tabs>
          <w:tab w:val="left" w:pos="660"/>
        </w:tabs>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对于出卖的标的物，卖方应当拥有完整物权，并且卖方负有保证第三人不得向买方主张任何权利（包括知识产权）的义务。</w:t>
      </w:r>
    </w:p>
    <w:p w14:paraId="6E74E884">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5、质量保证</w:t>
      </w:r>
    </w:p>
    <w:p w14:paraId="2B937496">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021E1F25">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065848B8">
      <w:pPr>
        <w:pStyle w:val="11"/>
        <w:keepNext w:val="0"/>
        <w:keepLines w:val="0"/>
        <w:pageBreakBefore w:val="0"/>
        <w:widowControl w:val="0"/>
        <w:tabs>
          <w:tab w:val="left" w:pos="900"/>
        </w:tabs>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67BB2B49">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6、包装</w:t>
      </w:r>
    </w:p>
    <w:p w14:paraId="7B82A4CA">
      <w:pPr>
        <w:pStyle w:val="11"/>
        <w:keepNext w:val="0"/>
        <w:keepLines w:val="0"/>
        <w:pageBreakBefore w:val="0"/>
        <w:widowControl w:val="0"/>
        <w:tabs>
          <w:tab w:val="left" w:pos="900"/>
        </w:tabs>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16DD8415">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7、伴随服务</w:t>
      </w:r>
    </w:p>
    <w:p w14:paraId="081BBDA5">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(1)卖方除应履行按期按量交付合格标的物的义务之外，还应提供下列服务：</w:t>
      </w:r>
    </w:p>
    <w:p w14:paraId="3EDC532C">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&lt;1&gt;标的物的现场安装或指导安装、启动、调试、监督（如果必须安装、调试的话）；</w:t>
      </w:r>
    </w:p>
    <w:p w14:paraId="5D0CA329">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&lt;2&gt;提供标的物组装和一般维修所必须的工具；</w:t>
      </w:r>
    </w:p>
    <w:p w14:paraId="45561DE7">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&lt;3&gt;在合同规定的期限内对所提供标的物实行运行监督、维修服务的前提条件是该服务并不能免除卖方在质量保证期内所承担的义务；</w:t>
      </w:r>
    </w:p>
    <w:p w14:paraId="1B656102">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&lt;4&gt;对买方技术人员的技术指导或培训。</w:t>
      </w:r>
    </w:p>
    <w:p w14:paraId="0C69E595">
      <w:pPr>
        <w:pStyle w:val="11"/>
        <w:keepNext w:val="0"/>
        <w:keepLines w:val="0"/>
        <w:pageBreakBefore w:val="0"/>
        <w:widowControl w:val="0"/>
        <w:numPr>
          <w:ilvl w:val="0"/>
          <w:numId w:val="11"/>
        </w:numPr>
        <w:kinsoku/>
        <w:wordWrap/>
        <w:overflowPunct w:val="0"/>
        <w:topLinePunct w:val="0"/>
        <w:autoSpaceDE/>
        <w:autoSpaceDN/>
        <w:bidi w:val="0"/>
        <w:snapToGrid/>
        <w:spacing w:line="440" w:lineRule="exact"/>
        <w:ind w:firstLine="420" w:firstLineChars="200"/>
        <w:rPr>
          <w:color w:val="auto"/>
          <w:highlight w:val="none"/>
        </w:rPr>
      </w:pPr>
      <w:r>
        <w:rPr>
          <w:rFonts w:hint="eastAsia" w:ascii="宋体" w:hAnsi="宋体" w:cs="宋体"/>
          <w:color w:val="auto"/>
          <w:sz w:val="21"/>
          <w:szCs w:val="21"/>
          <w:highlight w:val="none"/>
          <w:u w:color="000000"/>
        </w:rPr>
        <w:t>除合同另有规定之外，伴随服务的费用均已含在合同价款中，买方不再另行进行支付。</w:t>
      </w:r>
    </w:p>
    <w:p w14:paraId="655064D4">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三.  标的物的交付、检验和验收</w:t>
      </w:r>
    </w:p>
    <w:p w14:paraId="46C67540">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8、标的物的交付</w:t>
      </w:r>
    </w:p>
    <w:p w14:paraId="59EB2716">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(1)标的物的所有权自标的物交付时转移。</w:t>
      </w:r>
    </w:p>
    <w:p w14:paraId="6957911B">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(2)卖方应当按照约定的期限和约定的地点交付符合招标文件要求的标的物。</w:t>
      </w:r>
    </w:p>
    <w:p w14:paraId="4CC3B1CE">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(3)卖方应当按照约定或者交易习惯向招标人交付提取标的物单证以外的有关单证和资料。</w:t>
      </w:r>
    </w:p>
    <w:p w14:paraId="030DA5C4">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9、检验和验收</w:t>
      </w:r>
    </w:p>
    <w:p w14:paraId="061CB791">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75FC1369">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(2)买方根据合同规定的内容和验收标准进行验收，经检验无误后出具验收合格证明，该证明作为最终付款所需文件的组成部分。</w:t>
      </w:r>
    </w:p>
    <w:p w14:paraId="4D643D88">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(3)验收期限自标的物交付之日起三十天内。特殊情况需延长的，双方应在合同条款中约定。</w:t>
      </w:r>
    </w:p>
    <w:p w14:paraId="62127DCE">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四. 对标的物提出异议的时间和办法</w:t>
      </w:r>
    </w:p>
    <w:p w14:paraId="3BB05148">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10、对标的物提出异议的时间和办法 </w:t>
      </w:r>
    </w:p>
    <w:p w14:paraId="30650646">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(1)买方在验收过程中，应当于双方约定的检验期间内将标的物的数量或质量不符合约定的情形及处理方式以书面形式通知卖方。</w:t>
      </w:r>
    </w:p>
    <w:p w14:paraId="0F832A26">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(2)如买方在验收期满后既不出具验收合格证明又未提出书面异议的视为卖方所交标的物符合合同规定。</w:t>
      </w:r>
    </w:p>
    <w:p w14:paraId="27EE457A">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(3)卖方应在收到买方书面异议后七天内负责处理问题，否则将视为默认买方提出的异议和处理意见。</w:t>
      </w:r>
    </w:p>
    <w:p w14:paraId="096A12B4">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五. 合同价款和支付</w:t>
      </w:r>
    </w:p>
    <w:p w14:paraId="1B9D19C0">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11、合同价款和支付</w:t>
      </w:r>
    </w:p>
    <w:p w14:paraId="5351D143">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(1)本合同的结算货币为人民币，单位元。</w:t>
      </w:r>
    </w:p>
    <w:p w14:paraId="49640A5C">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(2)卖方应按照双方签订的合同规定交货并在合同主要条款规定的期限内持下列单据结算货款：</w:t>
      </w:r>
    </w:p>
    <w:p w14:paraId="48FFA323">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&lt;1&gt;合格的销售发票；</w:t>
      </w:r>
    </w:p>
    <w:p w14:paraId="7758651B">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&lt;2&gt;买方盖章签收后的送货回单和验收合格证明。</w:t>
      </w:r>
    </w:p>
    <w:p w14:paraId="7866B72E">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(3)买方应按合同主要条款规定的期限和方式付款。</w:t>
      </w:r>
    </w:p>
    <w:p w14:paraId="3651D894">
      <w:pPr>
        <w:pStyle w:val="11"/>
        <w:keepNext w:val="0"/>
        <w:keepLines w:val="0"/>
        <w:pageBreakBefore w:val="0"/>
        <w:widowControl w:val="0"/>
        <w:tabs>
          <w:tab w:val="left" w:pos="540"/>
        </w:tabs>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(4)根据现行税法对买方征收的与本合同有关的一切税费均由买方承担；根据现行税法对卖方征收的与本合同有关的一切税费均由卖方承担。</w:t>
      </w:r>
    </w:p>
    <w:p w14:paraId="048A3B11">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六. 违约责任</w:t>
      </w:r>
    </w:p>
    <w:p w14:paraId="1A3E0CC6">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12、违约责任</w:t>
      </w:r>
    </w:p>
    <w:p w14:paraId="217ECE73">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合同一方不履行合同义务或者履行合同义务不符合约定的，应当承担继续履行、采取补救措施或者赔偿损失等违约责任。</w:t>
      </w:r>
    </w:p>
    <w:p w14:paraId="347CB1CD">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13、买方违约责任</w:t>
      </w:r>
    </w:p>
    <w:p w14:paraId="20220C32">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(1)在合同生效后，买方要求退货的，应向卖方偿付合同总价款的5%，作为违约金，违约金不足以补偿损失的，卖方有权要求甲方补足。</w:t>
      </w:r>
    </w:p>
    <w:p w14:paraId="702F363D">
      <w:pPr>
        <w:pStyle w:val="11"/>
        <w:keepNext w:val="0"/>
        <w:keepLines w:val="0"/>
        <w:pageBreakBefore w:val="0"/>
        <w:widowControl w:val="0"/>
        <w:kinsoku/>
        <w:wordWrap/>
        <w:overflowPunct w:val="0"/>
        <w:topLinePunct w:val="0"/>
        <w:autoSpaceDE/>
        <w:autoSpaceDN/>
        <w:bidi w:val="0"/>
        <w:snapToGrid/>
        <w:spacing w:line="440" w:lineRule="exact"/>
        <w:ind w:right="-334" w:rightChars="-159"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(2)买方逾期付款的应按照逾期付款金额的每天万分之四支付逾期付款违约金。</w:t>
      </w:r>
    </w:p>
    <w:p w14:paraId="35EAD14A">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(3)买方违反合同规定，拒绝接收卖方交付的符合招标文件要求的合格标的物，应当承担卖方由此造成的损失。</w:t>
      </w:r>
    </w:p>
    <w:p w14:paraId="6DB153E6">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14、卖方违约责任</w:t>
      </w:r>
    </w:p>
    <w:p w14:paraId="1B036D69">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(1)卖方不能交货（逾期超过五天视为不能交货），或交货不合格从而影响买方按期正常使用的，应向买方偿付合同总价款5%的违约金，违约金不足以补偿损失的，买方有权要求卖方补足。</w:t>
      </w:r>
    </w:p>
    <w:p w14:paraId="706492B5">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14:paraId="09C7BE13">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15、不可抗力</w:t>
      </w:r>
    </w:p>
    <w:p w14:paraId="4BC9959B">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(1)因水灾、火灾、地震、战争等不可抗力不能履行合同的，根据不可抗力的影响，部分或者全部免除责任。但合同一方迟延履行后发生不可抗力的，不能免除责任。</w:t>
      </w:r>
    </w:p>
    <w:p w14:paraId="79C3E241">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(2)合同一方因不可抗力不能履行合同的，应当及时通知对方，以减轻可能给对方造成的损失，并应当在合理期限内提供证明。</w:t>
      </w:r>
    </w:p>
    <w:p w14:paraId="49EF2A2A">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七. 索赔</w:t>
      </w:r>
    </w:p>
    <w:p w14:paraId="29145E1F">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16、索赔</w:t>
      </w:r>
    </w:p>
    <w:p w14:paraId="25D903F6">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(1)买方有权根据当地产品质量检验机构或其它有权威部门出具的检验证书向卖方提出索赔。</w:t>
      </w:r>
    </w:p>
    <w:p w14:paraId="32C2BA5F">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(2)在本合同规定的检验期和质量保证期内，如果卖方对买方提出的索赔或差异有责任，则卖方应按买方同意的下列一种或多种方式解决索赔事宜：</w:t>
      </w:r>
    </w:p>
    <w:p w14:paraId="1EFFF694">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60E01D91">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&lt;2&gt;根据标的物的低劣程度、损坏程度以及甲方遭受损失的数额，经双方协商确定降低标的物的价格；</w:t>
      </w:r>
    </w:p>
    <w:p w14:paraId="1B0DC706">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5005B4F7">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1E65457C">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(4)买方提出索赔的书面材料应报当地政府采购管理部门备案。卖方同意的索赔方案应报当地政府采购管理部门审核。</w:t>
      </w:r>
    </w:p>
    <w:p w14:paraId="40820BFB">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八. 履约保证金</w:t>
      </w:r>
    </w:p>
    <w:p w14:paraId="7C27E018">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17、履约保证金</w:t>
      </w:r>
    </w:p>
    <w:p w14:paraId="4A7CAFEA">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u w:color="000000"/>
        </w:rPr>
      </w:pPr>
      <w:r>
        <w:rPr>
          <w:rFonts w:hint="eastAsia" w:ascii="宋体" w:hAnsi="宋体" w:cs="宋体"/>
          <w:color w:val="auto"/>
          <w:sz w:val="21"/>
          <w:szCs w:val="21"/>
          <w:highlight w:val="none"/>
          <w:u w:color="000000"/>
        </w:rPr>
        <w:t>(1)卖方应在本合同签订时，按招标文件的约定提供相应的履约保证金，保证金的有效期应不低于合</w:t>
      </w:r>
      <w:r>
        <w:rPr>
          <w:rFonts w:hint="eastAsia" w:ascii="宋体" w:hAnsi="宋体" w:eastAsia="宋体" w:cs="宋体"/>
          <w:color w:val="auto"/>
          <w:sz w:val="21"/>
          <w:szCs w:val="21"/>
          <w:highlight w:val="none"/>
          <w:u w:color="000000"/>
        </w:rPr>
        <w:t>同有效期。</w:t>
      </w:r>
    </w:p>
    <w:p w14:paraId="648E3994">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u w:color="000000"/>
        </w:rPr>
      </w:pPr>
      <w:r>
        <w:rPr>
          <w:rFonts w:hint="eastAsia" w:ascii="宋体" w:hAnsi="宋体" w:eastAsia="宋体" w:cs="宋体"/>
          <w:color w:val="auto"/>
          <w:sz w:val="21"/>
          <w:szCs w:val="21"/>
          <w:highlight w:val="none"/>
          <w:u w:color="000000"/>
        </w:rPr>
        <w:t>(2)如果卖方未能履行合同规定的任何义务，买方有权从履约保证金中取得补偿。</w:t>
      </w:r>
    </w:p>
    <w:p w14:paraId="4AEC7781">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hint="default" w:ascii="宋体" w:hAnsi="宋体" w:eastAsia="宋体" w:cs="宋体"/>
          <w:color w:val="auto"/>
          <w:sz w:val="21"/>
          <w:szCs w:val="21"/>
          <w:highlight w:val="none"/>
          <w:u w:color="000000"/>
          <w:lang w:val="en-US" w:eastAsia="zh-CN"/>
        </w:rPr>
      </w:pPr>
      <w:r>
        <w:rPr>
          <w:rFonts w:hint="eastAsia" w:ascii="宋体" w:hAnsi="宋体" w:eastAsia="宋体" w:cs="宋体"/>
          <w:color w:val="auto"/>
          <w:sz w:val="21"/>
          <w:szCs w:val="21"/>
          <w:highlight w:val="none"/>
          <w:u w:color="000000"/>
          <w:lang w:eastAsia="zh-CN"/>
        </w:rPr>
        <w:t>（</w:t>
      </w:r>
      <w:r>
        <w:rPr>
          <w:rFonts w:hint="eastAsia" w:ascii="宋体" w:hAnsi="宋体" w:eastAsia="宋体" w:cs="宋体"/>
          <w:color w:val="auto"/>
          <w:sz w:val="21"/>
          <w:szCs w:val="21"/>
          <w:highlight w:val="none"/>
          <w:u w:color="000000"/>
          <w:lang w:val="en-US" w:eastAsia="zh-CN"/>
        </w:rPr>
        <w:t>3）合同期满后，全部货物运至指定地点并验收合格后</w:t>
      </w:r>
      <w:r>
        <w:rPr>
          <w:rFonts w:hint="eastAsia" w:ascii="宋体" w:hAnsi="宋体" w:eastAsia="宋体" w:cs="宋体"/>
          <w:color w:val="auto"/>
          <w:sz w:val="21"/>
          <w:szCs w:val="21"/>
          <w:highlight w:val="none"/>
          <w:u w:color="000000"/>
        </w:rPr>
        <w:t>，履约保证金直接转为质保金，质保期从合同最后一批货验收合格起开始计算，质保期</w:t>
      </w:r>
      <w:r>
        <w:rPr>
          <w:rFonts w:hint="eastAsia" w:ascii="宋体" w:hAnsi="宋体" w:eastAsia="宋体" w:cs="宋体"/>
          <w:color w:val="auto"/>
          <w:sz w:val="21"/>
          <w:szCs w:val="21"/>
          <w:highlight w:val="none"/>
          <w:u w:color="000000"/>
          <w:lang w:eastAsia="zh-CN"/>
        </w:rPr>
        <w:t>（</w:t>
      </w:r>
      <w:r>
        <w:rPr>
          <w:rFonts w:hint="eastAsia" w:ascii="宋体" w:hAnsi="宋体" w:eastAsia="宋体" w:cs="宋体"/>
          <w:color w:val="auto"/>
          <w:sz w:val="21"/>
          <w:szCs w:val="21"/>
          <w:highlight w:val="none"/>
          <w:u w:color="000000"/>
          <w:lang w:val="en-US" w:eastAsia="zh-CN"/>
        </w:rPr>
        <w:t>12个月）</w:t>
      </w:r>
      <w:r>
        <w:rPr>
          <w:rFonts w:hint="eastAsia" w:ascii="宋体" w:hAnsi="宋体" w:eastAsia="宋体" w:cs="宋体"/>
          <w:color w:val="auto"/>
          <w:sz w:val="21"/>
          <w:szCs w:val="21"/>
          <w:highlight w:val="none"/>
          <w:u w:color="000000"/>
        </w:rPr>
        <w:t>满后一个月内一次性付清。</w:t>
      </w:r>
    </w:p>
    <w:p w14:paraId="57D59C15">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九.  合同的解除和转让</w:t>
      </w:r>
    </w:p>
    <w:p w14:paraId="796FCD5A">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18、合同的解除</w:t>
      </w:r>
    </w:p>
    <w:p w14:paraId="12071083">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(1)买方和卖方协商一致，可以解除合同。</w:t>
      </w:r>
    </w:p>
    <w:p w14:paraId="1D60B739">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(2)有下列情形之一，合同一方可以解除合同：</w:t>
      </w:r>
    </w:p>
    <w:p w14:paraId="4CBF71A6">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&lt;1&gt;因不可抗力致使不能实现合同目的，未受不可抗力影响的一方有权解除合同；</w:t>
      </w:r>
    </w:p>
    <w:p w14:paraId="2A4FBA6F">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&lt;2&gt;因合同一方违约导致合同不能履行，另一方有权解除合同。</w:t>
      </w:r>
    </w:p>
    <w:p w14:paraId="18226C31">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(3)有权解除合同的一方，应当在违约事实或不可抗力发生之后三十天内书面通知对方以主张解除合同，合同在书面通知到达对方时解除。</w:t>
      </w:r>
    </w:p>
    <w:p w14:paraId="1F219D6D">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19、合同的转让</w:t>
      </w:r>
    </w:p>
    <w:p w14:paraId="699B27A7">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合同的部分和全部都不得转让。</w:t>
      </w:r>
    </w:p>
    <w:p w14:paraId="5558CD4E">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 合同的生效</w:t>
      </w:r>
    </w:p>
    <w:p w14:paraId="5EC1E40A">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20、合同的生效</w:t>
      </w:r>
    </w:p>
    <w:p w14:paraId="3344F307">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本合同在双方签字盖章并在招标人收到中标人提交的履约保证金后，经招标采购管理部门备案后生效。</w:t>
      </w:r>
    </w:p>
    <w:p w14:paraId="16502C21">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十一. 争议解决</w:t>
      </w:r>
    </w:p>
    <w:p w14:paraId="5657A44D">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21、争议解决</w:t>
      </w:r>
    </w:p>
    <w:p w14:paraId="6DE1C5EA">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 xml:space="preserve"> 买卖双方因合同发生争议，进行调解，协商不成，可选择：</w:t>
      </w:r>
    </w:p>
    <w:p w14:paraId="1A21DA81">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(1)双方同时申请仲裁；</w:t>
      </w:r>
    </w:p>
    <w:p w14:paraId="1A3E2AB1">
      <w:pPr>
        <w:pStyle w:val="11"/>
        <w:keepNext w:val="0"/>
        <w:keepLines w:val="0"/>
        <w:pageBreakBefore w:val="0"/>
        <w:widowControl w:val="0"/>
        <w:tabs>
          <w:tab w:val="left" w:pos="900"/>
        </w:tabs>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(2)向买方所在地人民法院提起诉讼。</w:t>
      </w:r>
    </w:p>
    <w:p w14:paraId="5446ABFE">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十二 .附则</w:t>
      </w:r>
    </w:p>
    <w:p w14:paraId="149E9FC6">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22、合同份数。</w:t>
      </w:r>
    </w:p>
    <w:p w14:paraId="73AFA9FE">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本合同一式陆份，买卖双方各执二份，招标代理机构一份，招标采购管理部门一份。</w:t>
      </w:r>
    </w:p>
    <w:p w14:paraId="2564344A">
      <w:pPr>
        <w:keepNext w:val="0"/>
        <w:keepLines w:val="0"/>
        <w:pageBreakBefore w:val="0"/>
        <w:widowControl w:val="0"/>
        <w:kinsoku/>
        <w:wordWrap/>
        <w:topLinePunct w:val="0"/>
        <w:autoSpaceDE/>
        <w:autoSpaceDN/>
        <w:bidi w:val="0"/>
        <w:snapToGrid/>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23、未尽事宜</w:t>
      </w:r>
    </w:p>
    <w:p w14:paraId="09AD0943">
      <w:pPr>
        <w:keepNext w:val="0"/>
        <w:keepLines w:val="0"/>
        <w:pageBreakBefore w:val="0"/>
        <w:widowControl w:val="0"/>
        <w:kinsoku/>
        <w:wordWrap/>
        <w:topLinePunct w:val="0"/>
        <w:autoSpaceDE/>
        <w:autoSpaceDN/>
        <w:bidi w:val="0"/>
        <w:snapToGrid/>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本合同未尽事宜应按《中华人民共和国民法典》、《中华人民共和国产品质量法》之规定解释。</w:t>
      </w:r>
    </w:p>
    <w:p w14:paraId="620EA57A">
      <w:pPr>
        <w:rPr>
          <w:color w:val="auto"/>
          <w:highlight w:val="none"/>
        </w:rPr>
      </w:pPr>
      <w:r>
        <w:rPr>
          <w:rFonts w:hint="eastAsia"/>
          <w:color w:val="auto"/>
          <w:highlight w:val="none"/>
        </w:rPr>
        <w:br w:type="page"/>
      </w:r>
    </w:p>
    <w:p w14:paraId="6E214EAD">
      <w:pPr>
        <w:pStyle w:val="2"/>
        <w:rPr>
          <w:color w:val="auto"/>
          <w:highlight w:val="none"/>
        </w:rPr>
      </w:pPr>
      <w:bookmarkStart w:id="98" w:name="_Toc8628"/>
      <w:r>
        <w:rPr>
          <w:rFonts w:hint="eastAsia"/>
          <w:color w:val="auto"/>
          <w:highlight w:val="none"/>
        </w:rPr>
        <w:t>第六章  投标文件格式</w:t>
      </w:r>
      <w:bookmarkEnd w:id="85"/>
      <w:bookmarkEnd w:id="98"/>
    </w:p>
    <w:p w14:paraId="0E538A62">
      <w:pPr>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33D07AE3">
      <w:pPr>
        <w:jc w:val="center"/>
        <w:rPr>
          <w:rFonts w:eastAsia="黑体"/>
          <w:color w:val="auto"/>
          <w:sz w:val="20"/>
          <w:highlight w:val="none"/>
        </w:rPr>
      </w:pPr>
    </w:p>
    <w:p w14:paraId="4EF642F7">
      <w:pPr>
        <w:rPr>
          <w:rFonts w:eastAsia="黑体"/>
          <w:color w:val="auto"/>
          <w:sz w:val="20"/>
          <w:highlight w:val="none"/>
        </w:rPr>
      </w:pPr>
    </w:p>
    <w:p w14:paraId="5D0D2422">
      <w:pPr>
        <w:jc w:val="center"/>
        <w:rPr>
          <w:rFonts w:ascii="宋体"/>
          <w:b/>
          <w:color w:val="auto"/>
          <w:sz w:val="44"/>
          <w:szCs w:val="44"/>
          <w:highlight w:val="none"/>
        </w:rPr>
      </w:pPr>
      <w:bookmarkStart w:id="99" w:name="_Toc449028949"/>
      <w:bookmarkStart w:id="100" w:name="_Toc350698753"/>
      <w:r>
        <w:rPr>
          <w:rFonts w:hint="eastAsia" w:ascii="宋体"/>
          <w:b/>
          <w:color w:val="auto"/>
          <w:sz w:val="44"/>
          <w:szCs w:val="44"/>
          <w:highlight w:val="none"/>
        </w:rPr>
        <w:t>资信证明文件</w:t>
      </w:r>
      <w:bookmarkEnd w:id="99"/>
      <w:bookmarkEnd w:id="100"/>
    </w:p>
    <w:p w14:paraId="5FCA9C45">
      <w:pPr>
        <w:jc w:val="center"/>
        <w:rPr>
          <w:rFonts w:ascii="宋体"/>
          <w:color w:val="auto"/>
          <w:sz w:val="32"/>
          <w:szCs w:val="32"/>
          <w:highlight w:val="none"/>
        </w:rPr>
      </w:pPr>
      <w:r>
        <w:rPr>
          <w:rFonts w:hint="eastAsia" w:ascii="宋体"/>
          <w:color w:val="auto"/>
          <w:sz w:val="32"/>
          <w:szCs w:val="32"/>
          <w:highlight w:val="none"/>
        </w:rPr>
        <w:t>（投标文件一）</w:t>
      </w:r>
    </w:p>
    <w:p w14:paraId="3116C3DD">
      <w:pPr>
        <w:jc w:val="center"/>
        <w:rPr>
          <w:rFonts w:eastAsia="黑体"/>
          <w:color w:val="auto"/>
          <w:sz w:val="44"/>
          <w:szCs w:val="44"/>
          <w:highlight w:val="none"/>
        </w:rPr>
      </w:pPr>
    </w:p>
    <w:p w14:paraId="4EE16524">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9CE6A07">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61B63022">
      <w:pPr>
        <w:rPr>
          <w:rFonts w:ascii="宋体"/>
          <w:color w:val="auto"/>
          <w:sz w:val="28"/>
          <w:szCs w:val="28"/>
          <w:highlight w:val="none"/>
        </w:rPr>
      </w:pPr>
    </w:p>
    <w:p w14:paraId="3C0E4555">
      <w:pPr>
        <w:rPr>
          <w:rFonts w:ascii="宋体"/>
          <w:color w:val="auto"/>
          <w:sz w:val="28"/>
          <w:szCs w:val="28"/>
          <w:highlight w:val="none"/>
        </w:rPr>
      </w:pPr>
    </w:p>
    <w:p w14:paraId="38E1E146">
      <w:pPr>
        <w:rPr>
          <w:rFonts w:ascii="宋体"/>
          <w:color w:val="auto"/>
          <w:sz w:val="28"/>
          <w:szCs w:val="28"/>
          <w:highlight w:val="none"/>
        </w:rPr>
      </w:pPr>
    </w:p>
    <w:p w14:paraId="3FA82B2B">
      <w:pPr>
        <w:rPr>
          <w:rFonts w:ascii="宋体"/>
          <w:color w:val="auto"/>
          <w:sz w:val="28"/>
          <w:szCs w:val="28"/>
          <w:highlight w:val="none"/>
        </w:rPr>
      </w:pPr>
    </w:p>
    <w:p w14:paraId="0EE78803">
      <w:pPr>
        <w:rPr>
          <w:rFonts w:ascii="宋体"/>
          <w:color w:val="auto"/>
          <w:sz w:val="28"/>
          <w:szCs w:val="28"/>
          <w:highlight w:val="none"/>
        </w:rPr>
      </w:pPr>
    </w:p>
    <w:p w14:paraId="01482B87">
      <w:pPr>
        <w:rPr>
          <w:rFonts w:ascii="宋体"/>
          <w:color w:val="auto"/>
          <w:sz w:val="28"/>
          <w:szCs w:val="28"/>
          <w:highlight w:val="none"/>
        </w:rPr>
      </w:pPr>
    </w:p>
    <w:p w14:paraId="38163972">
      <w:pPr>
        <w:rPr>
          <w:rFonts w:ascii="宋体"/>
          <w:color w:val="auto"/>
          <w:sz w:val="28"/>
          <w:szCs w:val="28"/>
          <w:highlight w:val="none"/>
        </w:rPr>
      </w:pPr>
    </w:p>
    <w:p w14:paraId="159A6850">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206269D8">
      <w:pPr>
        <w:ind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7839AC8B">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61099CAC">
      <w:pPr>
        <w:spacing w:line="720" w:lineRule="auto"/>
        <w:jc w:val="center"/>
        <w:rPr>
          <w:rFonts w:ascii="宋体"/>
          <w:b/>
          <w:color w:val="auto"/>
          <w:sz w:val="36"/>
          <w:szCs w:val="36"/>
          <w:highlight w:val="none"/>
        </w:rPr>
      </w:pPr>
    </w:p>
    <w:p w14:paraId="2C85C5F3">
      <w:pPr>
        <w:spacing w:line="400" w:lineRule="exact"/>
        <w:ind w:firstLine="4130" w:firstLineChars="935"/>
        <w:rPr>
          <w:b/>
          <w:color w:val="auto"/>
          <w:sz w:val="44"/>
          <w:szCs w:val="44"/>
          <w:highlight w:val="none"/>
        </w:rPr>
      </w:pPr>
    </w:p>
    <w:p w14:paraId="6D05ECBD">
      <w:pPr>
        <w:pStyle w:val="34"/>
        <w:ind w:firstLine="210"/>
        <w:rPr>
          <w:color w:val="auto"/>
          <w:highlight w:val="none"/>
        </w:rPr>
      </w:pPr>
    </w:p>
    <w:p w14:paraId="083F3473">
      <w:pPr>
        <w:jc w:val="center"/>
        <w:rPr>
          <w:b/>
          <w:color w:val="auto"/>
          <w:sz w:val="44"/>
          <w:szCs w:val="44"/>
          <w:highlight w:val="none"/>
        </w:rPr>
      </w:pPr>
      <w:r>
        <w:rPr>
          <w:rFonts w:hint="eastAsia"/>
          <w:b/>
          <w:color w:val="auto"/>
          <w:sz w:val="36"/>
          <w:szCs w:val="36"/>
          <w:highlight w:val="none"/>
        </w:rPr>
        <w:t>目   录</w:t>
      </w:r>
    </w:p>
    <w:p w14:paraId="722A55C7">
      <w:pPr>
        <w:spacing w:line="400" w:lineRule="exact"/>
        <w:ind w:firstLine="562" w:firstLineChars="200"/>
        <w:rPr>
          <w:b/>
          <w:color w:val="auto"/>
          <w:sz w:val="28"/>
          <w:szCs w:val="28"/>
          <w:highlight w:val="none"/>
        </w:rPr>
      </w:pPr>
    </w:p>
    <w:p w14:paraId="72CE95D7">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（1）法定代表人身份证明及其有效身份证（或法定代表人授权委托书及其有效身份证）（格式见附件）；</w:t>
      </w:r>
    </w:p>
    <w:p w14:paraId="5200F86B">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（2）投标人有效的营业执照（或三合一证书）；</w:t>
      </w:r>
    </w:p>
    <w:p w14:paraId="4C97E071">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w:t>
      </w:r>
      <w:r>
        <w:rPr>
          <w:rFonts w:hint="eastAsia" w:ascii="宋体" w:hAnsi="宋体" w:cs="宋体"/>
          <w:color w:val="auto"/>
          <w:szCs w:val="21"/>
          <w:highlight w:val="none"/>
        </w:rPr>
        <w:t>诚信投标承诺书（格式见附件）或公共信用信息报告（无违法违规证明版或核查版）</w:t>
      </w:r>
      <w:r>
        <w:rPr>
          <w:rFonts w:hint="eastAsia" w:ascii="宋体" w:hAnsi="宋体" w:cs="宋体"/>
          <w:bCs/>
          <w:color w:val="auto"/>
          <w:szCs w:val="21"/>
          <w:highlight w:val="none"/>
        </w:rPr>
        <w:t>；</w:t>
      </w:r>
    </w:p>
    <w:p w14:paraId="58AD5443">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）详细的货物名称、规格、技术参数等【附技术参数响应表、货物的详细配置清单，格式见附件】；</w:t>
      </w:r>
    </w:p>
    <w:p w14:paraId="377C5D57">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）服务承诺：是否响应招标文件要求的书面说明和服务承诺书（格式见附件）</w:t>
      </w:r>
    </w:p>
    <w:p w14:paraId="3AAF98DD">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）招标文件中要求的资信标评审及其他支持资料</w:t>
      </w:r>
    </w:p>
    <w:p w14:paraId="00E42D3D">
      <w:pPr>
        <w:spacing w:line="400" w:lineRule="exact"/>
        <w:ind w:firstLine="562" w:firstLineChars="200"/>
        <w:rPr>
          <w:b/>
          <w:color w:val="auto"/>
          <w:sz w:val="28"/>
          <w:szCs w:val="28"/>
          <w:highlight w:val="none"/>
        </w:rPr>
      </w:pPr>
    </w:p>
    <w:p w14:paraId="02058433">
      <w:pPr>
        <w:spacing w:line="400" w:lineRule="exact"/>
        <w:ind w:firstLine="562" w:firstLineChars="200"/>
        <w:rPr>
          <w:b/>
          <w:color w:val="auto"/>
          <w:sz w:val="28"/>
          <w:szCs w:val="28"/>
          <w:highlight w:val="none"/>
        </w:rPr>
      </w:pPr>
    </w:p>
    <w:p w14:paraId="07F0D1E7">
      <w:pPr>
        <w:spacing w:line="400" w:lineRule="exact"/>
        <w:ind w:firstLine="562" w:firstLineChars="200"/>
        <w:rPr>
          <w:b/>
          <w:color w:val="auto"/>
          <w:sz w:val="28"/>
          <w:szCs w:val="28"/>
          <w:highlight w:val="none"/>
        </w:rPr>
      </w:pPr>
    </w:p>
    <w:p w14:paraId="0D601075">
      <w:pPr>
        <w:spacing w:line="400" w:lineRule="exact"/>
        <w:ind w:firstLine="562" w:firstLineChars="200"/>
        <w:rPr>
          <w:b/>
          <w:color w:val="auto"/>
          <w:sz w:val="28"/>
          <w:szCs w:val="28"/>
          <w:highlight w:val="none"/>
        </w:rPr>
      </w:pPr>
    </w:p>
    <w:p w14:paraId="7805A122">
      <w:pPr>
        <w:spacing w:line="400" w:lineRule="exact"/>
        <w:rPr>
          <w:b/>
          <w:color w:val="auto"/>
          <w:sz w:val="28"/>
          <w:szCs w:val="28"/>
          <w:highlight w:val="none"/>
        </w:rPr>
        <w:sectPr>
          <w:headerReference r:id="rId5" w:type="default"/>
          <w:footerReference r:id="rId6" w:type="default"/>
          <w:pgSz w:w="11906" w:h="16838"/>
          <w:pgMar w:top="1440" w:right="1417" w:bottom="1417" w:left="1417" w:header="851" w:footer="992" w:gutter="0"/>
          <w:pgNumType w:fmt="numberInDash" w:start="1"/>
          <w:cols w:space="720" w:num="1"/>
          <w:docGrid w:type="lines" w:linePitch="312" w:charSpace="0"/>
        </w:sectPr>
      </w:pPr>
    </w:p>
    <w:p w14:paraId="56DD8D1B">
      <w:pPr>
        <w:spacing w:line="360" w:lineRule="auto"/>
        <w:rPr>
          <w:b/>
          <w:color w:val="auto"/>
          <w:sz w:val="28"/>
          <w:szCs w:val="28"/>
          <w:highlight w:val="none"/>
        </w:rPr>
      </w:pPr>
      <w:r>
        <w:rPr>
          <w:rFonts w:hint="eastAsia"/>
          <w:b/>
          <w:color w:val="auto"/>
          <w:sz w:val="28"/>
          <w:szCs w:val="28"/>
          <w:highlight w:val="none"/>
        </w:rPr>
        <w:t>附件1</w:t>
      </w:r>
    </w:p>
    <w:p w14:paraId="3E374068">
      <w:pPr>
        <w:spacing w:line="360" w:lineRule="auto"/>
        <w:ind w:left="720"/>
        <w:jc w:val="center"/>
        <w:rPr>
          <w:rFonts w:ascii="宋体"/>
          <w:b/>
          <w:color w:val="auto"/>
          <w:sz w:val="28"/>
          <w:szCs w:val="28"/>
          <w:highlight w:val="none"/>
        </w:rPr>
      </w:pPr>
      <w:r>
        <w:rPr>
          <w:rFonts w:hint="eastAsia"/>
          <w:b/>
          <w:color w:val="auto"/>
          <w:sz w:val="28"/>
          <w:szCs w:val="28"/>
          <w:highlight w:val="none"/>
        </w:rPr>
        <w:t>法定代表人身份证明或授权委托书</w:t>
      </w:r>
    </w:p>
    <w:p w14:paraId="5098C5DA">
      <w:pPr>
        <w:pStyle w:val="103"/>
        <w:spacing w:before="312" w:beforeLines="100" w:after="312" w:afterLines="100" w:line="480" w:lineRule="exact"/>
        <w:ind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23303FB9">
      <w:pPr>
        <w:spacing w:line="480" w:lineRule="exact"/>
        <w:ind w:firstLine="480" w:firstLineChars="200"/>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78DEE100">
      <w:pPr>
        <w:spacing w:line="48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3FE36EA0">
      <w:pPr>
        <w:spacing w:line="48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330A3587">
      <w:pPr>
        <w:spacing w:line="48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12D8326">
      <w:pPr>
        <w:spacing w:line="480" w:lineRule="exact"/>
        <w:ind w:firstLine="480" w:firstLineChars="200"/>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472D0321">
      <w:pPr>
        <w:spacing w:line="480" w:lineRule="exact"/>
        <w:ind w:firstLine="1440" w:firstLineChars="200"/>
        <w:rPr>
          <w:rFonts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1E55A449">
      <w:pPr>
        <w:spacing w:line="48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64908F0F">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3F389FE4">
      <w:pPr>
        <w:spacing w:line="360" w:lineRule="auto"/>
        <w:ind w:firstLine="3480" w:firstLineChars="14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33736C9A">
      <w:pPr>
        <w:wordWrap w:val="0"/>
        <w:spacing w:line="360" w:lineRule="auto"/>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166DC7E8">
      <w:pPr>
        <w:spacing w:before="312" w:beforeLines="100" w:after="312" w:afterLines="100" w:line="480" w:lineRule="exact"/>
        <w:ind w:firstLine="3654" w:firstLineChars="1305"/>
        <w:rPr>
          <w:rFonts w:ascii="宋体"/>
          <w:color w:val="auto"/>
          <w:sz w:val="28"/>
          <w:szCs w:val="28"/>
          <w:highlight w:val="none"/>
        </w:rPr>
      </w:pPr>
      <w:r>
        <w:rPr>
          <w:rFonts w:hint="eastAsia" w:ascii="宋体"/>
          <w:color w:val="auto"/>
          <w:sz w:val="28"/>
          <w:szCs w:val="28"/>
          <w:highlight w:val="none"/>
        </w:rPr>
        <w:t>2.授权委托书</w:t>
      </w:r>
    </w:p>
    <w:p w14:paraId="4EF75635">
      <w:pP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476D5BD2">
      <w:pPr>
        <w:spacing w:line="480" w:lineRule="exact"/>
        <w:ind w:firstLine="480" w:firstLineChars="200"/>
        <w:rPr>
          <w:rFonts w:ascii="宋体"/>
          <w:color w:val="auto"/>
          <w:sz w:val="24"/>
          <w:highlight w:val="none"/>
        </w:rPr>
      </w:pPr>
      <w:r>
        <w:rPr>
          <w:rFonts w:hint="eastAsia" w:ascii="宋体"/>
          <w:color w:val="auto"/>
          <w:sz w:val="24"/>
          <w:highlight w:val="none"/>
        </w:rPr>
        <w:t xml:space="preserve">委托期限：                                </w:t>
      </w:r>
    </w:p>
    <w:p w14:paraId="7FFC3934">
      <w:pP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5CCA2A1C">
      <w:pPr>
        <w:spacing w:line="480" w:lineRule="exact"/>
        <w:ind w:firstLine="480" w:firstLineChars="200"/>
        <w:rPr>
          <w:rFonts w:ascii="宋体"/>
          <w:color w:val="auto"/>
          <w:sz w:val="24"/>
          <w:highlight w:val="none"/>
        </w:rPr>
      </w:pPr>
      <w:r>
        <w:rPr>
          <w:rFonts w:hint="eastAsia" w:ascii="宋体"/>
          <w:color w:val="auto"/>
          <w:sz w:val="24"/>
          <w:highlight w:val="none"/>
        </w:rPr>
        <w:t>附：授权委托人有效身份证及法定代表人有效身份证</w:t>
      </w:r>
    </w:p>
    <w:p w14:paraId="6C9CE94E">
      <w:pPr>
        <w:spacing w:line="480" w:lineRule="exact"/>
        <w:rPr>
          <w:rFonts w:ascii="宋体"/>
          <w:color w:val="auto"/>
          <w:sz w:val="24"/>
          <w:highlight w:val="none"/>
        </w:rPr>
      </w:pPr>
      <w:r>
        <w:rPr>
          <w:rFonts w:hint="eastAsia" w:ascii="宋体"/>
          <w:color w:val="auto"/>
          <w:sz w:val="24"/>
          <w:highlight w:val="none"/>
        </w:rPr>
        <w:t xml:space="preserve">                                     投标人：             （盖单位章）</w:t>
      </w:r>
    </w:p>
    <w:p w14:paraId="49D64B04">
      <w:pPr>
        <w:spacing w:line="480" w:lineRule="exact"/>
        <w:jc w:val="right"/>
        <w:rPr>
          <w:rFonts w:ascii="宋体"/>
          <w:color w:val="auto"/>
          <w:sz w:val="24"/>
          <w:highlight w:val="none"/>
        </w:rPr>
      </w:pPr>
      <w:r>
        <w:rPr>
          <w:rFonts w:hint="eastAsia" w:ascii="宋体"/>
          <w:color w:val="auto"/>
          <w:sz w:val="24"/>
          <w:highlight w:val="none"/>
        </w:rPr>
        <w:t>法定代表人（身份证号码）：             （签章）</w:t>
      </w:r>
    </w:p>
    <w:p w14:paraId="7BBDEE6C">
      <w:pPr>
        <w:spacing w:line="480" w:lineRule="exact"/>
        <w:ind w:firstLine="2820" w:firstLineChars="1175"/>
        <w:rPr>
          <w:rFonts w:ascii="宋体"/>
          <w:color w:val="auto"/>
          <w:sz w:val="24"/>
          <w:highlight w:val="none"/>
        </w:rPr>
      </w:pPr>
      <w:r>
        <w:rPr>
          <w:rFonts w:hint="eastAsia" w:ascii="宋体"/>
          <w:color w:val="auto"/>
          <w:sz w:val="24"/>
          <w:highlight w:val="none"/>
        </w:rPr>
        <w:t xml:space="preserve">              年    月    日</w:t>
      </w:r>
    </w:p>
    <w:p w14:paraId="377B5AB1">
      <w:pPr>
        <w:spacing w:line="360" w:lineRule="exact"/>
        <w:ind w:firstLine="413" w:firstLineChars="147"/>
        <w:rPr>
          <w:b/>
          <w:color w:val="auto"/>
          <w:sz w:val="28"/>
          <w:szCs w:val="28"/>
          <w:highlight w:val="none"/>
          <w:u w:val="single"/>
        </w:rPr>
      </w:pPr>
    </w:p>
    <w:p w14:paraId="601F176D">
      <w:pPr>
        <w:spacing w:line="360" w:lineRule="exact"/>
        <w:ind w:firstLine="413" w:firstLineChars="147"/>
        <w:rPr>
          <w:b/>
          <w:color w:val="auto"/>
          <w:sz w:val="28"/>
          <w:szCs w:val="28"/>
          <w:highlight w:val="none"/>
          <w:u w:val="single"/>
        </w:rPr>
      </w:pPr>
    </w:p>
    <w:p w14:paraId="7C6A58EF">
      <w:pPr>
        <w:spacing w:line="360" w:lineRule="exact"/>
        <w:ind w:firstLine="443" w:firstLineChars="147"/>
        <w:rPr>
          <w:rFonts w:ascii="宋体"/>
          <w:b/>
          <w:color w:val="auto"/>
          <w:sz w:val="30"/>
          <w:szCs w:val="30"/>
          <w:highlight w:val="none"/>
        </w:rPr>
      </w:pPr>
      <w:r>
        <w:rPr>
          <w:rFonts w:hint="eastAsia" w:ascii="宋体"/>
          <w:b/>
          <w:color w:val="auto"/>
          <w:sz w:val="30"/>
          <w:szCs w:val="30"/>
          <w:highlight w:val="none"/>
        </w:rPr>
        <w:t>附件2</w:t>
      </w:r>
    </w:p>
    <w:p w14:paraId="07DD05C4">
      <w:pPr>
        <w:spacing w:line="360" w:lineRule="exact"/>
        <w:ind w:firstLine="413" w:firstLineChars="147"/>
        <w:jc w:val="center"/>
        <w:rPr>
          <w:b/>
          <w:color w:val="auto"/>
          <w:sz w:val="28"/>
          <w:szCs w:val="28"/>
          <w:highlight w:val="none"/>
        </w:rPr>
      </w:pPr>
      <w:bookmarkStart w:id="101" w:name="_Toc449028950"/>
      <w:bookmarkStart w:id="102" w:name="_Toc440443268"/>
      <w:r>
        <w:rPr>
          <w:rFonts w:hint="eastAsia"/>
          <w:b/>
          <w:color w:val="auto"/>
          <w:sz w:val="28"/>
          <w:szCs w:val="28"/>
          <w:highlight w:val="none"/>
        </w:rPr>
        <w:t>（2）诚信投标承诺书</w:t>
      </w:r>
    </w:p>
    <w:p w14:paraId="2053E37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0D943FD6">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01C7D6B">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没有因违法经营受到刑事处罚或者责令停产停业、吊销许可证或者执照、较大数额罚款等行政处罚。</w:t>
      </w:r>
    </w:p>
    <w:p w14:paraId="53CEFCC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1C34C92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3453EBCB">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3BD7EC69">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（企业名称）或       （企业名称）法定代表人       </w:t>
      </w:r>
      <w:r>
        <w:rPr>
          <w:rFonts w:hint="eastAsia" w:ascii="宋体" w:hAnsi="宋体"/>
          <w:color w:val="auto"/>
          <w:szCs w:val="21"/>
          <w:highlight w:val="none"/>
        </w:rPr>
        <w:t>没有下列情形：</w:t>
      </w:r>
      <w:bookmarkStart w:id="103" w:name="OLE_LINK134"/>
      <w:bookmarkStart w:id="104" w:name="OLE_LINK133"/>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103"/>
      <w:bookmarkEnd w:id="104"/>
      <w:r>
        <w:rPr>
          <w:rFonts w:hint="eastAsia" w:ascii="宋体" w:hAnsi="宋体"/>
          <w:color w:val="auto"/>
          <w:szCs w:val="21"/>
          <w:highlight w:val="none"/>
        </w:rPr>
        <w:t>若招标文件对投标人所属分公司、办事处等分支机构有上述1-10项信誉要求，在此一并承诺我公司所属分公司、办事处等分支机构没有上述1-10项情形）</w:t>
      </w:r>
    </w:p>
    <w:p w14:paraId="46E3070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12220AE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八、保证中标后不转包，若有分包征得招标人同意；</w:t>
      </w:r>
    </w:p>
    <w:p w14:paraId="629C0998">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14:paraId="0679D43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74A139B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9735346">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 </w:t>
      </w:r>
    </w:p>
    <w:p w14:paraId="748B438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开户银行：                          基本账户：</w:t>
      </w:r>
    </w:p>
    <w:p w14:paraId="37545BE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投标单位（签章或盖章）：          法定代表人（签章）：</w:t>
      </w:r>
    </w:p>
    <w:p w14:paraId="7763BD66">
      <w:pPr>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3B1E096A">
      <w:pPr>
        <w:rPr>
          <w:rFonts w:ascii="宋体" w:hAnsi="宋体"/>
          <w:color w:val="auto"/>
          <w:szCs w:val="21"/>
          <w:highlight w:val="none"/>
        </w:rPr>
      </w:pPr>
    </w:p>
    <w:p w14:paraId="2BA42EBE">
      <w:pPr>
        <w:rPr>
          <w:rFonts w:ascii="宋体" w:hAnsi="宋体"/>
          <w:color w:val="auto"/>
          <w:szCs w:val="21"/>
          <w:highlight w:val="none"/>
        </w:rPr>
      </w:pPr>
    </w:p>
    <w:p w14:paraId="4787AE83">
      <w:pPr>
        <w:spacing w:line="280" w:lineRule="exact"/>
        <w:ind w:left="-420" w:leftChars="-200" w:right="-512" w:rightChars="-244" w:firstLine="562" w:firstLineChars="200"/>
        <w:jc w:val="right"/>
        <w:rPr>
          <w:b/>
          <w:color w:val="auto"/>
          <w:sz w:val="28"/>
          <w:szCs w:val="28"/>
          <w:highlight w:val="none"/>
        </w:rPr>
      </w:pPr>
      <w:r>
        <w:rPr>
          <w:rFonts w:hint="eastAsia"/>
          <w:b/>
          <w:color w:val="auto"/>
          <w:sz w:val="28"/>
          <w:szCs w:val="28"/>
          <w:highlight w:val="none"/>
        </w:rPr>
        <w:t>或（2）公共信用信息报告（无违法违规证明版或核查版））</w:t>
      </w:r>
    </w:p>
    <w:p w14:paraId="3418B750">
      <w:pPr>
        <w:rPr>
          <w:rFonts w:ascii="宋体" w:hAnsi="宋体"/>
          <w:b/>
          <w:color w:val="auto"/>
          <w:sz w:val="24"/>
          <w:highlight w:val="none"/>
        </w:rPr>
      </w:pPr>
      <w:r>
        <w:rPr>
          <w:rFonts w:hint="eastAsia" w:ascii="宋体" w:hAnsi="宋体"/>
          <w:color w:val="auto"/>
          <w:szCs w:val="21"/>
          <w:highlight w:val="none"/>
        </w:rPr>
        <w:t>符合条件的投标人可在信用中国（安徽）网站（网址</w:t>
      </w:r>
      <w:r>
        <w:rPr>
          <w:color w:val="auto"/>
          <w:highlight w:val="none"/>
        </w:rPr>
        <w:fldChar w:fldCharType="begin"/>
      </w:r>
      <w:r>
        <w:rPr>
          <w:color w:val="auto"/>
          <w:highlight w:val="none"/>
        </w:rPr>
        <w:instrText xml:space="preserve"> HYPERLINK "https://credit.ah.gov.cn/xinyongfuwu/index.html" </w:instrText>
      </w:r>
      <w:r>
        <w:rPr>
          <w:color w:val="auto"/>
          <w:highlight w:val="none"/>
        </w:rPr>
        <w:fldChar w:fldCharType="separate"/>
      </w:r>
      <w:r>
        <w:rPr>
          <w:rFonts w:hint="eastAsia" w:ascii="宋体" w:hAnsi="宋体"/>
          <w:color w:val="auto"/>
          <w:szCs w:val="21"/>
          <w:highlight w:val="none"/>
        </w:rPr>
        <w:t>https://credit.ah.gov.cn/xinyongfuwu/index.html</w:t>
      </w:r>
      <w:r>
        <w:rPr>
          <w:rFonts w:hint="eastAsia"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r>
        <w:rPr>
          <w:rFonts w:hint="eastAsia" w:ascii="宋体" w:hAnsi="宋体"/>
          <w:b/>
          <w:color w:val="auto"/>
          <w:sz w:val="24"/>
          <w:highlight w:val="none"/>
        </w:rPr>
        <w:br w:type="page"/>
      </w:r>
    </w:p>
    <w:p w14:paraId="35561464">
      <w:pPr>
        <w:rPr>
          <w:rFonts w:ascii="宋体" w:hAnsi="宋体"/>
          <w:b/>
          <w:color w:val="auto"/>
          <w:sz w:val="24"/>
          <w:highlight w:val="none"/>
        </w:rPr>
      </w:pPr>
      <w:r>
        <w:rPr>
          <w:rFonts w:hint="eastAsia" w:ascii="宋体" w:hAnsi="宋体"/>
          <w:b/>
          <w:color w:val="auto"/>
          <w:sz w:val="24"/>
          <w:highlight w:val="none"/>
        </w:rPr>
        <w:t>附件3：</w:t>
      </w:r>
    </w:p>
    <w:p w14:paraId="1AF8A486">
      <w:pPr>
        <w:jc w:val="center"/>
        <w:rPr>
          <w:rFonts w:ascii="宋体" w:hAnsi="宋体"/>
          <w:b/>
          <w:color w:val="auto"/>
          <w:sz w:val="30"/>
          <w:szCs w:val="30"/>
          <w:highlight w:val="none"/>
        </w:rPr>
      </w:pPr>
      <w:r>
        <w:rPr>
          <w:rFonts w:hint="eastAsia" w:ascii="宋体" w:hAnsi="宋体"/>
          <w:b/>
          <w:color w:val="auto"/>
          <w:sz w:val="30"/>
          <w:szCs w:val="30"/>
          <w:highlight w:val="none"/>
        </w:rPr>
        <w:t>技术参数响应表（格式）</w:t>
      </w:r>
    </w:p>
    <w:p w14:paraId="1390EDA5">
      <w:pPr>
        <w:rPr>
          <w:rFonts w:ascii="宋体" w:hAnsi="宋体"/>
          <w:color w:val="auto"/>
          <w:sz w:val="24"/>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21"/>
        <w:gridCol w:w="1539"/>
        <w:gridCol w:w="1555"/>
        <w:gridCol w:w="1577"/>
        <w:gridCol w:w="1962"/>
      </w:tblGrid>
      <w:tr w14:paraId="4C94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restart"/>
            <w:vAlign w:val="center"/>
          </w:tcPr>
          <w:p w14:paraId="664BE6CF">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21" w:type="dxa"/>
            <w:vMerge w:val="restart"/>
            <w:vAlign w:val="center"/>
          </w:tcPr>
          <w:p w14:paraId="0BF06699">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品目名称</w:t>
            </w:r>
          </w:p>
        </w:tc>
        <w:tc>
          <w:tcPr>
            <w:tcW w:w="3094" w:type="dxa"/>
            <w:gridSpan w:val="2"/>
            <w:vAlign w:val="center"/>
          </w:tcPr>
          <w:p w14:paraId="63264E3E">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规格型号及参数</w:t>
            </w:r>
          </w:p>
        </w:tc>
        <w:tc>
          <w:tcPr>
            <w:tcW w:w="1577" w:type="dxa"/>
            <w:vMerge w:val="restart"/>
            <w:vAlign w:val="center"/>
          </w:tcPr>
          <w:p w14:paraId="4CF2D6F1">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962" w:type="dxa"/>
            <w:vMerge w:val="restart"/>
            <w:vAlign w:val="center"/>
          </w:tcPr>
          <w:p w14:paraId="0DF36F10">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其他情况说明</w:t>
            </w:r>
          </w:p>
        </w:tc>
      </w:tr>
      <w:tr w14:paraId="5F47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continue"/>
          </w:tcPr>
          <w:p w14:paraId="0F583140">
            <w:pPr>
              <w:spacing w:line="240" w:lineRule="atLeast"/>
              <w:ind w:firstLine="105" w:firstLineChars="50"/>
              <w:rPr>
                <w:rFonts w:ascii="宋体" w:hAnsi="宋体" w:cs="宋体"/>
                <w:color w:val="auto"/>
                <w:szCs w:val="21"/>
                <w:highlight w:val="none"/>
              </w:rPr>
            </w:pPr>
          </w:p>
        </w:tc>
        <w:tc>
          <w:tcPr>
            <w:tcW w:w="1421" w:type="dxa"/>
            <w:vMerge w:val="continue"/>
          </w:tcPr>
          <w:p w14:paraId="3B1701D3">
            <w:pPr>
              <w:spacing w:line="240" w:lineRule="atLeast"/>
              <w:jc w:val="center"/>
              <w:rPr>
                <w:rFonts w:ascii="宋体" w:hAnsi="宋体" w:cs="宋体"/>
                <w:color w:val="auto"/>
                <w:szCs w:val="21"/>
                <w:highlight w:val="none"/>
              </w:rPr>
            </w:pPr>
          </w:p>
        </w:tc>
        <w:tc>
          <w:tcPr>
            <w:tcW w:w="1539" w:type="dxa"/>
          </w:tcPr>
          <w:p w14:paraId="28F801FA">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招标要求规格型号技术参数</w:t>
            </w:r>
          </w:p>
        </w:tc>
        <w:tc>
          <w:tcPr>
            <w:tcW w:w="1555" w:type="dxa"/>
          </w:tcPr>
          <w:p w14:paraId="42183DAF">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投标规格型号技术参数</w:t>
            </w:r>
          </w:p>
        </w:tc>
        <w:tc>
          <w:tcPr>
            <w:tcW w:w="1577" w:type="dxa"/>
            <w:vMerge w:val="continue"/>
          </w:tcPr>
          <w:p w14:paraId="035958FC">
            <w:pPr>
              <w:spacing w:line="240" w:lineRule="atLeast"/>
              <w:jc w:val="center"/>
              <w:rPr>
                <w:rFonts w:ascii="宋体" w:hAnsi="宋体" w:cs="宋体"/>
                <w:color w:val="auto"/>
                <w:szCs w:val="21"/>
                <w:highlight w:val="none"/>
              </w:rPr>
            </w:pPr>
          </w:p>
        </w:tc>
        <w:tc>
          <w:tcPr>
            <w:tcW w:w="1962" w:type="dxa"/>
            <w:vMerge w:val="continue"/>
          </w:tcPr>
          <w:p w14:paraId="75FC8EDC">
            <w:pPr>
              <w:spacing w:line="240" w:lineRule="atLeast"/>
              <w:jc w:val="center"/>
              <w:rPr>
                <w:rFonts w:ascii="宋体" w:hAnsi="宋体" w:cs="宋体"/>
                <w:color w:val="auto"/>
                <w:szCs w:val="21"/>
                <w:highlight w:val="none"/>
              </w:rPr>
            </w:pPr>
          </w:p>
        </w:tc>
      </w:tr>
      <w:tr w14:paraId="5D67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27462074">
            <w:pPr>
              <w:jc w:val="center"/>
              <w:rPr>
                <w:rFonts w:ascii="宋体" w:hAnsi="宋体"/>
                <w:color w:val="auto"/>
                <w:szCs w:val="21"/>
                <w:highlight w:val="none"/>
              </w:rPr>
            </w:pPr>
            <w:r>
              <w:rPr>
                <w:rFonts w:hint="eastAsia" w:ascii="宋体" w:hAnsi="宋体"/>
                <w:color w:val="auto"/>
                <w:szCs w:val="21"/>
                <w:highlight w:val="none"/>
              </w:rPr>
              <w:t>1</w:t>
            </w:r>
          </w:p>
        </w:tc>
        <w:tc>
          <w:tcPr>
            <w:tcW w:w="1421" w:type="dxa"/>
            <w:shd w:val="clear" w:color="auto" w:fill="FFFFFF"/>
            <w:vAlign w:val="center"/>
          </w:tcPr>
          <w:p w14:paraId="13BAAE19">
            <w:pPr>
              <w:widowControl/>
              <w:spacing w:line="360" w:lineRule="auto"/>
              <w:jc w:val="center"/>
              <w:textAlignment w:val="center"/>
              <w:rPr>
                <w:rFonts w:ascii="宋体" w:hAnsi="宋体"/>
                <w:color w:val="auto"/>
                <w:szCs w:val="21"/>
                <w:highlight w:val="none"/>
              </w:rPr>
            </w:pPr>
          </w:p>
        </w:tc>
        <w:tc>
          <w:tcPr>
            <w:tcW w:w="1539" w:type="dxa"/>
            <w:vAlign w:val="center"/>
          </w:tcPr>
          <w:p w14:paraId="64A77FFF">
            <w:pPr>
              <w:ind w:firstLine="630" w:firstLineChars="300"/>
              <w:jc w:val="center"/>
              <w:rPr>
                <w:rFonts w:ascii="宋体" w:hAnsi="宋体"/>
                <w:color w:val="auto"/>
                <w:szCs w:val="21"/>
                <w:highlight w:val="none"/>
              </w:rPr>
            </w:pPr>
          </w:p>
        </w:tc>
        <w:tc>
          <w:tcPr>
            <w:tcW w:w="1555" w:type="dxa"/>
            <w:vAlign w:val="center"/>
          </w:tcPr>
          <w:p w14:paraId="3435345D">
            <w:pPr>
              <w:ind w:firstLine="630" w:firstLineChars="300"/>
              <w:jc w:val="center"/>
              <w:rPr>
                <w:rFonts w:ascii="宋体" w:hAnsi="宋体"/>
                <w:color w:val="auto"/>
                <w:szCs w:val="21"/>
                <w:highlight w:val="none"/>
              </w:rPr>
            </w:pPr>
          </w:p>
        </w:tc>
        <w:tc>
          <w:tcPr>
            <w:tcW w:w="1577" w:type="dxa"/>
            <w:vAlign w:val="center"/>
          </w:tcPr>
          <w:p w14:paraId="51EADAFE">
            <w:pPr>
              <w:jc w:val="center"/>
              <w:rPr>
                <w:rFonts w:ascii="宋体" w:hAnsi="宋体"/>
                <w:color w:val="auto"/>
                <w:szCs w:val="21"/>
                <w:highlight w:val="none"/>
              </w:rPr>
            </w:pPr>
            <w:r>
              <w:rPr>
                <w:rFonts w:hint="eastAsia" w:ascii="宋体" w:hAnsi="宋体" w:cs="宋体"/>
                <w:color w:val="auto"/>
                <w:szCs w:val="21"/>
                <w:highlight w:val="none"/>
              </w:rPr>
              <w:t>是/否</w:t>
            </w:r>
          </w:p>
        </w:tc>
        <w:tc>
          <w:tcPr>
            <w:tcW w:w="1962" w:type="dxa"/>
            <w:vAlign w:val="center"/>
          </w:tcPr>
          <w:p w14:paraId="7433DDAF">
            <w:pPr>
              <w:jc w:val="center"/>
              <w:rPr>
                <w:rFonts w:ascii="宋体" w:hAnsi="宋体"/>
                <w:color w:val="auto"/>
                <w:szCs w:val="21"/>
                <w:highlight w:val="none"/>
              </w:rPr>
            </w:pPr>
          </w:p>
        </w:tc>
      </w:tr>
      <w:tr w14:paraId="385A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449784A9">
            <w:pPr>
              <w:jc w:val="center"/>
              <w:rPr>
                <w:rFonts w:ascii="宋体" w:hAnsi="宋体"/>
                <w:color w:val="auto"/>
                <w:szCs w:val="21"/>
                <w:highlight w:val="none"/>
              </w:rPr>
            </w:pPr>
            <w:r>
              <w:rPr>
                <w:rFonts w:hint="eastAsia" w:ascii="宋体" w:hAnsi="宋体"/>
                <w:color w:val="auto"/>
                <w:szCs w:val="21"/>
                <w:highlight w:val="none"/>
              </w:rPr>
              <w:t>2</w:t>
            </w:r>
          </w:p>
        </w:tc>
        <w:tc>
          <w:tcPr>
            <w:tcW w:w="1421" w:type="dxa"/>
            <w:shd w:val="clear" w:color="auto" w:fill="FFFFFF"/>
            <w:vAlign w:val="center"/>
          </w:tcPr>
          <w:p w14:paraId="5F6E41C8">
            <w:pPr>
              <w:widowControl/>
              <w:spacing w:line="360" w:lineRule="auto"/>
              <w:jc w:val="center"/>
              <w:textAlignment w:val="center"/>
              <w:rPr>
                <w:rFonts w:ascii="宋体" w:hAnsi="宋体"/>
                <w:color w:val="auto"/>
                <w:sz w:val="24"/>
                <w:highlight w:val="none"/>
              </w:rPr>
            </w:pPr>
          </w:p>
        </w:tc>
        <w:tc>
          <w:tcPr>
            <w:tcW w:w="1539" w:type="dxa"/>
            <w:vAlign w:val="center"/>
          </w:tcPr>
          <w:p w14:paraId="06ADC100">
            <w:pPr>
              <w:ind w:firstLine="630" w:firstLineChars="300"/>
              <w:jc w:val="center"/>
              <w:rPr>
                <w:rFonts w:ascii="宋体" w:hAnsi="宋体"/>
                <w:color w:val="auto"/>
                <w:szCs w:val="21"/>
                <w:highlight w:val="none"/>
              </w:rPr>
            </w:pPr>
          </w:p>
        </w:tc>
        <w:tc>
          <w:tcPr>
            <w:tcW w:w="1555" w:type="dxa"/>
            <w:vAlign w:val="center"/>
          </w:tcPr>
          <w:p w14:paraId="23677DCB">
            <w:pPr>
              <w:ind w:firstLine="630" w:firstLineChars="300"/>
              <w:jc w:val="center"/>
              <w:rPr>
                <w:rFonts w:ascii="宋体" w:hAnsi="宋体"/>
                <w:color w:val="auto"/>
                <w:szCs w:val="21"/>
                <w:highlight w:val="none"/>
              </w:rPr>
            </w:pPr>
          </w:p>
        </w:tc>
        <w:tc>
          <w:tcPr>
            <w:tcW w:w="1577" w:type="dxa"/>
            <w:vAlign w:val="center"/>
          </w:tcPr>
          <w:p w14:paraId="1BADDCCB">
            <w:pPr>
              <w:jc w:val="center"/>
              <w:rPr>
                <w:color w:val="auto"/>
                <w:highlight w:val="none"/>
              </w:rPr>
            </w:pPr>
            <w:r>
              <w:rPr>
                <w:rFonts w:hint="eastAsia" w:ascii="宋体" w:hAnsi="宋体" w:cs="宋体"/>
                <w:color w:val="auto"/>
                <w:szCs w:val="21"/>
                <w:highlight w:val="none"/>
              </w:rPr>
              <w:t>是/否</w:t>
            </w:r>
          </w:p>
        </w:tc>
        <w:tc>
          <w:tcPr>
            <w:tcW w:w="1962" w:type="dxa"/>
            <w:vAlign w:val="center"/>
          </w:tcPr>
          <w:p w14:paraId="61F35028">
            <w:pPr>
              <w:jc w:val="center"/>
              <w:rPr>
                <w:rFonts w:ascii="宋体" w:hAnsi="宋体"/>
                <w:color w:val="auto"/>
                <w:szCs w:val="21"/>
                <w:highlight w:val="none"/>
              </w:rPr>
            </w:pPr>
          </w:p>
        </w:tc>
      </w:tr>
      <w:tr w14:paraId="5636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47D74E6C">
            <w:pPr>
              <w:jc w:val="center"/>
              <w:rPr>
                <w:rFonts w:ascii="宋体" w:hAnsi="宋体"/>
                <w:color w:val="auto"/>
                <w:szCs w:val="21"/>
                <w:highlight w:val="none"/>
              </w:rPr>
            </w:pPr>
            <w:r>
              <w:rPr>
                <w:rFonts w:hint="eastAsia" w:ascii="宋体" w:hAnsi="宋体"/>
                <w:color w:val="auto"/>
                <w:szCs w:val="21"/>
                <w:highlight w:val="none"/>
              </w:rPr>
              <w:t>3</w:t>
            </w:r>
          </w:p>
        </w:tc>
        <w:tc>
          <w:tcPr>
            <w:tcW w:w="1421" w:type="dxa"/>
            <w:shd w:val="clear" w:color="auto" w:fill="FFFFFF"/>
            <w:vAlign w:val="center"/>
          </w:tcPr>
          <w:p w14:paraId="3E836F35">
            <w:pPr>
              <w:widowControl/>
              <w:spacing w:line="360" w:lineRule="auto"/>
              <w:jc w:val="center"/>
              <w:textAlignment w:val="center"/>
              <w:rPr>
                <w:rFonts w:ascii="宋体" w:hAnsi="宋体"/>
                <w:color w:val="auto"/>
                <w:sz w:val="24"/>
                <w:highlight w:val="none"/>
              </w:rPr>
            </w:pPr>
          </w:p>
        </w:tc>
        <w:tc>
          <w:tcPr>
            <w:tcW w:w="1539" w:type="dxa"/>
            <w:vAlign w:val="center"/>
          </w:tcPr>
          <w:p w14:paraId="17FBEA82">
            <w:pPr>
              <w:ind w:firstLine="630" w:firstLineChars="300"/>
              <w:jc w:val="center"/>
              <w:rPr>
                <w:rFonts w:ascii="宋体" w:hAnsi="宋体"/>
                <w:color w:val="auto"/>
                <w:szCs w:val="21"/>
                <w:highlight w:val="none"/>
              </w:rPr>
            </w:pPr>
          </w:p>
        </w:tc>
        <w:tc>
          <w:tcPr>
            <w:tcW w:w="1555" w:type="dxa"/>
            <w:vAlign w:val="center"/>
          </w:tcPr>
          <w:p w14:paraId="7195AD7B">
            <w:pPr>
              <w:ind w:firstLine="630" w:firstLineChars="300"/>
              <w:jc w:val="center"/>
              <w:rPr>
                <w:rFonts w:ascii="宋体" w:hAnsi="宋体"/>
                <w:color w:val="auto"/>
                <w:szCs w:val="21"/>
                <w:highlight w:val="none"/>
              </w:rPr>
            </w:pPr>
          </w:p>
        </w:tc>
        <w:tc>
          <w:tcPr>
            <w:tcW w:w="1577" w:type="dxa"/>
            <w:vAlign w:val="center"/>
          </w:tcPr>
          <w:p w14:paraId="357D8E0C">
            <w:pPr>
              <w:jc w:val="center"/>
              <w:rPr>
                <w:color w:val="auto"/>
                <w:highlight w:val="none"/>
              </w:rPr>
            </w:pPr>
            <w:r>
              <w:rPr>
                <w:rFonts w:hint="eastAsia" w:ascii="宋体" w:hAnsi="宋体" w:cs="宋体"/>
                <w:color w:val="auto"/>
                <w:szCs w:val="21"/>
                <w:highlight w:val="none"/>
              </w:rPr>
              <w:t>是/否</w:t>
            </w:r>
          </w:p>
        </w:tc>
        <w:tc>
          <w:tcPr>
            <w:tcW w:w="1962" w:type="dxa"/>
            <w:vAlign w:val="center"/>
          </w:tcPr>
          <w:p w14:paraId="45511A75">
            <w:pPr>
              <w:jc w:val="center"/>
              <w:rPr>
                <w:rFonts w:ascii="宋体" w:hAnsi="宋体"/>
                <w:color w:val="auto"/>
                <w:szCs w:val="21"/>
                <w:highlight w:val="none"/>
              </w:rPr>
            </w:pPr>
          </w:p>
        </w:tc>
      </w:tr>
      <w:tr w14:paraId="70CC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604B3837">
            <w:pPr>
              <w:jc w:val="center"/>
              <w:rPr>
                <w:rFonts w:ascii="宋体" w:hAnsi="宋体"/>
                <w:color w:val="auto"/>
                <w:szCs w:val="21"/>
                <w:highlight w:val="none"/>
              </w:rPr>
            </w:pPr>
            <w:r>
              <w:rPr>
                <w:rFonts w:ascii="宋体" w:hAnsi="宋体"/>
                <w:color w:val="auto"/>
                <w:szCs w:val="21"/>
                <w:highlight w:val="none"/>
              </w:rPr>
              <w:t>…</w:t>
            </w:r>
          </w:p>
        </w:tc>
        <w:tc>
          <w:tcPr>
            <w:tcW w:w="1421" w:type="dxa"/>
            <w:shd w:val="clear" w:color="auto" w:fill="FFFFFF"/>
            <w:vAlign w:val="center"/>
          </w:tcPr>
          <w:p w14:paraId="75BE41E6">
            <w:pPr>
              <w:widowControl/>
              <w:spacing w:line="360" w:lineRule="auto"/>
              <w:jc w:val="center"/>
              <w:textAlignment w:val="center"/>
              <w:rPr>
                <w:rFonts w:ascii="宋体" w:hAnsi="宋体"/>
                <w:color w:val="auto"/>
                <w:sz w:val="24"/>
                <w:highlight w:val="none"/>
              </w:rPr>
            </w:pPr>
          </w:p>
        </w:tc>
        <w:tc>
          <w:tcPr>
            <w:tcW w:w="1539" w:type="dxa"/>
            <w:vAlign w:val="center"/>
          </w:tcPr>
          <w:p w14:paraId="29AD356D">
            <w:pPr>
              <w:ind w:firstLine="630" w:firstLineChars="300"/>
              <w:jc w:val="center"/>
              <w:rPr>
                <w:rFonts w:ascii="宋体" w:hAnsi="宋体"/>
                <w:color w:val="auto"/>
                <w:szCs w:val="21"/>
                <w:highlight w:val="none"/>
              </w:rPr>
            </w:pPr>
          </w:p>
        </w:tc>
        <w:tc>
          <w:tcPr>
            <w:tcW w:w="1555" w:type="dxa"/>
            <w:vAlign w:val="center"/>
          </w:tcPr>
          <w:p w14:paraId="45813224">
            <w:pPr>
              <w:ind w:firstLine="630" w:firstLineChars="300"/>
              <w:jc w:val="center"/>
              <w:rPr>
                <w:rFonts w:ascii="宋体" w:hAnsi="宋体"/>
                <w:color w:val="auto"/>
                <w:szCs w:val="21"/>
                <w:highlight w:val="none"/>
              </w:rPr>
            </w:pPr>
          </w:p>
        </w:tc>
        <w:tc>
          <w:tcPr>
            <w:tcW w:w="1577" w:type="dxa"/>
            <w:vAlign w:val="center"/>
          </w:tcPr>
          <w:p w14:paraId="05FE890E">
            <w:pPr>
              <w:jc w:val="center"/>
              <w:rPr>
                <w:rFonts w:ascii="宋体" w:hAnsi="宋体" w:cs="宋体"/>
                <w:color w:val="auto"/>
                <w:szCs w:val="21"/>
                <w:highlight w:val="none"/>
              </w:rPr>
            </w:pPr>
            <w:r>
              <w:rPr>
                <w:rFonts w:ascii="宋体" w:hAnsi="宋体" w:cs="宋体"/>
                <w:color w:val="auto"/>
                <w:szCs w:val="21"/>
                <w:highlight w:val="none"/>
              </w:rPr>
              <w:t>…</w:t>
            </w:r>
          </w:p>
        </w:tc>
        <w:tc>
          <w:tcPr>
            <w:tcW w:w="1962" w:type="dxa"/>
            <w:vAlign w:val="center"/>
          </w:tcPr>
          <w:p w14:paraId="19D4BC2A">
            <w:pPr>
              <w:jc w:val="center"/>
              <w:rPr>
                <w:rFonts w:ascii="宋体" w:hAnsi="宋体"/>
                <w:color w:val="auto"/>
                <w:szCs w:val="21"/>
                <w:highlight w:val="none"/>
              </w:rPr>
            </w:pPr>
          </w:p>
        </w:tc>
      </w:tr>
    </w:tbl>
    <w:p w14:paraId="2FBD1478">
      <w:pPr>
        <w:autoSpaceDE w:val="0"/>
        <w:autoSpaceDN w:val="0"/>
        <w:adjustRightInd w:val="0"/>
        <w:ind w:firstLine="422" w:firstLineChars="200"/>
        <w:rPr>
          <w:rFonts w:ascii="宋体" w:hAnsi="宋体"/>
          <w:b/>
          <w:color w:val="auto"/>
          <w:szCs w:val="21"/>
          <w:highlight w:val="none"/>
          <w:lang w:val="zh-CN"/>
        </w:rPr>
      </w:pPr>
      <w:r>
        <w:rPr>
          <w:rFonts w:hint="eastAsia" w:ascii="宋体" w:hAnsi="宋体"/>
          <w:b/>
          <w:color w:val="auto"/>
          <w:szCs w:val="21"/>
          <w:highlight w:val="none"/>
          <w:lang w:val="zh-CN"/>
        </w:rPr>
        <w:t>注：</w:t>
      </w:r>
    </w:p>
    <w:p w14:paraId="75C1F376">
      <w:pPr>
        <w:autoSpaceDE w:val="0"/>
        <w:autoSpaceDN w:val="0"/>
        <w:adjustRightInd w:val="0"/>
        <w:ind w:firstLine="562" w:firstLineChars="200"/>
        <w:rPr>
          <w:rFonts w:ascii="宋体" w:hAnsi="宋体"/>
          <w:b/>
          <w:color w:val="auto"/>
          <w:sz w:val="28"/>
          <w:szCs w:val="28"/>
          <w:highlight w:val="none"/>
          <w:lang w:val="zh-CN"/>
        </w:rPr>
      </w:pPr>
      <w:r>
        <w:rPr>
          <w:rFonts w:ascii="宋体" w:hAnsi="宋体"/>
          <w:b/>
          <w:color w:val="auto"/>
          <w:sz w:val="28"/>
          <w:szCs w:val="28"/>
          <w:highlight w:val="none"/>
          <w:lang w:val="zh-CN"/>
        </w:rPr>
        <w:t>1</w:t>
      </w:r>
      <w:r>
        <w:rPr>
          <w:rFonts w:hint="eastAsia" w:ascii="宋体" w:hAnsi="宋体"/>
          <w:b/>
          <w:color w:val="auto"/>
          <w:sz w:val="28"/>
          <w:szCs w:val="28"/>
          <w:highlight w:val="none"/>
          <w:lang w:val="zh-CN"/>
        </w:rPr>
        <w:t>.供应商应逐一说明投标产品和服务响应，直接拷贝招标文件技术要求的按照无效投标处理；</w:t>
      </w:r>
    </w:p>
    <w:p w14:paraId="48CCD6C9">
      <w:pPr>
        <w:autoSpaceDE w:val="0"/>
        <w:autoSpaceDN w:val="0"/>
        <w:adjustRightInd w:val="0"/>
        <w:ind w:firstLine="420" w:firstLineChars="200"/>
        <w:rPr>
          <w:rFonts w:ascii="宋体" w:hAnsi="宋体"/>
          <w:color w:val="auto"/>
          <w:szCs w:val="21"/>
          <w:highlight w:val="none"/>
        </w:rPr>
      </w:pPr>
      <w:r>
        <w:rPr>
          <w:rFonts w:ascii="宋体" w:hAnsi="宋体" w:cs="宋体"/>
          <w:color w:val="auto"/>
          <w:szCs w:val="21"/>
          <w:highlight w:val="none"/>
          <w:lang w:val="zh-CN"/>
        </w:rPr>
        <w:t>2</w:t>
      </w:r>
      <w:r>
        <w:rPr>
          <w:rFonts w:hint="eastAsia" w:ascii="宋体" w:hAnsi="宋体" w:cs="宋体"/>
          <w:color w:val="auto"/>
          <w:szCs w:val="21"/>
          <w:highlight w:val="none"/>
          <w:lang w:val="zh-CN"/>
        </w:rPr>
        <w:t>.如果行数不够，请自行增加。</w:t>
      </w:r>
    </w:p>
    <w:p w14:paraId="4FA5B81C">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7DC83B39">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BA961F5">
      <w:pPr>
        <w:spacing w:line="360" w:lineRule="auto"/>
        <w:jc w:val="right"/>
        <w:rPr>
          <w:rFonts w:ascii="宋体" w:hAnsi="宋体"/>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Start w:id="105" w:name="_Toc20556"/>
    </w:p>
    <w:p w14:paraId="002ABD09">
      <w:pPr>
        <w:jc w:val="center"/>
        <w:rPr>
          <w:b/>
          <w:bCs/>
          <w:color w:val="auto"/>
          <w:sz w:val="28"/>
          <w:szCs w:val="28"/>
          <w:highlight w:val="none"/>
        </w:rPr>
      </w:pPr>
      <w:r>
        <w:rPr>
          <w:rFonts w:hint="eastAsia"/>
          <w:b/>
          <w:bCs/>
          <w:color w:val="auto"/>
          <w:sz w:val="28"/>
          <w:szCs w:val="28"/>
          <w:highlight w:val="none"/>
        </w:rPr>
        <w:t>货物的详细配置清单</w:t>
      </w:r>
      <w:bookmarkEnd w:id="105"/>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1862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vAlign w:val="center"/>
          </w:tcPr>
          <w:p w14:paraId="18BF6253">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436" w:type="dxa"/>
            <w:vAlign w:val="center"/>
          </w:tcPr>
          <w:p w14:paraId="1FB041C5">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2154" w:type="dxa"/>
            <w:vAlign w:val="center"/>
          </w:tcPr>
          <w:p w14:paraId="2F8A109F">
            <w:pPr>
              <w:spacing w:line="360" w:lineRule="auto"/>
              <w:jc w:val="center"/>
              <w:rPr>
                <w:rFonts w:ascii="宋体" w:hAnsi="宋体"/>
                <w:color w:val="auto"/>
                <w:szCs w:val="21"/>
                <w:highlight w:val="none"/>
              </w:rPr>
            </w:pPr>
            <w:r>
              <w:rPr>
                <w:rFonts w:hint="eastAsia" w:ascii="宋体" w:hAnsi="宋体"/>
                <w:color w:val="auto"/>
                <w:szCs w:val="21"/>
                <w:highlight w:val="none"/>
              </w:rPr>
              <w:t>品牌、规格型号</w:t>
            </w:r>
          </w:p>
        </w:tc>
        <w:tc>
          <w:tcPr>
            <w:tcW w:w="1171" w:type="dxa"/>
            <w:vAlign w:val="center"/>
          </w:tcPr>
          <w:p w14:paraId="3D2FA0FC">
            <w:pPr>
              <w:spacing w:line="360" w:lineRule="auto"/>
              <w:jc w:val="center"/>
              <w:rPr>
                <w:rFonts w:ascii="宋体" w:hAnsi="宋体"/>
                <w:color w:val="auto"/>
                <w:szCs w:val="21"/>
                <w:highlight w:val="none"/>
              </w:rPr>
            </w:pPr>
            <w:r>
              <w:rPr>
                <w:rFonts w:hint="eastAsia" w:ascii="宋体" w:hAnsi="宋体"/>
                <w:color w:val="auto"/>
                <w:szCs w:val="21"/>
                <w:highlight w:val="none"/>
              </w:rPr>
              <w:t>产地</w:t>
            </w:r>
          </w:p>
        </w:tc>
        <w:tc>
          <w:tcPr>
            <w:tcW w:w="2180" w:type="dxa"/>
            <w:vAlign w:val="center"/>
          </w:tcPr>
          <w:p w14:paraId="403F354A">
            <w:pPr>
              <w:spacing w:line="360" w:lineRule="auto"/>
              <w:ind w:left="261"/>
              <w:jc w:val="center"/>
              <w:rPr>
                <w:rFonts w:ascii="宋体" w:hAnsi="宋体"/>
                <w:color w:val="auto"/>
                <w:szCs w:val="21"/>
                <w:highlight w:val="none"/>
              </w:rPr>
            </w:pPr>
            <w:r>
              <w:rPr>
                <w:rFonts w:hint="eastAsia" w:ascii="宋体" w:hAnsi="宋体"/>
                <w:color w:val="auto"/>
                <w:szCs w:val="21"/>
                <w:highlight w:val="none"/>
              </w:rPr>
              <w:t>生产厂家</w:t>
            </w:r>
          </w:p>
        </w:tc>
        <w:tc>
          <w:tcPr>
            <w:tcW w:w="1532" w:type="dxa"/>
            <w:vAlign w:val="center"/>
          </w:tcPr>
          <w:p w14:paraId="74AA107D">
            <w:pPr>
              <w:spacing w:line="360" w:lineRule="auto"/>
              <w:jc w:val="center"/>
              <w:rPr>
                <w:rFonts w:ascii="宋体" w:hAnsi="宋体"/>
                <w:color w:val="auto"/>
                <w:szCs w:val="21"/>
                <w:highlight w:val="none"/>
              </w:rPr>
            </w:pPr>
            <w:r>
              <w:rPr>
                <w:rFonts w:hint="eastAsia" w:ascii="宋体" w:hAnsi="宋体"/>
                <w:color w:val="auto"/>
                <w:szCs w:val="21"/>
                <w:highlight w:val="none"/>
              </w:rPr>
              <w:t>详细配置清单</w:t>
            </w:r>
          </w:p>
        </w:tc>
      </w:tr>
      <w:tr w14:paraId="2082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2917BE83">
            <w:pPr>
              <w:numPr>
                <w:ilvl w:val="0"/>
                <w:numId w:val="12"/>
              </w:numPr>
              <w:spacing w:line="360" w:lineRule="auto"/>
              <w:rPr>
                <w:rFonts w:ascii="宋体" w:hAnsi="宋体"/>
                <w:color w:val="auto"/>
                <w:szCs w:val="21"/>
                <w:highlight w:val="none"/>
              </w:rPr>
            </w:pPr>
          </w:p>
        </w:tc>
        <w:tc>
          <w:tcPr>
            <w:tcW w:w="1436" w:type="dxa"/>
            <w:shd w:val="clear" w:color="auto" w:fill="FFFFFF"/>
            <w:vAlign w:val="center"/>
          </w:tcPr>
          <w:p w14:paraId="7CD5DF6A">
            <w:pPr>
              <w:widowControl/>
              <w:spacing w:line="360" w:lineRule="auto"/>
              <w:jc w:val="center"/>
              <w:textAlignment w:val="center"/>
              <w:rPr>
                <w:rFonts w:ascii="宋体" w:hAnsi="宋体"/>
                <w:color w:val="auto"/>
                <w:szCs w:val="21"/>
                <w:highlight w:val="none"/>
              </w:rPr>
            </w:pPr>
          </w:p>
        </w:tc>
        <w:tc>
          <w:tcPr>
            <w:tcW w:w="2154" w:type="dxa"/>
          </w:tcPr>
          <w:p w14:paraId="33BF0885">
            <w:pPr>
              <w:spacing w:line="360" w:lineRule="auto"/>
              <w:rPr>
                <w:rFonts w:ascii="宋体" w:hAnsi="宋体"/>
                <w:color w:val="auto"/>
                <w:szCs w:val="21"/>
                <w:highlight w:val="none"/>
              </w:rPr>
            </w:pPr>
          </w:p>
        </w:tc>
        <w:tc>
          <w:tcPr>
            <w:tcW w:w="1171" w:type="dxa"/>
          </w:tcPr>
          <w:p w14:paraId="52EF80A6">
            <w:pPr>
              <w:spacing w:line="360" w:lineRule="auto"/>
              <w:rPr>
                <w:rFonts w:ascii="宋体" w:hAnsi="宋体"/>
                <w:color w:val="auto"/>
                <w:szCs w:val="21"/>
                <w:highlight w:val="none"/>
              </w:rPr>
            </w:pPr>
          </w:p>
        </w:tc>
        <w:tc>
          <w:tcPr>
            <w:tcW w:w="2180" w:type="dxa"/>
          </w:tcPr>
          <w:p w14:paraId="6DFCF5E4">
            <w:pPr>
              <w:spacing w:line="360" w:lineRule="auto"/>
              <w:rPr>
                <w:rFonts w:ascii="宋体" w:hAnsi="宋体"/>
                <w:color w:val="auto"/>
                <w:szCs w:val="21"/>
                <w:highlight w:val="none"/>
              </w:rPr>
            </w:pPr>
          </w:p>
        </w:tc>
        <w:tc>
          <w:tcPr>
            <w:tcW w:w="1532" w:type="dxa"/>
          </w:tcPr>
          <w:p w14:paraId="4677089A">
            <w:pPr>
              <w:spacing w:line="360" w:lineRule="auto"/>
              <w:rPr>
                <w:rFonts w:ascii="宋体" w:hAnsi="宋体"/>
                <w:color w:val="auto"/>
                <w:szCs w:val="21"/>
                <w:highlight w:val="none"/>
              </w:rPr>
            </w:pPr>
          </w:p>
        </w:tc>
      </w:tr>
      <w:tr w14:paraId="45BE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13A8DA48">
            <w:pPr>
              <w:numPr>
                <w:ilvl w:val="0"/>
                <w:numId w:val="12"/>
              </w:numPr>
              <w:spacing w:line="360" w:lineRule="auto"/>
              <w:rPr>
                <w:rFonts w:ascii="宋体" w:hAnsi="宋体"/>
                <w:color w:val="auto"/>
                <w:szCs w:val="21"/>
                <w:highlight w:val="none"/>
              </w:rPr>
            </w:pPr>
          </w:p>
        </w:tc>
        <w:tc>
          <w:tcPr>
            <w:tcW w:w="1436" w:type="dxa"/>
            <w:shd w:val="clear" w:color="auto" w:fill="FFFFFF"/>
            <w:vAlign w:val="center"/>
          </w:tcPr>
          <w:p w14:paraId="37F28121">
            <w:pPr>
              <w:widowControl/>
              <w:spacing w:line="360" w:lineRule="auto"/>
              <w:jc w:val="center"/>
              <w:textAlignment w:val="center"/>
              <w:rPr>
                <w:rFonts w:ascii="宋体" w:hAnsi="宋体"/>
                <w:color w:val="auto"/>
                <w:szCs w:val="21"/>
                <w:highlight w:val="none"/>
              </w:rPr>
            </w:pPr>
          </w:p>
        </w:tc>
        <w:tc>
          <w:tcPr>
            <w:tcW w:w="2154" w:type="dxa"/>
          </w:tcPr>
          <w:p w14:paraId="2C1014D1">
            <w:pPr>
              <w:spacing w:line="360" w:lineRule="auto"/>
              <w:rPr>
                <w:rFonts w:ascii="宋体" w:hAnsi="宋体"/>
                <w:color w:val="auto"/>
                <w:szCs w:val="21"/>
                <w:highlight w:val="none"/>
              </w:rPr>
            </w:pPr>
          </w:p>
        </w:tc>
        <w:tc>
          <w:tcPr>
            <w:tcW w:w="1171" w:type="dxa"/>
          </w:tcPr>
          <w:p w14:paraId="4C531013">
            <w:pPr>
              <w:spacing w:line="360" w:lineRule="auto"/>
              <w:rPr>
                <w:rFonts w:ascii="宋体" w:hAnsi="宋体"/>
                <w:color w:val="auto"/>
                <w:szCs w:val="21"/>
                <w:highlight w:val="none"/>
              </w:rPr>
            </w:pPr>
          </w:p>
        </w:tc>
        <w:tc>
          <w:tcPr>
            <w:tcW w:w="2180" w:type="dxa"/>
          </w:tcPr>
          <w:p w14:paraId="4E150149">
            <w:pPr>
              <w:spacing w:line="360" w:lineRule="auto"/>
              <w:rPr>
                <w:rFonts w:ascii="宋体" w:hAnsi="宋体"/>
                <w:color w:val="auto"/>
                <w:szCs w:val="21"/>
                <w:highlight w:val="none"/>
              </w:rPr>
            </w:pPr>
          </w:p>
        </w:tc>
        <w:tc>
          <w:tcPr>
            <w:tcW w:w="1532" w:type="dxa"/>
          </w:tcPr>
          <w:p w14:paraId="6883D072">
            <w:pPr>
              <w:spacing w:line="360" w:lineRule="auto"/>
              <w:rPr>
                <w:rFonts w:ascii="宋体" w:hAnsi="宋体"/>
                <w:color w:val="auto"/>
                <w:szCs w:val="21"/>
                <w:highlight w:val="none"/>
              </w:rPr>
            </w:pPr>
          </w:p>
        </w:tc>
      </w:tr>
      <w:tr w14:paraId="66CD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34464E9E">
            <w:pPr>
              <w:numPr>
                <w:ilvl w:val="0"/>
                <w:numId w:val="12"/>
              </w:numPr>
              <w:spacing w:line="360" w:lineRule="auto"/>
              <w:rPr>
                <w:rFonts w:ascii="宋体" w:hAnsi="宋体"/>
                <w:color w:val="auto"/>
                <w:szCs w:val="21"/>
                <w:highlight w:val="none"/>
              </w:rPr>
            </w:pPr>
          </w:p>
        </w:tc>
        <w:tc>
          <w:tcPr>
            <w:tcW w:w="1436" w:type="dxa"/>
            <w:shd w:val="clear" w:color="auto" w:fill="FFFFFF"/>
            <w:vAlign w:val="center"/>
          </w:tcPr>
          <w:p w14:paraId="76569915">
            <w:pPr>
              <w:widowControl/>
              <w:spacing w:line="360" w:lineRule="auto"/>
              <w:jc w:val="center"/>
              <w:textAlignment w:val="center"/>
              <w:rPr>
                <w:rFonts w:ascii="宋体" w:hAnsi="宋体"/>
                <w:color w:val="auto"/>
                <w:szCs w:val="21"/>
                <w:highlight w:val="none"/>
              </w:rPr>
            </w:pPr>
          </w:p>
        </w:tc>
        <w:tc>
          <w:tcPr>
            <w:tcW w:w="2154" w:type="dxa"/>
          </w:tcPr>
          <w:p w14:paraId="6D1280D5">
            <w:pPr>
              <w:spacing w:line="360" w:lineRule="auto"/>
              <w:rPr>
                <w:rFonts w:ascii="宋体" w:hAnsi="宋体"/>
                <w:color w:val="auto"/>
                <w:szCs w:val="21"/>
                <w:highlight w:val="none"/>
              </w:rPr>
            </w:pPr>
          </w:p>
        </w:tc>
        <w:tc>
          <w:tcPr>
            <w:tcW w:w="1171" w:type="dxa"/>
          </w:tcPr>
          <w:p w14:paraId="0329CCA9">
            <w:pPr>
              <w:spacing w:line="360" w:lineRule="auto"/>
              <w:rPr>
                <w:rFonts w:ascii="宋体" w:hAnsi="宋体"/>
                <w:color w:val="auto"/>
                <w:szCs w:val="21"/>
                <w:highlight w:val="none"/>
              </w:rPr>
            </w:pPr>
          </w:p>
        </w:tc>
        <w:tc>
          <w:tcPr>
            <w:tcW w:w="2180" w:type="dxa"/>
          </w:tcPr>
          <w:p w14:paraId="68140AB1">
            <w:pPr>
              <w:spacing w:line="360" w:lineRule="auto"/>
              <w:rPr>
                <w:rFonts w:ascii="宋体" w:hAnsi="宋体"/>
                <w:color w:val="auto"/>
                <w:szCs w:val="21"/>
                <w:highlight w:val="none"/>
              </w:rPr>
            </w:pPr>
          </w:p>
        </w:tc>
        <w:tc>
          <w:tcPr>
            <w:tcW w:w="1532" w:type="dxa"/>
          </w:tcPr>
          <w:p w14:paraId="2D7E20CB">
            <w:pPr>
              <w:spacing w:line="360" w:lineRule="auto"/>
              <w:rPr>
                <w:rFonts w:ascii="宋体" w:hAnsi="宋体"/>
                <w:color w:val="auto"/>
                <w:szCs w:val="21"/>
                <w:highlight w:val="none"/>
              </w:rPr>
            </w:pPr>
          </w:p>
        </w:tc>
      </w:tr>
      <w:tr w14:paraId="0AD7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48C91289">
            <w:pPr>
              <w:spacing w:line="360" w:lineRule="auto"/>
              <w:rPr>
                <w:rFonts w:ascii="宋体" w:hAnsi="宋体"/>
                <w:color w:val="auto"/>
                <w:szCs w:val="21"/>
                <w:highlight w:val="none"/>
              </w:rPr>
            </w:pPr>
            <w:r>
              <w:rPr>
                <w:rFonts w:ascii="宋体" w:hAnsi="宋体"/>
                <w:color w:val="auto"/>
                <w:szCs w:val="21"/>
                <w:highlight w:val="none"/>
              </w:rPr>
              <w:t>…</w:t>
            </w:r>
          </w:p>
        </w:tc>
        <w:tc>
          <w:tcPr>
            <w:tcW w:w="1436" w:type="dxa"/>
            <w:shd w:val="clear" w:color="auto" w:fill="FFFFFF"/>
            <w:vAlign w:val="center"/>
          </w:tcPr>
          <w:p w14:paraId="57F82295">
            <w:pPr>
              <w:widowControl/>
              <w:spacing w:line="360" w:lineRule="auto"/>
              <w:jc w:val="center"/>
              <w:textAlignment w:val="center"/>
              <w:rPr>
                <w:rFonts w:ascii="宋体" w:hAnsi="宋体"/>
                <w:color w:val="auto"/>
                <w:szCs w:val="21"/>
                <w:highlight w:val="none"/>
              </w:rPr>
            </w:pPr>
          </w:p>
        </w:tc>
        <w:tc>
          <w:tcPr>
            <w:tcW w:w="2154" w:type="dxa"/>
          </w:tcPr>
          <w:p w14:paraId="13AF6F1B">
            <w:pPr>
              <w:spacing w:line="360" w:lineRule="auto"/>
              <w:rPr>
                <w:rFonts w:ascii="宋体" w:hAnsi="宋体"/>
                <w:color w:val="auto"/>
                <w:szCs w:val="21"/>
                <w:highlight w:val="none"/>
              </w:rPr>
            </w:pPr>
          </w:p>
        </w:tc>
        <w:tc>
          <w:tcPr>
            <w:tcW w:w="1171" w:type="dxa"/>
          </w:tcPr>
          <w:p w14:paraId="4375BCB6">
            <w:pPr>
              <w:spacing w:line="360" w:lineRule="auto"/>
              <w:rPr>
                <w:rFonts w:ascii="宋体" w:hAnsi="宋体"/>
                <w:color w:val="auto"/>
                <w:szCs w:val="21"/>
                <w:highlight w:val="none"/>
              </w:rPr>
            </w:pPr>
          </w:p>
        </w:tc>
        <w:tc>
          <w:tcPr>
            <w:tcW w:w="2180" w:type="dxa"/>
          </w:tcPr>
          <w:p w14:paraId="2AA08C45">
            <w:pPr>
              <w:spacing w:line="360" w:lineRule="auto"/>
              <w:rPr>
                <w:rFonts w:ascii="宋体" w:hAnsi="宋体"/>
                <w:color w:val="auto"/>
                <w:szCs w:val="21"/>
                <w:highlight w:val="none"/>
              </w:rPr>
            </w:pPr>
          </w:p>
        </w:tc>
        <w:tc>
          <w:tcPr>
            <w:tcW w:w="1532" w:type="dxa"/>
          </w:tcPr>
          <w:p w14:paraId="2CA470F9">
            <w:pPr>
              <w:spacing w:line="360" w:lineRule="auto"/>
              <w:rPr>
                <w:rFonts w:ascii="宋体" w:hAnsi="宋体"/>
                <w:color w:val="auto"/>
                <w:szCs w:val="21"/>
                <w:highlight w:val="none"/>
              </w:rPr>
            </w:pPr>
          </w:p>
        </w:tc>
      </w:tr>
    </w:tbl>
    <w:p w14:paraId="0AEC0858">
      <w:pPr>
        <w:spacing w:line="360" w:lineRule="auto"/>
        <w:jc w:val="left"/>
        <w:rPr>
          <w:rFonts w:ascii="宋体" w:hAnsi="宋体"/>
          <w:b/>
          <w:color w:val="auto"/>
          <w:sz w:val="28"/>
          <w:szCs w:val="28"/>
          <w:highlight w:val="none"/>
        </w:rPr>
      </w:pPr>
      <w:r>
        <w:rPr>
          <w:rFonts w:hint="eastAsia" w:ascii="宋体" w:hAnsi="宋体"/>
          <w:b/>
          <w:color w:val="auto"/>
          <w:sz w:val="28"/>
          <w:szCs w:val="28"/>
          <w:highlight w:val="none"/>
        </w:rPr>
        <w:t>注：</w:t>
      </w:r>
      <w:r>
        <w:rPr>
          <w:rFonts w:hint="eastAsia" w:ascii="宋体" w:hAnsi="宋体" w:cs="宋体"/>
          <w:color w:val="auto"/>
          <w:szCs w:val="21"/>
          <w:highlight w:val="none"/>
          <w:lang w:val="zh-CN"/>
        </w:rPr>
        <w:t>如果行数不够，请自行增加。</w:t>
      </w:r>
    </w:p>
    <w:p w14:paraId="63123EC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644181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3955390">
      <w:pPr>
        <w:spacing w:line="360" w:lineRule="auto"/>
        <w:rPr>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Start w:id="106" w:name="_Toc18438"/>
      <w:bookmarkStart w:id="107" w:name="_Toc15134"/>
    </w:p>
    <w:p w14:paraId="6519EEE1">
      <w:pPr>
        <w:spacing w:line="360" w:lineRule="auto"/>
        <w:rPr>
          <w:b/>
          <w:color w:val="auto"/>
          <w:sz w:val="28"/>
          <w:szCs w:val="28"/>
          <w:highlight w:val="none"/>
        </w:rPr>
      </w:pPr>
      <w:r>
        <w:rPr>
          <w:rFonts w:hint="eastAsia"/>
          <w:b/>
          <w:color w:val="auto"/>
          <w:sz w:val="28"/>
          <w:szCs w:val="28"/>
          <w:highlight w:val="none"/>
        </w:rPr>
        <w:t>附件</w:t>
      </w:r>
      <w:bookmarkEnd w:id="106"/>
      <w:bookmarkEnd w:id="107"/>
      <w:r>
        <w:rPr>
          <w:rFonts w:hint="eastAsia"/>
          <w:b/>
          <w:color w:val="auto"/>
          <w:sz w:val="28"/>
          <w:szCs w:val="28"/>
          <w:highlight w:val="none"/>
        </w:rPr>
        <w:t>4</w:t>
      </w:r>
    </w:p>
    <w:p w14:paraId="523D054F">
      <w:pPr>
        <w:spacing w:line="400" w:lineRule="exact"/>
        <w:ind w:firstLine="562" w:firstLineChars="200"/>
        <w:rPr>
          <w:b/>
          <w:color w:val="auto"/>
          <w:sz w:val="28"/>
          <w:szCs w:val="28"/>
          <w:highlight w:val="none"/>
        </w:rPr>
      </w:pPr>
    </w:p>
    <w:p w14:paraId="0EE8EF1E">
      <w:pPr>
        <w:jc w:val="center"/>
        <w:rPr>
          <w:rFonts w:ascii="宋体"/>
          <w:b/>
          <w:color w:val="auto"/>
          <w:sz w:val="30"/>
          <w:szCs w:val="30"/>
          <w:highlight w:val="none"/>
        </w:rPr>
      </w:pPr>
      <w:r>
        <w:rPr>
          <w:rFonts w:hint="eastAsia" w:ascii="宋体"/>
          <w:b/>
          <w:color w:val="auto"/>
          <w:sz w:val="30"/>
          <w:szCs w:val="30"/>
          <w:highlight w:val="none"/>
        </w:rPr>
        <w:t>服务承诺书</w:t>
      </w:r>
    </w:p>
    <w:p w14:paraId="71FC9680">
      <w:pPr>
        <w:ind w:firstLine="480" w:firstLineChars="200"/>
        <w:rPr>
          <w:rFonts w:ascii="宋体"/>
          <w:color w:val="auto"/>
          <w:sz w:val="24"/>
          <w:highlight w:val="none"/>
        </w:rPr>
      </w:pPr>
    </w:p>
    <w:p w14:paraId="1FEEF0C7">
      <w:pPr>
        <w:rPr>
          <w:rFonts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（采购人）</w:t>
      </w:r>
      <w:r>
        <w:rPr>
          <w:rFonts w:hint="eastAsia" w:ascii="宋体"/>
          <w:color w:val="auto"/>
          <w:sz w:val="24"/>
          <w:highlight w:val="none"/>
        </w:rPr>
        <w:t>：</w:t>
      </w:r>
    </w:p>
    <w:p w14:paraId="2B37755B">
      <w:pPr>
        <w:spacing w:line="800" w:lineRule="exact"/>
        <w:ind w:firstLine="480" w:firstLineChars="200"/>
        <w:rPr>
          <w:rFonts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2C54EF5D">
      <w:pPr>
        <w:spacing w:line="800" w:lineRule="exact"/>
        <w:ind w:firstLine="480" w:firstLineChars="200"/>
        <w:rPr>
          <w:rFonts w:ascii="宋体"/>
          <w:color w:val="auto"/>
          <w:sz w:val="24"/>
          <w:highlight w:val="none"/>
        </w:rPr>
      </w:pPr>
      <w:r>
        <w:rPr>
          <w:rFonts w:hint="eastAsia" w:ascii="宋体"/>
          <w:color w:val="auto"/>
          <w:sz w:val="24"/>
          <w:highlight w:val="none"/>
        </w:rPr>
        <w:t>特此声明。</w:t>
      </w:r>
    </w:p>
    <w:p w14:paraId="000BB9CC">
      <w:pPr>
        <w:spacing w:line="600" w:lineRule="exact"/>
        <w:rPr>
          <w:rFonts w:ascii="宋体"/>
          <w:color w:val="auto"/>
          <w:sz w:val="24"/>
          <w:highlight w:val="none"/>
        </w:rPr>
      </w:pPr>
      <w:r>
        <w:rPr>
          <w:rFonts w:hint="eastAsia" w:ascii="宋体"/>
          <w:color w:val="auto"/>
          <w:sz w:val="24"/>
          <w:highlight w:val="none"/>
        </w:rPr>
        <w:t> </w:t>
      </w:r>
    </w:p>
    <w:p w14:paraId="68BD01D5">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4C3737C7">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452FAD05">
      <w:pPr>
        <w:spacing w:line="480" w:lineRule="auto"/>
        <w:jc w:val="right"/>
        <w:rPr>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440C8443">
      <w:pPr>
        <w:pStyle w:val="12"/>
        <w:ind w:firstLine="400"/>
        <w:rPr>
          <w:color w:val="auto"/>
          <w:highlight w:val="none"/>
        </w:rPr>
      </w:pPr>
    </w:p>
    <w:bookmarkEnd w:id="101"/>
    <w:bookmarkEnd w:id="102"/>
    <w:p w14:paraId="33410FF8">
      <w:pPr>
        <w:wordWrap w:val="0"/>
        <w:spacing w:before="100" w:beforeAutospacing="1" w:after="100" w:afterAutospacing="1"/>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br w:type="page"/>
      </w:r>
      <w:r>
        <w:rPr>
          <w:rFonts w:hint="eastAsia" w:ascii="宋体" w:hAnsi="宋体"/>
          <w:b/>
          <w:color w:val="auto"/>
          <w:sz w:val="28"/>
          <w:szCs w:val="28"/>
          <w:highlight w:val="none"/>
        </w:rPr>
        <w:t>二、技术标格式文件</w:t>
      </w:r>
    </w:p>
    <w:p w14:paraId="3FAA9CD7">
      <w:pPr>
        <w:jc w:val="center"/>
        <w:rPr>
          <w:rFonts w:ascii="宋体"/>
          <w:b/>
          <w:color w:val="auto"/>
          <w:sz w:val="44"/>
          <w:szCs w:val="44"/>
          <w:highlight w:val="none"/>
        </w:rPr>
      </w:pPr>
      <w:bookmarkStart w:id="108" w:name="_Toc449028953"/>
      <w:bookmarkStart w:id="109" w:name="_Toc387149626"/>
    </w:p>
    <w:p w14:paraId="4E81442D">
      <w:pPr>
        <w:jc w:val="center"/>
        <w:rPr>
          <w:rFonts w:ascii="宋体"/>
          <w:b/>
          <w:color w:val="auto"/>
          <w:sz w:val="44"/>
          <w:szCs w:val="44"/>
          <w:highlight w:val="none"/>
        </w:rPr>
      </w:pPr>
      <w:r>
        <w:rPr>
          <w:rFonts w:hint="eastAsia" w:ascii="宋体"/>
          <w:b/>
          <w:color w:val="auto"/>
          <w:sz w:val="44"/>
          <w:szCs w:val="44"/>
          <w:highlight w:val="none"/>
        </w:rPr>
        <w:t>技术标</w:t>
      </w:r>
      <w:bookmarkEnd w:id="108"/>
      <w:bookmarkEnd w:id="109"/>
    </w:p>
    <w:p w14:paraId="4B080D5A">
      <w:pPr>
        <w:jc w:val="center"/>
        <w:rPr>
          <w:rFonts w:ascii="宋体"/>
          <w:color w:val="auto"/>
          <w:sz w:val="32"/>
          <w:szCs w:val="32"/>
          <w:highlight w:val="none"/>
        </w:rPr>
      </w:pPr>
      <w:r>
        <w:rPr>
          <w:rFonts w:hint="eastAsia" w:ascii="宋体"/>
          <w:color w:val="auto"/>
          <w:sz w:val="32"/>
          <w:szCs w:val="32"/>
          <w:highlight w:val="none"/>
        </w:rPr>
        <w:t>（投标文件二）</w:t>
      </w:r>
    </w:p>
    <w:p w14:paraId="3A385EEC">
      <w:pPr>
        <w:jc w:val="center"/>
        <w:rPr>
          <w:rFonts w:eastAsia="黑体"/>
          <w:color w:val="auto"/>
          <w:sz w:val="44"/>
          <w:szCs w:val="44"/>
          <w:highlight w:val="none"/>
        </w:rPr>
      </w:pPr>
    </w:p>
    <w:p w14:paraId="7E782C91">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40324ED1">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79D80B3F">
      <w:pPr>
        <w:rPr>
          <w:rFonts w:ascii="宋体"/>
          <w:color w:val="auto"/>
          <w:sz w:val="28"/>
          <w:szCs w:val="28"/>
          <w:highlight w:val="none"/>
        </w:rPr>
      </w:pPr>
    </w:p>
    <w:p w14:paraId="39BAA0C1">
      <w:pPr>
        <w:rPr>
          <w:rFonts w:ascii="宋体"/>
          <w:color w:val="auto"/>
          <w:sz w:val="28"/>
          <w:szCs w:val="28"/>
          <w:highlight w:val="none"/>
        </w:rPr>
      </w:pPr>
    </w:p>
    <w:p w14:paraId="2683D6B5">
      <w:pPr>
        <w:spacing w:line="700" w:lineRule="exact"/>
        <w:jc w:val="left"/>
        <w:rPr>
          <w:color w:val="auto"/>
          <w:sz w:val="24"/>
          <w:szCs w:val="32"/>
          <w:highlight w:val="none"/>
        </w:rPr>
      </w:pPr>
      <w:r>
        <w:rPr>
          <w:rFonts w:ascii="宋体"/>
          <w:color w:val="auto"/>
          <w:sz w:val="28"/>
          <w:szCs w:val="28"/>
          <w:highlight w:val="none"/>
        </w:rPr>
        <w:tab/>
      </w:r>
      <w:r>
        <w:rPr>
          <w:rFonts w:hint="eastAsia" w:ascii="宋体" w:hAnsi="宋体" w:cs="宋体"/>
          <w:b/>
          <w:bCs/>
          <w:color w:val="auto"/>
          <w:sz w:val="24"/>
          <w:highlight w:val="none"/>
        </w:rPr>
        <w:t>【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w:t>
      </w:r>
      <w:r>
        <w:rPr>
          <w:rFonts w:hint="eastAsia" w:ascii="宋体" w:hAnsi="宋体" w:cs="宋体"/>
          <w:b/>
          <w:bCs/>
          <w:color w:val="auto"/>
          <w:sz w:val="24"/>
          <w:highlight w:val="none"/>
          <w:lang w:val="en-US" w:eastAsia="zh-CN"/>
        </w:rPr>
        <w:t>对应</w:t>
      </w:r>
      <w:r>
        <w:rPr>
          <w:rFonts w:hint="eastAsia" w:ascii="宋体" w:hAnsi="宋体" w:cs="宋体"/>
          <w:b/>
          <w:bCs/>
          <w:color w:val="auto"/>
          <w:sz w:val="24"/>
          <w:highlight w:val="none"/>
        </w:rPr>
        <w:t>评分点作零分处理。】</w:t>
      </w:r>
    </w:p>
    <w:p w14:paraId="42134B11">
      <w:pPr>
        <w:pStyle w:val="12"/>
        <w:ind w:firstLine="560"/>
        <w:rPr>
          <w:rFonts w:ascii="宋体"/>
          <w:color w:val="auto"/>
          <w:sz w:val="28"/>
          <w:szCs w:val="28"/>
          <w:highlight w:val="none"/>
        </w:rPr>
      </w:pPr>
      <w:r>
        <w:rPr>
          <w:rFonts w:hint="eastAsia" w:ascii="宋体"/>
          <w:color w:val="auto"/>
          <w:sz w:val="28"/>
          <w:szCs w:val="28"/>
          <w:highlight w:val="none"/>
        </w:rPr>
        <w:br w:type="page"/>
      </w:r>
    </w:p>
    <w:p w14:paraId="59F78E1C">
      <w:pPr>
        <w:rPr>
          <w:rFonts w:ascii="宋体"/>
          <w:color w:val="auto"/>
          <w:sz w:val="28"/>
          <w:szCs w:val="28"/>
          <w:highlight w:val="none"/>
        </w:rPr>
      </w:pPr>
    </w:p>
    <w:p w14:paraId="2E5BD2C4">
      <w:pPr>
        <w:pStyle w:val="12"/>
        <w:ind w:firstLine="400"/>
        <w:rPr>
          <w:color w:val="auto"/>
          <w:highlight w:val="none"/>
        </w:rPr>
      </w:pPr>
    </w:p>
    <w:p w14:paraId="3F80AACD">
      <w:pPr>
        <w:spacing w:line="400" w:lineRule="exact"/>
        <w:rPr>
          <w:b/>
          <w:color w:val="auto"/>
          <w:sz w:val="36"/>
          <w:szCs w:val="36"/>
          <w:highlight w:val="none"/>
        </w:rPr>
      </w:pPr>
    </w:p>
    <w:p w14:paraId="5EFA0CEF">
      <w:pPr>
        <w:spacing w:line="400" w:lineRule="exact"/>
        <w:jc w:val="center"/>
        <w:rPr>
          <w:b/>
          <w:color w:val="auto"/>
          <w:sz w:val="36"/>
          <w:szCs w:val="36"/>
          <w:highlight w:val="none"/>
        </w:rPr>
      </w:pPr>
      <w:r>
        <w:rPr>
          <w:rFonts w:hint="eastAsia"/>
          <w:b/>
          <w:color w:val="auto"/>
          <w:sz w:val="36"/>
          <w:szCs w:val="36"/>
          <w:highlight w:val="none"/>
        </w:rPr>
        <w:t>目   录</w:t>
      </w:r>
    </w:p>
    <w:p w14:paraId="07E59F31">
      <w:pPr>
        <w:numPr>
          <w:ilvl w:val="0"/>
          <w:numId w:val="13"/>
        </w:numPr>
        <w:spacing w:line="440" w:lineRule="exact"/>
        <w:ind w:left="420" w:leftChars="200"/>
        <w:jc w:val="left"/>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实施方案；</w:t>
      </w:r>
    </w:p>
    <w:p w14:paraId="29062984">
      <w:pPr>
        <w:numPr>
          <w:ilvl w:val="0"/>
          <w:numId w:val="13"/>
        </w:numPr>
        <w:spacing w:line="440" w:lineRule="exact"/>
        <w:ind w:left="420" w:leftChars="200"/>
        <w:jc w:val="left"/>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售后服务。</w:t>
      </w:r>
    </w:p>
    <w:p w14:paraId="1C7C8DD0">
      <w:pPr>
        <w:spacing w:line="440" w:lineRule="exact"/>
        <w:ind w:left="420" w:leftChars="200"/>
        <w:jc w:val="left"/>
        <w:rPr>
          <w:rFonts w:ascii="宋体" w:hAnsi="宋体" w:cs="宋体"/>
          <w:color w:val="auto"/>
          <w:szCs w:val="21"/>
          <w:highlight w:val="none"/>
        </w:rPr>
      </w:pPr>
      <w:r>
        <w:rPr>
          <w:rFonts w:hint="eastAsia" w:ascii="宋体" w:hAnsi="宋体" w:cs="宋体"/>
          <w:bCs/>
          <w:color w:val="auto"/>
          <w:szCs w:val="21"/>
          <w:highlight w:val="none"/>
        </w:rPr>
        <w:br w:type="textWrapping"/>
      </w:r>
    </w:p>
    <w:p w14:paraId="6C1BFB9D">
      <w:pPr>
        <w:adjustRightInd w:val="0"/>
        <w:snapToGrid w:val="0"/>
        <w:spacing w:line="560" w:lineRule="exact"/>
        <w:rPr>
          <w:rFonts w:ascii="宋体" w:hAnsi="宋体"/>
          <w:b/>
          <w:bCs/>
          <w:color w:val="auto"/>
          <w:sz w:val="24"/>
          <w:highlight w:val="none"/>
        </w:rPr>
      </w:pPr>
    </w:p>
    <w:p w14:paraId="7AE3C7D0">
      <w:pPr>
        <w:adjustRightInd w:val="0"/>
        <w:snapToGrid w:val="0"/>
        <w:spacing w:line="560" w:lineRule="exact"/>
        <w:rPr>
          <w:rFonts w:ascii="宋体" w:hAnsi="宋体"/>
          <w:b/>
          <w:bCs/>
          <w:color w:val="auto"/>
          <w:sz w:val="24"/>
          <w:highlight w:val="none"/>
        </w:rPr>
      </w:pPr>
      <w:r>
        <w:rPr>
          <w:rFonts w:hint="eastAsia" w:ascii="宋体" w:hAnsi="宋体"/>
          <w:b/>
          <w:bCs/>
          <w:color w:val="auto"/>
          <w:sz w:val="24"/>
          <w:highlight w:val="none"/>
        </w:rPr>
        <w:t>注：本项目采用横向暗标评审，请投标人结合技术标评审细则和系统内容在对应模块上传技术标评审内容。</w:t>
      </w:r>
    </w:p>
    <w:p w14:paraId="042B51ED">
      <w:pPr>
        <w:pStyle w:val="17"/>
        <w:rPr>
          <w:color w:val="auto"/>
          <w:highlight w:val="none"/>
        </w:rPr>
      </w:pPr>
    </w:p>
    <w:p w14:paraId="5449DD81">
      <w:pPr>
        <w:spacing w:line="400" w:lineRule="exact"/>
        <w:ind w:firstLine="562" w:firstLineChars="200"/>
        <w:rPr>
          <w:b/>
          <w:color w:val="auto"/>
          <w:sz w:val="28"/>
          <w:szCs w:val="28"/>
          <w:highlight w:val="none"/>
        </w:rPr>
      </w:pPr>
    </w:p>
    <w:p w14:paraId="0DDB258B">
      <w:pPr>
        <w:spacing w:line="400" w:lineRule="exact"/>
        <w:ind w:firstLine="562" w:firstLineChars="200"/>
        <w:rPr>
          <w:b/>
          <w:color w:val="auto"/>
          <w:sz w:val="28"/>
          <w:szCs w:val="28"/>
          <w:highlight w:val="none"/>
        </w:rPr>
      </w:pPr>
    </w:p>
    <w:p w14:paraId="5071C882">
      <w:pPr>
        <w:spacing w:line="400" w:lineRule="exact"/>
        <w:ind w:firstLine="562" w:firstLineChars="200"/>
        <w:rPr>
          <w:b/>
          <w:color w:val="auto"/>
          <w:sz w:val="28"/>
          <w:szCs w:val="28"/>
          <w:highlight w:val="none"/>
        </w:rPr>
      </w:pPr>
    </w:p>
    <w:p w14:paraId="30FAD4E7">
      <w:pPr>
        <w:spacing w:line="480" w:lineRule="auto"/>
        <w:rPr>
          <w:b/>
          <w:color w:val="auto"/>
          <w:sz w:val="28"/>
          <w:szCs w:val="28"/>
          <w:highlight w:val="none"/>
        </w:rPr>
      </w:pPr>
      <w:r>
        <w:rPr>
          <w:rFonts w:hint="eastAsia"/>
          <w:b/>
          <w:color w:val="auto"/>
          <w:sz w:val="28"/>
          <w:szCs w:val="28"/>
          <w:highlight w:val="none"/>
        </w:rPr>
        <w:br w:type="page"/>
      </w:r>
    </w:p>
    <w:p w14:paraId="5AD0335D">
      <w:pPr>
        <w:spacing w:line="300" w:lineRule="exact"/>
        <w:rPr>
          <w:rFonts w:ascii="宋体"/>
          <w:color w:val="auto"/>
          <w:sz w:val="24"/>
          <w:highlight w:val="none"/>
          <w:u w:val="single"/>
        </w:rPr>
      </w:pPr>
    </w:p>
    <w:p w14:paraId="51C20DBF">
      <w:pPr>
        <w:spacing w:line="300" w:lineRule="exact"/>
        <w:rPr>
          <w:rFonts w:ascii="宋体"/>
          <w:color w:val="auto"/>
          <w:sz w:val="24"/>
          <w:highlight w:val="none"/>
          <w:u w:val="single"/>
        </w:rPr>
      </w:pPr>
      <w:r>
        <w:rPr>
          <w:rFonts w:hint="eastAsia" w:ascii="宋体"/>
          <w:color w:val="auto"/>
          <w:sz w:val="24"/>
          <w:highlight w:val="none"/>
          <w:u w:val="single"/>
        </w:rPr>
        <w:t xml:space="preserve">      </w:t>
      </w:r>
    </w:p>
    <w:p w14:paraId="7ABE7A1A">
      <w:pPr>
        <w:jc w:val="center"/>
        <w:rPr>
          <w:rFonts w:ascii="宋体"/>
          <w:color w:val="auto"/>
          <w:sz w:val="24"/>
          <w:highlight w:val="none"/>
        </w:rPr>
      </w:pPr>
      <w:r>
        <w:rPr>
          <w:rFonts w:hint="eastAsia" w:ascii="宋体" w:hAnsi="宋体"/>
          <w:b/>
          <w:color w:val="auto"/>
          <w:sz w:val="28"/>
          <w:szCs w:val="28"/>
          <w:highlight w:val="none"/>
        </w:rPr>
        <w:t>三、商务标格式文件</w:t>
      </w:r>
    </w:p>
    <w:p w14:paraId="7E032D0C">
      <w:pPr>
        <w:jc w:val="center"/>
        <w:rPr>
          <w:rFonts w:eastAsia="黑体"/>
          <w:color w:val="auto"/>
          <w:sz w:val="20"/>
          <w:highlight w:val="none"/>
        </w:rPr>
      </w:pPr>
    </w:p>
    <w:p w14:paraId="04B8936E">
      <w:pPr>
        <w:rPr>
          <w:rFonts w:ascii="宋体"/>
          <w:color w:val="auto"/>
          <w:sz w:val="20"/>
          <w:highlight w:val="none"/>
        </w:rPr>
      </w:pPr>
    </w:p>
    <w:p w14:paraId="4A943AA7">
      <w:pPr>
        <w:pStyle w:val="12"/>
        <w:ind w:firstLine="400"/>
        <w:rPr>
          <w:color w:val="auto"/>
          <w:highlight w:val="none"/>
        </w:rPr>
      </w:pPr>
    </w:p>
    <w:p w14:paraId="3ED4C3E5">
      <w:pPr>
        <w:jc w:val="center"/>
        <w:rPr>
          <w:rFonts w:ascii="宋体"/>
          <w:b/>
          <w:color w:val="auto"/>
          <w:sz w:val="44"/>
          <w:szCs w:val="44"/>
          <w:highlight w:val="none"/>
        </w:rPr>
      </w:pPr>
      <w:bookmarkStart w:id="110" w:name="_Toc449028954"/>
      <w:r>
        <w:rPr>
          <w:rFonts w:hint="eastAsia" w:ascii="宋体"/>
          <w:b/>
          <w:color w:val="auto"/>
          <w:sz w:val="44"/>
          <w:szCs w:val="44"/>
          <w:highlight w:val="none"/>
        </w:rPr>
        <w:t>商务标</w:t>
      </w:r>
      <w:bookmarkEnd w:id="110"/>
    </w:p>
    <w:p w14:paraId="4D35A9B6">
      <w:pPr>
        <w:jc w:val="center"/>
        <w:rPr>
          <w:rFonts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14:paraId="08726819">
      <w:pPr>
        <w:jc w:val="center"/>
        <w:rPr>
          <w:rFonts w:ascii="宋体"/>
          <w:color w:val="auto"/>
          <w:sz w:val="36"/>
          <w:szCs w:val="36"/>
          <w:highlight w:val="none"/>
        </w:rPr>
      </w:pPr>
    </w:p>
    <w:p w14:paraId="564348A0">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79DA7E99">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5F4C542A">
      <w:pPr>
        <w:rPr>
          <w:rFonts w:ascii="宋体"/>
          <w:color w:val="auto"/>
          <w:sz w:val="28"/>
          <w:szCs w:val="28"/>
          <w:highlight w:val="none"/>
        </w:rPr>
      </w:pPr>
    </w:p>
    <w:p w14:paraId="397DAB9D">
      <w:pPr>
        <w:rPr>
          <w:rFonts w:ascii="宋体"/>
          <w:color w:val="auto"/>
          <w:sz w:val="28"/>
          <w:szCs w:val="28"/>
          <w:highlight w:val="none"/>
        </w:rPr>
      </w:pPr>
    </w:p>
    <w:p w14:paraId="60847598">
      <w:pPr>
        <w:rPr>
          <w:rFonts w:ascii="宋体"/>
          <w:color w:val="auto"/>
          <w:sz w:val="28"/>
          <w:szCs w:val="28"/>
          <w:highlight w:val="none"/>
        </w:rPr>
      </w:pPr>
    </w:p>
    <w:p w14:paraId="3093E004">
      <w:pPr>
        <w:rPr>
          <w:rFonts w:ascii="宋体"/>
          <w:color w:val="auto"/>
          <w:sz w:val="28"/>
          <w:szCs w:val="28"/>
          <w:highlight w:val="none"/>
        </w:rPr>
      </w:pPr>
    </w:p>
    <w:p w14:paraId="43C54BE0">
      <w:pPr>
        <w:rPr>
          <w:rFonts w:ascii="宋体"/>
          <w:color w:val="auto"/>
          <w:sz w:val="28"/>
          <w:szCs w:val="28"/>
          <w:highlight w:val="none"/>
        </w:rPr>
      </w:pPr>
    </w:p>
    <w:p w14:paraId="75BC99D7">
      <w:pPr>
        <w:rPr>
          <w:rFonts w:ascii="宋体"/>
          <w:color w:val="auto"/>
          <w:sz w:val="28"/>
          <w:szCs w:val="28"/>
          <w:highlight w:val="none"/>
        </w:rPr>
      </w:pPr>
    </w:p>
    <w:p w14:paraId="08548BE9">
      <w:pPr>
        <w:rPr>
          <w:rFonts w:ascii="宋体"/>
          <w:color w:val="auto"/>
          <w:sz w:val="28"/>
          <w:szCs w:val="28"/>
          <w:highlight w:val="none"/>
        </w:rPr>
      </w:pPr>
    </w:p>
    <w:p w14:paraId="3146E923">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543B6D0D">
      <w:pPr>
        <w:ind w:firstLine="700" w:firstLineChars="25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361C0BBA">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1B3E006C">
      <w:pPr>
        <w:spacing w:line="720" w:lineRule="auto"/>
        <w:jc w:val="center"/>
        <w:rPr>
          <w:rFonts w:ascii="宋体"/>
          <w:b/>
          <w:color w:val="auto"/>
          <w:sz w:val="36"/>
          <w:szCs w:val="36"/>
          <w:highlight w:val="none"/>
        </w:rPr>
      </w:pPr>
    </w:p>
    <w:p w14:paraId="77122876">
      <w:pPr>
        <w:spacing w:line="400" w:lineRule="exact"/>
        <w:ind w:firstLine="562" w:firstLineChars="200"/>
        <w:rPr>
          <w:b/>
          <w:color w:val="auto"/>
          <w:sz w:val="28"/>
          <w:szCs w:val="28"/>
          <w:highlight w:val="none"/>
        </w:rPr>
      </w:pPr>
    </w:p>
    <w:p w14:paraId="0B28C4E4">
      <w:pPr>
        <w:spacing w:line="400" w:lineRule="exact"/>
        <w:jc w:val="center"/>
        <w:rPr>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2814F467">
      <w:pPr>
        <w:spacing w:line="400" w:lineRule="exact"/>
        <w:ind w:firstLine="4130" w:firstLineChars="935"/>
        <w:rPr>
          <w:b/>
          <w:color w:val="auto"/>
          <w:sz w:val="44"/>
          <w:szCs w:val="44"/>
          <w:highlight w:val="none"/>
        </w:rPr>
      </w:pPr>
    </w:p>
    <w:p w14:paraId="4B72FC54">
      <w:pPr>
        <w:spacing w:line="440" w:lineRule="exact"/>
        <w:ind w:left="420"/>
        <w:jc w:val="left"/>
        <w:rPr>
          <w:rFonts w:ascii="宋体"/>
          <w:color w:val="auto"/>
          <w:szCs w:val="21"/>
          <w:highlight w:val="none"/>
        </w:rPr>
      </w:pPr>
      <w:r>
        <w:rPr>
          <w:rFonts w:hint="eastAsia" w:ascii="宋体"/>
          <w:color w:val="auto"/>
          <w:szCs w:val="21"/>
          <w:highlight w:val="none"/>
        </w:rPr>
        <w:t>（1）开标一览表（格式见附件）；</w:t>
      </w:r>
    </w:p>
    <w:p w14:paraId="46240CB7">
      <w:pPr>
        <w:spacing w:line="440" w:lineRule="exact"/>
        <w:ind w:left="420"/>
        <w:jc w:val="left"/>
        <w:rPr>
          <w:rFonts w:ascii="宋体"/>
          <w:color w:val="auto"/>
          <w:szCs w:val="21"/>
          <w:highlight w:val="none"/>
        </w:rPr>
      </w:pPr>
      <w:r>
        <w:rPr>
          <w:rFonts w:hint="eastAsia" w:ascii="宋体"/>
          <w:color w:val="auto"/>
          <w:szCs w:val="21"/>
          <w:highlight w:val="none"/>
        </w:rPr>
        <w:t>（2）投标函（格式见附件）；</w:t>
      </w:r>
    </w:p>
    <w:p w14:paraId="346EE7AB">
      <w:pPr>
        <w:spacing w:line="440" w:lineRule="exact"/>
        <w:ind w:firstLine="424" w:firstLineChars="202"/>
        <w:jc w:val="left"/>
        <w:rPr>
          <w:rFonts w:ascii="宋体"/>
          <w:color w:val="auto"/>
          <w:szCs w:val="21"/>
          <w:highlight w:val="none"/>
        </w:rPr>
      </w:pPr>
      <w:r>
        <w:rPr>
          <w:rFonts w:hint="eastAsia" w:ascii="宋体"/>
          <w:color w:val="auto"/>
          <w:szCs w:val="21"/>
          <w:highlight w:val="none"/>
        </w:rPr>
        <w:t>（3）分项报价清单（格式见附件）；</w:t>
      </w:r>
    </w:p>
    <w:p w14:paraId="7200D49B">
      <w:pPr>
        <w:spacing w:line="440" w:lineRule="exact"/>
        <w:ind w:firstLine="424" w:firstLineChars="202"/>
        <w:jc w:val="left"/>
        <w:rPr>
          <w:rFonts w:ascii="宋体"/>
          <w:b/>
          <w:color w:val="auto"/>
          <w:sz w:val="28"/>
          <w:szCs w:val="28"/>
          <w:highlight w:val="none"/>
        </w:rPr>
      </w:pPr>
      <w:r>
        <w:rPr>
          <w:rFonts w:hint="eastAsia" w:ascii="宋体"/>
          <w:color w:val="auto"/>
          <w:szCs w:val="21"/>
          <w:highlight w:val="none"/>
        </w:rPr>
        <w:t>（4）招标文件商务评审中要求提供的其他相关资料；</w:t>
      </w:r>
    </w:p>
    <w:p w14:paraId="38CBF0F5">
      <w:pPr>
        <w:snapToGrid w:val="0"/>
        <w:spacing w:line="460" w:lineRule="exact"/>
        <w:ind w:left="2940" w:leftChars="1400" w:firstLine="964" w:firstLineChars="300"/>
        <w:rPr>
          <w:rFonts w:ascii="宋体"/>
          <w:b/>
          <w:color w:val="auto"/>
          <w:sz w:val="32"/>
          <w:szCs w:val="32"/>
          <w:highlight w:val="none"/>
        </w:rPr>
      </w:pPr>
    </w:p>
    <w:p w14:paraId="46A83A92">
      <w:pPr>
        <w:snapToGrid w:val="0"/>
        <w:spacing w:line="460" w:lineRule="exact"/>
        <w:ind w:left="2940" w:leftChars="1400" w:firstLine="964" w:firstLineChars="300"/>
        <w:rPr>
          <w:rFonts w:ascii="宋体"/>
          <w:b/>
          <w:color w:val="auto"/>
          <w:sz w:val="32"/>
          <w:szCs w:val="32"/>
          <w:highlight w:val="none"/>
        </w:rPr>
      </w:pPr>
    </w:p>
    <w:p w14:paraId="00259FBC">
      <w:pPr>
        <w:snapToGrid w:val="0"/>
        <w:spacing w:line="460" w:lineRule="exact"/>
        <w:ind w:left="2940" w:leftChars="1400" w:firstLine="964" w:firstLineChars="300"/>
        <w:rPr>
          <w:rFonts w:ascii="宋体"/>
          <w:b/>
          <w:color w:val="auto"/>
          <w:sz w:val="32"/>
          <w:szCs w:val="32"/>
          <w:highlight w:val="none"/>
        </w:rPr>
      </w:pPr>
    </w:p>
    <w:p w14:paraId="455CF073">
      <w:pPr>
        <w:snapToGrid w:val="0"/>
        <w:spacing w:line="460" w:lineRule="exact"/>
        <w:ind w:left="2940" w:leftChars="1400" w:firstLine="964" w:firstLineChars="300"/>
        <w:rPr>
          <w:rFonts w:ascii="宋体"/>
          <w:b/>
          <w:color w:val="auto"/>
          <w:sz w:val="32"/>
          <w:szCs w:val="32"/>
          <w:highlight w:val="none"/>
        </w:rPr>
      </w:pPr>
    </w:p>
    <w:p w14:paraId="602EE89E">
      <w:pPr>
        <w:snapToGrid w:val="0"/>
        <w:spacing w:line="460" w:lineRule="exact"/>
        <w:ind w:left="2940" w:leftChars="1400" w:firstLine="964" w:firstLineChars="300"/>
        <w:rPr>
          <w:rFonts w:ascii="宋体"/>
          <w:b/>
          <w:color w:val="auto"/>
          <w:sz w:val="32"/>
          <w:szCs w:val="32"/>
          <w:highlight w:val="none"/>
        </w:rPr>
      </w:pPr>
    </w:p>
    <w:p w14:paraId="34702B71">
      <w:pPr>
        <w:snapToGrid w:val="0"/>
        <w:spacing w:line="460" w:lineRule="exact"/>
        <w:ind w:left="2940" w:leftChars="1400" w:firstLine="964" w:firstLineChars="300"/>
        <w:rPr>
          <w:rFonts w:ascii="宋体"/>
          <w:b/>
          <w:color w:val="auto"/>
          <w:sz w:val="32"/>
          <w:szCs w:val="32"/>
          <w:highlight w:val="none"/>
        </w:rPr>
      </w:pPr>
    </w:p>
    <w:p w14:paraId="1544C9CE">
      <w:pPr>
        <w:spacing w:line="360" w:lineRule="exact"/>
        <w:rPr>
          <w:rFonts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498969FE">
      <w:pPr>
        <w:spacing w:line="360" w:lineRule="exact"/>
        <w:ind w:firstLine="472" w:firstLineChars="147"/>
        <w:jc w:val="center"/>
        <w:rPr>
          <w:rFonts w:ascii="宋体"/>
          <w:b/>
          <w:color w:val="auto"/>
          <w:sz w:val="32"/>
          <w:szCs w:val="32"/>
          <w:highlight w:val="none"/>
        </w:rPr>
      </w:pPr>
    </w:p>
    <w:p w14:paraId="1DF31836">
      <w:pP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开标一览表</w:t>
      </w:r>
    </w:p>
    <w:p w14:paraId="404A4363">
      <w:pPr>
        <w:spacing w:line="360" w:lineRule="exact"/>
        <w:ind w:firstLine="354" w:firstLineChars="147"/>
        <w:rPr>
          <w:rFonts w:ascii="宋体"/>
          <w:b/>
          <w:color w:val="auto"/>
          <w:sz w:val="24"/>
          <w:highlight w:val="none"/>
        </w:rPr>
      </w:pPr>
    </w:p>
    <w:p w14:paraId="1422416F">
      <w:pPr>
        <w:spacing w:line="360" w:lineRule="exact"/>
        <w:ind w:firstLine="240" w:firstLineChars="100"/>
        <w:rPr>
          <w:rFonts w:ascii="宋体"/>
          <w:color w:val="auto"/>
          <w:sz w:val="24"/>
          <w:highlight w:val="none"/>
        </w:rPr>
      </w:pPr>
      <w:r>
        <w:rPr>
          <w:rFonts w:hint="eastAsia" w:ascii="宋体"/>
          <w:color w:val="auto"/>
          <w:sz w:val="24"/>
          <w:highlight w:val="none"/>
        </w:rPr>
        <w:t>（注：开标一览表必须编入投标文件，唱标时，以投标文件中的开标一览表进行唱标）</w:t>
      </w: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3BE55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050" w:hRule="exact"/>
        </w:trPr>
        <w:tc>
          <w:tcPr>
            <w:tcW w:w="1803" w:type="dxa"/>
            <w:tcBorders>
              <w:top w:val="single" w:color="auto" w:sz="12" w:space="0"/>
              <w:bottom w:val="single" w:color="auto" w:sz="12" w:space="0"/>
              <w:right w:val="single" w:color="auto" w:sz="12" w:space="0"/>
            </w:tcBorders>
            <w:vAlign w:val="center"/>
          </w:tcPr>
          <w:p w14:paraId="23A98576">
            <w:pPr>
              <w:spacing w:line="700" w:lineRule="exact"/>
              <w:jc w:val="center"/>
              <w:rPr>
                <w:rFonts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vAlign w:val="center"/>
          </w:tcPr>
          <w:p w14:paraId="0893B134">
            <w:pPr>
              <w:spacing w:line="700" w:lineRule="exact"/>
              <w:jc w:val="left"/>
              <w:rPr>
                <w:color w:val="auto"/>
                <w:sz w:val="24"/>
                <w:highlight w:val="none"/>
              </w:rPr>
            </w:pPr>
            <w:r>
              <w:rPr>
                <w:rFonts w:hint="eastAsia"/>
                <w:color w:val="auto"/>
                <w:sz w:val="24"/>
                <w:highlight w:val="none"/>
              </w:rPr>
              <w:t xml:space="preserve">         </w:t>
            </w:r>
          </w:p>
        </w:tc>
      </w:tr>
      <w:tr w14:paraId="2122F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14:paraId="2AA047CB">
            <w:pPr>
              <w:spacing w:line="700" w:lineRule="exact"/>
              <w:jc w:val="center"/>
              <w:rPr>
                <w:rFonts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vAlign w:val="center"/>
          </w:tcPr>
          <w:p w14:paraId="2F278316">
            <w:pPr>
              <w:spacing w:line="700" w:lineRule="exact"/>
              <w:rPr>
                <w:rFonts w:ascii="宋体"/>
                <w:color w:val="auto"/>
                <w:sz w:val="24"/>
                <w:highlight w:val="none"/>
              </w:rPr>
            </w:pPr>
          </w:p>
        </w:tc>
      </w:tr>
      <w:tr w14:paraId="1E7CE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14:paraId="7731841D">
            <w:pPr>
              <w:spacing w:line="700" w:lineRule="exact"/>
              <w:ind w:firstLine="120" w:firstLineChars="50"/>
              <w:rPr>
                <w:rFonts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tcPr>
          <w:p w14:paraId="2C963B21">
            <w:pPr>
              <w:pStyle w:val="20"/>
              <w:spacing w:line="700" w:lineRule="exact"/>
              <w:ind w:left="86" w:leftChars="41"/>
              <w:rPr>
                <w:rFonts w:ascii="宋体" w:eastAsia="宋体"/>
                <w:color w:val="auto"/>
                <w:sz w:val="24"/>
                <w:szCs w:val="24"/>
                <w:highlight w:val="none"/>
              </w:rPr>
            </w:pPr>
          </w:p>
        </w:tc>
      </w:tr>
      <w:tr w14:paraId="76F9D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6" w:hRule="exact"/>
        </w:trPr>
        <w:tc>
          <w:tcPr>
            <w:tcW w:w="1803" w:type="dxa"/>
            <w:tcBorders>
              <w:right w:val="single" w:color="auto" w:sz="12" w:space="0"/>
            </w:tcBorders>
            <w:vAlign w:val="center"/>
          </w:tcPr>
          <w:p w14:paraId="44A4D232">
            <w:pPr>
              <w:spacing w:line="360" w:lineRule="auto"/>
              <w:jc w:val="center"/>
              <w:rPr>
                <w:rFonts w:ascii="宋体"/>
                <w:color w:val="auto"/>
                <w:sz w:val="24"/>
                <w:highlight w:val="none"/>
              </w:rPr>
            </w:pPr>
            <w:r>
              <w:rPr>
                <w:rFonts w:hint="eastAsia" w:ascii="宋体" w:hAnsi="宋体"/>
                <w:color w:val="auto"/>
                <w:sz w:val="24"/>
                <w:highlight w:val="none"/>
              </w:rPr>
              <w:t>投标报价\合同履行期限</w:t>
            </w:r>
          </w:p>
        </w:tc>
        <w:tc>
          <w:tcPr>
            <w:tcW w:w="6952" w:type="dxa"/>
            <w:tcBorders>
              <w:left w:val="single" w:color="auto" w:sz="12" w:space="0"/>
            </w:tcBorders>
            <w:vAlign w:val="center"/>
          </w:tcPr>
          <w:p w14:paraId="47401A4A">
            <w:pPr>
              <w:spacing w:line="360" w:lineRule="auto"/>
              <w:jc w:val="left"/>
              <w:rPr>
                <w:rFonts w:ascii="宋体" w:hAnsi="宋体"/>
                <w:color w:val="auto"/>
                <w:sz w:val="24"/>
                <w:highlight w:val="none"/>
              </w:rPr>
            </w:pPr>
            <w:r>
              <w:rPr>
                <w:rFonts w:hint="eastAsia" w:ascii="宋体" w:hAnsi="宋体"/>
                <w:color w:val="auto"/>
                <w:sz w:val="24"/>
                <w:highlight w:val="none"/>
              </w:rPr>
              <w:t>投标报价 ：</w:t>
            </w:r>
          </w:p>
          <w:p w14:paraId="4D7B778B">
            <w:pPr>
              <w:spacing w:line="360" w:lineRule="auto"/>
              <w:jc w:val="left"/>
              <w:rPr>
                <w:rFonts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  </w:t>
            </w:r>
          </w:p>
          <w:p w14:paraId="526E0FD7">
            <w:pPr>
              <w:spacing w:line="360" w:lineRule="auto"/>
              <w:jc w:val="left"/>
              <w:rPr>
                <w:rFonts w:ascii="宋体" w:hAnsi="宋体"/>
                <w:color w:val="auto"/>
                <w:sz w:val="24"/>
                <w:highlight w:val="none"/>
              </w:rPr>
            </w:pPr>
            <w:r>
              <w:rPr>
                <w:rFonts w:hint="eastAsia" w:ascii="宋体" w:hAnsi="宋体"/>
                <w:color w:val="auto"/>
                <w:sz w:val="24"/>
                <w:highlight w:val="none"/>
              </w:rPr>
              <w:t>(小写) ：</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rPr>
              <w:br w:type="textWrapping"/>
            </w:r>
            <w:r>
              <w:rPr>
                <w:rFonts w:hint="eastAsia" w:ascii="宋体" w:hAnsi="宋体"/>
                <w:color w:val="auto"/>
                <w:sz w:val="24"/>
                <w:highlight w:val="none"/>
              </w:rPr>
              <w:t xml:space="preserve">          </w:t>
            </w:r>
          </w:p>
          <w:p w14:paraId="1C0F7056">
            <w:pPr>
              <w:spacing w:line="360" w:lineRule="auto"/>
              <w:rPr>
                <w:color w:val="auto"/>
                <w:sz w:val="24"/>
                <w:highlight w:val="none"/>
              </w:rPr>
            </w:pPr>
            <w:r>
              <w:rPr>
                <w:rFonts w:hint="eastAsia"/>
                <w:color w:val="auto"/>
                <w:sz w:val="24"/>
                <w:highlight w:val="none"/>
              </w:rPr>
              <w:t xml:space="preserve">合同履行期限：响应招标文件要求。 </w:t>
            </w:r>
          </w:p>
        </w:tc>
      </w:tr>
    </w:tbl>
    <w:p w14:paraId="6BC47FF1">
      <w:pPr>
        <w:snapToGrid w:val="0"/>
        <w:spacing w:line="460" w:lineRule="exact"/>
        <w:ind w:left="2940" w:leftChars="1400" w:firstLine="723" w:firstLineChars="300"/>
        <w:rPr>
          <w:rFonts w:ascii="宋体"/>
          <w:b/>
          <w:color w:val="auto"/>
          <w:sz w:val="24"/>
          <w:highlight w:val="none"/>
        </w:rPr>
      </w:pPr>
    </w:p>
    <w:p w14:paraId="207AF1F2">
      <w:pPr>
        <w:rPr>
          <w:rFonts w:ascii="宋体"/>
          <w:color w:val="auto"/>
          <w:sz w:val="24"/>
          <w:highlight w:val="none"/>
        </w:rPr>
      </w:pPr>
      <w:r>
        <w:rPr>
          <w:rFonts w:hint="eastAsia" w:ascii="宋体"/>
          <w:color w:val="auto"/>
          <w:sz w:val="24"/>
          <w:highlight w:val="none"/>
        </w:rPr>
        <w:t>法定代表人（签章）：         投标人（盖单位章）：</w:t>
      </w:r>
    </w:p>
    <w:p w14:paraId="24B8BF76">
      <w:pPr>
        <w:snapToGrid w:val="0"/>
        <w:spacing w:before="312" w:beforeLines="100" w:after="312" w:afterLines="100" w:line="360" w:lineRule="auto"/>
        <w:jc w:val="center"/>
        <w:rPr>
          <w:rFonts w:cs="Arial"/>
          <w:b/>
          <w:bCs/>
          <w:color w:val="auto"/>
          <w:sz w:val="30"/>
          <w:szCs w:val="30"/>
          <w:highlight w:val="none"/>
        </w:rPr>
        <w:sectPr>
          <w:pgSz w:w="11906" w:h="16838"/>
          <w:pgMar w:top="1440" w:right="1800" w:bottom="1440" w:left="1800" w:header="851" w:footer="992" w:gutter="0"/>
          <w:pgNumType w:fmt="numberInDash"/>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226ABE70">
      <w:pPr>
        <w:spacing w:line="360" w:lineRule="exact"/>
        <w:ind w:firstLine="443" w:firstLineChars="147"/>
        <w:rPr>
          <w:rFonts w:ascii="宋体" w:hAnsi="宋体"/>
          <w:b/>
          <w:color w:val="auto"/>
          <w:sz w:val="30"/>
          <w:szCs w:val="30"/>
          <w:highlight w:val="none"/>
        </w:rPr>
      </w:pPr>
      <w:r>
        <w:rPr>
          <w:rFonts w:hint="eastAsia" w:ascii="宋体" w:hAnsi="宋体"/>
          <w:b/>
          <w:color w:val="auto"/>
          <w:sz w:val="30"/>
          <w:szCs w:val="30"/>
          <w:highlight w:val="none"/>
        </w:rPr>
        <w:t>附件2</w:t>
      </w:r>
    </w:p>
    <w:p w14:paraId="45C1C82A">
      <w:pP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投  标  函</w:t>
      </w:r>
    </w:p>
    <w:p w14:paraId="1EE89A1C">
      <w:pPr>
        <w:spacing w:line="440" w:lineRule="exact"/>
        <w:rPr>
          <w:rFonts w:ascii="宋体"/>
          <w:color w:val="auto"/>
          <w:sz w:val="24"/>
          <w:highlight w:val="none"/>
        </w:rPr>
      </w:pPr>
    </w:p>
    <w:p w14:paraId="0F292D05">
      <w:pPr>
        <w:spacing w:line="500" w:lineRule="exact"/>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 xml:space="preserve"> </w:t>
      </w:r>
    </w:p>
    <w:p w14:paraId="55BD4CA0">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1A81B76D">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2、我方愿意按照招标文件规定的各项要求，向招标人提供“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（项目编号）”项目的货物与服务，投标报价为</w:t>
      </w:r>
      <w:r>
        <w:rPr>
          <w:rFonts w:hint="eastAsia" w:ascii="宋体" w:hAnsi="宋体" w:cs="宋体"/>
          <w:color w:val="auto"/>
          <w:sz w:val="24"/>
          <w:highlight w:val="none"/>
          <w:u w:val="single"/>
        </w:rPr>
        <w:t>（大写）          （小写）       元</w:t>
      </w:r>
      <w:r>
        <w:rPr>
          <w:rFonts w:hint="eastAsia" w:ascii="宋体" w:hAnsi="宋体" w:cs="宋体"/>
          <w:color w:val="auto"/>
          <w:sz w:val="24"/>
          <w:highlight w:val="none"/>
        </w:rPr>
        <w:t>。</w:t>
      </w:r>
    </w:p>
    <w:p w14:paraId="6AF88B80">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3、一旦我方成为合同签字人，我方将严格履行合同规定的责任和义务。</w:t>
      </w:r>
    </w:p>
    <w:p w14:paraId="05356CF2">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4、若我方中标，愿意为本项目提交</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份纸质投标文件。</w:t>
      </w:r>
    </w:p>
    <w:p w14:paraId="5910F46B">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5、我方愿意提供可能另外要求的、与采购投标有关的文件资料，并保证我方已提供和将要提供的文件是真实的、准确的。</w:t>
      </w:r>
    </w:p>
    <w:p w14:paraId="703B8294">
      <w:pPr>
        <w:pStyle w:val="12"/>
        <w:spacing w:after="0" w:line="500" w:lineRule="exact"/>
        <w:ind w:left="0" w:leftChars="0" w:firstLine="480"/>
        <w:jc w:val="left"/>
        <w:rPr>
          <w:rFonts w:ascii="宋体" w:hAnsi="宋体" w:cs="宋体"/>
          <w:color w:val="auto"/>
          <w:sz w:val="24"/>
          <w:highlight w:val="none"/>
        </w:rPr>
      </w:pPr>
      <w:r>
        <w:rPr>
          <w:rFonts w:hint="eastAsia" w:ascii="宋体" w:hAnsi="宋体" w:cs="宋体"/>
          <w:color w:val="auto"/>
          <w:sz w:val="24"/>
          <w:highlight w:val="none"/>
        </w:rPr>
        <w:t>6、投标有效期为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07D28423">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7、我单位提供如下通讯地址：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5CA27C69">
      <w:pPr>
        <w:spacing w:line="500" w:lineRule="exact"/>
        <w:jc w:val="left"/>
        <w:rPr>
          <w:rFonts w:ascii="宋体" w:hAnsi="宋体" w:cs="宋体"/>
          <w:color w:val="auto"/>
          <w:sz w:val="24"/>
          <w:highlight w:val="none"/>
        </w:rPr>
      </w:pPr>
      <w:r>
        <w:rPr>
          <w:rFonts w:hint="eastAsia" w:ascii="宋体" w:hAnsi="宋体" w:cs="宋体"/>
          <w:color w:val="auto"/>
          <w:sz w:val="24"/>
          <w:highlight w:val="none"/>
        </w:rPr>
        <w:t> </w:t>
      </w:r>
    </w:p>
    <w:p w14:paraId="479D38F0">
      <w:pP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276079F9">
      <w:pP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67D6C8D7">
      <w:pP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2345A60F">
      <w:pP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p>
    <w:p w14:paraId="6C1BBB1A">
      <w:pPr>
        <w:spacing w:line="500" w:lineRule="exact"/>
        <w:ind w:firstLine="3240" w:firstLineChars="1350"/>
        <w:jc w:val="left"/>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0F4754D3">
      <w:pPr>
        <w:spacing w:line="500" w:lineRule="exact"/>
        <w:ind w:right="-178" w:rightChars="-85" w:firstLine="3240" w:firstLineChars="1350"/>
        <w:jc w:val="left"/>
        <w:rPr>
          <w:rFonts w:ascii="宋体"/>
          <w:b/>
          <w:color w:val="auto"/>
          <w:sz w:val="28"/>
          <w:szCs w:val="28"/>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color w:val="auto"/>
          <w:sz w:val="24"/>
          <w:highlight w:val="none"/>
          <w:u w:val="single"/>
        </w:rPr>
        <w:t xml:space="preserve">               </w:t>
      </w:r>
    </w:p>
    <w:p w14:paraId="4B04A82A">
      <w:pPr>
        <w:rPr>
          <w:rFonts w:ascii="宋体" w:hAnsi="宋体"/>
          <w:b/>
          <w:color w:val="auto"/>
          <w:sz w:val="30"/>
          <w:szCs w:val="30"/>
          <w:highlight w:val="none"/>
        </w:rPr>
      </w:pPr>
    </w:p>
    <w:p w14:paraId="01DFF359">
      <w:pPr>
        <w:rPr>
          <w:rFonts w:ascii="宋体" w:hAnsi="宋体"/>
          <w:b/>
          <w:color w:val="auto"/>
          <w:sz w:val="30"/>
          <w:szCs w:val="30"/>
          <w:highlight w:val="none"/>
        </w:rPr>
      </w:pPr>
    </w:p>
    <w:p w14:paraId="1611188E">
      <w:pPr>
        <w:rPr>
          <w:rFonts w:ascii="宋体" w:hAnsi="宋体"/>
          <w:b/>
          <w:color w:val="auto"/>
          <w:sz w:val="30"/>
          <w:szCs w:val="30"/>
          <w:highlight w:val="none"/>
        </w:rPr>
      </w:pPr>
    </w:p>
    <w:p w14:paraId="1C43C0C8">
      <w:pPr>
        <w:rPr>
          <w:color w:val="auto"/>
          <w:sz w:val="24"/>
          <w:highlight w:val="none"/>
        </w:rPr>
      </w:pPr>
      <w:r>
        <w:rPr>
          <w:rFonts w:hint="eastAsia" w:ascii="宋体" w:hAnsi="宋体"/>
          <w:b/>
          <w:color w:val="auto"/>
          <w:sz w:val="30"/>
          <w:szCs w:val="30"/>
          <w:highlight w:val="none"/>
        </w:rPr>
        <w:t>附件3</w:t>
      </w:r>
    </w:p>
    <w:p w14:paraId="1626EE96">
      <w:pPr>
        <w:spacing w:line="360" w:lineRule="auto"/>
        <w:ind w:left="720"/>
        <w:jc w:val="center"/>
        <w:rPr>
          <w:rFonts w:ascii="宋体" w:hAnsi="宋体"/>
          <w:b/>
          <w:color w:val="auto"/>
          <w:sz w:val="36"/>
          <w:szCs w:val="36"/>
          <w:highlight w:val="none"/>
        </w:rPr>
      </w:pPr>
      <w:r>
        <w:rPr>
          <w:rFonts w:hint="eastAsia"/>
          <w:b/>
          <w:color w:val="auto"/>
          <w:sz w:val="28"/>
          <w:szCs w:val="28"/>
          <w:highlight w:val="none"/>
        </w:rPr>
        <w:t>分项报价清单</w:t>
      </w:r>
    </w:p>
    <w:tbl>
      <w:tblPr>
        <w:tblStyle w:val="35"/>
        <w:tblW w:w="0" w:type="auto"/>
        <w:tblInd w:w="-25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3"/>
        <w:gridCol w:w="2038"/>
        <w:gridCol w:w="1242"/>
        <w:gridCol w:w="784"/>
        <w:gridCol w:w="782"/>
        <w:gridCol w:w="898"/>
        <w:gridCol w:w="972"/>
        <w:gridCol w:w="1494"/>
      </w:tblGrid>
      <w:tr w14:paraId="28CA0B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trPr>
        <w:tc>
          <w:tcPr>
            <w:tcW w:w="643" w:type="dxa"/>
            <w:noWrap w:val="0"/>
            <w:vAlign w:val="center"/>
          </w:tcPr>
          <w:p w14:paraId="18623F07">
            <w:pPr>
              <w:spacing w:line="30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2038" w:type="dxa"/>
            <w:tcBorders>
              <w:right w:val="single" w:color="auto" w:sz="4" w:space="0"/>
            </w:tcBorders>
            <w:noWrap w:val="0"/>
            <w:vAlign w:val="center"/>
          </w:tcPr>
          <w:p w14:paraId="68F8F00C">
            <w:pPr>
              <w:spacing w:line="300" w:lineRule="exact"/>
              <w:jc w:val="center"/>
              <w:rPr>
                <w:rFonts w:hint="eastAsia" w:ascii="宋体" w:hAnsi="宋体"/>
                <w:color w:val="auto"/>
                <w:szCs w:val="21"/>
                <w:highlight w:val="none"/>
              </w:rPr>
            </w:pPr>
            <w:r>
              <w:rPr>
                <w:rFonts w:hint="eastAsia" w:ascii="宋体" w:hAnsi="宋体"/>
                <w:color w:val="auto"/>
                <w:szCs w:val="21"/>
                <w:highlight w:val="none"/>
              </w:rPr>
              <w:t>产品名称</w:t>
            </w:r>
          </w:p>
        </w:tc>
        <w:tc>
          <w:tcPr>
            <w:tcW w:w="1242" w:type="dxa"/>
            <w:tcBorders>
              <w:left w:val="single" w:color="auto" w:sz="4" w:space="0"/>
            </w:tcBorders>
            <w:noWrap w:val="0"/>
            <w:vAlign w:val="center"/>
          </w:tcPr>
          <w:p w14:paraId="5F537E1B">
            <w:pPr>
              <w:spacing w:line="300" w:lineRule="exact"/>
              <w:jc w:val="center"/>
              <w:rPr>
                <w:rFonts w:hint="eastAsia" w:ascii="宋体" w:hAnsi="宋体"/>
                <w:color w:val="auto"/>
                <w:szCs w:val="21"/>
                <w:highlight w:val="none"/>
              </w:rPr>
            </w:pPr>
            <w:r>
              <w:rPr>
                <w:rFonts w:hint="eastAsia" w:ascii="宋体" w:hAnsi="宋体"/>
                <w:color w:val="auto"/>
                <w:szCs w:val="21"/>
                <w:highlight w:val="none"/>
              </w:rPr>
              <w:t>规格型号</w:t>
            </w:r>
          </w:p>
          <w:p w14:paraId="7040D1B0">
            <w:pPr>
              <w:spacing w:line="300" w:lineRule="exact"/>
              <w:jc w:val="center"/>
              <w:rPr>
                <w:rFonts w:hint="eastAsia" w:ascii="宋体" w:hAnsi="宋体"/>
                <w:color w:val="auto"/>
                <w:szCs w:val="21"/>
                <w:highlight w:val="none"/>
              </w:rPr>
            </w:pPr>
            <w:r>
              <w:rPr>
                <w:rFonts w:hint="eastAsia" w:ascii="宋体" w:hAnsi="宋体"/>
                <w:color w:val="auto"/>
                <w:szCs w:val="21"/>
                <w:highlight w:val="none"/>
              </w:rPr>
              <w:t>品牌</w:t>
            </w:r>
          </w:p>
        </w:tc>
        <w:tc>
          <w:tcPr>
            <w:tcW w:w="784" w:type="dxa"/>
            <w:noWrap w:val="0"/>
            <w:vAlign w:val="center"/>
          </w:tcPr>
          <w:p w14:paraId="4D66E90E">
            <w:pPr>
              <w:spacing w:line="300" w:lineRule="exact"/>
              <w:jc w:val="center"/>
              <w:rPr>
                <w:rFonts w:hint="eastAsia" w:ascii="宋体" w:hAnsi="宋体"/>
                <w:color w:val="auto"/>
                <w:szCs w:val="21"/>
                <w:highlight w:val="none"/>
              </w:rPr>
            </w:pPr>
            <w:r>
              <w:rPr>
                <w:rFonts w:hint="eastAsia" w:ascii="宋体" w:hAnsi="宋体"/>
                <w:color w:val="auto"/>
                <w:szCs w:val="21"/>
                <w:highlight w:val="none"/>
              </w:rPr>
              <w:t>单位</w:t>
            </w:r>
          </w:p>
        </w:tc>
        <w:tc>
          <w:tcPr>
            <w:tcW w:w="782" w:type="dxa"/>
            <w:noWrap w:val="0"/>
            <w:vAlign w:val="center"/>
          </w:tcPr>
          <w:p w14:paraId="128FF22B">
            <w:pPr>
              <w:spacing w:line="300" w:lineRule="exact"/>
              <w:jc w:val="center"/>
              <w:rPr>
                <w:rFonts w:hint="eastAsia" w:ascii="宋体" w:hAnsi="宋体"/>
                <w:color w:val="auto"/>
                <w:szCs w:val="21"/>
                <w:highlight w:val="none"/>
              </w:rPr>
            </w:pPr>
            <w:r>
              <w:rPr>
                <w:rFonts w:hint="eastAsia" w:ascii="宋体" w:hAnsi="宋体"/>
                <w:color w:val="auto"/>
                <w:szCs w:val="21"/>
                <w:highlight w:val="none"/>
              </w:rPr>
              <w:t>数量</w:t>
            </w:r>
          </w:p>
        </w:tc>
        <w:tc>
          <w:tcPr>
            <w:tcW w:w="898" w:type="dxa"/>
            <w:tcBorders>
              <w:left w:val="single" w:color="auto" w:sz="4" w:space="0"/>
            </w:tcBorders>
            <w:noWrap w:val="0"/>
            <w:vAlign w:val="center"/>
          </w:tcPr>
          <w:p w14:paraId="1B39BAF8">
            <w:pPr>
              <w:spacing w:line="300" w:lineRule="exact"/>
              <w:jc w:val="center"/>
              <w:rPr>
                <w:rFonts w:hint="eastAsia" w:ascii="宋体" w:hAnsi="宋体"/>
                <w:color w:val="auto"/>
                <w:szCs w:val="21"/>
                <w:highlight w:val="none"/>
              </w:rPr>
            </w:pPr>
            <w:r>
              <w:rPr>
                <w:rFonts w:hint="eastAsia" w:ascii="宋体" w:hAnsi="宋体"/>
                <w:color w:val="auto"/>
                <w:szCs w:val="21"/>
                <w:highlight w:val="none"/>
              </w:rPr>
              <w:t>单 价（元）</w:t>
            </w:r>
          </w:p>
        </w:tc>
        <w:tc>
          <w:tcPr>
            <w:tcW w:w="972" w:type="dxa"/>
            <w:noWrap w:val="0"/>
            <w:vAlign w:val="center"/>
          </w:tcPr>
          <w:p w14:paraId="14C5AE6D">
            <w:pPr>
              <w:spacing w:line="300" w:lineRule="exact"/>
              <w:jc w:val="center"/>
              <w:rPr>
                <w:rFonts w:hint="eastAsia" w:ascii="宋体" w:hAnsi="宋体"/>
                <w:color w:val="auto"/>
                <w:szCs w:val="21"/>
                <w:highlight w:val="none"/>
              </w:rPr>
            </w:pPr>
            <w:r>
              <w:rPr>
                <w:rFonts w:hint="eastAsia" w:ascii="宋体" w:hAnsi="宋体"/>
                <w:color w:val="auto"/>
                <w:szCs w:val="21"/>
                <w:highlight w:val="none"/>
              </w:rPr>
              <w:t>合 价（元）</w:t>
            </w:r>
          </w:p>
        </w:tc>
        <w:tc>
          <w:tcPr>
            <w:tcW w:w="1494" w:type="dxa"/>
            <w:noWrap w:val="0"/>
            <w:vAlign w:val="center"/>
          </w:tcPr>
          <w:p w14:paraId="58B1225F">
            <w:pPr>
              <w:spacing w:line="300" w:lineRule="exact"/>
              <w:ind w:left="-80" w:leftChars="-38" w:right="-94" w:rightChars="-45"/>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备注</w:t>
            </w:r>
          </w:p>
        </w:tc>
      </w:tr>
      <w:tr w14:paraId="2B14BD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44982F42">
            <w:pPr>
              <w:textAlignment w:val="baseline"/>
              <w:rPr>
                <w:rFonts w:hint="eastAsia" w:ascii="宋体" w:hAnsi="宋体"/>
                <w:color w:val="auto"/>
                <w:szCs w:val="21"/>
                <w:highlight w:val="none"/>
              </w:rPr>
            </w:pPr>
            <w:r>
              <w:rPr>
                <w:rFonts w:hint="eastAsia" w:ascii="宋体" w:hAnsi="宋体"/>
                <w:color w:val="auto"/>
                <w:szCs w:val="21"/>
                <w:highlight w:val="none"/>
              </w:rPr>
              <w:t>1</w:t>
            </w:r>
          </w:p>
        </w:tc>
        <w:tc>
          <w:tcPr>
            <w:tcW w:w="2038" w:type="dxa"/>
            <w:tcBorders>
              <w:right w:val="single" w:color="auto" w:sz="4" w:space="0"/>
            </w:tcBorders>
            <w:shd w:val="clear" w:color="auto" w:fill="FFFFFF"/>
            <w:noWrap w:val="0"/>
            <w:vAlign w:val="center"/>
          </w:tcPr>
          <w:p w14:paraId="4D36376A">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0254B0BB">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5C193DE1">
            <w:pPr>
              <w:widowControl/>
              <w:spacing w:line="360" w:lineRule="auto"/>
              <w:jc w:val="center"/>
              <w:textAlignment w:val="center"/>
              <w:rPr>
                <w:rFonts w:hint="eastAsia" w:ascii="宋体" w:hAnsi="宋体"/>
                <w:color w:val="auto"/>
                <w:sz w:val="24"/>
                <w:highlight w:val="none"/>
              </w:rPr>
            </w:pPr>
          </w:p>
        </w:tc>
        <w:tc>
          <w:tcPr>
            <w:tcW w:w="782" w:type="dxa"/>
            <w:shd w:val="clear" w:color="auto" w:fill="FFFFFF"/>
            <w:noWrap w:val="0"/>
            <w:vAlign w:val="center"/>
          </w:tcPr>
          <w:p w14:paraId="2CC96BAF">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7613E827">
            <w:pPr>
              <w:spacing w:line="300" w:lineRule="exact"/>
              <w:rPr>
                <w:rFonts w:hint="eastAsia" w:ascii="宋体" w:hAnsi="宋体"/>
                <w:color w:val="auto"/>
                <w:sz w:val="24"/>
                <w:highlight w:val="none"/>
              </w:rPr>
            </w:pPr>
          </w:p>
        </w:tc>
        <w:tc>
          <w:tcPr>
            <w:tcW w:w="972" w:type="dxa"/>
            <w:noWrap w:val="0"/>
            <w:vAlign w:val="center"/>
          </w:tcPr>
          <w:p w14:paraId="09E7DC17">
            <w:pPr>
              <w:spacing w:line="300" w:lineRule="exact"/>
              <w:rPr>
                <w:rFonts w:hint="eastAsia" w:ascii="宋体" w:hAnsi="宋体"/>
                <w:color w:val="auto"/>
                <w:sz w:val="24"/>
                <w:highlight w:val="none"/>
              </w:rPr>
            </w:pPr>
          </w:p>
        </w:tc>
        <w:tc>
          <w:tcPr>
            <w:tcW w:w="1494" w:type="dxa"/>
            <w:noWrap w:val="0"/>
            <w:vAlign w:val="top"/>
          </w:tcPr>
          <w:p w14:paraId="5436BC65">
            <w:pPr>
              <w:spacing w:line="300" w:lineRule="exact"/>
              <w:rPr>
                <w:rFonts w:hint="eastAsia" w:ascii="宋体" w:hAnsi="宋体"/>
                <w:color w:val="auto"/>
                <w:sz w:val="24"/>
                <w:highlight w:val="none"/>
              </w:rPr>
            </w:pPr>
          </w:p>
        </w:tc>
      </w:tr>
      <w:tr w14:paraId="34FF36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7EB7DF5E">
            <w:pPr>
              <w:textAlignment w:val="baseline"/>
              <w:rPr>
                <w:rFonts w:hint="eastAsia" w:ascii="宋体" w:hAnsi="宋体"/>
                <w:color w:val="auto"/>
                <w:szCs w:val="21"/>
                <w:highlight w:val="none"/>
              </w:rPr>
            </w:pPr>
            <w:r>
              <w:rPr>
                <w:rFonts w:hint="eastAsia" w:ascii="宋体" w:hAnsi="宋体"/>
                <w:color w:val="auto"/>
                <w:szCs w:val="21"/>
                <w:highlight w:val="none"/>
              </w:rPr>
              <w:t>2</w:t>
            </w:r>
          </w:p>
        </w:tc>
        <w:tc>
          <w:tcPr>
            <w:tcW w:w="2038" w:type="dxa"/>
            <w:tcBorders>
              <w:right w:val="single" w:color="auto" w:sz="4" w:space="0"/>
            </w:tcBorders>
            <w:shd w:val="clear" w:color="auto" w:fill="FFFFFF"/>
            <w:noWrap w:val="0"/>
            <w:vAlign w:val="center"/>
          </w:tcPr>
          <w:p w14:paraId="7585F4EF">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22A4A163">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25C98F10">
            <w:pPr>
              <w:widowControl/>
              <w:spacing w:line="360" w:lineRule="auto"/>
              <w:jc w:val="center"/>
              <w:textAlignment w:val="center"/>
              <w:rPr>
                <w:rFonts w:hint="eastAsia" w:ascii="宋体" w:hAnsi="宋体"/>
                <w:color w:val="auto"/>
                <w:sz w:val="24"/>
                <w:highlight w:val="none"/>
              </w:rPr>
            </w:pPr>
          </w:p>
        </w:tc>
        <w:tc>
          <w:tcPr>
            <w:tcW w:w="782" w:type="dxa"/>
            <w:shd w:val="clear" w:color="auto" w:fill="FFFFFF"/>
            <w:noWrap w:val="0"/>
            <w:vAlign w:val="center"/>
          </w:tcPr>
          <w:p w14:paraId="1D8ACB63">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1CA9EC45">
            <w:pPr>
              <w:spacing w:line="300" w:lineRule="exact"/>
              <w:rPr>
                <w:rFonts w:hint="eastAsia" w:ascii="宋体" w:hAnsi="宋体"/>
                <w:color w:val="auto"/>
                <w:sz w:val="24"/>
                <w:highlight w:val="none"/>
              </w:rPr>
            </w:pPr>
          </w:p>
        </w:tc>
        <w:tc>
          <w:tcPr>
            <w:tcW w:w="972" w:type="dxa"/>
            <w:noWrap w:val="0"/>
            <w:vAlign w:val="center"/>
          </w:tcPr>
          <w:p w14:paraId="1242BE2D">
            <w:pPr>
              <w:spacing w:line="300" w:lineRule="exact"/>
              <w:rPr>
                <w:rFonts w:hint="eastAsia" w:ascii="宋体" w:hAnsi="宋体"/>
                <w:color w:val="auto"/>
                <w:sz w:val="24"/>
                <w:highlight w:val="none"/>
              </w:rPr>
            </w:pPr>
          </w:p>
        </w:tc>
        <w:tc>
          <w:tcPr>
            <w:tcW w:w="1494" w:type="dxa"/>
            <w:noWrap w:val="0"/>
            <w:vAlign w:val="top"/>
          </w:tcPr>
          <w:p w14:paraId="482AA913">
            <w:pPr>
              <w:spacing w:line="300" w:lineRule="exact"/>
              <w:rPr>
                <w:rFonts w:hint="eastAsia" w:ascii="宋体" w:hAnsi="宋体"/>
                <w:color w:val="auto"/>
                <w:sz w:val="24"/>
                <w:highlight w:val="none"/>
              </w:rPr>
            </w:pPr>
          </w:p>
        </w:tc>
      </w:tr>
      <w:tr w14:paraId="5EB2AB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3A3833D5">
            <w:pPr>
              <w:textAlignment w:val="baseline"/>
              <w:rPr>
                <w:rFonts w:hint="eastAsia" w:ascii="宋体" w:hAnsi="宋体"/>
                <w:color w:val="auto"/>
                <w:szCs w:val="21"/>
                <w:highlight w:val="none"/>
              </w:rPr>
            </w:pPr>
            <w:r>
              <w:rPr>
                <w:rFonts w:hint="eastAsia" w:ascii="宋体" w:hAnsi="宋体"/>
                <w:color w:val="auto"/>
                <w:szCs w:val="21"/>
                <w:highlight w:val="none"/>
              </w:rPr>
              <w:t>3</w:t>
            </w:r>
          </w:p>
        </w:tc>
        <w:tc>
          <w:tcPr>
            <w:tcW w:w="2038" w:type="dxa"/>
            <w:tcBorders>
              <w:right w:val="single" w:color="auto" w:sz="4" w:space="0"/>
            </w:tcBorders>
            <w:shd w:val="clear" w:color="auto" w:fill="FFFFFF"/>
            <w:noWrap w:val="0"/>
            <w:vAlign w:val="center"/>
          </w:tcPr>
          <w:p w14:paraId="1F9916B9">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085249EF">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57DA62BD">
            <w:pPr>
              <w:spacing w:line="360" w:lineRule="auto"/>
              <w:jc w:val="center"/>
              <w:rPr>
                <w:rFonts w:hint="eastAsia" w:ascii="宋体" w:hAnsi="宋体"/>
                <w:color w:val="auto"/>
                <w:sz w:val="24"/>
                <w:highlight w:val="none"/>
              </w:rPr>
            </w:pPr>
          </w:p>
        </w:tc>
        <w:tc>
          <w:tcPr>
            <w:tcW w:w="782" w:type="dxa"/>
            <w:shd w:val="clear" w:color="auto" w:fill="FFFFFF"/>
            <w:noWrap w:val="0"/>
            <w:vAlign w:val="center"/>
          </w:tcPr>
          <w:p w14:paraId="063D4E7C">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4F2A5690">
            <w:pPr>
              <w:spacing w:line="300" w:lineRule="exact"/>
              <w:rPr>
                <w:rFonts w:hint="eastAsia" w:ascii="宋体" w:hAnsi="宋体"/>
                <w:color w:val="auto"/>
                <w:sz w:val="24"/>
                <w:highlight w:val="none"/>
              </w:rPr>
            </w:pPr>
          </w:p>
        </w:tc>
        <w:tc>
          <w:tcPr>
            <w:tcW w:w="972" w:type="dxa"/>
            <w:noWrap w:val="0"/>
            <w:vAlign w:val="center"/>
          </w:tcPr>
          <w:p w14:paraId="210F207D">
            <w:pPr>
              <w:spacing w:line="300" w:lineRule="exact"/>
              <w:rPr>
                <w:rFonts w:hint="eastAsia" w:ascii="宋体" w:hAnsi="宋体"/>
                <w:color w:val="auto"/>
                <w:sz w:val="24"/>
                <w:highlight w:val="none"/>
              </w:rPr>
            </w:pPr>
          </w:p>
        </w:tc>
        <w:tc>
          <w:tcPr>
            <w:tcW w:w="1494" w:type="dxa"/>
            <w:noWrap w:val="0"/>
            <w:vAlign w:val="top"/>
          </w:tcPr>
          <w:p w14:paraId="2D800C74">
            <w:pPr>
              <w:spacing w:line="300" w:lineRule="exact"/>
              <w:rPr>
                <w:rFonts w:hint="eastAsia" w:ascii="宋体" w:hAnsi="宋体"/>
                <w:color w:val="auto"/>
                <w:sz w:val="24"/>
                <w:highlight w:val="none"/>
              </w:rPr>
            </w:pPr>
          </w:p>
        </w:tc>
      </w:tr>
      <w:tr w14:paraId="382EEB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3A7511B8">
            <w:pPr>
              <w:textAlignment w:val="baseline"/>
              <w:rPr>
                <w:rFonts w:hint="eastAsia" w:ascii="宋体" w:hAnsi="宋体"/>
                <w:color w:val="auto"/>
                <w:szCs w:val="21"/>
                <w:highlight w:val="none"/>
              </w:rPr>
            </w:pPr>
            <w:r>
              <w:rPr>
                <w:rFonts w:hint="eastAsia" w:ascii="宋体" w:hAnsi="宋体"/>
                <w:color w:val="auto"/>
                <w:szCs w:val="21"/>
                <w:highlight w:val="none"/>
              </w:rPr>
              <w:t xml:space="preserve">... </w:t>
            </w:r>
          </w:p>
        </w:tc>
        <w:tc>
          <w:tcPr>
            <w:tcW w:w="2038" w:type="dxa"/>
            <w:tcBorders>
              <w:right w:val="single" w:color="auto" w:sz="4" w:space="0"/>
            </w:tcBorders>
            <w:shd w:val="clear" w:color="auto" w:fill="FFFFFF"/>
            <w:noWrap w:val="0"/>
            <w:vAlign w:val="center"/>
          </w:tcPr>
          <w:p w14:paraId="5634F153">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19AFA57C">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2516CBB1">
            <w:pPr>
              <w:spacing w:line="360" w:lineRule="auto"/>
              <w:jc w:val="center"/>
              <w:rPr>
                <w:rFonts w:hint="eastAsia" w:ascii="宋体" w:hAnsi="宋体"/>
                <w:color w:val="auto"/>
                <w:sz w:val="24"/>
                <w:highlight w:val="none"/>
              </w:rPr>
            </w:pPr>
          </w:p>
        </w:tc>
        <w:tc>
          <w:tcPr>
            <w:tcW w:w="782" w:type="dxa"/>
            <w:shd w:val="clear" w:color="auto" w:fill="FFFFFF"/>
            <w:noWrap w:val="0"/>
            <w:vAlign w:val="center"/>
          </w:tcPr>
          <w:p w14:paraId="3FCA3577">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330EB2B6">
            <w:pPr>
              <w:spacing w:line="300" w:lineRule="exact"/>
              <w:rPr>
                <w:rFonts w:hint="eastAsia" w:ascii="宋体" w:hAnsi="宋体"/>
                <w:color w:val="auto"/>
                <w:sz w:val="24"/>
                <w:highlight w:val="none"/>
              </w:rPr>
            </w:pPr>
          </w:p>
        </w:tc>
        <w:tc>
          <w:tcPr>
            <w:tcW w:w="972" w:type="dxa"/>
            <w:noWrap w:val="0"/>
            <w:vAlign w:val="center"/>
          </w:tcPr>
          <w:p w14:paraId="325D1047">
            <w:pPr>
              <w:spacing w:line="300" w:lineRule="exact"/>
              <w:rPr>
                <w:rFonts w:hint="eastAsia" w:ascii="宋体" w:hAnsi="宋体"/>
                <w:color w:val="auto"/>
                <w:sz w:val="24"/>
                <w:highlight w:val="none"/>
              </w:rPr>
            </w:pPr>
          </w:p>
        </w:tc>
        <w:tc>
          <w:tcPr>
            <w:tcW w:w="1494" w:type="dxa"/>
            <w:noWrap w:val="0"/>
            <w:vAlign w:val="top"/>
          </w:tcPr>
          <w:p w14:paraId="467FC4D6">
            <w:pPr>
              <w:spacing w:line="300" w:lineRule="exact"/>
              <w:rPr>
                <w:rFonts w:hint="eastAsia" w:ascii="宋体" w:hAnsi="宋体"/>
                <w:color w:val="auto"/>
                <w:sz w:val="24"/>
                <w:highlight w:val="none"/>
              </w:rPr>
            </w:pPr>
          </w:p>
        </w:tc>
      </w:tr>
      <w:tr w14:paraId="02DBB7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6F4A8797">
            <w:pPr>
              <w:textAlignment w:val="baseline"/>
              <w:rPr>
                <w:rFonts w:hint="eastAsia" w:ascii="宋体" w:hAnsi="宋体"/>
                <w:color w:val="auto"/>
                <w:szCs w:val="21"/>
                <w:highlight w:val="none"/>
              </w:rPr>
            </w:pPr>
            <w:r>
              <w:rPr>
                <w:rFonts w:hint="eastAsia" w:ascii="宋体" w:hAnsi="宋体"/>
                <w:color w:val="auto"/>
                <w:szCs w:val="21"/>
                <w:highlight w:val="none"/>
              </w:rPr>
              <w:t>30</w:t>
            </w:r>
          </w:p>
        </w:tc>
        <w:tc>
          <w:tcPr>
            <w:tcW w:w="2038" w:type="dxa"/>
            <w:tcBorders>
              <w:right w:val="single" w:color="auto" w:sz="4" w:space="0"/>
            </w:tcBorders>
            <w:shd w:val="clear" w:color="auto" w:fill="FFFFFF"/>
            <w:noWrap w:val="0"/>
            <w:vAlign w:val="center"/>
          </w:tcPr>
          <w:p w14:paraId="3D5D82C3">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4BBF1BBB">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1E09264F">
            <w:pPr>
              <w:spacing w:line="360" w:lineRule="auto"/>
              <w:jc w:val="center"/>
              <w:rPr>
                <w:rFonts w:hint="eastAsia" w:ascii="宋体" w:hAnsi="宋体"/>
                <w:color w:val="auto"/>
                <w:sz w:val="24"/>
                <w:highlight w:val="none"/>
              </w:rPr>
            </w:pPr>
          </w:p>
        </w:tc>
        <w:tc>
          <w:tcPr>
            <w:tcW w:w="782" w:type="dxa"/>
            <w:shd w:val="clear" w:color="auto" w:fill="FFFFFF"/>
            <w:noWrap w:val="0"/>
            <w:vAlign w:val="center"/>
          </w:tcPr>
          <w:p w14:paraId="67D54730">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4391A6F2">
            <w:pPr>
              <w:spacing w:line="300" w:lineRule="exact"/>
              <w:rPr>
                <w:rFonts w:hint="eastAsia" w:ascii="宋体" w:hAnsi="宋体"/>
                <w:color w:val="auto"/>
                <w:sz w:val="24"/>
                <w:highlight w:val="none"/>
              </w:rPr>
            </w:pPr>
          </w:p>
        </w:tc>
        <w:tc>
          <w:tcPr>
            <w:tcW w:w="972" w:type="dxa"/>
            <w:noWrap w:val="0"/>
            <w:vAlign w:val="center"/>
          </w:tcPr>
          <w:p w14:paraId="6B19AEC3">
            <w:pPr>
              <w:spacing w:line="300" w:lineRule="exact"/>
              <w:rPr>
                <w:rFonts w:hint="eastAsia" w:ascii="宋体" w:hAnsi="宋体"/>
                <w:color w:val="auto"/>
                <w:sz w:val="24"/>
                <w:highlight w:val="none"/>
              </w:rPr>
            </w:pPr>
          </w:p>
        </w:tc>
        <w:tc>
          <w:tcPr>
            <w:tcW w:w="1494" w:type="dxa"/>
            <w:noWrap w:val="0"/>
            <w:vAlign w:val="top"/>
          </w:tcPr>
          <w:p w14:paraId="27BB9257">
            <w:pPr>
              <w:spacing w:line="300" w:lineRule="exact"/>
              <w:rPr>
                <w:rFonts w:hint="eastAsia" w:ascii="宋体" w:hAnsi="宋体"/>
                <w:color w:val="auto"/>
                <w:sz w:val="24"/>
                <w:highlight w:val="none"/>
              </w:rPr>
            </w:pPr>
          </w:p>
        </w:tc>
      </w:tr>
      <w:tr w14:paraId="6ACBC9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3556CAFE">
            <w:pPr>
              <w:textAlignment w:val="baseline"/>
              <w:rPr>
                <w:rFonts w:hint="eastAsia" w:ascii="宋体" w:hAnsi="宋体"/>
                <w:color w:val="auto"/>
                <w:szCs w:val="21"/>
                <w:highlight w:val="none"/>
              </w:rPr>
            </w:pPr>
            <w:r>
              <w:rPr>
                <w:rFonts w:hint="eastAsia" w:ascii="宋体" w:hAnsi="宋体"/>
                <w:color w:val="auto"/>
                <w:szCs w:val="21"/>
                <w:highlight w:val="none"/>
              </w:rPr>
              <w:t>31</w:t>
            </w:r>
          </w:p>
        </w:tc>
        <w:tc>
          <w:tcPr>
            <w:tcW w:w="2038" w:type="dxa"/>
            <w:tcBorders>
              <w:right w:val="single" w:color="auto" w:sz="4" w:space="0"/>
            </w:tcBorders>
            <w:shd w:val="clear" w:color="auto" w:fill="FFFFFF"/>
            <w:noWrap w:val="0"/>
            <w:vAlign w:val="center"/>
          </w:tcPr>
          <w:p w14:paraId="6CEA4078">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35CCBD5E">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0F491C70">
            <w:pPr>
              <w:spacing w:line="360" w:lineRule="auto"/>
              <w:jc w:val="center"/>
              <w:rPr>
                <w:rFonts w:hint="eastAsia" w:ascii="宋体" w:hAnsi="宋体"/>
                <w:color w:val="auto"/>
                <w:sz w:val="24"/>
                <w:highlight w:val="none"/>
              </w:rPr>
            </w:pPr>
          </w:p>
        </w:tc>
        <w:tc>
          <w:tcPr>
            <w:tcW w:w="782" w:type="dxa"/>
            <w:shd w:val="clear" w:color="auto" w:fill="FFFFFF"/>
            <w:noWrap w:val="0"/>
            <w:vAlign w:val="center"/>
          </w:tcPr>
          <w:p w14:paraId="4A76045A">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663D2758">
            <w:pPr>
              <w:spacing w:line="300" w:lineRule="exact"/>
              <w:rPr>
                <w:rFonts w:hint="eastAsia" w:ascii="宋体" w:hAnsi="宋体"/>
                <w:color w:val="auto"/>
                <w:sz w:val="24"/>
                <w:highlight w:val="none"/>
              </w:rPr>
            </w:pPr>
          </w:p>
        </w:tc>
        <w:tc>
          <w:tcPr>
            <w:tcW w:w="972" w:type="dxa"/>
            <w:noWrap w:val="0"/>
            <w:vAlign w:val="center"/>
          </w:tcPr>
          <w:p w14:paraId="0D2E71D6">
            <w:pPr>
              <w:spacing w:line="300" w:lineRule="exact"/>
              <w:rPr>
                <w:rFonts w:hint="eastAsia" w:ascii="宋体" w:hAnsi="宋体"/>
                <w:color w:val="auto"/>
                <w:sz w:val="24"/>
                <w:highlight w:val="none"/>
              </w:rPr>
            </w:pPr>
          </w:p>
        </w:tc>
        <w:tc>
          <w:tcPr>
            <w:tcW w:w="1494" w:type="dxa"/>
            <w:noWrap w:val="0"/>
            <w:vAlign w:val="top"/>
          </w:tcPr>
          <w:p w14:paraId="52E2884B">
            <w:pPr>
              <w:spacing w:line="300" w:lineRule="exact"/>
              <w:rPr>
                <w:rFonts w:hint="eastAsia" w:ascii="宋体" w:hAnsi="宋体"/>
                <w:color w:val="auto"/>
                <w:sz w:val="24"/>
                <w:highlight w:val="none"/>
              </w:rPr>
            </w:pPr>
          </w:p>
        </w:tc>
      </w:tr>
      <w:tr w14:paraId="77A555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60C5D6C1">
            <w:pPr>
              <w:textAlignment w:val="baseline"/>
              <w:rPr>
                <w:rFonts w:hint="eastAsia" w:ascii="宋体" w:hAnsi="宋体"/>
                <w:color w:val="auto"/>
                <w:szCs w:val="21"/>
                <w:highlight w:val="none"/>
              </w:rPr>
            </w:pPr>
            <w:r>
              <w:rPr>
                <w:rFonts w:hint="eastAsia" w:ascii="宋体" w:hAnsi="宋体"/>
                <w:color w:val="auto"/>
                <w:szCs w:val="21"/>
                <w:highlight w:val="none"/>
              </w:rPr>
              <w:t xml:space="preserve">... </w:t>
            </w:r>
          </w:p>
        </w:tc>
        <w:tc>
          <w:tcPr>
            <w:tcW w:w="2038" w:type="dxa"/>
            <w:tcBorders>
              <w:right w:val="single" w:color="auto" w:sz="4" w:space="0"/>
            </w:tcBorders>
            <w:shd w:val="clear" w:color="auto" w:fill="FFFFFF"/>
            <w:noWrap w:val="0"/>
            <w:vAlign w:val="center"/>
          </w:tcPr>
          <w:p w14:paraId="6C885826">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5616CD7A">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21175DD7">
            <w:pPr>
              <w:spacing w:line="360" w:lineRule="auto"/>
              <w:jc w:val="center"/>
              <w:rPr>
                <w:rFonts w:hint="eastAsia" w:ascii="宋体" w:hAnsi="宋体"/>
                <w:color w:val="auto"/>
                <w:sz w:val="24"/>
                <w:highlight w:val="none"/>
              </w:rPr>
            </w:pPr>
          </w:p>
        </w:tc>
        <w:tc>
          <w:tcPr>
            <w:tcW w:w="782" w:type="dxa"/>
            <w:shd w:val="clear" w:color="auto" w:fill="FFFFFF"/>
            <w:noWrap w:val="0"/>
            <w:vAlign w:val="center"/>
          </w:tcPr>
          <w:p w14:paraId="4EC5F90D">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284287BE">
            <w:pPr>
              <w:spacing w:line="300" w:lineRule="exact"/>
              <w:rPr>
                <w:rFonts w:hint="eastAsia" w:ascii="宋体" w:hAnsi="宋体"/>
                <w:color w:val="auto"/>
                <w:sz w:val="24"/>
                <w:highlight w:val="none"/>
              </w:rPr>
            </w:pPr>
          </w:p>
        </w:tc>
        <w:tc>
          <w:tcPr>
            <w:tcW w:w="972" w:type="dxa"/>
            <w:noWrap w:val="0"/>
            <w:vAlign w:val="center"/>
          </w:tcPr>
          <w:p w14:paraId="4E7C16F2">
            <w:pPr>
              <w:spacing w:line="300" w:lineRule="exact"/>
              <w:rPr>
                <w:rFonts w:hint="eastAsia" w:ascii="宋体" w:hAnsi="宋体"/>
                <w:color w:val="auto"/>
                <w:sz w:val="24"/>
                <w:highlight w:val="none"/>
              </w:rPr>
            </w:pPr>
          </w:p>
        </w:tc>
        <w:tc>
          <w:tcPr>
            <w:tcW w:w="1494" w:type="dxa"/>
            <w:noWrap w:val="0"/>
            <w:vAlign w:val="top"/>
          </w:tcPr>
          <w:p w14:paraId="21557697">
            <w:pPr>
              <w:spacing w:line="300" w:lineRule="exact"/>
              <w:rPr>
                <w:rFonts w:hint="eastAsia" w:ascii="宋体" w:hAnsi="宋体"/>
                <w:color w:val="auto"/>
                <w:sz w:val="24"/>
                <w:highlight w:val="none"/>
              </w:rPr>
            </w:pPr>
          </w:p>
        </w:tc>
      </w:tr>
      <w:tr w14:paraId="3954F4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8853" w:type="dxa"/>
            <w:gridSpan w:val="8"/>
            <w:noWrap w:val="0"/>
            <w:vAlign w:val="top"/>
          </w:tcPr>
          <w:p w14:paraId="1C6AD1CC">
            <w:pPr>
              <w:spacing w:line="300" w:lineRule="exact"/>
              <w:rPr>
                <w:rFonts w:hint="eastAsia" w:ascii="宋体" w:hAnsi="宋体"/>
                <w:color w:val="auto"/>
                <w:sz w:val="24"/>
                <w:highlight w:val="none"/>
              </w:rPr>
            </w:pPr>
            <w:r>
              <w:rPr>
                <w:rFonts w:hint="eastAsia" w:ascii="宋体" w:hAnsi="宋体"/>
                <w:b/>
                <w:color w:val="auto"/>
                <w:sz w:val="24"/>
                <w:highlight w:val="none"/>
              </w:rPr>
              <w:t>投标报价（1+2+..+30+31</w:t>
            </w:r>
            <w:r>
              <w:rPr>
                <w:rFonts w:hint="eastAsia" w:ascii="宋体" w:hAnsi="宋体"/>
                <w:b/>
                <w:color w:val="auto"/>
                <w:sz w:val="24"/>
                <w:highlight w:val="none"/>
                <w:lang w:val="en-US" w:eastAsia="zh-CN"/>
              </w:rPr>
              <w:t>+</w:t>
            </w:r>
            <w:r>
              <w:rPr>
                <w:rFonts w:hint="eastAsia" w:ascii="宋体" w:hAnsi="宋体"/>
                <w:color w:val="auto"/>
                <w:szCs w:val="21"/>
                <w:highlight w:val="none"/>
              </w:rPr>
              <w:t xml:space="preserve">... </w:t>
            </w:r>
            <w:r>
              <w:rPr>
                <w:rFonts w:hint="eastAsia" w:ascii="宋体" w:hAnsi="宋体"/>
                <w:b/>
                <w:color w:val="auto"/>
                <w:sz w:val="24"/>
                <w:highlight w:val="none"/>
              </w:rPr>
              <w:t>）：</w:t>
            </w:r>
            <w:r>
              <w:rPr>
                <w:rFonts w:hint="eastAsia" w:ascii="宋体" w:hAnsi="宋体"/>
                <w:b/>
                <w:color w:val="auto"/>
                <w:sz w:val="24"/>
                <w:highlight w:val="none"/>
                <w:u w:val="single"/>
              </w:rPr>
              <w:t xml:space="preserve">               </w:t>
            </w:r>
            <w:r>
              <w:rPr>
                <w:rFonts w:hint="eastAsia" w:ascii="宋体" w:hAnsi="宋体"/>
                <w:b/>
                <w:color w:val="auto"/>
                <w:sz w:val="24"/>
                <w:highlight w:val="none"/>
              </w:rPr>
              <w:t>元；小写：</w:t>
            </w:r>
            <w:r>
              <w:rPr>
                <w:rFonts w:hint="eastAsia" w:ascii="宋体" w:hAnsi="宋体"/>
                <w:b/>
                <w:color w:val="auto"/>
                <w:sz w:val="24"/>
                <w:highlight w:val="none"/>
                <w:u w:val="single"/>
              </w:rPr>
              <w:t xml:space="preserve">         </w:t>
            </w:r>
            <w:r>
              <w:rPr>
                <w:rFonts w:hint="eastAsia" w:ascii="宋体" w:hAnsi="宋体"/>
                <w:b/>
                <w:color w:val="auto"/>
                <w:sz w:val="24"/>
                <w:highlight w:val="none"/>
              </w:rPr>
              <w:t xml:space="preserve"> 元；（填入投标函和开标一览表）</w:t>
            </w:r>
          </w:p>
        </w:tc>
      </w:tr>
    </w:tbl>
    <w:p w14:paraId="046D4559">
      <w:pPr>
        <w:spacing w:line="440" w:lineRule="exact"/>
        <w:ind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lang w:val="zh-CN"/>
        </w:rPr>
        <w:t>注：1.所有投标只能选择一种方案，单价和合价的报价只能是唯一，且须列出详细的分项报价。（与采购清单项相一致，不得缺项，否则视同包含在其他项目。）</w:t>
      </w:r>
    </w:p>
    <w:p w14:paraId="18B101C6">
      <w:pPr>
        <w:keepNext w:val="0"/>
        <w:keepLines w:val="0"/>
        <w:pageBreakBefore w:val="0"/>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szCs w:val="21"/>
          <w:highlight w:val="none"/>
          <w:lang w:val="zh-CN"/>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lang w:val="zh-CN"/>
        </w:rPr>
        <w:t>2.投标报价采用综合单价法，</w:t>
      </w:r>
      <w:r>
        <w:rPr>
          <w:rFonts w:hint="eastAsia" w:ascii="宋体" w:hAnsi="宋体" w:eastAsia="宋体" w:cs="宋体"/>
          <w:b/>
          <w:bCs/>
          <w:color w:val="auto"/>
          <w:sz w:val="21"/>
          <w:szCs w:val="21"/>
          <w:highlight w:val="none"/>
        </w:rPr>
        <w:t>综合单价包括：材料费、</w:t>
      </w:r>
      <w:r>
        <w:rPr>
          <w:rFonts w:hint="eastAsia" w:ascii="宋体" w:hAnsi="宋体" w:cs="宋体"/>
          <w:b/>
          <w:bCs/>
          <w:color w:val="auto"/>
          <w:sz w:val="21"/>
          <w:szCs w:val="21"/>
          <w:highlight w:val="none"/>
          <w:lang w:val="en-US" w:eastAsia="zh-CN"/>
        </w:rPr>
        <w:t>包装费、</w:t>
      </w:r>
      <w:r>
        <w:rPr>
          <w:rFonts w:hint="eastAsia" w:ascii="宋体" w:hAnsi="宋体" w:eastAsia="宋体" w:cs="宋体"/>
          <w:b/>
          <w:bCs/>
          <w:color w:val="auto"/>
          <w:sz w:val="21"/>
          <w:szCs w:val="21"/>
          <w:highlight w:val="none"/>
        </w:rPr>
        <w:t>装卸费、运输费、管理费、利润、风险费用、招标代理费、</w:t>
      </w:r>
      <w:r>
        <w:rPr>
          <w:rFonts w:hint="eastAsia" w:ascii="宋体" w:hAnsi="宋体" w:eastAsia="宋体" w:cs="宋体"/>
          <w:b/>
          <w:bCs/>
          <w:color w:val="auto"/>
          <w:sz w:val="21"/>
          <w:szCs w:val="21"/>
          <w:highlight w:val="none"/>
          <w:lang w:eastAsia="zh-CN"/>
        </w:rPr>
        <w:t>检测费、</w:t>
      </w:r>
      <w:r>
        <w:rPr>
          <w:rFonts w:hint="eastAsia" w:ascii="宋体" w:hAnsi="宋体" w:eastAsia="宋体" w:cs="宋体"/>
          <w:b/>
          <w:bCs/>
          <w:color w:val="auto"/>
          <w:sz w:val="21"/>
          <w:szCs w:val="21"/>
          <w:highlight w:val="none"/>
        </w:rPr>
        <w:t>调试、验收、培训及后期服务及国家对中标单位征收的各种税费等所有一切费用，综合单价今后将不作任何调整。</w:t>
      </w:r>
    </w:p>
    <w:p w14:paraId="7F5AE3A9">
      <w:pPr>
        <w:pStyle w:val="12"/>
        <w:ind w:left="0" w:leftChars="0" w:firstLine="0" w:firstLineChars="0"/>
        <w:rPr>
          <w:color w:val="auto"/>
          <w:highlight w:val="none"/>
        </w:rPr>
      </w:pPr>
    </w:p>
    <w:p w14:paraId="76F317CD">
      <w:pPr>
        <w:spacing w:line="480" w:lineRule="auto"/>
        <w:rPr>
          <w:rFonts w:ascii="宋体" w:hAnsi="宋体" w:cs="宋体"/>
          <w:color w:val="auto"/>
          <w:szCs w:val="21"/>
          <w:highlight w:val="none"/>
        </w:rPr>
      </w:pPr>
      <w:r>
        <w:rPr>
          <w:rFonts w:hint="eastAsia" w:ascii="宋体" w:hAnsi="宋体" w:cs="宋体"/>
          <w:color w:val="auto"/>
          <w:szCs w:val="21"/>
          <w:highlight w:val="none"/>
        </w:rPr>
        <w:t>投标单位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（公 章）</w:t>
      </w:r>
    </w:p>
    <w:p w14:paraId="33D8DD0D">
      <w:pPr>
        <w:spacing w:line="480" w:lineRule="auto"/>
        <w:rPr>
          <w:rFonts w:ascii="宋体" w:hAnsi="宋体" w:cs="宋体"/>
          <w:color w:val="auto"/>
          <w:szCs w:val="21"/>
          <w:highlight w:val="none"/>
          <w:u w:val="single"/>
        </w:rPr>
      </w:pPr>
      <w:r>
        <w:rPr>
          <w:rFonts w:hint="eastAsia" w:ascii="宋体" w:hAnsi="宋体" w:cs="Arial"/>
          <w:color w:val="auto"/>
          <w:kern w:val="0"/>
          <w:szCs w:val="21"/>
          <w:highlight w:val="none"/>
        </w:rPr>
        <w:t xml:space="preserve">法定代表人（签章）：      </w:t>
      </w:r>
      <w:r>
        <w:rPr>
          <w:rFonts w:hint="eastAsia" w:ascii="宋体" w:hAnsi="宋体" w:cs="宋体"/>
          <w:color w:val="auto"/>
          <w:szCs w:val="21"/>
          <w:highlight w:val="none"/>
          <w:u w:val="single"/>
        </w:rPr>
        <w:t xml:space="preserve">            </w:t>
      </w:r>
    </w:p>
    <w:p w14:paraId="531D3C79">
      <w:pPr>
        <w:adjustRightInd w:val="0"/>
        <w:snapToGrid w:val="0"/>
        <w:spacing w:line="340" w:lineRule="exact"/>
        <w:rPr>
          <w:rFonts w:ascii="仿宋_GB2312" w:eastAsia="仿宋_GB2312"/>
          <w:b/>
          <w:color w:val="auto"/>
          <w:sz w:val="24"/>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p w14:paraId="1ED89581">
      <w:pPr>
        <w:rPr>
          <w:rFonts w:ascii="宋体" w:hAnsi="宋体"/>
          <w:b/>
          <w:color w:val="auto"/>
          <w:sz w:val="30"/>
          <w:szCs w:val="30"/>
          <w:highlight w:val="none"/>
        </w:rPr>
      </w:pPr>
    </w:p>
    <w:p w14:paraId="40168FEB">
      <w:pPr>
        <w:pStyle w:val="12"/>
        <w:rPr>
          <w:color w:val="auto"/>
          <w:highlight w:val="none"/>
        </w:rPr>
      </w:pPr>
    </w:p>
    <w:p w14:paraId="3F91F005">
      <w:pPr>
        <w:rPr>
          <w:color w:val="auto"/>
          <w:sz w:val="24"/>
          <w:highlight w:val="none"/>
        </w:rPr>
      </w:pPr>
      <w:r>
        <w:rPr>
          <w:rFonts w:hint="eastAsia" w:ascii="宋体" w:hAnsi="宋体"/>
          <w:b/>
          <w:color w:val="auto"/>
          <w:sz w:val="30"/>
          <w:szCs w:val="30"/>
          <w:highlight w:val="none"/>
        </w:rPr>
        <w:t>附件</w:t>
      </w:r>
      <w:r>
        <w:rPr>
          <w:rFonts w:ascii="宋体" w:hAnsi="宋体"/>
          <w:b/>
          <w:color w:val="auto"/>
          <w:sz w:val="30"/>
          <w:szCs w:val="30"/>
          <w:highlight w:val="none"/>
        </w:rPr>
        <w:t>4</w:t>
      </w:r>
    </w:p>
    <w:p w14:paraId="7411D46B">
      <w:pPr>
        <w:spacing w:line="380" w:lineRule="exact"/>
        <w:ind w:firstLine="424" w:firstLineChars="202"/>
        <w:rPr>
          <w:rFonts w:ascii="宋体"/>
          <w:color w:val="auto"/>
          <w:szCs w:val="21"/>
          <w:highlight w:val="none"/>
        </w:rPr>
      </w:pPr>
      <w:r>
        <w:rPr>
          <w:rFonts w:hint="eastAsia" w:ascii="宋体"/>
          <w:color w:val="auto"/>
          <w:szCs w:val="21"/>
          <w:highlight w:val="none"/>
        </w:rPr>
        <w:t>投标人认为需要提供的其他材料（如有）。</w:t>
      </w:r>
    </w:p>
    <w:p w14:paraId="424FE1B3">
      <w:pPr>
        <w:outlineLvl w:val="0"/>
        <w:rPr>
          <w:rFonts w:ascii="宋体" w:hAnsi="宋体" w:cs="宋体"/>
          <w:color w:val="auto"/>
          <w:sz w:val="28"/>
          <w:szCs w:val="28"/>
          <w:highlight w:val="none"/>
        </w:rPr>
      </w:pPr>
      <w:r>
        <w:rPr>
          <w:rFonts w:hint="eastAsia"/>
          <w:color w:val="auto"/>
          <w:highlight w:val="none"/>
        </w:rPr>
        <w:br w:type="page"/>
      </w:r>
      <w:bookmarkStart w:id="111" w:name="_Toc11016"/>
      <w:r>
        <w:rPr>
          <w:rFonts w:hint="eastAsia" w:ascii="宋体" w:hAnsi="宋体" w:cs="宋体"/>
          <w:b/>
          <w:color w:val="auto"/>
          <w:sz w:val="28"/>
          <w:szCs w:val="28"/>
          <w:highlight w:val="none"/>
          <w:lang w:bidi="ar"/>
        </w:rPr>
        <w:t>附件1</w:t>
      </w:r>
      <w:bookmarkEnd w:id="111"/>
    </w:p>
    <w:p w14:paraId="50DE2812">
      <w:pPr>
        <w:spacing w:line="44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lang w:bidi="ar"/>
        </w:rPr>
        <w:t>关于联合惩戒失信行为 加强信用查询管理的通知</w:t>
      </w:r>
    </w:p>
    <w:p w14:paraId="1AC628A7">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lang w:bidi="ar"/>
        </w:rPr>
        <w:t>一、失信行为联合惩戒的范围和查询渠道</w:t>
      </w:r>
    </w:p>
    <w:p w14:paraId="361877DE">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在我市公共资源交易活动中对存在下列失信行为的投标人、法定代表人及其项目经理（建造师）实施联合惩戒，禁止参与我市公共资源交易活动。</w:t>
      </w:r>
    </w:p>
    <w:p w14:paraId="7DBAE738">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（一）工程建设项目</w:t>
      </w:r>
    </w:p>
    <w:p w14:paraId="451BF5A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1、“信用中国”网站（www.creditchina.gov.cn）查询投标人、法定代表人及其项目经理(建造师)以下失信行为：</w:t>
      </w:r>
    </w:p>
    <w:p w14:paraId="6C3144B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①被列入“失信被执行人”的;</w:t>
      </w:r>
    </w:p>
    <w:p w14:paraId="3784A25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②被列入“重大税收违法失信主体”的；</w:t>
      </w:r>
    </w:p>
    <w:p w14:paraId="008D740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③被列入“拖欠农民工工资失信联合惩戒对象名单”的；</w:t>
      </w:r>
    </w:p>
    <w:p w14:paraId="4E7DD37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④被列入 “严重失信主体名单”的；</w:t>
      </w:r>
    </w:p>
    <w:p w14:paraId="3A0FDE6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⑤在“信用中国”网站上披露的仍在公示期的严重失信行为(具体行为类别及判定依据见附件2)的。</w:t>
      </w:r>
    </w:p>
    <w:p w14:paraId="2FBAB7F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2、国家企业信用信息公示系统网站（www.gsxt.gov.cn）查询投标人以下失信行为：</w:t>
      </w:r>
    </w:p>
    <w:p w14:paraId="2BBD69D0">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①被列入“经营异常名录”或者“严重违法失信名单”的。</w:t>
      </w:r>
    </w:p>
    <w:p w14:paraId="28A7505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3、由投标人、法定代表人及其项目经理(建造师)进行承诺，不进行现场网上信用查询的失信行为：</w:t>
      </w:r>
    </w:p>
    <w:p w14:paraId="6D83BB8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①前三年有行贿犯罪行为的单位和个人；</w:t>
      </w:r>
    </w:p>
    <w:p w14:paraId="6AC81A8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②被滁州市县两级公管部门取消在一定期限内的投标资格且在取消期限内的；</w:t>
      </w:r>
    </w:p>
    <w:p w14:paraId="76C7DF67">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③被滁州市县两级各行业主管部门取消在一定期限内的投标资格且在取消期限内的；</w:t>
      </w:r>
    </w:p>
    <w:p w14:paraId="7C6DA05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④因拖欠农民工工资被县级及以上有关行政主管部门限制投标资格且在限制期限内的；</w:t>
      </w:r>
    </w:p>
    <w:p w14:paraId="66B8ACB7">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B8EE945">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（二）政府采购项目</w:t>
      </w:r>
    </w:p>
    <w:p w14:paraId="4E98166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1、“信用中国”网站（www.creditchina.gov.cn）查询供应商、法定代表人及其项目负责人以下失信行为：</w:t>
      </w:r>
    </w:p>
    <w:p w14:paraId="388C593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①被列入“失信被执行人”的;</w:t>
      </w:r>
    </w:p>
    <w:p w14:paraId="3D2B02F6">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②被列入“重大税收违法失信主体”的；</w:t>
      </w:r>
    </w:p>
    <w:p w14:paraId="6333F4B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③被列入 “严重失信主体名单”的；</w:t>
      </w:r>
    </w:p>
    <w:p w14:paraId="0C77063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④在“信用中国”网站上披露的仍在公示期的严重失信行为(具体行为类别及判定依据见附件2)的。</w:t>
      </w:r>
    </w:p>
    <w:p w14:paraId="6DD77963">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宋体" w:hAnsi="宋体" w:cs="宋体"/>
          <w:bCs/>
          <w:color w:val="auto"/>
          <w:kern w:val="0"/>
          <w:sz w:val="24"/>
          <w:highlight w:val="none"/>
          <w:lang w:bidi="ar"/>
        </w:rPr>
        <w:t>www.gsxt.gov.cn）</w:t>
      </w:r>
      <w:r>
        <w:rPr>
          <w:rFonts w:hint="eastAsia" w:ascii="宋体" w:hAnsi="宋体" w:cs="宋体"/>
          <w:bCs/>
          <w:color w:val="auto"/>
          <w:kern w:val="0"/>
          <w:sz w:val="24"/>
          <w:highlight w:val="none"/>
          <w:lang w:bidi="ar"/>
        </w:rPr>
        <w:fldChar w:fldCharType="end"/>
      </w:r>
      <w:r>
        <w:rPr>
          <w:rFonts w:hint="eastAsia" w:ascii="宋体" w:hAnsi="宋体" w:cs="宋体"/>
          <w:bCs/>
          <w:color w:val="auto"/>
          <w:kern w:val="0"/>
          <w:sz w:val="24"/>
          <w:highlight w:val="none"/>
          <w:lang w:bidi="ar"/>
        </w:rPr>
        <w:t>查询供应商以下失信行为：</w:t>
      </w:r>
    </w:p>
    <w:p w14:paraId="322054F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w:t>
      </w:r>
      <w:bookmarkStart w:id="112" w:name="OLE_LINK101"/>
      <w:bookmarkStart w:id="113" w:name="OLE_LINK102"/>
      <w:bookmarkStart w:id="114" w:name="OLE_LINK100"/>
      <w:r>
        <w:rPr>
          <w:rFonts w:hint="eastAsia" w:ascii="宋体" w:hAnsi="宋体" w:cs="宋体"/>
          <w:bCs/>
          <w:color w:val="auto"/>
          <w:kern w:val="0"/>
          <w:sz w:val="24"/>
          <w:highlight w:val="none"/>
          <w:lang w:bidi="ar"/>
        </w:rPr>
        <w:t>被列入“经营异常名录”或者“严重违法失信名单”的</w:t>
      </w:r>
      <w:bookmarkEnd w:id="112"/>
      <w:bookmarkEnd w:id="113"/>
      <w:bookmarkEnd w:id="114"/>
      <w:r>
        <w:rPr>
          <w:rFonts w:hint="eastAsia" w:ascii="宋体" w:hAnsi="宋体" w:cs="宋体"/>
          <w:bCs/>
          <w:color w:val="auto"/>
          <w:kern w:val="0"/>
          <w:sz w:val="24"/>
          <w:highlight w:val="none"/>
          <w:lang w:bidi="ar"/>
        </w:rPr>
        <w:t>。</w:t>
      </w:r>
    </w:p>
    <w:p w14:paraId="78DEAEB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3、中国政府采购网站（</w:t>
      </w:r>
      <w:bookmarkStart w:id="115" w:name="OLE_LINK95"/>
      <w:bookmarkStart w:id="116" w:name="OLE_LINK96"/>
      <w:r>
        <w:rPr>
          <w:rFonts w:hint="eastAsia" w:ascii="宋体" w:hAnsi="宋体" w:cs="宋体"/>
          <w:bCs/>
          <w:color w:val="auto"/>
          <w:kern w:val="0"/>
          <w:sz w:val="24"/>
          <w:highlight w:val="none"/>
          <w:lang w:bidi="ar"/>
        </w:rPr>
        <w:fldChar w:fldCharType="begin"/>
      </w:r>
      <w:r>
        <w:rPr>
          <w:rFonts w:hint="eastAsia" w:ascii="宋体" w:hAnsi="宋体" w:cs="宋体"/>
          <w:bCs/>
          <w:color w:val="auto"/>
          <w:kern w:val="0"/>
          <w:sz w:val="24"/>
          <w:highlight w:val="none"/>
          <w:lang w:bidi="ar"/>
        </w:rPr>
        <w:instrText xml:space="preserve"> HYPERLINK "http://www.ccgp.gov.cn" </w:instrText>
      </w:r>
      <w:r>
        <w:rPr>
          <w:rFonts w:hint="eastAsia" w:ascii="宋体" w:hAnsi="宋体" w:cs="宋体"/>
          <w:bCs/>
          <w:color w:val="auto"/>
          <w:kern w:val="0"/>
          <w:sz w:val="24"/>
          <w:highlight w:val="none"/>
          <w:lang w:bidi="ar"/>
        </w:rPr>
        <w:fldChar w:fldCharType="separate"/>
      </w:r>
      <w:r>
        <w:rPr>
          <w:rFonts w:hint="eastAsia" w:ascii="宋体" w:hAnsi="宋体" w:cs="宋体"/>
          <w:bCs/>
          <w:color w:val="auto"/>
          <w:kern w:val="0"/>
          <w:sz w:val="24"/>
          <w:highlight w:val="none"/>
          <w:lang w:bidi="ar"/>
        </w:rPr>
        <w:t>www.ccgp.gov.cn</w:t>
      </w:r>
      <w:r>
        <w:rPr>
          <w:rFonts w:hint="eastAsia" w:ascii="宋体" w:hAnsi="宋体" w:cs="宋体"/>
          <w:bCs/>
          <w:color w:val="auto"/>
          <w:kern w:val="0"/>
          <w:sz w:val="24"/>
          <w:highlight w:val="none"/>
          <w:lang w:bidi="ar"/>
        </w:rPr>
        <w:fldChar w:fldCharType="end"/>
      </w:r>
      <w:bookmarkEnd w:id="115"/>
      <w:bookmarkEnd w:id="116"/>
      <w:r>
        <w:rPr>
          <w:rFonts w:hint="eastAsia" w:ascii="宋体" w:hAnsi="宋体" w:cs="宋体"/>
          <w:bCs/>
          <w:color w:val="auto"/>
          <w:kern w:val="0"/>
          <w:sz w:val="24"/>
          <w:highlight w:val="none"/>
          <w:lang w:bidi="ar"/>
        </w:rPr>
        <w:t>）查询以下失信行为：</w:t>
      </w:r>
    </w:p>
    <w:p w14:paraId="70D380A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w:t>
      </w:r>
      <w:bookmarkStart w:id="117" w:name="OLE_LINK105"/>
      <w:bookmarkStart w:id="118" w:name="OLE_LINK106"/>
      <w:bookmarkStart w:id="119" w:name="OLE_LINK104"/>
      <w:r>
        <w:rPr>
          <w:rFonts w:hint="eastAsia" w:ascii="宋体" w:hAnsi="宋体" w:cs="宋体"/>
          <w:bCs/>
          <w:color w:val="auto"/>
          <w:kern w:val="0"/>
          <w:sz w:val="24"/>
          <w:highlight w:val="none"/>
          <w:lang w:bidi="ar"/>
        </w:rPr>
        <w:t>被列入“政府采购严重违法失信行为信息记录”的</w:t>
      </w:r>
      <w:bookmarkEnd w:id="117"/>
      <w:bookmarkEnd w:id="118"/>
      <w:bookmarkEnd w:id="119"/>
      <w:r>
        <w:rPr>
          <w:rFonts w:hint="eastAsia" w:ascii="宋体" w:hAnsi="宋体" w:cs="宋体"/>
          <w:bCs/>
          <w:color w:val="auto"/>
          <w:kern w:val="0"/>
          <w:sz w:val="24"/>
          <w:highlight w:val="none"/>
          <w:lang w:bidi="ar"/>
        </w:rPr>
        <w:t>。</w:t>
      </w:r>
    </w:p>
    <w:p w14:paraId="58C44615">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4、由竞争主体进行承诺，不进行现场网上信用查询的失信行为：</w:t>
      </w:r>
    </w:p>
    <w:p w14:paraId="42B9691D">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①前三年有行贿犯罪行为的单位和个人。</w:t>
      </w:r>
    </w:p>
    <w:p w14:paraId="26F41C51">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二、在开评标活动中的查询程序</w:t>
      </w:r>
    </w:p>
    <w:p w14:paraId="0C66AFF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6C8ABB9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7924AB9">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3、项目单位及其委托的代理机构应当做好信用查询结果截图和记录留存。</w:t>
      </w:r>
    </w:p>
    <w:p w14:paraId="7A697D88">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三、相关要求</w:t>
      </w:r>
    </w:p>
    <w:p w14:paraId="5FDC37C8">
      <w:pPr>
        <w:widowControl/>
        <w:wordWrap w:val="0"/>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5FAC8F08">
      <w:pPr>
        <w:widowControl/>
        <w:wordWrap w:val="0"/>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0E7F954">
      <w:pPr>
        <w:widowControl/>
        <w:wordWrap w:val="0"/>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49FA9290">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2、“信用中国”查询的严重失信行为判定依据为各行业主管部门下发的联合惩戒文件中规定的行为（按附件2执行）。</w:t>
      </w:r>
    </w:p>
    <w:p w14:paraId="7AB2BE13">
      <w:pPr>
        <w:widowControl/>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lang w:bidi="ar"/>
        </w:rPr>
        <w:t>3、资格预审的项目以递交资格预审申请文件截止时间查询为准；资格后审的项目以递交投标文件截止时间查询为准。</w:t>
      </w:r>
    </w:p>
    <w:p w14:paraId="72008421">
      <w:pPr>
        <w:spacing w:line="440" w:lineRule="exact"/>
        <w:rPr>
          <w:rFonts w:ascii="宋体" w:hAnsi="宋体" w:cs="宋体"/>
          <w:b/>
          <w:color w:val="auto"/>
          <w:sz w:val="24"/>
          <w:highlight w:val="none"/>
        </w:rPr>
      </w:pPr>
      <w:r>
        <w:rPr>
          <w:rFonts w:hint="eastAsia" w:ascii="宋体" w:hAnsi="宋体" w:cs="宋体"/>
          <w:b/>
          <w:color w:val="auto"/>
          <w:sz w:val="24"/>
          <w:highlight w:val="none"/>
          <w:lang w:bidi="ar"/>
        </w:rPr>
        <w:t xml:space="preserve"> </w:t>
      </w:r>
    </w:p>
    <w:p w14:paraId="5412A599">
      <w:pPr>
        <w:pStyle w:val="31"/>
        <w:spacing w:before="0" w:after="120" w:afterAutospacing="0" w:line="360" w:lineRule="auto"/>
        <w:ind w:left="420" w:leftChars="200" w:firstLine="420" w:firstLineChars="200"/>
        <w:jc w:val="both"/>
        <w:rPr>
          <w:color w:val="auto"/>
          <w:kern w:val="2"/>
          <w:sz w:val="21"/>
          <w:szCs w:val="21"/>
          <w:highlight w:val="none"/>
        </w:rPr>
      </w:pPr>
      <w:r>
        <w:rPr>
          <w:rFonts w:hint="eastAsia"/>
          <w:color w:val="auto"/>
          <w:kern w:val="2"/>
          <w:sz w:val="21"/>
          <w:szCs w:val="21"/>
          <w:highlight w:val="none"/>
          <w:lang w:bidi="ar"/>
        </w:rPr>
        <w:t xml:space="preserve"> </w:t>
      </w:r>
    </w:p>
    <w:p w14:paraId="56A2BC9A">
      <w:pPr>
        <w:spacing w:line="440" w:lineRule="exact"/>
        <w:rPr>
          <w:rFonts w:ascii="宋体" w:hAnsi="宋体" w:cs="宋体"/>
          <w:b/>
          <w:color w:val="auto"/>
          <w:sz w:val="24"/>
          <w:highlight w:val="none"/>
        </w:rPr>
      </w:pPr>
      <w:r>
        <w:rPr>
          <w:rFonts w:hint="eastAsia" w:ascii="宋体" w:hAnsi="宋体" w:cs="宋体"/>
          <w:b/>
          <w:color w:val="auto"/>
          <w:sz w:val="24"/>
          <w:highlight w:val="none"/>
          <w:lang w:bidi="ar"/>
        </w:rPr>
        <w:br w:type="page"/>
      </w:r>
      <w:r>
        <w:rPr>
          <w:rFonts w:hint="eastAsia" w:ascii="宋体" w:hAnsi="宋体" w:cs="宋体"/>
          <w:b/>
          <w:color w:val="auto"/>
          <w:sz w:val="24"/>
          <w:highlight w:val="none"/>
          <w:lang w:bidi="ar"/>
        </w:rPr>
        <w:t>附件2</w:t>
      </w:r>
    </w:p>
    <w:p w14:paraId="0E86B5CA">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lang w:bidi="ar"/>
        </w:rPr>
        <w:t>“信用中国”查询的严重失信行为类别及判定依据</w:t>
      </w:r>
    </w:p>
    <w:p w14:paraId="45D4BB79">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lang w:bidi="ar"/>
        </w:rPr>
        <w:t xml:space="preserve"> </w:t>
      </w:r>
    </w:p>
    <w:p w14:paraId="411FF3E0">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“信用中国”查询的严重失信行为判定依据为各行业主管部门下发的联合惩戒文件中规定的行为。下面将部分类别的严重失信行为列举如下：</w:t>
      </w:r>
    </w:p>
    <w:p w14:paraId="622F8E32">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一、安全生产领域严重失信行为：</w:t>
      </w:r>
    </w:p>
    <w:p w14:paraId="1BAB28B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（一）下列发生生产安全事故的生产经营单位及其有关人员应当列入严重失信主体名单：</w:t>
      </w:r>
    </w:p>
    <w:p w14:paraId="12F065C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1、发生特别重大、重大生产安全事故的生产经营单位及其主要负责人，以及经调查认定对该事故发生负有责任，应当列入名单的其他单位和人员；</w:t>
      </w:r>
    </w:p>
    <w:p w14:paraId="09DCCB6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2、12个月内累计发生2起以上较大生产安全事故的生产经营单位及其主要负责人；</w:t>
      </w:r>
    </w:p>
    <w:p w14:paraId="33E43CC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1D440E5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4、瞒报、谎报生产安全事故的生产经营单位及其有关责任人员；</w:t>
      </w:r>
    </w:p>
    <w:p w14:paraId="05E1CC6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5、发生生产安全事故后，不立即组织抢救或者在事故调查处理期间擅离职守或者逃匿的生产经营单位主要负责人。</w:t>
      </w:r>
    </w:p>
    <w:p w14:paraId="2069326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（二）下列未发生生产安全事故，但因安全生产违法行为，受到行政处罚的生产经营单位或者机构及其有关人员，应当列入严重失信主体名单：</w:t>
      </w:r>
    </w:p>
    <w:p w14:paraId="100EB7C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1、未依法取得安全生产相关许可或者许可被暂扣、吊销期间从事相关生产经营活动的生产经营单位及其主要负责人；</w:t>
      </w:r>
    </w:p>
    <w:p w14:paraId="389306E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2、承担安全评价、认证、检测、检验职责的机构及其直接责任人员租借资质、挂靠、出具虚假报告或者证书的；</w:t>
      </w:r>
    </w:p>
    <w:p w14:paraId="1A2EE68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3、在应急管理部门作出行政处罚后，有执行能力拒不执行或者逃避执行的生产经营单位及其主要负责人；</w:t>
      </w:r>
    </w:p>
    <w:p w14:paraId="52D8749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4、其他违反安全生产法律法规受到行政处罚，且性质恶劣、情节严重的。</w:t>
      </w:r>
    </w:p>
    <w:p w14:paraId="273E729B">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依据：《安全生产严重失信主体名单管理办法》（2023年8月8日应急管理部令第11号）</w:t>
      </w:r>
    </w:p>
    <w:p w14:paraId="72177A65">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1A81A020">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二、环境保护领域严重失信行为：</w:t>
      </w:r>
    </w:p>
    <w:p w14:paraId="43EB0B3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（一）因为环境违法构成环境犯罪的；</w:t>
      </w:r>
    </w:p>
    <w:p w14:paraId="67031A8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（二）建设项目环境影响评价文件未按规定通过审批，擅自开工建设的；</w:t>
      </w:r>
    </w:p>
    <w:p w14:paraId="4158E21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（三）建设项目环保设施未建成、环保措施未落实、未通过竣工环保验收或者验收不合格，主体工程正式投入生产或者使用的；</w:t>
      </w:r>
    </w:p>
    <w:p w14:paraId="7832F3D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（四）建设项目性质、规模、地点、采用的生产工艺或者防治污染、防止生态破坏的措施发生重大变动，未重新报批环境影响评价文件，擅自投入生产或者使用的；</w:t>
      </w:r>
    </w:p>
    <w:p w14:paraId="3B86F9E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（五）主要污染物排放总量超过控制指标的；</w:t>
      </w:r>
    </w:p>
    <w:p w14:paraId="1284B8E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（六）私设暗管或者利用渗井、渗坑、裂隙、溶洞等排放、倾倒、处置水污染物，或者通过私设旁路排放大气污染物的；</w:t>
      </w:r>
    </w:p>
    <w:p w14:paraId="7F482F6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（七）非法排放、倾倒、处置危险废物，或者向无经营许可证或者超出经营许可范围的单位或个人提供或者委托其收集、贮存、利用、处置危险废物的；</w:t>
      </w:r>
    </w:p>
    <w:p w14:paraId="502F151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（八）环境违法行为造成集中式生活饮用水水源取水中断的；</w:t>
      </w:r>
    </w:p>
    <w:p w14:paraId="7C11B15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（九）环境违法行为对生活饮用水水源保护区、自然保护区、国家重点生态功能区、风景名胜区、居住功能区、基本农田保护区等环境敏感区造成重大不利影响的；</w:t>
      </w:r>
    </w:p>
    <w:p w14:paraId="647702B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（十）违法从事自然资源开发、交通基础设施建设，以及其他开发建设活动，造成严重生态破坏的；</w:t>
      </w:r>
    </w:p>
    <w:p w14:paraId="02D8AB4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（十一）发生较大及以上突发环境事件的；</w:t>
      </w:r>
    </w:p>
    <w:p w14:paraId="701D35A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（十二）被环保部门挂牌督办，整改逾期未完成的；</w:t>
      </w:r>
    </w:p>
    <w:p w14:paraId="0409CFF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（十三）以暴力、威胁等方式拒绝、阻挠环保部门工作人员现场检查的；</w:t>
      </w:r>
    </w:p>
    <w:p w14:paraId="0BA9C5D6">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（十四）违反重污染天气应急预案有关规定，对重污染天气响应不力的。</w:t>
      </w:r>
    </w:p>
    <w:p w14:paraId="00F07BA9">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依据：《关于对环境保护领域失信生产经营单位及其有关人员开展联合惩戒的合作备忘录》、《企业环境信用评价办法（试行）》（环发〔2013〕150号）</w:t>
      </w:r>
    </w:p>
    <w:p w14:paraId="7402249B">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41EC920E">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三、公共资源交易领域严重失信行为</w:t>
      </w:r>
    </w:p>
    <w:p w14:paraId="249E7C6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（一）违反法律规定，必须进行招标的项目而不招标的，将必须进行招标的项目化整为零或者以其他任何方式规避招标的； </w:t>
      </w:r>
    </w:p>
    <w:p w14:paraId="3434BE1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（二）招标代理机构违反法律规定，泄露应当保密的与招标投标活动有关的情况和资料的，或者与招标人、投标人串通损害 国家利益、社会公共利益或者他人合法权益的；</w:t>
      </w:r>
    </w:p>
    <w:p w14:paraId="5C6AD97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（三）招标人以不合理的条件限制或者排斥潜在投标人的，对潜在投标人实行歧视待遇的，强制要求投标人组成联合体共同 投标的，或者限制投标人之间竞争的；</w:t>
      </w:r>
    </w:p>
    <w:p w14:paraId="445CA3C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（四）依法必须进行招标的项目的招标人向他人透露已获取招标文件的潜在投标人的名称、数量或者可能影响公平竞争的有 关招标投标的其他情况的，或者泄露标底的；</w:t>
      </w:r>
    </w:p>
    <w:p w14:paraId="444EE00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（五）投标人相互串通投标或者与招标人串通投标的，投标人以向招标人或者评标委员会成员行贿的手段谋取中标的； </w:t>
      </w:r>
    </w:p>
    <w:p w14:paraId="658D4D5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（六）投标人以他人名义投标或者以其他方式弄虚作假，骗取中标的；</w:t>
      </w:r>
    </w:p>
    <w:p w14:paraId="500226C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（七）依法必须进行招标的项目，招标人违反法律规定，与投标人就投标价格、投标方案等实质性内容进行谈判的；</w:t>
      </w:r>
    </w:p>
    <w:p w14:paraId="64E9560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6D8BB9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（九）招标人在评标委员会依法推荐的中标候选人以外确定中标人的，依法必须进行招标的项目在所有投标被评标委员会否 决后自行确定中标人的； </w:t>
      </w:r>
    </w:p>
    <w:p w14:paraId="6526221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4CD2710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（十一）招标人与中标人不按照招标文件和中标人的投标文件订立合同的，或者招标人、中标人订立背离合同实质性内容的 协议的； </w:t>
      </w:r>
    </w:p>
    <w:p w14:paraId="4A3C5BAD">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（十二）中标人不按照与招标人订立的合同履行义务，情节严重的； </w:t>
      </w:r>
    </w:p>
    <w:p w14:paraId="213AD7B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F072B1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4D2CDC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（十五）采购人对应当实行集中采购的政府采购项目，不委托集中采购机构实行集中采购的； </w:t>
      </w:r>
    </w:p>
    <w:p w14:paraId="315A33C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（十六）采购人、采购代理机构违反法律规定隐匿、销毁应当保存的采购文件或者伪造、变造采购文件的； </w:t>
      </w:r>
    </w:p>
    <w:p w14:paraId="7A7B0AF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E273F8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（十八）疫苗生产企业向县级疾病预防控制机构以外的单位或者个人销售第二类疫苗的； </w:t>
      </w:r>
    </w:p>
    <w:p w14:paraId="64034149">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（十九）存在其他违反公共资源交易法律法规行为的。</w:t>
      </w:r>
    </w:p>
    <w:p w14:paraId="65728949">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依据：《关于对公共资源交易领域严重失信主体开展联合惩戒的备忘录》（发改法规〔2018〕457号）</w:t>
      </w:r>
    </w:p>
    <w:p w14:paraId="7F785472">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5CD483F6">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四、社会保险领域严重失信行为</w:t>
      </w:r>
    </w:p>
    <w:p w14:paraId="13A8025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（一）用人单位未按相关规定参加社会保险且拒不整改的； </w:t>
      </w:r>
    </w:p>
    <w:p w14:paraId="4F9D9CF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（二）用人单位未如实申报社会保险缴费基数且拒不整改的； </w:t>
      </w:r>
    </w:p>
    <w:p w14:paraId="7C523CA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（三）应缴纳社会保险费却拒不缴纳的； </w:t>
      </w:r>
    </w:p>
    <w:p w14:paraId="6CF347F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（四）隐匿、转移、侵占、挪用社会保险费款、基金或者违规投资运营的；</w:t>
      </w:r>
    </w:p>
    <w:p w14:paraId="6E61491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（五）以欺诈、伪造证明材料或者其他手段参加、申报社会保险和骗取社会保险基金支出或社会保险待遇的； </w:t>
      </w:r>
    </w:p>
    <w:p w14:paraId="5A9ED2C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（六）非法获取、出售或变相交易社会保险个人权益数据的； </w:t>
      </w:r>
    </w:p>
    <w:p w14:paraId="5438771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（七）社会保险服务机构违反服务协议或相关规定的； </w:t>
      </w:r>
    </w:p>
    <w:p w14:paraId="177D707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0684CBE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（九）其他违反法律法规规定的。</w:t>
      </w:r>
    </w:p>
    <w:p w14:paraId="14C7DD48">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依据：《关于对社会保险领域严重失信企业及其有关人员实施联合惩戒的合作备忘录》（发改财金〔2018〕1704号）</w:t>
      </w:r>
    </w:p>
    <w:p w14:paraId="5E9C3375">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3567B07A">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五、建筑市场领域严重失信行为</w:t>
      </w:r>
    </w:p>
    <w:p w14:paraId="608AB84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（一）利用虚假材料、以欺骗手段取得企业资质的；</w:t>
      </w:r>
    </w:p>
    <w:p w14:paraId="2132770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（二）发生转包、出借资质，受到行政处罚的；</w:t>
      </w:r>
    </w:p>
    <w:p w14:paraId="11DBFA8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1328EAF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（四）经法院判决或仲裁机构裁决，认定为拖欠工程款,且拒不履行生效法律文书确定的义务的。</w:t>
      </w:r>
    </w:p>
    <w:p w14:paraId="0B8D8935">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各级住房城乡建设主管部门应当参照建筑市场主体“黑名单”，对被人力资源社会保障行政部门列入拖欠农民工工资“黑名单”的建筑市场各方主体加强监管。</w:t>
      </w:r>
    </w:p>
    <w:p w14:paraId="3BC1466D">
      <w:pPr>
        <w:widowControl/>
        <w:autoSpaceDE w:val="0"/>
        <w:spacing w:line="480" w:lineRule="exact"/>
        <w:ind w:firstLine="482" w:firstLineChars="200"/>
        <w:jc w:val="left"/>
        <w:textAlignment w:val="baseline"/>
        <w:rPr>
          <w:rFonts w:ascii="宋体" w:hAnsi="宋体" w:cs="宋体"/>
          <w:color w:val="auto"/>
          <w:sz w:val="24"/>
          <w:highlight w:val="none"/>
        </w:rPr>
      </w:pPr>
      <w:r>
        <w:rPr>
          <w:rFonts w:hint="eastAsia" w:ascii="宋体" w:hAnsi="宋体" w:cs="宋体"/>
          <w:b/>
          <w:color w:val="auto"/>
          <w:kern w:val="0"/>
          <w:sz w:val="24"/>
          <w:highlight w:val="none"/>
          <w:lang w:bidi="ar"/>
        </w:rPr>
        <w:t>依据：《建筑市场信用管理暂行办法》（建市〔2017〕241号）</w:t>
      </w:r>
    </w:p>
    <w:p w14:paraId="40BA3490">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211B25B8">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六、政府采购严重失信行为</w:t>
      </w:r>
    </w:p>
    <w:p w14:paraId="3A75863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供应商、采购代理机构在三年内受到财政部门作出下列情形之一的行政处罚，列入政府采购严重违法失信行为记录名单。</w:t>
      </w:r>
    </w:p>
    <w:p w14:paraId="01190FC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（一）三万元以上罚款；</w:t>
      </w:r>
    </w:p>
    <w:p w14:paraId="717C031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（二）在一至三年内禁止参加政府采购活动（处罚期限届满的除外）；</w:t>
      </w:r>
    </w:p>
    <w:p w14:paraId="743AF7D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（三）在一至三年内禁止代理政府采购业务（处罚期限届满的除外）；</w:t>
      </w:r>
    </w:p>
    <w:p w14:paraId="73AAF01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（四）撤销政府采购代理机构资格（仅针对《政府采购法》第78条修改前作出的处罚决定）。</w:t>
      </w:r>
    </w:p>
    <w:p w14:paraId="46ADEF82">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依据：《关于报送政府采购严重违法失信行为信息记录的通知》（财办库〔2014〕526号）</w:t>
      </w:r>
    </w:p>
    <w:p w14:paraId="29AB1C3D">
      <w:pPr>
        <w:widowControl/>
        <w:autoSpaceDE w:val="0"/>
        <w:spacing w:line="480" w:lineRule="exact"/>
        <w:ind w:firstLine="480" w:firstLineChars="200"/>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 xml:space="preserve"> </w:t>
      </w:r>
    </w:p>
    <w:p w14:paraId="22E7D7F8">
      <w:pPr>
        <w:widowControl/>
        <w:autoSpaceDE w:val="0"/>
        <w:spacing w:line="480" w:lineRule="exact"/>
        <w:ind w:firstLine="482" w:firstLineChars="200"/>
        <w:jc w:val="left"/>
        <w:textAlignment w:val="baseline"/>
        <w:rPr>
          <w:rFonts w:ascii="宋体" w:hAnsi="宋体" w:cs="宋体"/>
          <w:b/>
          <w:color w:val="auto"/>
          <w:szCs w:val="21"/>
          <w:highlight w:val="none"/>
        </w:rPr>
      </w:pPr>
      <w:r>
        <w:rPr>
          <w:rFonts w:hint="eastAsia" w:ascii="宋体" w:hAnsi="宋体" w:cs="宋体"/>
          <w:b/>
          <w:color w:val="auto"/>
          <w:kern w:val="0"/>
          <w:sz w:val="24"/>
          <w:highlight w:val="none"/>
          <w:lang w:bidi="ar"/>
        </w:rPr>
        <w:t>未列出的其他类别严重失信行为，由招标人（代理机构）根据各类别行业主管部门下发的联合惩戒文件进行判断</w:t>
      </w:r>
      <w:r>
        <w:rPr>
          <w:rFonts w:hint="eastAsia" w:ascii="宋体" w:hAnsi="宋体" w:cs="宋体"/>
          <w:b/>
          <w:bCs/>
          <w:color w:val="auto"/>
          <w:kern w:val="0"/>
          <w:sz w:val="24"/>
          <w:highlight w:val="none"/>
          <w:lang w:bidi="ar"/>
        </w:rPr>
        <w:t>。</w:t>
      </w:r>
    </w:p>
    <w:p w14:paraId="6F048979">
      <w:pPr>
        <w:pStyle w:val="2"/>
        <w:rPr>
          <w:rFonts w:ascii="宋体"/>
          <w:b w:val="0"/>
          <w:color w:val="auto"/>
          <w:szCs w:val="32"/>
          <w:highlight w:val="none"/>
        </w:rPr>
      </w:pPr>
      <w:bookmarkStart w:id="120" w:name="_Toc449028957"/>
      <w:r>
        <w:rPr>
          <w:rFonts w:ascii="宋体"/>
          <w:b w:val="0"/>
          <w:color w:val="auto"/>
          <w:szCs w:val="32"/>
          <w:highlight w:val="none"/>
        </w:rPr>
        <w:br w:type="page"/>
      </w:r>
      <w:bookmarkStart w:id="121" w:name="_Toc58430333"/>
      <w:bookmarkStart w:id="122" w:name="_Toc25631"/>
      <w:r>
        <w:rPr>
          <w:rFonts w:hint="eastAsia" w:ascii="宋体"/>
          <w:color w:val="auto"/>
          <w:szCs w:val="32"/>
          <w:highlight w:val="none"/>
        </w:rPr>
        <w:t xml:space="preserve">第七章 </w:t>
      </w:r>
      <w:r>
        <w:rPr>
          <w:rFonts w:hint="eastAsia" w:ascii="宋体"/>
          <w:bCs w:val="0"/>
          <w:color w:val="auto"/>
          <w:szCs w:val="32"/>
          <w:highlight w:val="none"/>
        </w:rPr>
        <w:t>招标人、采购代理机构对本招标文件的确认</w:t>
      </w:r>
      <w:bookmarkEnd w:id="120"/>
      <w:bookmarkEnd w:id="121"/>
      <w:bookmarkEnd w:id="122"/>
    </w:p>
    <w:p w14:paraId="4622EF40">
      <w:pPr>
        <w:spacing w:line="440" w:lineRule="exact"/>
        <w:rPr>
          <w:rFonts w:ascii="宋体"/>
          <w:color w:val="auto"/>
          <w:sz w:val="24"/>
          <w:highlight w:val="none"/>
          <w:u w:val="single"/>
        </w:rPr>
      </w:pPr>
    </w:p>
    <w:bookmarkEnd w:id="0"/>
    <w:tbl>
      <w:tblPr>
        <w:tblStyle w:val="35"/>
        <w:tblW w:w="0" w:type="auto"/>
        <w:jc w:val="center"/>
        <w:tblLayout w:type="fixed"/>
        <w:tblCellMar>
          <w:top w:w="0" w:type="dxa"/>
          <w:left w:w="108" w:type="dxa"/>
          <w:bottom w:w="0" w:type="dxa"/>
          <w:right w:w="108" w:type="dxa"/>
        </w:tblCellMar>
      </w:tblPr>
      <w:tblGrid>
        <w:gridCol w:w="9460"/>
      </w:tblGrid>
      <w:tr w14:paraId="303B8484">
        <w:tblPrEx>
          <w:tblCellMar>
            <w:top w:w="0" w:type="dxa"/>
            <w:left w:w="108" w:type="dxa"/>
            <w:bottom w:w="0" w:type="dxa"/>
            <w:right w:w="108" w:type="dxa"/>
          </w:tblCellMar>
        </w:tblPrEx>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tcPr>
          <w:p w14:paraId="18E45722">
            <w:pPr>
              <w:spacing w:line="440" w:lineRule="exact"/>
              <w:ind w:firstLine="560" w:firstLineChars="200"/>
              <w:rPr>
                <w:rFonts w:ascii="宋体" w:cs="宋体"/>
                <w:color w:val="auto"/>
                <w:sz w:val="28"/>
                <w:szCs w:val="28"/>
                <w:highlight w:val="none"/>
              </w:rPr>
            </w:pPr>
          </w:p>
          <w:p w14:paraId="5B73DFAC">
            <w:pPr>
              <w:spacing w:after="156" w:afterLines="50"/>
              <w:rPr>
                <w:rFonts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eastAsia="zh-CN"/>
              </w:rPr>
              <w:t>滁州市自来水有限公司</w:t>
            </w:r>
            <w:r>
              <w:rPr>
                <w:rFonts w:hint="eastAsia" w:ascii="宋体" w:cs="宋体"/>
                <w:color w:val="auto"/>
                <w:sz w:val="28"/>
                <w:szCs w:val="28"/>
                <w:highlight w:val="none"/>
                <w:u w:val="single"/>
                <w:lang w:val="en-US" w:eastAsia="zh-CN"/>
              </w:rPr>
              <w:t>2026年PPR材料</w:t>
            </w:r>
            <w:r>
              <w:rPr>
                <w:rFonts w:hint="eastAsia" w:ascii="宋体" w:cs="宋体"/>
                <w:color w:val="auto"/>
                <w:sz w:val="28"/>
                <w:szCs w:val="28"/>
                <w:highlight w:val="none"/>
                <w:u w:val="single"/>
                <w:lang w:eastAsia="zh-CN"/>
              </w:rPr>
              <w:t>年度供应商采购项目</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68B6EBE1">
            <w:pPr>
              <w:spacing w:line="54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招标单位：滁州市自来水有限公司</w:t>
            </w:r>
          </w:p>
          <w:p w14:paraId="42CE69DF">
            <w:pPr>
              <w:spacing w:line="54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委托代理人：宋支武</w:t>
            </w:r>
          </w:p>
          <w:p w14:paraId="59839CF4">
            <w:pPr>
              <w:spacing w:line="54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联系电话：0550-3062913</w:t>
            </w:r>
          </w:p>
          <w:p w14:paraId="6AD990A6">
            <w:pPr>
              <w:spacing w:line="540" w:lineRule="exact"/>
              <w:ind w:firstLine="7140" w:firstLineChars="2550"/>
              <w:rPr>
                <w:rFonts w:ascii="宋体" w:cs="宋体"/>
                <w:color w:val="auto"/>
                <w:sz w:val="28"/>
                <w:szCs w:val="28"/>
                <w:highlight w:val="none"/>
              </w:rPr>
            </w:pPr>
          </w:p>
          <w:p w14:paraId="15BC7017">
            <w:pPr>
              <w:spacing w:line="540" w:lineRule="exact"/>
              <w:ind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737D6D59">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2025年</w:t>
            </w:r>
            <w:r>
              <w:rPr>
                <w:rFonts w:hint="eastAsia" w:ascii="宋体" w:cs="宋体"/>
                <w:color w:val="auto"/>
                <w:sz w:val="28"/>
                <w:szCs w:val="28"/>
                <w:highlight w:val="none"/>
                <w:lang w:val="en-US" w:eastAsia="zh-CN"/>
              </w:rPr>
              <w:t>12</w:t>
            </w:r>
            <w:r>
              <w:rPr>
                <w:rFonts w:hint="eastAsia" w:ascii="宋体" w:cs="宋体"/>
                <w:color w:val="auto"/>
                <w:sz w:val="28"/>
                <w:szCs w:val="28"/>
                <w:highlight w:val="none"/>
              </w:rPr>
              <w:t>月</w:t>
            </w:r>
          </w:p>
        </w:tc>
      </w:tr>
      <w:tr w14:paraId="58F133A4">
        <w:tblPrEx>
          <w:tblCellMar>
            <w:top w:w="0" w:type="dxa"/>
            <w:left w:w="108" w:type="dxa"/>
            <w:bottom w:w="0" w:type="dxa"/>
            <w:right w:w="108" w:type="dxa"/>
          </w:tblCellMar>
        </w:tblPrEx>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tcPr>
          <w:p w14:paraId="60CCD4B0">
            <w:pPr>
              <w:spacing w:line="440" w:lineRule="exact"/>
              <w:rPr>
                <w:rFonts w:ascii="宋体" w:cs="宋体"/>
                <w:color w:val="auto"/>
                <w:sz w:val="28"/>
                <w:szCs w:val="28"/>
                <w:highlight w:val="none"/>
              </w:rPr>
            </w:pPr>
          </w:p>
          <w:p w14:paraId="1B309B94">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40C892F4">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1C61CB4B">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222B2237">
            <w:pPr>
              <w:spacing w:line="520" w:lineRule="exact"/>
              <w:ind w:firstLine="6300" w:firstLineChars="2250"/>
              <w:rPr>
                <w:rFonts w:ascii="宋体" w:cs="宋体"/>
                <w:color w:val="auto"/>
                <w:sz w:val="28"/>
                <w:szCs w:val="28"/>
                <w:highlight w:val="none"/>
              </w:rPr>
            </w:pPr>
          </w:p>
          <w:p w14:paraId="1135599A">
            <w:pPr>
              <w:pStyle w:val="12"/>
              <w:rPr>
                <w:color w:val="auto"/>
                <w:kern w:val="2"/>
                <w:sz w:val="21"/>
                <w:szCs w:val="24"/>
                <w:highlight w:val="none"/>
              </w:rPr>
            </w:pPr>
          </w:p>
          <w:p w14:paraId="6B967311">
            <w:pPr>
              <w:spacing w:line="520" w:lineRule="exact"/>
              <w:ind w:firstLine="6580" w:firstLineChars="2350"/>
              <w:rPr>
                <w:rFonts w:ascii="宋体" w:cs="宋体"/>
                <w:color w:val="auto"/>
                <w:sz w:val="28"/>
                <w:szCs w:val="28"/>
                <w:highlight w:val="none"/>
              </w:rPr>
            </w:pPr>
          </w:p>
          <w:p w14:paraId="3CB7A91C">
            <w:pPr>
              <w:spacing w:line="520" w:lineRule="exact"/>
              <w:ind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33ECBB8E">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2025年</w:t>
            </w:r>
            <w:r>
              <w:rPr>
                <w:rFonts w:hint="eastAsia" w:ascii="宋体" w:cs="宋体"/>
                <w:color w:val="auto"/>
                <w:sz w:val="28"/>
                <w:szCs w:val="28"/>
                <w:highlight w:val="none"/>
                <w:lang w:val="en-US" w:eastAsia="zh-CN"/>
              </w:rPr>
              <w:t>12</w:t>
            </w:r>
            <w:r>
              <w:rPr>
                <w:rFonts w:hint="eastAsia" w:ascii="宋体" w:cs="宋体"/>
                <w:color w:val="auto"/>
                <w:sz w:val="28"/>
                <w:szCs w:val="28"/>
                <w:highlight w:val="none"/>
              </w:rPr>
              <w:t>月</w:t>
            </w:r>
          </w:p>
        </w:tc>
      </w:tr>
    </w:tbl>
    <w:p w14:paraId="7F0B1C1A">
      <w:pPr>
        <w:rPr>
          <w:color w:val="auto"/>
          <w:highlight w:val="none"/>
        </w:rPr>
      </w:pPr>
    </w:p>
    <w:sectPr>
      <w:pgSz w:w="11906" w:h="16838"/>
      <w:pgMar w:top="1440"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9E7C23E-47E7-4538-B0A7-DCAE992E58A2}"/>
  </w:font>
  <w:font w:name="黑体">
    <w:panose1 w:val="02010609060101010101"/>
    <w:charset w:val="86"/>
    <w:family w:val="auto"/>
    <w:pitch w:val="default"/>
    <w:sig w:usb0="800002BF" w:usb1="38CF7CFA" w:usb2="00000016" w:usb3="00000000" w:csb0="00040001" w:csb1="00000000"/>
    <w:embedRegular r:id="rId2" w:fontKey="{9BE8B7AD-C2C5-42D8-AC07-1D9F1D84AF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embedRegular r:id="rId3" w:fontKey="{BC39CD9A-5595-4CC0-A899-170EED5E5072}"/>
  </w:font>
  <w:font w:name="仿宋">
    <w:panose1 w:val="02010609060101010101"/>
    <w:charset w:val="86"/>
    <w:family w:val="modern"/>
    <w:pitch w:val="default"/>
    <w:sig w:usb0="800002BF" w:usb1="38CF7CFA" w:usb2="00000016" w:usb3="00000000" w:csb0="00040001" w:csb1="00000000"/>
    <w:embedRegular r:id="rId4" w:fontKey="{F300A685-77BE-4D81-A1EE-4F3EB985F189}"/>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Microsoft Sans Serif"/>
    <w:panose1 w:val="020B0604020202020204"/>
    <w:charset w:val="00"/>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S Sans Serif">
    <w:altName w:val="Segoe Print"/>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embedRegular r:id="rId5" w:fontKey="{F65179D6-1363-4CEB-A883-CA0BF40B5616}"/>
  </w:font>
  <w:font w:name="华文中宋">
    <w:panose1 w:val="02010600040101010101"/>
    <w:charset w:val="86"/>
    <w:family w:val="auto"/>
    <w:pitch w:val="default"/>
    <w:sig w:usb0="00000287" w:usb1="080F0000" w:usb2="00000000" w:usb3="00000000" w:csb0="0004009F" w:csb1="DFD70000"/>
    <w:embedRegular r:id="rId6" w:fontKey="{091E41A6-F647-491C-9372-6FCE79F7B2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1C5C0">
    <w:pPr>
      <w:pStyle w:val="23"/>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8718">
    <w:pPr>
      <w:pStyle w:val="23"/>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3E69502">
                          <w:pPr>
                            <w:pStyle w:val="23"/>
                          </w:pPr>
                          <w:r>
                            <w:fldChar w:fldCharType="begin"/>
                          </w:r>
                          <w:r>
                            <w:instrText xml:space="preserve"> PAGE  \* MERGEFORMAT </w:instrText>
                          </w:r>
                          <w:r>
                            <w:fldChar w:fldCharType="separate"/>
                          </w:r>
                          <w:r>
                            <w:t>- 37 -</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M4YSorKAQAAlwMAAA4AAAAAAAAAAQAgAAAAIgEAAGRycy9l&#10;Mm9Eb2MueG1sUEsFBgAAAAAGAAYAWQEAAF4FAAAAAA==&#10;">
              <v:fill on="f" focussize="0,0"/>
              <v:stroke on="f" weight="1.25pt"/>
              <v:imagedata o:title=""/>
              <o:lock v:ext="edit" aspectratio="f"/>
              <v:textbox inset="0mm,0mm,0mm,0mm" style="mso-fit-shape-to-text:t;">
                <w:txbxContent>
                  <w:p w14:paraId="63E69502">
                    <w:pPr>
                      <w:pStyle w:val="23"/>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B265E">
    <w:pPr>
      <w:pStyle w:val="2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34E5">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60B736"/>
    <w:multiLevelType w:val="singleLevel"/>
    <w:tmpl w:val="C660B736"/>
    <w:lvl w:ilvl="0" w:tentative="0">
      <w:start w:val="2"/>
      <w:numFmt w:val="decimal"/>
      <w:lvlText w:val="(%1)"/>
      <w:lvlJc w:val="left"/>
      <w:pPr>
        <w:tabs>
          <w:tab w:val="left" w:pos="312"/>
        </w:tabs>
      </w:pPr>
    </w:lvl>
  </w:abstractNum>
  <w:abstractNum w:abstractNumId="1">
    <w:nsid w:val="00000005"/>
    <w:multiLevelType w:val="multilevel"/>
    <w:tmpl w:val="00000005"/>
    <w:lvl w:ilvl="0" w:tentative="0">
      <w:start w:val="1"/>
      <w:numFmt w:val="chineseCountingThousand"/>
      <w:pStyle w:val="101"/>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00000007"/>
    <w:multiLevelType w:val="multilevel"/>
    <w:tmpl w:val="00000007"/>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decimal"/>
      <w:pStyle w:val="94"/>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10"/>
    <w:multiLevelType w:val="multilevel"/>
    <w:tmpl w:val="00000010"/>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6">
    <w:nsid w:val="00000012"/>
    <w:multiLevelType w:val="multilevel"/>
    <w:tmpl w:val="00000012"/>
    <w:lvl w:ilvl="0" w:tentative="0">
      <w:start w:val="1"/>
      <w:numFmt w:val="chineseCountingThousand"/>
      <w:pStyle w:val="117"/>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7">
    <w:nsid w:val="00000014"/>
    <w:multiLevelType w:val="multilevel"/>
    <w:tmpl w:val="00000014"/>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222093D"/>
    <w:multiLevelType w:val="singleLevel"/>
    <w:tmpl w:val="1222093D"/>
    <w:lvl w:ilvl="0" w:tentative="0">
      <w:start w:val="1"/>
      <w:numFmt w:val="decimal"/>
      <w:suff w:val="nothing"/>
      <w:lvlText w:val="（%1）"/>
      <w:lvlJc w:val="left"/>
    </w:lvl>
  </w:abstractNum>
  <w:abstractNum w:abstractNumId="9">
    <w:nsid w:val="493AC9C0"/>
    <w:multiLevelType w:val="singleLevel"/>
    <w:tmpl w:val="493AC9C0"/>
    <w:lvl w:ilvl="0" w:tentative="0">
      <w:start w:val="1"/>
      <w:numFmt w:val="chineseCounting"/>
      <w:suff w:val="nothing"/>
      <w:lvlText w:val="（%1）"/>
      <w:lvlJc w:val="left"/>
      <w:pPr>
        <w:ind w:left="409" w:firstLine="420"/>
      </w:pPr>
      <w:rPr>
        <w:rFonts w:hint="eastAsia"/>
      </w:rPr>
    </w:lvl>
  </w:abstractNum>
  <w:abstractNum w:abstractNumId="10">
    <w:nsid w:val="58E8E588"/>
    <w:multiLevelType w:val="singleLevel"/>
    <w:tmpl w:val="58E8E588"/>
    <w:lvl w:ilvl="0" w:tentative="0">
      <w:start w:val="1"/>
      <w:numFmt w:val="decimal"/>
      <w:lvlText w:val="%1."/>
      <w:lvlJc w:val="left"/>
      <w:pPr>
        <w:ind w:left="425" w:hanging="425"/>
      </w:pPr>
      <w:rPr>
        <w:rFonts w:hint="default"/>
      </w:rPr>
    </w:lvl>
  </w:abstractNum>
  <w:abstractNum w:abstractNumId="11">
    <w:nsid w:val="5D873223"/>
    <w:multiLevelType w:val="singleLevel"/>
    <w:tmpl w:val="5D873223"/>
    <w:lvl w:ilvl="0" w:tentative="0">
      <w:start w:val="1"/>
      <w:numFmt w:val="decimal"/>
      <w:suff w:val="nothing"/>
      <w:lvlText w:val="（%1）"/>
      <w:lvlJc w:val="left"/>
    </w:lvl>
  </w:abstractNum>
  <w:abstractNum w:abstractNumId="12">
    <w:nsid w:val="78460BCF"/>
    <w:multiLevelType w:val="singleLevel"/>
    <w:tmpl w:val="78460BCF"/>
    <w:lvl w:ilvl="0" w:tentative="0">
      <w:start w:val="4"/>
      <w:numFmt w:val="chineseCounting"/>
      <w:suff w:val="space"/>
      <w:lvlText w:val="第%1章"/>
      <w:lvlJc w:val="left"/>
      <w:rPr>
        <w:rFonts w:hint="eastAsia"/>
      </w:rPr>
    </w:lvl>
  </w:abstractNum>
  <w:num w:numId="1">
    <w:abstractNumId w:val="4"/>
  </w:num>
  <w:num w:numId="2">
    <w:abstractNumId w:val="5"/>
  </w:num>
  <w:num w:numId="3">
    <w:abstractNumId w:val="7"/>
  </w:num>
  <w:num w:numId="4">
    <w:abstractNumId w:val="2"/>
  </w:num>
  <w:num w:numId="5">
    <w:abstractNumId w:val="3"/>
  </w:num>
  <w:num w:numId="6">
    <w:abstractNumId w:val="1"/>
  </w:num>
  <w:num w:numId="7">
    <w:abstractNumId w:val="6"/>
  </w:num>
  <w:num w:numId="8">
    <w:abstractNumId w:val="12"/>
  </w:num>
  <w:num w:numId="9">
    <w:abstractNumId w:val="9"/>
  </w:num>
  <w:num w:numId="10">
    <w:abstractNumId w:val="11"/>
  </w:num>
  <w:num w:numId="11">
    <w:abstractNumId w:val="0"/>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172A27"/>
    <w:rsid w:val="000126F2"/>
    <w:rsid w:val="00086696"/>
    <w:rsid w:val="0009024D"/>
    <w:rsid w:val="000F5645"/>
    <w:rsid w:val="00115C78"/>
    <w:rsid w:val="00153AFF"/>
    <w:rsid w:val="00172A27"/>
    <w:rsid w:val="00186C2B"/>
    <w:rsid w:val="00212728"/>
    <w:rsid w:val="00233C4E"/>
    <w:rsid w:val="00251036"/>
    <w:rsid w:val="002E50F8"/>
    <w:rsid w:val="003225FB"/>
    <w:rsid w:val="00330766"/>
    <w:rsid w:val="003419E5"/>
    <w:rsid w:val="003955F9"/>
    <w:rsid w:val="00395E25"/>
    <w:rsid w:val="003E670B"/>
    <w:rsid w:val="00401F67"/>
    <w:rsid w:val="00403054"/>
    <w:rsid w:val="00466F77"/>
    <w:rsid w:val="004C4A9A"/>
    <w:rsid w:val="004F3A79"/>
    <w:rsid w:val="004F5165"/>
    <w:rsid w:val="00506947"/>
    <w:rsid w:val="00510AFB"/>
    <w:rsid w:val="00533663"/>
    <w:rsid w:val="005868F5"/>
    <w:rsid w:val="005931B7"/>
    <w:rsid w:val="005A3C00"/>
    <w:rsid w:val="005B5679"/>
    <w:rsid w:val="005C1BE9"/>
    <w:rsid w:val="00620A2A"/>
    <w:rsid w:val="00665339"/>
    <w:rsid w:val="00677F31"/>
    <w:rsid w:val="0069368B"/>
    <w:rsid w:val="007678C6"/>
    <w:rsid w:val="007D541D"/>
    <w:rsid w:val="007F45BE"/>
    <w:rsid w:val="008005F7"/>
    <w:rsid w:val="008201B4"/>
    <w:rsid w:val="00833AB6"/>
    <w:rsid w:val="00853109"/>
    <w:rsid w:val="0087438B"/>
    <w:rsid w:val="008766D7"/>
    <w:rsid w:val="008C7661"/>
    <w:rsid w:val="008E0C60"/>
    <w:rsid w:val="00902C2A"/>
    <w:rsid w:val="009255FE"/>
    <w:rsid w:val="009269A2"/>
    <w:rsid w:val="009343AA"/>
    <w:rsid w:val="00937817"/>
    <w:rsid w:val="009B2C38"/>
    <w:rsid w:val="009D17C8"/>
    <w:rsid w:val="009E196C"/>
    <w:rsid w:val="009F2CCC"/>
    <w:rsid w:val="00A012AB"/>
    <w:rsid w:val="00A54152"/>
    <w:rsid w:val="00A67D58"/>
    <w:rsid w:val="00A975DD"/>
    <w:rsid w:val="00AF40A6"/>
    <w:rsid w:val="00AF43B5"/>
    <w:rsid w:val="00B22528"/>
    <w:rsid w:val="00B41BDC"/>
    <w:rsid w:val="00B45701"/>
    <w:rsid w:val="00B502D3"/>
    <w:rsid w:val="00B627A9"/>
    <w:rsid w:val="00B77363"/>
    <w:rsid w:val="00B8500A"/>
    <w:rsid w:val="00BC1716"/>
    <w:rsid w:val="00BF0751"/>
    <w:rsid w:val="00C069E8"/>
    <w:rsid w:val="00C24AE6"/>
    <w:rsid w:val="00C57688"/>
    <w:rsid w:val="00C61954"/>
    <w:rsid w:val="00CD391E"/>
    <w:rsid w:val="00CD4DF4"/>
    <w:rsid w:val="00CF1FFF"/>
    <w:rsid w:val="00D24FF0"/>
    <w:rsid w:val="00D25ACB"/>
    <w:rsid w:val="00D46C3D"/>
    <w:rsid w:val="00D50329"/>
    <w:rsid w:val="00D651BA"/>
    <w:rsid w:val="00DD6A62"/>
    <w:rsid w:val="00E4156B"/>
    <w:rsid w:val="00E700A9"/>
    <w:rsid w:val="00E70847"/>
    <w:rsid w:val="00E87AA3"/>
    <w:rsid w:val="00F13E63"/>
    <w:rsid w:val="00F21540"/>
    <w:rsid w:val="00F768E1"/>
    <w:rsid w:val="00FC3E1B"/>
    <w:rsid w:val="00FF16F3"/>
    <w:rsid w:val="016947F9"/>
    <w:rsid w:val="01826A17"/>
    <w:rsid w:val="01CB7DA6"/>
    <w:rsid w:val="01D9415D"/>
    <w:rsid w:val="01DA5E9C"/>
    <w:rsid w:val="01DB6127"/>
    <w:rsid w:val="01DE01EE"/>
    <w:rsid w:val="01E202A3"/>
    <w:rsid w:val="01F71A6A"/>
    <w:rsid w:val="01FD42EF"/>
    <w:rsid w:val="0219028B"/>
    <w:rsid w:val="022E6257"/>
    <w:rsid w:val="023850C1"/>
    <w:rsid w:val="02477318"/>
    <w:rsid w:val="0255285E"/>
    <w:rsid w:val="026B1259"/>
    <w:rsid w:val="026E42F7"/>
    <w:rsid w:val="02827B99"/>
    <w:rsid w:val="028F3D32"/>
    <w:rsid w:val="029F2E1F"/>
    <w:rsid w:val="02BC3AEB"/>
    <w:rsid w:val="02D079EE"/>
    <w:rsid w:val="02D8739A"/>
    <w:rsid w:val="02E1227E"/>
    <w:rsid w:val="02E54D69"/>
    <w:rsid w:val="02F254D6"/>
    <w:rsid w:val="02F53218"/>
    <w:rsid w:val="030355FF"/>
    <w:rsid w:val="033440AD"/>
    <w:rsid w:val="0341645D"/>
    <w:rsid w:val="035241C7"/>
    <w:rsid w:val="036363D4"/>
    <w:rsid w:val="03675EC4"/>
    <w:rsid w:val="037E320E"/>
    <w:rsid w:val="038A570F"/>
    <w:rsid w:val="039E11BA"/>
    <w:rsid w:val="03A2514E"/>
    <w:rsid w:val="03B409DD"/>
    <w:rsid w:val="03B43BF6"/>
    <w:rsid w:val="03C03826"/>
    <w:rsid w:val="03C30C20"/>
    <w:rsid w:val="03D1158F"/>
    <w:rsid w:val="03D96696"/>
    <w:rsid w:val="03DB41BC"/>
    <w:rsid w:val="03EF7C67"/>
    <w:rsid w:val="03FE7EAB"/>
    <w:rsid w:val="041C543C"/>
    <w:rsid w:val="04221DEB"/>
    <w:rsid w:val="043F299D"/>
    <w:rsid w:val="04435676"/>
    <w:rsid w:val="04461F7D"/>
    <w:rsid w:val="04472DF8"/>
    <w:rsid w:val="044E498E"/>
    <w:rsid w:val="04616819"/>
    <w:rsid w:val="04651CD8"/>
    <w:rsid w:val="046A5576"/>
    <w:rsid w:val="04754611"/>
    <w:rsid w:val="04A942BA"/>
    <w:rsid w:val="04AB3862"/>
    <w:rsid w:val="04BF3332"/>
    <w:rsid w:val="04CB5FDF"/>
    <w:rsid w:val="04D01847"/>
    <w:rsid w:val="04F01EE9"/>
    <w:rsid w:val="04F76DD4"/>
    <w:rsid w:val="05085485"/>
    <w:rsid w:val="050B6D23"/>
    <w:rsid w:val="052E6336"/>
    <w:rsid w:val="05304EB2"/>
    <w:rsid w:val="053242B0"/>
    <w:rsid w:val="05373674"/>
    <w:rsid w:val="053E4A03"/>
    <w:rsid w:val="05455577"/>
    <w:rsid w:val="05465FAD"/>
    <w:rsid w:val="054B0F4A"/>
    <w:rsid w:val="058F1702"/>
    <w:rsid w:val="05A351AD"/>
    <w:rsid w:val="05CC0260"/>
    <w:rsid w:val="05DE3CE5"/>
    <w:rsid w:val="05E82BC0"/>
    <w:rsid w:val="05F477B7"/>
    <w:rsid w:val="05F652DD"/>
    <w:rsid w:val="061816F7"/>
    <w:rsid w:val="062278D0"/>
    <w:rsid w:val="06370ACC"/>
    <w:rsid w:val="06632AA3"/>
    <w:rsid w:val="06695AAF"/>
    <w:rsid w:val="06836B5F"/>
    <w:rsid w:val="06A50AB1"/>
    <w:rsid w:val="06A55ADF"/>
    <w:rsid w:val="06A64F55"/>
    <w:rsid w:val="06C453DB"/>
    <w:rsid w:val="06D82C35"/>
    <w:rsid w:val="06DA075B"/>
    <w:rsid w:val="06E415DA"/>
    <w:rsid w:val="06F224DF"/>
    <w:rsid w:val="06F9554A"/>
    <w:rsid w:val="070659F4"/>
    <w:rsid w:val="0721282E"/>
    <w:rsid w:val="07371FAF"/>
    <w:rsid w:val="075239E7"/>
    <w:rsid w:val="07750484"/>
    <w:rsid w:val="07811C07"/>
    <w:rsid w:val="0788465B"/>
    <w:rsid w:val="07950B26"/>
    <w:rsid w:val="07AD2313"/>
    <w:rsid w:val="07B611C8"/>
    <w:rsid w:val="07B76CEE"/>
    <w:rsid w:val="07D4164E"/>
    <w:rsid w:val="07E0529D"/>
    <w:rsid w:val="07ED2710"/>
    <w:rsid w:val="07F613C5"/>
    <w:rsid w:val="08140B8B"/>
    <w:rsid w:val="08143A40"/>
    <w:rsid w:val="081E6D6D"/>
    <w:rsid w:val="08293B60"/>
    <w:rsid w:val="082C4FE6"/>
    <w:rsid w:val="08362309"/>
    <w:rsid w:val="08395955"/>
    <w:rsid w:val="084A1910"/>
    <w:rsid w:val="084F5934"/>
    <w:rsid w:val="085D1644"/>
    <w:rsid w:val="08607386"/>
    <w:rsid w:val="08713341"/>
    <w:rsid w:val="088A4403"/>
    <w:rsid w:val="088A5A8D"/>
    <w:rsid w:val="089761EA"/>
    <w:rsid w:val="08A13C26"/>
    <w:rsid w:val="08BF40AC"/>
    <w:rsid w:val="08C07429"/>
    <w:rsid w:val="08D35DAA"/>
    <w:rsid w:val="08D51B22"/>
    <w:rsid w:val="08E27D9B"/>
    <w:rsid w:val="08E92ED7"/>
    <w:rsid w:val="08EE00FD"/>
    <w:rsid w:val="08FA50E4"/>
    <w:rsid w:val="092B6141"/>
    <w:rsid w:val="0935241C"/>
    <w:rsid w:val="09524F20"/>
    <w:rsid w:val="097035F9"/>
    <w:rsid w:val="0972111F"/>
    <w:rsid w:val="099217C1"/>
    <w:rsid w:val="0993299C"/>
    <w:rsid w:val="09963123"/>
    <w:rsid w:val="09981838"/>
    <w:rsid w:val="09B5283E"/>
    <w:rsid w:val="09C166B7"/>
    <w:rsid w:val="09C851E3"/>
    <w:rsid w:val="09CB469C"/>
    <w:rsid w:val="09CF3948"/>
    <w:rsid w:val="09D678FF"/>
    <w:rsid w:val="09E71B0D"/>
    <w:rsid w:val="09EF44EC"/>
    <w:rsid w:val="09F14739"/>
    <w:rsid w:val="0A03621B"/>
    <w:rsid w:val="0A193C90"/>
    <w:rsid w:val="0A2D3F49"/>
    <w:rsid w:val="0A8712AB"/>
    <w:rsid w:val="0AA04DDE"/>
    <w:rsid w:val="0AA479FE"/>
    <w:rsid w:val="0AB12DCE"/>
    <w:rsid w:val="0AB45767"/>
    <w:rsid w:val="0AB5670D"/>
    <w:rsid w:val="0AC43BFC"/>
    <w:rsid w:val="0AD16319"/>
    <w:rsid w:val="0AD96F7B"/>
    <w:rsid w:val="0AEC4F01"/>
    <w:rsid w:val="0AF3628F"/>
    <w:rsid w:val="0B343101"/>
    <w:rsid w:val="0B4B60CB"/>
    <w:rsid w:val="0B627EDA"/>
    <w:rsid w:val="0B704808"/>
    <w:rsid w:val="0B982B0E"/>
    <w:rsid w:val="0BA94BA0"/>
    <w:rsid w:val="0BAB31B1"/>
    <w:rsid w:val="0BAF62FB"/>
    <w:rsid w:val="0BB92EE4"/>
    <w:rsid w:val="0BC66C7D"/>
    <w:rsid w:val="0BED3778"/>
    <w:rsid w:val="0C06355D"/>
    <w:rsid w:val="0C1404FD"/>
    <w:rsid w:val="0C232BA4"/>
    <w:rsid w:val="0C2A577B"/>
    <w:rsid w:val="0C2D26E3"/>
    <w:rsid w:val="0C373ADB"/>
    <w:rsid w:val="0C37733F"/>
    <w:rsid w:val="0C3856AB"/>
    <w:rsid w:val="0C3C5A14"/>
    <w:rsid w:val="0C4274CE"/>
    <w:rsid w:val="0C6952DD"/>
    <w:rsid w:val="0CAD06C0"/>
    <w:rsid w:val="0CC53C5B"/>
    <w:rsid w:val="0CDB7B95"/>
    <w:rsid w:val="0CE95B9C"/>
    <w:rsid w:val="0CEA5470"/>
    <w:rsid w:val="0D077DD0"/>
    <w:rsid w:val="0D2233E1"/>
    <w:rsid w:val="0D2B61B4"/>
    <w:rsid w:val="0D3E4B53"/>
    <w:rsid w:val="0D467F7C"/>
    <w:rsid w:val="0D6B65B1"/>
    <w:rsid w:val="0D8544BC"/>
    <w:rsid w:val="0DA20C83"/>
    <w:rsid w:val="0DA707B9"/>
    <w:rsid w:val="0DE01542"/>
    <w:rsid w:val="0DF2282E"/>
    <w:rsid w:val="0DFD3DA4"/>
    <w:rsid w:val="0E062939"/>
    <w:rsid w:val="0E24538F"/>
    <w:rsid w:val="0E46735F"/>
    <w:rsid w:val="0E4969BD"/>
    <w:rsid w:val="0E5928AD"/>
    <w:rsid w:val="0E5B4877"/>
    <w:rsid w:val="0E5C5A3F"/>
    <w:rsid w:val="0E707BF7"/>
    <w:rsid w:val="0E7D0D45"/>
    <w:rsid w:val="0E8611C8"/>
    <w:rsid w:val="0E975183"/>
    <w:rsid w:val="0EAD1661"/>
    <w:rsid w:val="0EBE21D3"/>
    <w:rsid w:val="0EBF7B36"/>
    <w:rsid w:val="0EC51CF1"/>
    <w:rsid w:val="0ECC307F"/>
    <w:rsid w:val="0F0C791F"/>
    <w:rsid w:val="0F1A6FD6"/>
    <w:rsid w:val="0F4E7F38"/>
    <w:rsid w:val="0F582B65"/>
    <w:rsid w:val="0F891446"/>
    <w:rsid w:val="0F9A13CF"/>
    <w:rsid w:val="0F9B000F"/>
    <w:rsid w:val="0F9D2C6D"/>
    <w:rsid w:val="0FB747DD"/>
    <w:rsid w:val="0FC91CB4"/>
    <w:rsid w:val="0FD10D03"/>
    <w:rsid w:val="0FD710A5"/>
    <w:rsid w:val="0FD77F2D"/>
    <w:rsid w:val="0FD83CA6"/>
    <w:rsid w:val="10131364"/>
    <w:rsid w:val="101822F4"/>
    <w:rsid w:val="10207B26"/>
    <w:rsid w:val="105514CC"/>
    <w:rsid w:val="105B218F"/>
    <w:rsid w:val="10616837"/>
    <w:rsid w:val="107E794C"/>
    <w:rsid w:val="10857989"/>
    <w:rsid w:val="10AC25CA"/>
    <w:rsid w:val="10B4201D"/>
    <w:rsid w:val="10CA7A92"/>
    <w:rsid w:val="10EC0872"/>
    <w:rsid w:val="10EF574B"/>
    <w:rsid w:val="10F845FF"/>
    <w:rsid w:val="110C1E59"/>
    <w:rsid w:val="110D0173"/>
    <w:rsid w:val="11125CD9"/>
    <w:rsid w:val="111D5E14"/>
    <w:rsid w:val="112951FE"/>
    <w:rsid w:val="11317B11"/>
    <w:rsid w:val="116E6670"/>
    <w:rsid w:val="117A3C75"/>
    <w:rsid w:val="11826A7D"/>
    <w:rsid w:val="118616F9"/>
    <w:rsid w:val="11904838"/>
    <w:rsid w:val="11A6405B"/>
    <w:rsid w:val="11B83956"/>
    <w:rsid w:val="11C40985"/>
    <w:rsid w:val="11CC786A"/>
    <w:rsid w:val="11E93F48"/>
    <w:rsid w:val="11EC68FB"/>
    <w:rsid w:val="12046FD4"/>
    <w:rsid w:val="12071881"/>
    <w:rsid w:val="121420F8"/>
    <w:rsid w:val="12214445"/>
    <w:rsid w:val="12250C9D"/>
    <w:rsid w:val="12273D08"/>
    <w:rsid w:val="12324FEA"/>
    <w:rsid w:val="123D2FB3"/>
    <w:rsid w:val="124538DB"/>
    <w:rsid w:val="125067AE"/>
    <w:rsid w:val="12637655"/>
    <w:rsid w:val="12A12A75"/>
    <w:rsid w:val="12C04A67"/>
    <w:rsid w:val="12C80001"/>
    <w:rsid w:val="12CF56B4"/>
    <w:rsid w:val="12DB0575"/>
    <w:rsid w:val="12EF558E"/>
    <w:rsid w:val="12F92791"/>
    <w:rsid w:val="13033659"/>
    <w:rsid w:val="130354DD"/>
    <w:rsid w:val="13066050"/>
    <w:rsid w:val="13132BFE"/>
    <w:rsid w:val="132A7687"/>
    <w:rsid w:val="133236CD"/>
    <w:rsid w:val="134F1DF4"/>
    <w:rsid w:val="13557827"/>
    <w:rsid w:val="13631AD8"/>
    <w:rsid w:val="137F4B64"/>
    <w:rsid w:val="138B3117"/>
    <w:rsid w:val="138E7538"/>
    <w:rsid w:val="13904FC3"/>
    <w:rsid w:val="13AE71F7"/>
    <w:rsid w:val="13C06B9F"/>
    <w:rsid w:val="13CD2CC1"/>
    <w:rsid w:val="140B464A"/>
    <w:rsid w:val="140D6614"/>
    <w:rsid w:val="14172FEE"/>
    <w:rsid w:val="14364B2C"/>
    <w:rsid w:val="1438503B"/>
    <w:rsid w:val="144933C4"/>
    <w:rsid w:val="145F3F52"/>
    <w:rsid w:val="146239D8"/>
    <w:rsid w:val="14694230"/>
    <w:rsid w:val="146A303F"/>
    <w:rsid w:val="14720C0D"/>
    <w:rsid w:val="147D0BDA"/>
    <w:rsid w:val="14860A3B"/>
    <w:rsid w:val="14972381"/>
    <w:rsid w:val="14AA2FD3"/>
    <w:rsid w:val="14B06F9F"/>
    <w:rsid w:val="14B52807"/>
    <w:rsid w:val="14BA1BCC"/>
    <w:rsid w:val="14C724CE"/>
    <w:rsid w:val="14CA5427"/>
    <w:rsid w:val="14D013EF"/>
    <w:rsid w:val="14DD669C"/>
    <w:rsid w:val="14DE1D5E"/>
    <w:rsid w:val="14E07884"/>
    <w:rsid w:val="14EA0703"/>
    <w:rsid w:val="150572EB"/>
    <w:rsid w:val="150A448F"/>
    <w:rsid w:val="150C68CB"/>
    <w:rsid w:val="152229F1"/>
    <w:rsid w:val="154461CC"/>
    <w:rsid w:val="15565D98"/>
    <w:rsid w:val="15597637"/>
    <w:rsid w:val="15804BC3"/>
    <w:rsid w:val="15BD23EA"/>
    <w:rsid w:val="15C9430D"/>
    <w:rsid w:val="15D373E9"/>
    <w:rsid w:val="15E213DA"/>
    <w:rsid w:val="15E52C78"/>
    <w:rsid w:val="16210154"/>
    <w:rsid w:val="1633342F"/>
    <w:rsid w:val="164E6A70"/>
    <w:rsid w:val="16683008"/>
    <w:rsid w:val="168E3310"/>
    <w:rsid w:val="16A36DBB"/>
    <w:rsid w:val="16A50D85"/>
    <w:rsid w:val="16B81E85"/>
    <w:rsid w:val="16CF7F44"/>
    <w:rsid w:val="16F94C2D"/>
    <w:rsid w:val="16FE3FF2"/>
    <w:rsid w:val="171323AA"/>
    <w:rsid w:val="1724330A"/>
    <w:rsid w:val="173B5246"/>
    <w:rsid w:val="17B63456"/>
    <w:rsid w:val="17DA4A5F"/>
    <w:rsid w:val="17DF189D"/>
    <w:rsid w:val="17F2764F"/>
    <w:rsid w:val="1833416F"/>
    <w:rsid w:val="18524B4C"/>
    <w:rsid w:val="185C36C6"/>
    <w:rsid w:val="18737F6A"/>
    <w:rsid w:val="187D1E98"/>
    <w:rsid w:val="187D53EA"/>
    <w:rsid w:val="188E687B"/>
    <w:rsid w:val="18A817AE"/>
    <w:rsid w:val="18B21538"/>
    <w:rsid w:val="18BB7749"/>
    <w:rsid w:val="18C44192"/>
    <w:rsid w:val="18D9512F"/>
    <w:rsid w:val="18ED431E"/>
    <w:rsid w:val="18F558C8"/>
    <w:rsid w:val="18F877F3"/>
    <w:rsid w:val="1901601B"/>
    <w:rsid w:val="19070275"/>
    <w:rsid w:val="19106B6F"/>
    <w:rsid w:val="19235F91"/>
    <w:rsid w:val="193C7053"/>
    <w:rsid w:val="193F7C64"/>
    <w:rsid w:val="196C36C2"/>
    <w:rsid w:val="196D1903"/>
    <w:rsid w:val="19724162"/>
    <w:rsid w:val="198F1879"/>
    <w:rsid w:val="19B47531"/>
    <w:rsid w:val="19C214C4"/>
    <w:rsid w:val="19E90074"/>
    <w:rsid w:val="19F70AC5"/>
    <w:rsid w:val="19F85670"/>
    <w:rsid w:val="19F94F44"/>
    <w:rsid w:val="1A1324AA"/>
    <w:rsid w:val="1A255D39"/>
    <w:rsid w:val="1A2B77F4"/>
    <w:rsid w:val="1A2F16BB"/>
    <w:rsid w:val="1A501008"/>
    <w:rsid w:val="1A766595"/>
    <w:rsid w:val="1A8C59F8"/>
    <w:rsid w:val="1AA57FC0"/>
    <w:rsid w:val="1AAC1FB7"/>
    <w:rsid w:val="1AAE61FB"/>
    <w:rsid w:val="1AB01AA7"/>
    <w:rsid w:val="1AB23324"/>
    <w:rsid w:val="1ADF554D"/>
    <w:rsid w:val="1AED13C7"/>
    <w:rsid w:val="1B1069E9"/>
    <w:rsid w:val="1B193AF0"/>
    <w:rsid w:val="1B2D30F7"/>
    <w:rsid w:val="1B590390"/>
    <w:rsid w:val="1B6D5BEA"/>
    <w:rsid w:val="1B7747F3"/>
    <w:rsid w:val="1B79254B"/>
    <w:rsid w:val="1B972C67"/>
    <w:rsid w:val="1BA55384"/>
    <w:rsid w:val="1BD712B5"/>
    <w:rsid w:val="1BDD4B1E"/>
    <w:rsid w:val="1BE76F28"/>
    <w:rsid w:val="1C177904"/>
    <w:rsid w:val="1C284B16"/>
    <w:rsid w:val="1C5A26D3"/>
    <w:rsid w:val="1C5D0DA4"/>
    <w:rsid w:val="1C5F6917"/>
    <w:rsid w:val="1C6F5742"/>
    <w:rsid w:val="1C76287C"/>
    <w:rsid w:val="1C7B0977"/>
    <w:rsid w:val="1C872925"/>
    <w:rsid w:val="1C9E0082"/>
    <w:rsid w:val="1CAA693B"/>
    <w:rsid w:val="1CB14442"/>
    <w:rsid w:val="1CC66428"/>
    <w:rsid w:val="1CC80B99"/>
    <w:rsid w:val="1CCB0E1A"/>
    <w:rsid w:val="1D0113C9"/>
    <w:rsid w:val="1D0A2DA7"/>
    <w:rsid w:val="1D1140B4"/>
    <w:rsid w:val="1D1722B1"/>
    <w:rsid w:val="1D2B18B9"/>
    <w:rsid w:val="1D3E783E"/>
    <w:rsid w:val="1D630F86"/>
    <w:rsid w:val="1D7019C1"/>
    <w:rsid w:val="1D752B34"/>
    <w:rsid w:val="1D7E5E8C"/>
    <w:rsid w:val="1D836591"/>
    <w:rsid w:val="1DB55626"/>
    <w:rsid w:val="1DB7314C"/>
    <w:rsid w:val="1DC15D79"/>
    <w:rsid w:val="1DC53ABB"/>
    <w:rsid w:val="1DC85AE6"/>
    <w:rsid w:val="1DD74B6E"/>
    <w:rsid w:val="1DDB503E"/>
    <w:rsid w:val="1DE57CB9"/>
    <w:rsid w:val="1DE84D03"/>
    <w:rsid w:val="1DE85A9D"/>
    <w:rsid w:val="1DF13B3B"/>
    <w:rsid w:val="1E0E2B0B"/>
    <w:rsid w:val="1E1660C5"/>
    <w:rsid w:val="1E205195"/>
    <w:rsid w:val="1E276322"/>
    <w:rsid w:val="1E5F2F8D"/>
    <w:rsid w:val="1E650DFA"/>
    <w:rsid w:val="1E982F7E"/>
    <w:rsid w:val="1EAC45D3"/>
    <w:rsid w:val="1EC71AB5"/>
    <w:rsid w:val="1ECF4FD3"/>
    <w:rsid w:val="1ED0096A"/>
    <w:rsid w:val="1ED7455A"/>
    <w:rsid w:val="1EDB6610"/>
    <w:rsid w:val="1EF34658"/>
    <w:rsid w:val="1F02489B"/>
    <w:rsid w:val="1F095D51"/>
    <w:rsid w:val="1F132604"/>
    <w:rsid w:val="1F242A63"/>
    <w:rsid w:val="1F2627EB"/>
    <w:rsid w:val="1F294332"/>
    <w:rsid w:val="1F2A62AD"/>
    <w:rsid w:val="1F3233D2"/>
    <w:rsid w:val="1F4713AC"/>
    <w:rsid w:val="1F4804CC"/>
    <w:rsid w:val="1FB90D87"/>
    <w:rsid w:val="1FEB1DE0"/>
    <w:rsid w:val="1FEF6DB8"/>
    <w:rsid w:val="1FF64400"/>
    <w:rsid w:val="200D799B"/>
    <w:rsid w:val="201E4F4F"/>
    <w:rsid w:val="20256A93"/>
    <w:rsid w:val="20384A18"/>
    <w:rsid w:val="20390790"/>
    <w:rsid w:val="203F5E7C"/>
    <w:rsid w:val="205055EF"/>
    <w:rsid w:val="206C46C2"/>
    <w:rsid w:val="20976AB4"/>
    <w:rsid w:val="20A81514"/>
    <w:rsid w:val="20AB6760"/>
    <w:rsid w:val="20B16579"/>
    <w:rsid w:val="20C95670"/>
    <w:rsid w:val="20D65FDF"/>
    <w:rsid w:val="20E85D1A"/>
    <w:rsid w:val="210055F8"/>
    <w:rsid w:val="21052421"/>
    <w:rsid w:val="2126121F"/>
    <w:rsid w:val="21380A48"/>
    <w:rsid w:val="216B1A91"/>
    <w:rsid w:val="217B0F40"/>
    <w:rsid w:val="218A192D"/>
    <w:rsid w:val="21A972E1"/>
    <w:rsid w:val="21BC63E3"/>
    <w:rsid w:val="21BF0821"/>
    <w:rsid w:val="21F816C1"/>
    <w:rsid w:val="221C5C74"/>
    <w:rsid w:val="222B0959"/>
    <w:rsid w:val="222F1E4B"/>
    <w:rsid w:val="223C6316"/>
    <w:rsid w:val="223F755C"/>
    <w:rsid w:val="2240564F"/>
    <w:rsid w:val="224F6049"/>
    <w:rsid w:val="22575E31"/>
    <w:rsid w:val="22816594"/>
    <w:rsid w:val="22A00653"/>
    <w:rsid w:val="22A52EFA"/>
    <w:rsid w:val="22A567AC"/>
    <w:rsid w:val="22A77054"/>
    <w:rsid w:val="22AA3280"/>
    <w:rsid w:val="22BD2FB3"/>
    <w:rsid w:val="22CB1F7F"/>
    <w:rsid w:val="22CC31F6"/>
    <w:rsid w:val="22CC769A"/>
    <w:rsid w:val="22D43C96"/>
    <w:rsid w:val="22DB5B2F"/>
    <w:rsid w:val="22EC6903"/>
    <w:rsid w:val="22FB3ADB"/>
    <w:rsid w:val="23046E34"/>
    <w:rsid w:val="23076924"/>
    <w:rsid w:val="2318468D"/>
    <w:rsid w:val="23214B81"/>
    <w:rsid w:val="23250B58"/>
    <w:rsid w:val="23287A3B"/>
    <w:rsid w:val="23364AC9"/>
    <w:rsid w:val="234C2589"/>
    <w:rsid w:val="234E0C74"/>
    <w:rsid w:val="235D595F"/>
    <w:rsid w:val="2366667A"/>
    <w:rsid w:val="236B1B92"/>
    <w:rsid w:val="23725A46"/>
    <w:rsid w:val="239F4DAE"/>
    <w:rsid w:val="23A75A11"/>
    <w:rsid w:val="23D46034"/>
    <w:rsid w:val="23DD1433"/>
    <w:rsid w:val="23ED1676"/>
    <w:rsid w:val="23ED5B1A"/>
    <w:rsid w:val="23EF1892"/>
    <w:rsid w:val="23F37F14"/>
    <w:rsid w:val="23F956E8"/>
    <w:rsid w:val="23FA0237"/>
    <w:rsid w:val="24015121"/>
    <w:rsid w:val="24264B88"/>
    <w:rsid w:val="24305A06"/>
    <w:rsid w:val="2447702E"/>
    <w:rsid w:val="244A5931"/>
    <w:rsid w:val="24765B0F"/>
    <w:rsid w:val="247C0C4C"/>
    <w:rsid w:val="247C50B5"/>
    <w:rsid w:val="248F4E23"/>
    <w:rsid w:val="249B0281"/>
    <w:rsid w:val="24A55645"/>
    <w:rsid w:val="24C22B02"/>
    <w:rsid w:val="24D570AE"/>
    <w:rsid w:val="24D6035C"/>
    <w:rsid w:val="24E01EF1"/>
    <w:rsid w:val="24E2777A"/>
    <w:rsid w:val="24F51DFC"/>
    <w:rsid w:val="250C30B2"/>
    <w:rsid w:val="25423C43"/>
    <w:rsid w:val="256B13EC"/>
    <w:rsid w:val="25924268"/>
    <w:rsid w:val="25E67FEE"/>
    <w:rsid w:val="25F3318F"/>
    <w:rsid w:val="2629095F"/>
    <w:rsid w:val="26355556"/>
    <w:rsid w:val="263B7010"/>
    <w:rsid w:val="263C7979"/>
    <w:rsid w:val="264B2FCC"/>
    <w:rsid w:val="264E5249"/>
    <w:rsid w:val="2650413E"/>
    <w:rsid w:val="265359DC"/>
    <w:rsid w:val="26551754"/>
    <w:rsid w:val="267C6B2D"/>
    <w:rsid w:val="26834513"/>
    <w:rsid w:val="26A10E3D"/>
    <w:rsid w:val="26AC3A6A"/>
    <w:rsid w:val="26B96187"/>
    <w:rsid w:val="26BE763B"/>
    <w:rsid w:val="26E730BC"/>
    <w:rsid w:val="270135A4"/>
    <w:rsid w:val="271635D9"/>
    <w:rsid w:val="2751016E"/>
    <w:rsid w:val="278A3E0D"/>
    <w:rsid w:val="279F3713"/>
    <w:rsid w:val="27B45CC5"/>
    <w:rsid w:val="27B84691"/>
    <w:rsid w:val="27BD1CA7"/>
    <w:rsid w:val="27C923FA"/>
    <w:rsid w:val="27CA464D"/>
    <w:rsid w:val="27CB7F20"/>
    <w:rsid w:val="27E91720"/>
    <w:rsid w:val="27F136A9"/>
    <w:rsid w:val="27F21934"/>
    <w:rsid w:val="27F6382B"/>
    <w:rsid w:val="27FD20A3"/>
    <w:rsid w:val="280F14ED"/>
    <w:rsid w:val="280F3776"/>
    <w:rsid w:val="281C4C20"/>
    <w:rsid w:val="284F39D7"/>
    <w:rsid w:val="28527CD1"/>
    <w:rsid w:val="287C7ABF"/>
    <w:rsid w:val="28844573"/>
    <w:rsid w:val="28AA3FD9"/>
    <w:rsid w:val="28AD1D1C"/>
    <w:rsid w:val="28C52BC1"/>
    <w:rsid w:val="28D472A8"/>
    <w:rsid w:val="28DE254E"/>
    <w:rsid w:val="28E9787B"/>
    <w:rsid w:val="28F72F97"/>
    <w:rsid w:val="29441132"/>
    <w:rsid w:val="29581C87"/>
    <w:rsid w:val="29890753"/>
    <w:rsid w:val="298962E5"/>
    <w:rsid w:val="29934A6D"/>
    <w:rsid w:val="29B50E88"/>
    <w:rsid w:val="29B72649"/>
    <w:rsid w:val="29CD1E2A"/>
    <w:rsid w:val="29CF7F37"/>
    <w:rsid w:val="2A0C29B8"/>
    <w:rsid w:val="2A0E5104"/>
    <w:rsid w:val="2A131C98"/>
    <w:rsid w:val="2A161AF2"/>
    <w:rsid w:val="2A39664F"/>
    <w:rsid w:val="2A570E85"/>
    <w:rsid w:val="2A830F86"/>
    <w:rsid w:val="2A8745B6"/>
    <w:rsid w:val="2A8D31B1"/>
    <w:rsid w:val="2A922F77"/>
    <w:rsid w:val="2A9860B3"/>
    <w:rsid w:val="2A9A1E2C"/>
    <w:rsid w:val="2A9F5694"/>
    <w:rsid w:val="2AA23A25"/>
    <w:rsid w:val="2AAA6513"/>
    <w:rsid w:val="2AD15C14"/>
    <w:rsid w:val="2AE71AF4"/>
    <w:rsid w:val="2AE76B06"/>
    <w:rsid w:val="2B045837"/>
    <w:rsid w:val="2B07429B"/>
    <w:rsid w:val="2B0D0850"/>
    <w:rsid w:val="2B154372"/>
    <w:rsid w:val="2B230073"/>
    <w:rsid w:val="2B520958"/>
    <w:rsid w:val="2B634913"/>
    <w:rsid w:val="2B85488A"/>
    <w:rsid w:val="2BA07916"/>
    <w:rsid w:val="2BEC2B5B"/>
    <w:rsid w:val="2BFF63EA"/>
    <w:rsid w:val="2C002162"/>
    <w:rsid w:val="2C063C1D"/>
    <w:rsid w:val="2C0E0D23"/>
    <w:rsid w:val="2C246995"/>
    <w:rsid w:val="2C3562B0"/>
    <w:rsid w:val="2C385DA0"/>
    <w:rsid w:val="2C4944EB"/>
    <w:rsid w:val="2C4B162F"/>
    <w:rsid w:val="2C5D1363"/>
    <w:rsid w:val="2C5F50DB"/>
    <w:rsid w:val="2C614E21"/>
    <w:rsid w:val="2C792640"/>
    <w:rsid w:val="2C8B4122"/>
    <w:rsid w:val="2C9C1E8B"/>
    <w:rsid w:val="2CA91FCE"/>
    <w:rsid w:val="2CB847EB"/>
    <w:rsid w:val="2CD72C54"/>
    <w:rsid w:val="2CEA709A"/>
    <w:rsid w:val="2D022235"/>
    <w:rsid w:val="2D031F0A"/>
    <w:rsid w:val="2D0F08AF"/>
    <w:rsid w:val="2D1C7470"/>
    <w:rsid w:val="2D2125B0"/>
    <w:rsid w:val="2D2C76B3"/>
    <w:rsid w:val="2D371BB4"/>
    <w:rsid w:val="2D3B78F6"/>
    <w:rsid w:val="2D624F61"/>
    <w:rsid w:val="2D7C1CBC"/>
    <w:rsid w:val="2D8017AD"/>
    <w:rsid w:val="2D8868B3"/>
    <w:rsid w:val="2DAC4350"/>
    <w:rsid w:val="2DEA30CA"/>
    <w:rsid w:val="2E0F1AF1"/>
    <w:rsid w:val="2E1755ED"/>
    <w:rsid w:val="2E24482E"/>
    <w:rsid w:val="2E3A7BAD"/>
    <w:rsid w:val="2E4D78B3"/>
    <w:rsid w:val="2E56250D"/>
    <w:rsid w:val="2E623354"/>
    <w:rsid w:val="2E6A4E27"/>
    <w:rsid w:val="2E876B6B"/>
    <w:rsid w:val="2E9B12B3"/>
    <w:rsid w:val="2ED33B5E"/>
    <w:rsid w:val="2EDA313F"/>
    <w:rsid w:val="2EE53D89"/>
    <w:rsid w:val="2EEC10D1"/>
    <w:rsid w:val="2F030EDA"/>
    <w:rsid w:val="2F0412C1"/>
    <w:rsid w:val="2F171C9D"/>
    <w:rsid w:val="2F202F46"/>
    <w:rsid w:val="2F2E6FE6"/>
    <w:rsid w:val="2F43007A"/>
    <w:rsid w:val="2F47268D"/>
    <w:rsid w:val="2F484F80"/>
    <w:rsid w:val="2F8F5CD7"/>
    <w:rsid w:val="2F926074"/>
    <w:rsid w:val="2F971630"/>
    <w:rsid w:val="2FA774C5"/>
    <w:rsid w:val="2FB44E46"/>
    <w:rsid w:val="2FCA005B"/>
    <w:rsid w:val="2FFF4CAE"/>
    <w:rsid w:val="30042C3B"/>
    <w:rsid w:val="301F1BC4"/>
    <w:rsid w:val="30204B81"/>
    <w:rsid w:val="302E5110"/>
    <w:rsid w:val="303A5A64"/>
    <w:rsid w:val="304E74D7"/>
    <w:rsid w:val="305111DE"/>
    <w:rsid w:val="30587073"/>
    <w:rsid w:val="30823A8E"/>
    <w:rsid w:val="30901D07"/>
    <w:rsid w:val="309317F7"/>
    <w:rsid w:val="30C85944"/>
    <w:rsid w:val="30D95A3C"/>
    <w:rsid w:val="30DD2A72"/>
    <w:rsid w:val="30E12562"/>
    <w:rsid w:val="30E84AF7"/>
    <w:rsid w:val="31103BE8"/>
    <w:rsid w:val="31490108"/>
    <w:rsid w:val="314F17D6"/>
    <w:rsid w:val="315736D8"/>
    <w:rsid w:val="3166515D"/>
    <w:rsid w:val="31684A32"/>
    <w:rsid w:val="316D029A"/>
    <w:rsid w:val="317403C7"/>
    <w:rsid w:val="3179559F"/>
    <w:rsid w:val="317E6003"/>
    <w:rsid w:val="319B6BB5"/>
    <w:rsid w:val="31A1154D"/>
    <w:rsid w:val="31A17F44"/>
    <w:rsid w:val="31AD053C"/>
    <w:rsid w:val="31CB6D6E"/>
    <w:rsid w:val="31D64091"/>
    <w:rsid w:val="31DE2F46"/>
    <w:rsid w:val="31E340B8"/>
    <w:rsid w:val="32056724"/>
    <w:rsid w:val="320B1E88"/>
    <w:rsid w:val="3220530C"/>
    <w:rsid w:val="325B29A2"/>
    <w:rsid w:val="3268280F"/>
    <w:rsid w:val="32690A61"/>
    <w:rsid w:val="326D226F"/>
    <w:rsid w:val="32755BEE"/>
    <w:rsid w:val="32785148"/>
    <w:rsid w:val="327B2543"/>
    <w:rsid w:val="328533C1"/>
    <w:rsid w:val="32A4546A"/>
    <w:rsid w:val="32B31CDC"/>
    <w:rsid w:val="32ED1980"/>
    <w:rsid w:val="32F1304C"/>
    <w:rsid w:val="32F50547"/>
    <w:rsid w:val="33094881"/>
    <w:rsid w:val="333F3794"/>
    <w:rsid w:val="334037E5"/>
    <w:rsid w:val="335A57BD"/>
    <w:rsid w:val="339E5D33"/>
    <w:rsid w:val="33A34073"/>
    <w:rsid w:val="33C30645"/>
    <w:rsid w:val="33EC17CD"/>
    <w:rsid w:val="33EF143A"/>
    <w:rsid w:val="33EF1C73"/>
    <w:rsid w:val="33FA6F1E"/>
    <w:rsid w:val="340661A5"/>
    <w:rsid w:val="34076784"/>
    <w:rsid w:val="340903E3"/>
    <w:rsid w:val="340E30B9"/>
    <w:rsid w:val="341E3ACD"/>
    <w:rsid w:val="343678CD"/>
    <w:rsid w:val="34480B4A"/>
    <w:rsid w:val="345968B4"/>
    <w:rsid w:val="345A0C5F"/>
    <w:rsid w:val="345B087E"/>
    <w:rsid w:val="346D120F"/>
    <w:rsid w:val="34702AF7"/>
    <w:rsid w:val="347A2085"/>
    <w:rsid w:val="347F27BE"/>
    <w:rsid w:val="34897199"/>
    <w:rsid w:val="34945B3E"/>
    <w:rsid w:val="34A43FD3"/>
    <w:rsid w:val="34AD7661"/>
    <w:rsid w:val="34B01E1E"/>
    <w:rsid w:val="34C24459"/>
    <w:rsid w:val="34DD3641"/>
    <w:rsid w:val="34E16FD5"/>
    <w:rsid w:val="34E94961"/>
    <w:rsid w:val="34EA39B0"/>
    <w:rsid w:val="35064C8D"/>
    <w:rsid w:val="35171719"/>
    <w:rsid w:val="352E7D40"/>
    <w:rsid w:val="354B26A0"/>
    <w:rsid w:val="35657300"/>
    <w:rsid w:val="357243F8"/>
    <w:rsid w:val="35853917"/>
    <w:rsid w:val="35906305"/>
    <w:rsid w:val="359C73A0"/>
    <w:rsid w:val="35A10512"/>
    <w:rsid w:val="35A26038"/>
    <w:rsid w:val="35AA3A3A"/>
    <w:rsid w:val="35AA4722"/>
    <w:rsid w:val="35CF507F"/>
    <w:rsid w:val="35D54660"/>
    <w:rsid w:val="35FA48FF"/>
    <w:rsid w:val="360B340E"/>
    <w:rsid w:val="365E28A7"/>
    <w:rsid w:val="366B14C0"/>
    <w:rsid w:val="369342FF"/>
    <w:rsid w:val="369D456C"/>
    <w:rsid w:val="36A4475E"/>
    <w:rsid w:val="36A8455A"/>
    <w:rsid w:val="36AE738B"/>
    <w:rsid w:val="36C95F72"/>
    <w:rsid w:val="36DF3C16"/>
    <w:rsid w:val="36E27034"/>
    <w:rsid w:val="36ED1FA3"/>
    <w:rsid w:val="36F36DEE"/>
    <w:rsid w:val="36F6663C"/>
    <w:rsid w:val="370E607B"/>
    <w:rsid w:val="372E4027"/>
    <w:rsid w:val="373F79B1"/>
    <w:rsid w:val="37537F32"/>
    <w:rsid w:val="376C4F8C"/>
    <w:rsid w:val="376F2F1F"/>
    <w:rsid w:val="378400EB"/>
    <w:rsid w:val="37904CE2"/>
    <w:rsid w:val="37976071"/>
    <w:rsid w:val="37991DE9"/>
    <w:rsid w:val="379D00C8"/>
    <w:rsid w:val="379F2985"/>
    <w:rsid w:val="37C03BF9"/>
    <w:rsid w:val="37D954F3"/>
    <w:rsid w:val="37E1109A"/>
    <w:rsid w:val="37E97122"/>
    <w:rsid w:val="37F35CB8"/>
    <w:rsid w:val="382D2531"/>
    <w:rsid w:val="383A697D"/>
    <w:rsid w:val="383C09C6"/>
    <w:rsid w:val="384F4255"/>
    <w:rsid w:val="385633E2"/>
    <w:rsid w:val="386F79F1"/>
    <w:rsid w:val="38767A34"/>
    <w:rsid w:val="38795776"/>
    <w:rsid w:val="388D2FD0"/>
    <w:rsid w:val="389205E6"/>
    <w:rsid w:val="38983E4E"/>
    <w:rsid w:val="38A84A79"/>
    <w:rsid w:val="39226139"/>
    <w:rsid w:val="392C0A3B"/>
    <w:rsid w:val="39400042"/>
    <w:rsid w:val="39490357"/>
    <w:rsid w:val="397877DC"/>
    <w:rsid w:val="3999678C"/>
    <w:rsid w:val="39A35D1A"/>
    <w:rsid w:val="39A6259B"/>
    <w:rsid w:val="39B23151"/>
    <w:rsid w:val="39D377DB"/>
    <w:rsid w:val="3A223DCB"/>
    <w:rsid w:val="3A3462BA"/>
    <w:rsid w:val="3A58475F"/>
    <w:rsid w:val="3A5E7E93"/>
    <w:rsid w:val="3A6E6C87"/>
    <w:rsid w:val="3AB46F3A"/>
    <w:rsid w:val="3AD13648"/>
    <w:rsid w:val="3AE0388B"/>
    <w:rsid w:val="3AF9494C"/>
    <w:rsid w:val="3B1C0596"/>
    <w:rsid w:val="3B20637D"/>
    <w:rsid w:val="3B2319C9"/>
    <w:rsid w:val="3B2C4D22"/>
    <w:rsid w:val="3B5B1163"/>
    <w:rsid w:val="3B7A3054"/>
    <w:rsid w:val="3B84063D"/>
    <w:rsid w:val="3B8701AA"/>
    <w:rsid w:val="3B8875E3"/>
    <w:rsid w:val="3B955700"/>
    <w:rsid w:val="3B9E18E7"/>
    <w:rsid w:val="3BBE589B"/>
    <w:rsid w:val="3BC27434"/>
    <w:rsid w:val="3BC30935"/>
    <w:rsid w:val="3BC95C98"/>
    <w:rsid w:val="3BCB453B"/>
    <w:rsid w:val="3BD75940"/>
    <w:rsid w:val="3BDD7DCA"/>
    <w:rsid w:val="3BE21884"/>
    <w:rsid w:val="3BF42260"/>
    <w:rsid w:val="3C1F6EE1"/>
    <w:rsid w:val="3C265C15"/>
    <w:rsid w:val="3C284C49"/>
    <w:rsid w:val="3C522566"/>
    <w:rsid w:val="3C541BC5"/>
    <w:rsid w:val="3C65673D"/>
    <w:rsid w:val="3C722C08"/>
    <w:rsid w:val="3C7C5F7D"/>
    <w:rsid w:val="3C873516"/>
    <w:rsid w:val="3C9506A5"/>
    <w:rsid w:val="3C9C7C85"/>
    <w:rsid w:val="3C9E3DCB"/>
    <w:rsid w:val="3CA31014"/>
    <w:rsid w:val="3CAC0D1D"/>
    <w:rsid w:val="3CB123E6"/>
    <w:rsid w:val="3CDB6174"/>
    <w:rsid w:val="3D050477"/>
    <w:rsid w:val="3D14341C"/>
    <w:rsid w:val="3D3D4FC4"/>
    <w:rsid w:val="3D404852"/>
    <w:rsid w:val="3D477BF1"/>
    <w:rsid w:val="3D4A76E1"/>
    <w:rsid w:val="3D5D5666"/>
    <w:rsid w:val="3DB668C6"/>
    <w:rsid w:val="3DCB0822"/>
    <w:rsid w:val="3DCE4F94"/>
    <w:rsid w:val="3DEB4A20"/>
    <w:rsid w:val="3DF062BF"/>
    <w:rsid w:val="3E0618F6"/>
    <w:rsid w:val="3E0869AC"/>
    <w:rsid w:val="3E246184"/>
    <w:rsid w:val="3E2C6DE7"/>
    <w:rsid w:val="3E3068D7"/>
    <w:rsid w:val="3E3175F3"/>
    <w:rsid w:val="3E32264F"/>
    <w:rsid w:val="3E3E1A04"/>
    <w:rsid w:val="3E53454B"/>
    <w:rsid w:val="3E6F204E"/>
    <w:rsid w:val="3E815973"/>
    <w:rsid w:val="3E88151A"/>
    <w:rsid w:val="3E894239"/>
    <w:rsid w:val="3E8D3D29"/>
    <w:rsid w:val="3E9450B8"/>
    <w:rsid w:val="3EB63280"/>
    <w:rsid w:val="3EC62D97"/>
    <w:rsid w:val="3EF913BF"/>
    <w:rsid w:val="3F0D6C18"/>
    <w:rsid w:val="3F1735F3"/>
    <w:rsid w:val="3F2B709E"/>
    <w:rsid w:val="3F364D39"/>
    <w:rsid w:val="3F505A98"/>
    <w:rsid w:val="3F6207BA"/>
    <w:rsid w:val="3F7B1DD4"/>
    <w:rsid w:val="3F810615"/>
    <w:rsid w:val="3F843560"/>
    <w:rsid w:val="3F8C5D8F"/>
    <w:rsid w:val="3F8E7D59"/>
    <w:rsid w:val="3F984C13"/>
    <w:rsid w:val="3FA15AA1"/>
    <w:rsid w:val="3FA72BC9"/>
    <w:rsid w:val="3FBB6674"/>
    <w:rsid w:val="3FBD063E"/>
    <w:rsid w:val="3FC90D91"/>
    <w:rsid w:val="3FCF3ECE"/>
    <w:rsid w:val="3FD919BA"/>
    <w:rsid w:val="3FDC2B4A"/>
    <w:rsid w:val="3FFD010D"/>
    <w:rsid w:val="3FFE49F0"/>
    <w:rsid w:val="400A40D9"/>
    <w:rsid w:val="401A783F"/>
    <w:rsid w:val="401F452F"/>
    <w:rsid w:val="40330901"/>
    <w:rsid w:val="40515724"/>
    <w:rsid w:val="405F16F6"/>
    <w:rsid w:val="408B38B3"/>
    <w:rsid w:val="40955117"/>
    <w:rsid w:val="40B27A77"/>
    <w:rsid w:val="40D40AAB"/>
    <w:rsid w:val="40D77011"/>
    <w:rsid w:val="40E90FBF"/>
    <w:rsid w:val="40F40090"/>
    <w:rsid w:val="40FB76BC"/>
    <w:rsid w:val="41036525"/>
    <w:rsid w:val="41072D28"/>
    <w:rsid w:val="41173D7E"/>
    <w:rsid w:val="411E335F"/>
    <w:rsid w:val="412344D1"/>
    <w:rsid w:val="4125450E"/>
    <w:rsid w:val="412973EA"/>
    <w:rsid w:val="414803DC"/>
    <w:rsid w:val="41AA69A0"/>
    <w:rsid w:val="41B45A71"/>
    <w:rsid w:val="41EF2091"/>
    <w:rsid w:val="41F71B81"/>
    <w:rsid w:val="42010DBE"/>
    <w:rsid w:val="42044303"/>
    <w:rsid w:val="42075BA1"/>
    <w:rsid w:val="42424E2B"/>
    <w:rsid w:val="426B25D4"/>
    <w:rsid w:val="4278084D"/>
    <w:rsid w:val="428611BC"/>
    <w:rsid w:val="42927B60"/>
    <w:rsid w:val="42BD2703"/>
    <w:rsid w:val="42C27D1A"/>
    <w:rsid w:val="42E04834"/>
    <w:rsid w:val="43000F6E"/>
    <w:rsid w:val="43140A2D"/>
    <w:rsid w:val="431B5DA8"/>
    <w:rsid w:val="43301127"/>
    <w:rsid w:val="43364990"/>
    <w:rsid w:val="434150E2"/>
    <w:rsid w:val="434D7737"/>
    <w:rsid w:val="4355293C"/>
    <w:rsid w:val="4359067E"/>
    <w:rsid w:val="436117D4"/>
    <w:rsid w:val="437049F2"/>
    <w:rsid w:val="43842246"/>
    <w:rsid w:val="4387343D"/>
    <w:rsid w:val="43A7763B"/>
    <w:rsid w:val="43B92ECB"/>
    <w:rsid w:val="43BE0166"/>
    <w:rsid w:val="440E3217"/>
    <w:rsid w:val="440F0504"/>
    <w:rsid w:val="4421185F"/>
    <w:rsid w:val="442962A2"/>
    <w:rsid w:val="4437557C"/>
    <w:rsid w:val="44380293"/>
    <w:rsid w:val="444C2BC0"/>
    <w:rsid w:val="444F71A2"/>
    <w:rsid w:val="445361E5"/>
    <w:rsid w:val="44692B43"/>
    <w:rsid w:val="447C0AC8"/>
    <w:rsid w:val="4482717F"/>
    <w:rsid w:val="44A21CDC"/>
    <w:rsid w:val="44D05FB9"/>
    <w:rsid w:val="44D75CFE"/>
    <w:rsid w:val="44E5721A"/>
    <w:rsid w:val="44F22B38"/>
    <w:rsid w:val="44F248E6"/>
    <w:rsid w:val="45091C30"/>
    <w:rsid w:val="45244CBC"/>
    <w:rsid w:val="452B1E36"/>
    <w:rsid w:val="452B6B92"/>
    <w:rsid w:val="45350C77"/>
    <w:rsid w:val="453C0257"/>
    <w:rsid w:val="453C7EA3"/>
    <w:rsid w:val="454B3FF6"/>
    <w:rsid w:val="45682DFA"/>
    <w:rsid w:val="456C5AB9"/>
    <w:rsid w:val="4577128F"/>
    <w:rsid w:val="45952817"/>
    <w:rsid w:val="45A863B8"/>
    <w:rsid w:val="45BB6D3C"/>
    <w:rsid w:val="45C73FC5"/>
    <w:rsid w:val="45F91CA4"/>
    <w:rsid w:val="46017508"/>
    <w:rsid w:val="460F14C8"/>
    <w:rsid w:val="46130FB8"/>
    <w:rsid w:val="46132D66"/>
    <w:rsid w:val="46342CDD"/>
    <w:rsid w:val="46431B1A"/>
    <w:rsid w:val="464E1FF0"/>
    <w:rsid w:val="466366B9"/>
    <w:rsid w:val="46955E71"/>
    <w:rsid w:val="469C7200"/>
    <w:rsid w:val="46C10A14"/>
    <w:rsid w:val="46D67F86"/>
    <w:rsid w:val="46E75FA1"/>
    <w:rsid w:val="46F448C2"/>
    <w:rsid w:val="46F56910"/>
    <w:rsid w:val="47060D7D"/>
    <w:rsid w:val="47242D51"/>
    <w:rsid w:val="473F67A2"/>
    <w:rsid w:val="474536E0"/>
    <w:rsid w:val="47463365"/>
    <w:rsid w:val="47596E9F"/>
    <w:rsid w:val="476B55F6"/>
    <w:rsid w:val="47777325"/>
    <w:rsid w:val="477E4B57"/>
    <w:rsid w:val="47863A0C"/>
    <w:rsid w:val="478A52AA"/>
    <w:rsid w:val="47925F0D"/>
    <w:rsid w:val="47A876DF"/>
    <w:rsid w:val="47AA76FA"/>
    <w:rsid w:val="47B370C9"/>
    <w:rsid w:val="48027536"/>
    <w:rsid w:val="48042FA6"/>
    <w:rsid w:val="481C57BF"/>
    <w:rsid w:val="48240342"/>
    <w:rsid w:val="48343468"/>
    <w:rsid w:val="485578E8"/>
    <w:rsid w:val="48680CE3"/>
    <w:rsid w:val="487516C9"/>
    <w:rsid w:val="488B752C"/>
    <w:rsid w:val="48A003F4"/>
    <w:rsid w:val="48A147B6"/>
    <w:rsid w:val="48A73C3A"/>
    <w:rsid w:val="48D367DD"/>
    <w:rsid w:val="48E82D4D"/>
    <w:rsid w:val="48E857AF"/>
    <w:rsid w:val="48F007F6"/>
    <w:rsid w:val="48F14EB5"/>
    <w:rsid w:val="491D5CAA"/>
    <w:rsid w:val="492456B7"/>
    <w:rsid w:val="49537DE0"/>
    <w:rsid w:val="495518E8"/>
    <w:rsid w:val="49584F34"/>
    <w:rsid w:val="4977360C"/>
    <w:rsid w:val="498703ED"/>
    <w:rsid w:val="49C425C9"/>
    <w:rsid w:val="49C72B69"/>
    <w:rsid w:val="49E62540"/>
    <w:rsid w:val="4A0E6954"/>
    <w:rsid w:val="4A1A47F4"/>
    <w:rsid w:val="4A275032"/>
    <w:rsid w:val="4A275F90"/>
    <w:rsid w:val="4A280DAA"/>
    <w:rsid w:val="4A29760D"/>
    <w:rsid w:val="4A2D4613"/>
    <w:rsid w:val="4A392FB7"/>
    <w:rsid w:val="4A64191B"/>
    <w:rsid w:val="4A722025"/>
    <w:rsid w:val="4A745F18"/>
    <w:rsid w:val="4A8B3EC0"/>
    <w:rsid w:val="4AAC4A05"/>
    <w:rsid w:val="4AB112AD"/>
    <w:rsid w:val="4AB4263E"/>
    <w:rsid w:val="4AB918F6"/>
    <w:rsid w:val="4AD14F9E"/>
    <w:rsid w:val="4AEB42B2"/>
    <w:rsid w:val="4AF403AA"/>
    <w:rsid w:val="4AFD616C"/>
    <w:rsid w:val="4B0B04B0"/>
    <w:rsid w:val="4B3E2640"/>
    <w:rsid w:val="4B447AD4"/>
    <w:rsid w:val="4B4506C9"/>
    <w:rsid w:val="4B7050AD"/>
    <w:rsid w:val="4B717B63"/>
    <w:rsid w:val="4B8678A9"/>
    <w:rsid w:val="4BA30828"/>
    <w:rsid w:val="4BA93D64"/>
    <w:rsid w:val="4BB74194"/>
    <w:rsid w:val="4BBE0554"/>
    <w:rsid w:val="4BBF20A9"/>
    <w:rsid w:val="4BCB40E3"/>
    <w:rsid w:val="4BD20FCE"/>
    <w:rsid w:val="4BD74836"/>
    <w:rsid w:val="4BED5E07"/>
    <w:rsid w:val="4BF70A34"/>
    <w:rsid w:val="4BFD1393"/>
    <w:rsid w:val="4C0849EF"/>
    <w:rsid w:val="4C194E4E"/>
    <w:rsid w:val="4C1C26CD"/>
    <w:rsid w:val="4C2555A1"/>
    <w:rsid w:val="4C2C2DD4"/>
    <w:rsid w:val="4C3F1BAE"/>
    <w:rsid w:val="4C5C4D3B"/>
    <w:rsid w:val="4C5D5CA7"/>
    <w:rsid w:val="4C76404F"/>
    <w:rsid w:val="4C79769B"/>
    <w:rsid w:val="4C8147A2"/>
    <w:rsid w:val="4C96649F"/>
    <w:rsid w:val="4CB26A62"/>
    <w:rsid w:val="4CCA7AE1"/>
    <w:rsid w:val="4CE216E4"/>
    <w:rsid w:val="4CEE0366"/>
    <w:rsid w:val="4CF569B5"/>
    <w:rsid w:val="4CFB4947"/>
    <w:rsid w:val="4D04165B"/>
    <w:rsid w:val="4D11448E"/>
    <w:rsid w:val="4D267823"/>
    <w:rsid w:val="4D275D07"/>
    <w:rsid w:val="4D3A507C"/>
    <w:rsid w:val="4D5325E2"/>
    <w:rsid w:val="4D5F2D35"/>
    <w:rsid w:val="4D6848C0"/>
    <w:rsid w:val="4D8602C2"/>
    <w:rsid w:val="4D9E5143"/>
    <w:rsid w:val="4D9F75D5"/>
    <w:rsid w:val="4DAE03C1"/>
    <w:rsid w:val="4DC97603"/>
    <w:rsid w:val="4DCA5DBC"/>
    <w:rsid w:val="4DE163BF"/>
    <w:rsid w:val="4DF72F6D"/>
    <w:rsid w:val="4DFE10C7"/>
    <w:rsid w:val="4E086F29"/>
    <w:rsid w:val="4E0D280B"/>
    <w:rsid w:val="4E0F02B7"/>
    <w:rsid w:val="4E140B6A"/>
    <w:rsid w:val="4E1B739A"/>
    <w:rsid w:val="4E21448E"/>
    <w:rsid w:val="4E233D62"/>
    <w:rsid w:val="4E2875CB"/>
    <w:rsid w:val="4E407F3C"/>
    <w:rsid w:val="4E41243B"/>
    <w:rsid w:val="4E676345"/>
    <w:rsid w:val="4E6C17FA"/>
    <w:rsid w:val="4E870795"/>
    <w:rsid w:val="4E8B5D8F"/>
    <w:rsid w:val="4E943545"/>
    <w:rsid w:val="4EB86BA1"/>
    <w:rsid w:val="4ECC43FA"/>
    <w:rsid w:val="4EE94FAC"/>
    <w:rsid w:val="4F0973FC"/>
    <w:rsid w:val="4F0B3CA6"/>
    <w:rsid w:val="4F107345"/>
    <w:rsid w:val="4F1847B3"/>
    <w:rsid w:val="4F2314B3"/>
    <w:rsid w:val="4F3B50DC"/>
    <w:rsid w:val="4F4A531F"/>
    <w:rsid w:val="4F5D5052"/>
    <w:rsid w:val="4F691C49"/>
    <w:rsid w:val="4F813436"/>
    <w:rsid w:val="4F8E345D"/>
    <w:rsid w:val="4FB619EF"/>
    <w:rsid w:val="4FBD1F95"/>
    <w:rsid w:val="4FC861DA"/>
    <w:rsid w:val="4FFB544B"/>
    <w:rsid w:val="500A342C"/>
    <w:rsid w:val="500D6A78"/>
    <w:rsid w:val="500F69BB"/>
    <w:rsid w:val="50334005"/>
    <w:rsid w:val="50406E4E"/>
    <w:rsid w:val="505B77CA"/>
    <w:rsid w:val="50884351"/>
    <w:rsid w:val="50970A38"/>
    <w:rsid w:val="509B22D6"/>
    <w:rsid w:val="50A126B7"/>
    <w:rsid w:val="50A82C45"/>
    <w:rsid w:val="50AE094F"/>
    <w:rsid w:val="50DB294E"/>
    <w:rsid w:val="50DC3D6E"/>
    <w:rsid w:val="510936E3"/>
    <w:rsid w:val="510A2FB8"/>
    <w:rsid w:val="51145BE4"/>
    <w:rsid w:val="511856D5"/>
    <w:rsid w:val="51321C80"/>
    <w:rsid w:val="515661FD"/>
    <w:rsid w:val="516A3A56"/>
    <w:rsid w:val="517255BD"/>
    <w:rsid w:val="517B5C63"/>
    <w:rsid w:val="518C4D4D"/>
    <w:rsid w:val="51A46F68"/>
    <w:rsid w:val="51B13335"/>
    <w:rsid w:val="51D75590"/>
    <w:rsid w:val="521D3CB5"/>
    <w:rsid w:val="523302EC"/>
    <w:rsid w:val="52426781"/>
    <w:rsid w:val="52454FAD"/>
    <w:rsid w:val="524B15B3"/>
    <w:rsid w:val="528374C6"/>
    <w:rsid w:val="528B1ED6"/>
    <w:rsid w:val="52A70D2C"/>
    <w:rsid w:val="52BE405A"/>
    <w:rsid w:val="52E361B6"/>
    <w:rsid w:val="52E837CD"/>
    <w:rsid w:val="52FB52AE"/>
    <w:rsid w:val="531210C9"/>
    <w:rsid w:val="532529C3"/>
    <w:rsid w:val="532742F5"/>
    <w:rsid w:val="53607807"/>
    <w:rsid w:val="538434F5"/>
    <w:rsid w:val="538A03E0"/>
    <w:rsid w:val="539835FD"/>
    <w:rsid w:val="53A2397B"/>
    <w:rsid w:val="53B92A73"/>
    <w:rsid w:val="53BB67EB"/>
    <w:rsid w:val="53BE6E57"/>
    <w:rsid w:val="53C71634"/>
    <w:rsid w:val="53D224B3"/>
    <w:rsid w:val="53EB1FF8"/>
    <w:rsid w:val="53EC2E48"/>
    <w:rsid w:val="53F45760"/>
    <w:rsid w:val="5406215C"/>
    <w:rsid w:val="54216F96"/>
    <w:rsid w:val="547B176D"/>
    <w:rsid w:val="547C41CC"/>
    <w:rsid w:val="549E694A"/>
    <w:rsid w:val="54A379AB"/>
    <w:rsid w:val="54B27BEE"/>
    <w:rsid w:val="54BD0C40"/>
    <w:rsid w:val="54D659D2"/>
    <w:rsid w:val="54F75F49"/>
    <w:rsid w:val="54FC355F"/>
    <w:rsid w:val="55284354"/>
    <w:rsid w:val="55432F3C"/>
    <w:rsid w:val="554A42CB"/>
    <w:rsid w:val="55507BAA"/>
    <w:rsid w:val="5560589C"/>
    <w:rsid w:val="55621614"/>
    <w:rsid w:val="556C4241"/>
    <w:rsid w:val="5579695E"/>
    <w:rsid w:val="558C043F"/>
    <w:rsid w:val="559807C9"/>
    <w:rsid w:val="55A133E3"/>
    <w:rsid w:val="55B87486"/>
    <w:rsid w:val="55C404FA"/>
    <w:rsid w:val="55C45E2B"/>
    <w:rsid w:val="55CC345F"/>
    <w:rsid w:val="55CE6CAA"/>
    <w:rsid w:val="55EA33B8"/>
    <w:rsid w:val="55F04E72"/>
    <w:rsid w:val="56203207"/>
    <w:rsid w:val="562A2C28"/>
    <w:rsid w:val="562C2ED7"/>
    <w:rsid w:val="563F3703"/>
    <w:rsid w:val="5642306F"/>
    <w:rsid w:val="564D4072"/>
    <w:rsid w:val="56610227"/>
    <w:rsid w:val="567B54EE"/>
    <w:rsid w:val="567C4958"/>
    <w:rsid w:val="56846C29"/>
    <w:rsid w:val="5689497F"/>
    <w:rsid w:val="56917593"/>
    <w:rsid w:val="56A703F5"/>
    <w:rsid w:val="56C97471"/>
    <w:rsid w:val="56D64EB7"/>
    <w:rsid w:val="56E314E0"/>
    <w:rsid w:val="57282705"/>
    <w:rsid w:val="574C75A3"/>
    <w:rsid w:val="574D2F08"/>
    <w:rsid w:val="5774562F"/>
    <w:rsid w:val="57750120"/>
    <w:rsid w:val="57754BF2"/>
    <w:rsid w:val="57B10631"/>
    <w:rsid w:val="57BD6FD6"/>
    <w:rsid w:val="57CA16F3"/>
    <w:rsid w:val="57CA3880"/>
    <w:rsid w:val="57E417E0"/>
    <w:rsid w:val="57EE53E1"/>
    <w:rsid w:val="57F32A52"/>
    <w:rsid w:val="57FE50EE"/>
    <w:rsid w:val="58073B8C"/>
    <w:rsid w:val="580E7831"/>
    <w:rsid w:val="58256929"/>
    <w:rsid w:val="583F3E8F"/>
    <w:rsid w:val="58627B7D"/>
    <w:rsid w:val="58982D1B"/>
    <w:rsid w:val="58A40196"/>
    <w:rsid w:val="58A56994"/>
    <w:rsid w:val="58BF0B2C"/>
    <w:rsid w:val="58D67320"/>
    <w:rsid w:val="58F534B4"/>
    <w:rsid w:val="593432C8"/>
    <w:rsid w:val="593E026C"/>
    <w:rsid w:val="593E5EF4"/>
    <w:rsid w:val="593F3A1A"/>
    <w:rsid w:val="594D6137"/>
    <w:rsid w:val="5989503C"/>
    <w:rsid w:val="59977C6E"/>
    <w:rsid w:val="599B50F5"/>
    <w:rsid w:val="59A25D4A"/>
    <w:rsid w:val="59AA17DC"/>
    <w:rsid w:val="59B14918"/>
    <w:rsid w:val="59B15C2B"/>
    <w:rsid w:val="59B25F2D"/>
    <w:rsid w:val="59BC4885"/>
    <w:rsid w:val="59D86349"/>
    <w:rsid w:val="59DB3743"/>
    <w:rsid w:val="59DD0C04"/>
    <w:rsid w:val="59EC76FE"/>
    <w:rsid w:val="5A034978"/>
    <w:rsid w:val="5A040EEC"/>
    <w:rsid w:val="5A16280E"/>
    <w:rsid w:val="5A1B5A10"/>
    <w:rsid w:val="5A266807"/>
    <w:rsid w:val="5A2C21F1"/>
    <w:rsid w:val="5A596C30"/>
    <w:rsid w:val="5A5B2AD6"/>
    <w:rsid w:val="5A6977D7"/>
    <w:rsid w:val="5A6E45B7"/>
    <w:rsid w:val="5A963B0E"/>
    <w:rsid w:val="5AA955EF"/>
    <w:rsid w:val="5AB41F84"/>
    <w:rsid w:val="5ACC2E57"/>
    <w:rsid w:val="5AEB3E5A"/>
    <w:rsid w:val="5B044F1C"/>
    <w:rsid w:val="5B070568"/>
    <w:rsid w:val="5B1C2265"/>
    <w:rsid w:val="5B1F41C6"/>
    <w:rsid w:val="5B2E3D47"/>
    <w:rsid w:val="5B33135D"/>
    <w:rsid w:val="5B435A44"/>
    <w:rsid w:val="5B4672E2"/>
    <w:rsid w:val="5B4A6DD2"/>
    <w:rsid w:val="5B572513"/>
    <w:rsid w:val="5B773CF2"/>
    <w:rsid w:val="5B953DC6"/>
    <w:rsid w:val="5B9B5880"/>
    <w:rsid w:val="5BB7600F"/>
    <w:rsid w:val="5BCD355F"/>
    <w:rsid w:val="5BF037E6"/>
    <w:rsid w:val="5BF741A2"/>
    <w:rsid w:val="5BFD3E45"/>
    <w:rsid w:val="5C0F2714"/>
    <w:rsid w:val="5C2A09B2"/>
    <w:rsid w:val="5C3A263A"/>
    <w:rsid w:val="5C4A4BB0"/>
    <w:rsid w:val="5C531CB7"/>
    <w:rsid w:val="5C814A76"/>
    <w:rsid w:val="5CAE513F"/>
    <w:rsid w:val="5CAF25EE"/>
    <w:rsid w:val="5CAF7F16"/>
    <w:rsid w:val="5CBE74EA"/>
    <w:rsid w:val="5CC56713"/>
    <w:rsid w:val="5CC71DD8"/>
    <w:rsid w:val="5CCE3A33"/>
    <w:rsid w:val="5CD66444"/>
    <w:rsid w:val="5CF82EF2"/>
    <w:rsid w:val="5CF9414D"/>
    <w:rsid w:val="5CF9552F"/>
    <w:rsid w:val="5D0631CD"/>
    <w:rsid w:val="5D0B433F"/>
    <w:rsid w:val="5D17501F"/>
    <w:rsid w:val="5D213B63"/>
    <w:rsid w:val="5D2E44D2"/>
    <w:rsid w:val="5D3C6BEF"/>
    <w:rsid w:val="5D431D2B"/>
    <w:rsid w:val="5D4569AE"/>
    <w:rsid w:val="5D5E0913"/>
    <w:rsid w:val="5D6F2B20"/>
    <w:rsid w:val="5D79399F"/>
    <w:rsid w:val="5D7C6FEB"/>
    <w:rsid w:val="5D883BE2"/>
    <w:rsid w:val="5D9B5E1F"/>
    <w:rsid w:val="5DA36C6E"/>
    <w:rsid w:val="5DAF116F"/>
    <w:rsid w:val="5DB426F2"/>
    <w:rsid w:val="5DF11787"/>
    <w:rsid w:val="5E0771FD"/>
    <w:rsid w:val="5E2733FB"/>
    <w:rsid w:val="5E647215"/>
    <w:rsid w:val="5E6F6B70"/>
    <w:rsid w:val="5E7128C8"/>
    <w:rsid w:val="5E785A05"/>
    <w:rsid w:val="5E7E5BC7"/>
    <w:rsid w:val="5EA467FA"/>
    <w:rsid w:val="5EAC5CC5"/>
    <w:rsid w:val="5EBB3B43"/>
    <w:rsid w:val="5EC24ED2"/>
    <w:rsid w:val="5ECF669A"/>
    <w:rsid w:val="5EF64B7B"/>
    <w:rsid w:val="5F131BD1"/>
    <w:rsid w:val="5F1C68EB"/>
    <w:rsid w:val="5F2B376C"/>
    <w:rsid w:val="5F304531"/>
    <w:rsid w:val="5F3A658F"/>
    <w:rsid w:val="5F4B6DF9"/>
    <w:rsid w:val="5F5244A8"/>
    <w:rsid w:val="5F5C70D4"/>
    <w:rsid w:val="5F5E109E"/>
    <w:rsid w:val="5F675CE8"/>
    <w:rsid w:val="5F6D7533"/>
    <w:rsid w:val="5F904FD0"/>
    <w:rsid w:val="5F9E101E"/>
    <w:rsid w:val="5FD80582"/>
    <w:rsid w:val="5FE377F5"/>
    <w:rsid w:val="60326087"/>
    <w:rsid w:val="603E7754"/>
    <w:rsid w:val="604D407A"/>
    <w:rsid w:val="605E0C2A"/>
    <w:rsid w:val="6061582C"/>
    <w:rsid w:val="60787F3E"/>
    <w:rsid w:val="60940AF0"/>
    <w:rsid w:val="609D64AA"/>
    <w:rsid w:val="60A27B32"/>
    <w:rsid w:val="60BE5D83"/>
    <w:rsid w:val="60DD3A26"/>
    <w:rsid w:val="60E51508"/>
    <w:rsid w:val="60F82E2D"/>
    <w:rsid w:val="60FC0223"/>
    <w:rsid w:val="614A3DAA"/>
    <w:rsid w:val="6155027F"/>
    <w:rsid w:val="616821E1"/>
    <w:rsid w:val="61730B8F"/>
    <w:rsid w:val="618463A2"/>
    <w:rsid w:val="618741B1"/>
    <w:rsid w:val="61B2747F"/>
    <w:rsid w:val="61B90451"/>
    <w:rsid w:val="61DE0274"/>
    <w:rsid w:val="61E73B15"/>
    <w:rsid w:val="61EA259B"/>
    <w:rsid w:val="61EB473F"/>
    <w:rsid w:val="61FC3833"/>
    <w:rsid w:val="622540F5"/>
    <w:rsid w:val="623B7475"/>
    <w:rsid w:val="62405FC3"/>
    <w:rsid w:val="62482F7C"/>
    <w:rsid w:val="62677DAD"/>
    <w:rsid w:val="6281113E"/>
    <w:rsid w:val="62854B94"/>
    <w:rsid w:val="62935219"/>
    <w:rsid w:val="62CD6AEC"/>
    <w:rsid w:val="62D94595"/>
    <w:rsid w:val="63103C43"/>
    <w:rsid w:val="631E6C0A"/>
    <w:rsid w:val="633B34A5"/>
    <w:rsid w:val="6347009B"/>
    <w:rsid w:val="63566066"/>
    <w:rsid w:val="63901A42"/>
    <w:rsid w:val="63C45248"/>
    <w:rsid w:val="63C60FC0"/>
    <w:rsid w:val="63CB65D6"/>
    <w:rsid w:val="63D41366"/>
    <w:rsid w:val="640E2967"/>
    <w:rsid w:val="64153CF6"/>
    <w:rsid w:val="6419594B"/>
    <w:rsid w:val="64264155"/>
    <w:rsid w:val="64356146"/>
    <w:rsid w:val="643F7FB7"/>
    <w:rsid w:val="644C769A"/>
    <w:rsid w:val="64520AA6"/>
    <w:rsid w:val="646627A3"/>
    <w:rsid w:val="64664551"/>
    <w:rsid w:val="647153D0"/>
    <w:rsid w:val="64805613"/>
    <w:rsid w:val="6486074F"/>
    <w:rsid w:val="6488707F"/>
    <w:rsid w:val="648B51F9"/>
    <w:rsid w:val="64B90B25"/>
    <w:rsid w:val="64B96D77"/>
    <w:rsid w:val="64BB2AEF"/>
    <w:rsid w:val="64CB26DD"/>
    <w:rsid w:val="64CD1AD5"/>
    <w:rsid w:val="64FD6C64"/>
    <w:rsid w:val="650171EE"/>
    <w:rsid w:val="65055B18"/>
    <w:rsid w:val="65297A59"/>
    <w:rsid w:val="65433804"/>
    <w:rsid w:val="65556AA0"/>
    <w:rsid w:val="65684D07"/>
    <w:rsid w:val="657A29A5"/>
    <w:rsid w:val="657D2B9C"/>
    <w:rsid w:val="6593581A"/>
    <w:rsid w:val="65956E9C"/>
    <w:rsid w:val="65A215B9"/>
    <w:rsid w:val="65BD63F3"/>
    <w:rsid w:val="65D406EA"/>
    <w:rsid w:val="65E529C8"/>
    <w:rsid w:val="66383CCB"/>
    <w:rsid w:val="66542B2C"/>
    <w:rsid w:val="665723A3"/>
    <w:rsid w:val="667B400E"/>
    <w:rsid w:val="66911D59"/>
    <w:rsid w:val="66E005EB"/>
    <w:rsid w:val="66E53E53"/>
    <w:rsid w:val="66E55C01"/>
    <w:rsid w:val="66EA7812"/>
    <w:rsid w:val="6704527C"/>
    <w:rsid w:val="673F1F3F"/>
    <w:rsid w:val="673F79B4"/>
    <w:rsid w:val="67442824"/>
    <w:rsid w:val="674A1F08"/>
    <w:rsid w:val="67795693"/>
    <w:rsid w:val="677A0A3F"/>
    <w:rsid w:val="67987117"/>
    <w:rsid w:val="67A43BE0"/>
    <w:rsid w:val="67AB6E4B"/>
    <w:rsid w:val="67B37F71"/>
    <w:rsid w:val="67CE6C86"/>
    <w:rsid w:val="67D31319"/>
    <w:rsid w:val="67D72D6F"/>
    <w:rsid w:val="67DC6D5A"/>
    <w:rsid w:val="67E206D5"/>
    <w:rsid w:val="683055A2"/>
    <w:rsid w:val="683E4D48"/>
    <w:rsid w:val="685A261F"/>
    <w:rsid w:val="6865349E"/>
    <w:rsid w:val="68655F18"/>
    <w:rsid w:val="68B00491"/>
    <w:rsid w:val="68C14BF3"/>
    <w:rsid w:val="68FA309F"/>
    <w:rsid w:val="68FB170C"/>
    <w:rsid w:val="68FE0507"/>
    <w:rsid w:val="69034A64"/>
    <w:rsid w:val="690F3409"/>
    <w:rsid w:val="69272501"/>
    <w:rsid w:val="692C5D69"/>
    <w:rsid w:val="692E7D33"/>
    <w:rsid w:val="692F7608"/>
    <w:rsid w:val="69401815"/>
    <w:rsid w:val="694A487B"/>
    <w:rsid w:val="694D6631"/>
    <w:rsid w:val="695025CA"/>
    <w:rsid w:val="6958090C"/>
    <w:rsid w:val="695928D6"/>
    <w:rsid w:val="69765236"/>
    <w:rsid w:val="698E07D2"/>
    <w:rsid w:val="69AB0D0D"/>
    <w:rsid w:val="69B27B43"/>
    <w:rsid w:val="69BE0005"/>
    <w:rsid w:val="69C531FC"/>
    <w:rsid w:val="69DF2DDC"/>
    <w:rsid w:val="69EA352F"/>
    <w:rsid w:val="69EB2192"/>
    <w:rsid w:val="6A026ACA"/>
    <w:rsid w:val="6A0E6EBA"/>
    <w:rsid w:val="6A3C0286"/>
    <w:rsid w:val="6A570136"/>
    <w:rsid w:val="6A695DCD"/>
    <w:rsid w:val="6A6D03E7"/>
    <w:rsid w:val="6A731776"/>
    <w:rsid w:val="6A753740"/>
    <w:rsid w:val="6A7A6FA8"/>
    <w:rsid w:val="6A7E2C0A"/>
    <w:rsid w:val="6A802F8E"/>
    <w:rsid w:val="6AAD4C88"/>
    <w:rsid w:val="6ABA55F7"/>
    <w:rsid w:val="6AC10733"/>
    <w:rsid w:val="6ACD7255"/>
    <w:rsid w:val="6AD2649C"/>
    <w:rsid w:val="6AE17565"/>
    <w:rsid w:val="6AE85CC0"/>
    <w:rsid w:val="6AF01018"/>
    <w:rsid w:val="6AFE3735"/>
    <w:rsid w:val="6B2111D2"/>
    <w:rsid w:val="6B361E7E"/>
    <w:rsid w:val="6B3C7DBA"/>
    <w:rsid w:val="6B3D4EC2"/>
    <w:rsid w:val="6B43383E"/>
    <w:rsid w:val="6B623CC4"/>
    <w:rsid w:val="6B6F63E1"/>
    <w:rsid w:val="6B8071BE"/>
    <w:rsid w:val="6B9D0DAB"/>
    <w:rsid w:val="6BB16221"/>
    <w:rsid w:val="6BE40B7D"/>
    <w:rsid w:val="6BE45953"/>
    <w:rsid w:val="6BE94F3A"/>
    <w:rsid w:val="6BF40694"/>
    <w:rsid w:val="6C061F17"/>
    <w:rsid w:val="6C0E5BFA"/>
    <w:rsid w:val="6C150D37"/>
    <w:rsid w:val="6C2F1E55"/>
    <w:rsid w:val="6C376EFF"/>
    <w:rsid w:val="6C661592"/>
    <w:rsid w:val="6C741E4F"/>
    <w:rsid w:val="6C787517"/>
    <w:rsid w:val="6C914D27"/>
    <w:rsid w:val="6CAA6CFE"/>
    <w:rsid w:val="6CB44727"/>
    <w:rsid w:val="6CC369E5"/>
    <w:rsid w:val="6CDC7AA6"/>
    <w:rsid w:val="6D013FEB"/>
    <w:rsid w:val="6D1930EC"/>
    <w:rsid w:val="6D2F407A"/>
    <w:rsid w:val="6D495C5A"/>
    <w:rsid w:val="6DA71186"/>
    <w:rsid w:val="6DB30918"/>
    <w:rsid w:val="6DB620A5"/>
    <w:rsid w:val="6DC42A14"/>
    <w:rsid w:val="6DCF4F15"/>
    <w:rsid w:val="6DD036A3"/>
    <w:rsid w:val="6DE81D0F"/>
    <w:rsid w:val="6DE85FD7"/>
    <w:rsid w:val="6DF76B0A"/>
    <w:rsid w:val="6E054DB3"/>
    <w:rsid w:val="6E056B89"/>
    <w:rsid w:val="6E0D5EB7"/>
    <w:rsid w:val="6E1A0994"/>
    <w:rsid w:val="6E7004A6"/>
    <w:rsid w:val="6E71421E"/>
    <w:rsid w:val="6E930639"/>
    <w:rsid w:val="6EBD3E7A"/>
    <w:rsid w:val="6EBD700A"/>
    <w:rsid w:val="6EC72090"/>
    <w:rsid w:val="6ED53771"/>
    <w:rsid w:val="6EE94A61"/>
    <w:rsid w:val="6EFD2502"/>
    <w:rsid w:val="6F082DD5"/>
    <w:rsid w:val="6F1352D6"/>
    <w:rsid w:val="6F5B1156"/>
    <w:rsid w:val="6F5E1724"/>
    <w:rsid w:val="6F6618A9"/>
    <w:rsid w:val="6F71097A"/>
    <w:rsid w:val="6F743FC6"/>
    <w:rsid w:val="6F783707"/>
    <w:rsid w:val="6F7D7049"/>
    <w:rsid w:val="6F963F3C"/>
    <w:rsid w:val="6FA36659"/>
    <w:rsid w:val="6FCB3EA6"/>
    <w:rsid w:val="6FE1043B"/>
    <w:rsid w:val="6FF670D1"/>
    <w:rsid w:val="700B760E"/>
    <w:rsid w:val="700D7F77"/>
    <w:rsid w:val="701C72EB"/>
    <w:rsid w:val="703B0F88"/>
    <w:rsid w:val="703B4AE4"/>
    <w:rsid w:val="7066211C"/>
    <w:rsid w:val="706E310B"/>
    <w:rsid w:val="70794B97"/>
    <w:rsid w:val="70860455"/>
    <w:rsid w:val="70860D62"/>
    <w:rsid w:val="70891C83"/>
    <w:rsid w:val="708C17E3"/>
    <w:rsid w:val="70981F36"/>
    <w:rsid w:val="70BA00FF"/>
    <w:rsid w:val="70CD6084"/>
    <w:rsid w:val="70D016D0"/>
    <w:rsid w:val="70ED2282"/>
    <w:rsid w:val="70F35BF8"/>
    <w:rsid w:val="71160F53"/>
    <w:rsid w:val="711A0B9D"/>
    <w:rsid w:val="713C4FB8"/>
    <w:rsid w:val="7141612A"/>
    <w:rsid w:val="71491244"/>
    <w:rsid w:val="714B51FB"/>
    <w:rsid w:val="71582A07"/>
    <w:rsid w:val="717943B6"/>
    <w:rsid w:val="71916F49"/>
    <w:rsid w:val="71A33B87"/>
    <w:rsid w:val="71AB63BC"/>
    <w:rsid w:val="71AE4713"/>
    <w:rsid w:val="71B27028"/>
    <w:rsid w:val="71D13952"/>
    <w:rsid w:val="71D25565"/>
    <w:rsid w:val="71D945B4"/>
    <w:rsid w:val="71F11C1F"/>
    <w:rsid w:val="72225745"/>
    <w:rsid w:val="723314F1"/>
    <w:rsid w:val="724A62A9"/>
    <w:rsid w:val="72646574"/>
    <w:rsid w:val="726C367A"/>
    <w:rsid w:val="727F33AE"/>
    <w:rsid w:val="72802C82"/>
    <w:rsid w:val="72A8433C"/>
    <w:rsid w:val="72AA7CFF"/>
    <w:rsid w:val="72BD1CA1"/>
    <w:rsid w:val="72C07522"/>
    <w:rsid w:val="72D468CD"/>
    <w:rsid w:val="72FF629D"/>
    <w:rsid w:val="73156124"/>
    <w:rsid w:val="731A30D6"/>
    <w:rsid w:val="7320374B"/>
    <w:rsid w:val="73426189"/>
    <w:rsid w:val="734C0DB6"/>
    <w:rsid w:val="73584999"/>
    <w:rsid w:val="735A3B0C"/>
    <w:rsid w:val="7361796E"/>
    <w:rsid w:val="737427E7"/>
    <w:rsid w:val="737C78ED"/>
    <w:rsid w:val="739369E5"/>
    <w:rsid w:val="739B4217"/>
    <w:rsid w:val="73AD5CF9"/>
    <w:rsid w:val="73D94D40"/>
    <w:rsid w:val="73E3796C"/>
    <w:rsid w:val="740D2C3B"/>
    <w:rsid w:val="742E508B"/>
    <w:rsid w:val="744877CF"/>
    <w:rsid w:val="74692D8A"/>
    <w:rsid w:val="746A5998"/>
    <w:rsid w:val="74716D26"/>
    <w:rsid w:val="748142F7"/>
    <w:rsid w:val="74933140"/>
    <w:rsid w:val="74B81FE2"/>
    <w:rsid w:val="74B86703"/>
    <w:rsid w:val="74BD1F6B"/>
    <w:rsid w:val="74CE23CA"/>
    <w:rsid w:val="74E813D5"/>
    <w:rsid w:val="74FF4332"/>
    <w:rsid w:val="750E0AAE"/>
    <w:rsid w:val="751C1388"/>
    <w:rsid w:val="75581C94"/>
    <w:rsid w:val="755A22FF"/>
    <w:rsid w:val="755F3023"/>
    <w:rsid w:val="757F36C5"/>
    <w:rsid w:val="75874327"/>
    <w:rsid w:val="75995FB8"/>
    <w:rsid w:val="75A1188D"/>
    <w:rsid w:val="75B50E95"/>
    <w:rsid w:val="75CA0DE4"/>
    <w:rsid w:val="75CD4430"/>
    <w:rsid w:val="75D25EEA"/>
    <w:rsid w:val="75F75951"/>
    <w:rsid w:val="75FC4D15"/>
    <w:rsid w:val="75FE0A8D"/>
    <w:rsid w:val="76097029"/>
    <w:rsid w:val="76133C04"/>
    <w:rsid w:val="764A4CEF"/>
    <w:rsid w:val="766C1E9B"/>
    <w:rsid w:val="76880357"/>
    <w:rsid w:val="769D2054"/>
    <w:rsid w:val="76A01A54"/>
    <w:rsid w:val="76AA4771"/>
    <w:rsid w:val="76CC0B8C"/>
    <w:rsid w:val="76E13170"/>
    <w:rsid w:val="76E311A3"/>
    <w:rsid w:val="772938E8"/>
    <w:rsid w:val="7734344E"/>
    <w:rsid w:val="774424D0"/>
    <w:rsid w:val="77813724"/>
    <w:rsid w:val="77972F48"/>
    <w:rsid w:val="7798554B"/>
    <w:rsid w:val="77A2369A"/>
    <w:rsid w:val="77B561D9"/>
    <w:rsid w:val="77C32786"/>
    <w:rsid w:val="77CB0E43"/>
    <w:rsid w:val="77E141C3"/>
    <w:rsid w:val="77F008AA"/>
    <w:rsid w:val="78054355"/>
    <w:rsid w:val="78202F3D"/>
    <w:rsid w:val="782347DB"/>
    <w:rsid w:val="78300CA6"/>
    <w:rsid w:val="783267CC"/>
    <w:rsid w:val="783951EC"/>
    <w:rsid w:val="783C3AEF"/>
    <w:rsid w:val="783E1615"/>
    <w:rsid w:val="78484242"/>
    <w:rsid w:val="78485FF0"/>
    <w:rsid w:val="786646C8"/>
    <w:rsid w:val="78670B6C"/>
    <w:rsid w:val="786C4C30"/>
    <w:rsid w:val="7874661E"/>
    <w:rsid w:val="78827754"/>
    <w:rsid w:val="78B91B03"/>
    <w:rsid w:val="78BE2756"/>
    <w:rsid w:val="78D12489"/>
    <w:rsid w:val="78EA354B"/>
    <w:rsid w:val="79711576"/>
    <w:rsid w:val="7973634F"/>
    <w:rsid w:val="797F0066"/>
    <w:rsid w:val="79862855"/>
    <w:rsid w:val="79872B48"/>
    <w:rsid w:val="79AB7B9C"/>
    <w:rsid w:val="79C36276"/>
    <w:rsid w:val="79D33BD7"/>
    <w:rsid w:val="79E65AC0"/>
    <w:rsid w:val="7A010B4C"/>
    <w:rsid w:val="7A0712A8"/>
    <w:rsid w:val="7A1A5F3C"/>
    <w:rsid w:val="7A266F03"/>
    <w:rsid w:val="7A293BFF"/>
    <w:rsid w:val="7A2E3F8E"/>
    <w:rsid w:val="7A440A39"/>
    <w:rsid w:val="7A486B67"/>
    <w:rsid w:val="7A5C5D83"/>
    <w:rsid w:val="7A63380E"/>
    <w:rsid w:val="7A7C01D3"/>
    <w:rsid w:val="7A7E002C"/>
    <w:rsid w:val="7A8734B8"/>
    <w:rsid w:val="7A8A6D94"/>
    <w:rsid w:val="7A911ED0"/>
    <w:rsid w:val="7AB64546"/>
    <w:rsid w:val="7AC04563"/>
    <w:rsid w:val="7ACB4729"/>
    <w:rsid w:val="7AE220D3"/>
    <w:rsid w:val="7AE70BAE"/>
    <w:rsid w:val="7AE91D0C"/>
    <w:rsid w:val="7AEA7832"/>
    <w:rsid w:val="7AEC455F"/>
    <w:rsid w:val="7AFB559C"/>
    <w:rsid w:val="7B05466C"/>
    <w:rsid w:val="7B0703E4"/>
    <w:rsid w:val="7B197943"/>
    <w:rsid w:val="7B4D1357"/>
    <w:rsid w:val="7B58479C"/>
    <w:rsid w:val="7B641393"/>
    <w:rsid w:val="7B6E2F9B"/>
    <w:rsid w:val="7B89704B"/>
    <w:rsid w:val="7B98702C"/>
    <w:rsid w:val="7BAF1C33"/>
    <w:rsid w:val="7BC71922"/>
    <w:rsid w:val="7BC77B74"/>
    <w:rsid w:val="7BD04C7A"/>
    <w:rsid w:val="7BD57CCF"/>
    <w:rsid w:val="7BF85AB6"/>
    <w:rsid w:val="7C022E76"/>
    <w:rsid w:val="7C213B75"/>
    <w:rsid w:val="7C305719"/>
    <w:rsid w:val="7C3163FF"/>
    <w:rsid w:val="7C78717F"/>
    <w:rsid w:val="7C896BD7"/>
    <w:rsid w:val="7C8B6DF3"/>
    <w:rsid w:val="7C8D6749"/>
    <w:rsid w:val="7CA61385"/>
    <w:rsid w:val="7CB718F6"/>
    <w:rsid w:val="7CCC0C02"/>
    <w:rsid w:val="7CE24C65"/>
    <w:rsid w:val="7CE64C01"/>
    <w:rsid w:val="7CFB7AD5"/>
    <w:rsid w:val="7D07647A"/>
    <w:rsid w:val="7D0E5A5A"/>
    <w:rsid w:val="7D123C1F"/>
    <w:rsid w:val="7D1467DB"/>
    <w:rsid w:val="7D20753B"/>
    <w:rsid w:val="7D2C7C8E"/>
    <w:rsid w:val="7D625DA6"/>
    <w:rsid w:val="7D871368"/>
    <w:rsid w:val="7D8B70AB"/>
    <w:rsid w:val="7D931348"/>
    <w:rsid w:val="7DC12ACC"/>
    <w:rsid w:val="7DD32800"/>
    <w:rsid w:val="7DF14781"/>
    <w:rsid w:val="7DFA2E1C"/>
    <w:rsid w:val="7E0D3978"/>
    <w:rsid w:val="7E3A287F"/>
    <w:rsid w:val="7E3F7E95"/>
    <w:rsid w:val="7E6873EC"/>
    <w:rsid w:val="7E8B4E88"/>
    <w:rsid w:val="7E9E4BBC"/>
    <w:rsid w:val="7EB10D93"/>
    <w:rsid w:val="7EB459DD"/>
    <w:rsid w:val="7ECD724F"/>
    <w:rsid w:val="7ED14AF9"/>
    <w:rsid w:val="7EE00D3F"/>
    <w:rsid w:val="7EE22D5E"/>
    <w:rsid w:val="7EF02C27"/>
    <w:rsid w:val="7EF91AB2"/>
    <w:rsid w:val="7EFB3E85"/>
    <w:rsid w:val="7F016EF9"/>
    <w:rsid w:val="7F030EC3"/>
    <w:rsid w:val="7F0E20E8"/>
    <w:rsid w:val="7F177E9D"/>
    <w:rsid w:val="7F2729DE"/>
    <w:rsid w:val="7F351DAF"/>
    <w:rsid w:val="7F390D88"/>
    <w:rsid w:val="7F5031B5"/>
    <w:rsid w:val="7F841BB1"/>
    <w:rsid w:val="7F8C2C66"/>
    <w:rsid w:val="7FC56178"/>
    <w:rsid w:val="7FCF1996"/>
    <w:rsid w:val="7FD17D13"/>
    <w:rsid w:val="7FD7406F"/>
    <w:rsid w:val="7FDF106F"/>
    <w:rsid w:val="7FF1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paragraph" w:styleId="5">
    <w:name w:val="heading 4"/>
    <w:basedOn w:val="1"/>
    <w:next w:val="1"/>
    <w:link w:val="56"/>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6">
    <w:name w:val="heading 5"/>
    <w:basedOn w:val="1"/>
    <w:next w:val="1"/>
    <w:link w:val="57"/>
    <w:qFormat/>
    <w:uiPriority w:val="0"/>
    <w:pPr>
      <w:keepNext/>
      <w:keepLines/>
      <w:spacing w:before="280" w:after="290" w:line="376" w:lineRule="auto"/>
      <w:outlineLvl w:val="4"/>
    </w:pPr>
    <w:rPr>
      <w:b/>
      <w:bCs/>
      <w:sz w:val="28"/>
      <w:szCs w:val="28"/>
    </w:rPr>
  </w:style>
  <w:style w:type="paragraph" w:styleId="7">
    <w:name w:val="heading 6"/>
    <w:basedOn w:val="1"/>
    <w:next w:val="1"/>
    <w:link w:val="58"/>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9"/>
    <w:qFormat/>
    <w:uiPriority w:val="0"/>
    <w:pPr>
      <w:keepNext/>
      <w:keepLines/>
      <w:spacing w:before="240" w:after="64" w:line="320" w:lineRule="auto"/>
      <w:outlineLvl w:val="6"/>
    </w:pPr>
    <w:rPr>
      <w:b/>
      <w:bCs/>
      <w:sz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 w:val="clear" w:pos="425"/>
      </w:tabs>
      <w:adjustRightInd w:val="0"/>
      <w:spacing w:line="300" w:lineRule="auto"/>
      <w:textAlignment w:val="baseline"/>
    </w:pPr>
    <w:rPr>
      <w:kern w:val="0"/>
      <w:sz w:val="28"/>
      <w:szCs w:val="20"/>
    </w:rPr>
  </w:style>
  <w:style w:type="paragraph" w:styleId="11">
    <w:name w:val="Normal Indent"/>
    <w:basedOn w:val="1"/>
    <w:next w:val="12"/>
    <w:qFormat/>
    <w:uiPriority w:val="0"/>
    <w:pPr>
      <w:adjustRightInd w:val="0"/>
      <w:spacing w:line="360" w:lineRule="atLeast"/>
      <w:ind w:firstLine="482"/>
      <w:textAlignment w:val="baseline"/>
    </w:pPr>
    <w:rPr>
      <w:kern w:val="0"/>
      <w:sz w:val="24"/>
      <w:szCs w:val="20"/>
    </w:rPr>
  </w:style>
  <w:style w:type="paragraph" w:styleId="12">
    <w:name w:val="Body Text First Indent 2"/>
    <w:basedOn w:val="13"/>
    <w:next w:val="1"/>
    <w:link w:val="54"/>
    <w:qFormat/>
    <w:uiPriority w:val="0"/>
    <w:pPr>
      <w:ind w:left="420" w:firstLine="420" w:firstLineChars="200"/>
    </w:pPr>
    <w:rPr>
      <w:kern w:val="0"/>
      <w:sz w:val="20"/>
      <w:szCs w:val="20"/>
    </w:rPr>
  </w:style>
  <w:style w:type="paragraph" w:styleId="13">
    <w:name w:val="Body Text Indent"/>
    <w:basedOn w:val="1"/>
    <w:next w:val="14"/>
    <w:link w:val="53"/>
    <w:qFormat/>
    <w:uiPriority w:val="0"/>
    <w:pPr>
      <w:spacing w:after="120"/>
      <w:ind w:left="200" w:leftChars="200"/>
    </w:pPr>
  </w:style>
  <w:style w:type="paragraph" w:styleId="14">
    <w:name w:val="envelope return"/>
    <w:basedOn w:val="1"/>
    <w:next w:val="9"/>
    <w:qFormat/>
    <w:uiPriority w:val="0"/>
    <w:pPr>
      <w:snapToGrid w:val="0"/>
    </w:pPr>
    <w:rPr>
      <w:rFonts w:ascii="Arial" w:hAnsi="Arial"/>
    </w:rPr>
  </w:style>
  <w:style w:type="paragraph" w:styleId="15">
    <w:name w:val="Document Map"/>
    <w:basedOn w:val="1"/>
    <w:next w:val="1"/>
    <w:qFormat/>
    <w:uiPriority w:val="0"/>
    <w:pPr>
      <w:widowControl/>
      <w:shd w:val="clear" w:color="000000" w:fill="000080"/>
      <w:spacing w:line="357" w:lineRule="atLeast"/>
    </w:pPr>
    <w:rPr>
      <w:color w:val="000000"/>
    </w:rPr>
  </w:style>
  <w:style w:type="paragraph" w:styleId="16">
    <w:name w:val="annotation text"/>
    <w:basedOn w:val="1"/>
    <w:link w:val="60"/>
    <w:qFormat/>
    <w:uiPriority w:val="0"/>
    <w:pPr>
      <w:jc w:val="left"/>
    </w:pPr>
  </w:style>
  <w:style w:type="paragraph" w:styleId="17">
    <w:name w:val="Body Text"/>
    <w:basedOn w:val="1"/>
    <w:qFormat/>
    <w:uiPriority w:val="0"/>
    <w:pPr>
      <w:spacing w:after="120"/>
    </w:pPr>
  </w:style>
  <w:style w:type="paragraph" w:styleId="18">
    <w:name w:val="toc 3"/>
    <w:basedOn w:val="1"/>
    <w:next w:val="1"/>
    <w:qFormat/>
    <w:uiPriority w:val="0"/>
    <w:pPr>
      <w:tabs>
        <w:tab w:val="right" w:leader="dot" w:pos="9288"/>
      </w:tabs>
      <w:ind w:left="400" w:leftChars="400"/>
    </w:pPr>
    <w:rPr>
      <w:rFonts w:ascii="宋体"/>
    </w:rPr>
  </w:style>
  <w:style w:type="paragraph" w:styleId="19">
    <w:name w:val="Plain Text"/>
    <w:basedOn w:val="1"/>
    <w:link w:val="61"/>
    <w:qFormat/>
    <w:uiPriority w:val="0"/>
    <w:rPr>
      <w:rFonts w:ascii="宋体"/>
      <w:color w:val="000000"/>
      <w:szCs w:val="20"/>
      <w:u w:color="000000"/>
    </w:rPr>
  </w:style>
  <w:style w:type="paragraph" w:styleId="20">
    <w:name w:val="Date"/>
    <w:basedOn w:val="1"/>
    <w:next w:val="1"/>
    <w:link w:val="62"/>
    <w:qFormat/>
    <w:uiPriority w:val="0"/>
    <w:rPr>
      <w:rFonts w:ascii="Arial" w:hAnsi="Arial" w:eastAsia="仿宋_GB2312"/>
      <w:color w:val="000000"/>
      <w:sz w:val="32"/>
      <w:szCs w:val="20"/>
      <w:u w:color="000000"/>
    </w:rPr>
  </w:style>
  <w:style w:type="paragraph" w:styleId="21">
    <w:name w:val="Body Text Indent 2"/>
    <w:basedOn w:val="1"/>
    <w:link w:val="63"/>
    <w:qFormat/>
    <w:uiPriority w:val="0"/>
    <w:pPr>
      <w:spacing w:after="120" w:line="480" w:lineRule="auto"/>
      <w:ind w:left="420" w:leftChars="200"/>
    </w:pPr>
  </w:style>
  <w:style w:type="paragraph" w:styleId="22">
    <w:name w:val="Balloon Text"/>
    <w:basedOn w:val="1"/>
    <w:link w:val="64"/>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6"/>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Subtitle"/>
    <w:basedOn w:val="1"/>
    <w:next w:val="1"/>
    <w:qFormat/>
    <w:uiPriority w:val="0"/>
    <w:pPr>
      <w:numPr>
        <w:ilvl w:val="0"/>
        <w:numId w:val="3"/>
      </w:numPr>
      <w:spacing w:line="360" w:lineRule="auto"/>
      <w:jc w:val="left"/>
      <w:outlineLvl w:val="1"/>
    </w:pPr>
    <w:rPr>
      <w:rFonts w:ascii="Calibri Light" w:hAnsi="Calibri Light"/>
      <w:bCs/>
      <w:kern w:val="28"/>
      <w:szCs w:val="32"/>
    </w:rPr>
  </w:style>
  <w:style w:type="paragraph" w:styleId="27">
    <w:name w:val="List"/>
    <w:basedOn w:val="1"/>
    <w:next w:val="1"/>
    <w:qFormat/>
    <w:uiPriority w:val="0"/>
    <w:pPr>
      <w:ind w:left="420" w:hanging="420"/>
    </w:pPr>
    <w:rPr>
      <w:rFonts w:ascii="Arial" w:hAnsi="Arial" w:eastAsia="楷体_GB2312"/>
      <w:sz w:val="28"/>
    </w:rPr>
  </w:style>
  <w:style w:type="paragraph" w:styleId="28">
    <w:name w:val="toc 6"/>
    <w:basedOn w:val="1"/>
    <w:next w:val="1"/>
    <w:qFormat/>
    <w:uiPriority w:val="0"/>
    <w:pPr>
      <w:autoSpaceDE w:val="0"/>
      <w:autoSpaceDN w:val="0"/>
      <w:ind w:left="1700"/>
      <w:jc w:val="left"/>
      <w:textAlignment w:val="baseline"/>
    </w:pPr>
    <w:rPr>
      <w:kern w:val="0"/>
      <w:sz w:val="18"/>
      <w:szCs w:val="18"/>
    </w:rPr>
  </w:style>
  <w:style w:type="paragraph" w:styleId="29">
    <w:name w:val="toc 2"/>
    <w:basedOn w:val="1"/>
    <w:next w:val="1"/>
    <w:qFormat/>
    <w:uiPriority w:val="0"/>
    <w:pPr>
      <w:ind w:left="200" w:leftChars="200"/>
    </w:p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qFormat/>
    <w:uiPriority w:val="0"/>
    <w:pPr>
      <w:numPr>
        <w:ilvl w:val="0"/>
        <w:numId w:val="4"/>
      </w:numPr>
      <w:spacing w:line="360" w:lineRule="auto"/>
      <w:jc w:val="left"/>
      <w:outlineLvl w:val="0"/>
    </w:pPr>
    <w:rPr>
      <w:rFonts w:ascii="Cambria" w:hAnsi="Cambria"/>
      <w:b/>
      <w:bCs/>
      <w:sz w:val="28"/>
      <w:szCs w:val="32"/>
    </w:rPr>
  </w:style>
  <w:style w:type="paragraph" w:styleId="33">
    <w:name w:val="annotation subject"/>
    <w:basedOn w:val="16"/>
    <w:next w:val="16"/>
    <w:link w:val="67"/>
    <w:qFormat/>
    <w:uiPriority w:val="0"/>
    <w:rPr>
      <w:b/>
      <w:bCs/>
    </w:rPr>
  </w:style>
  <w:style w:type="paragraph" w:styleId="34">
    <w:name w:val="Body Text First Indent"/>
    <w:basedOn w:val="17"/>
    <w:qFormat/>
    <w:uiPriority w:val="0"/>
    <w:pPr>
      <w:ind w:firstLine="420" w:firstLineChars="1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0"/>
    <w:rPr>
      <w:rFonts w:ascii="Times New Roman" w:hAnsi="Times New Roman" w:eastAsia="宋体" w:cs="Times New Roman"/>
      <w:b/>
    </w:rPr>
  </w:style>
  <w:style w:type="character" w:styleId="39">
    <w:name w:val="page number"/>
    <w:qFormat/>
    <w:uiPriority w:val="0"/>
    <w:rPr>
      <w:rFonts w:ascii="Times New Roman" w:hAnsi="Times New Roman" w:eastAsia="宋体" w:cs="Times New Roman"/>
    </w:rPr>
  </w:style>
  <w:style w:type="character" w:styleId="40">
    <w:name w:val="FollowedHyperlink"/>
    <w:qFormat/>
    <w:uiPriority w:val="0"/>
    <w:rPr>
      <w:rFonts w:ascii="Times New Roman" w:hAnsi="Times New Roman" w:eastAsia="宋体" w:cs="Times New Roman"/>
      <w:color w:val="333333"/>
      <w:u w:val="none"/>
    </w:rPr>
  </w:style>
  <w:style w:type="character" w:styleId="41">
    <w:name w:val="Emphasis"/>
    <w:qFormat/>
    <w:uiPriority w:val="0"/>
    <w:rPr>
      <w:rFonts w:ascii="Times New Roman" w:hAnsi="Times New Roman" w:eastAsia="宋体" w:cs="Times New Roman"/>
      <w:i/>
      <w:iCs/>
    </w:rPr>
  </w:style>
  <w:style w:type="character" w:styleId="42">
    <w:name w:val="HTML Definition"/>
    <w:qFormat/>
    <w:uiPriority w:val="0"/>
    <w:rPr>
      <w:rFonts w:ascii="Times New Roman" w:hAnsi="Times New Roman" w:eastAsia="宋体" w:cs="Times New Roman"/>
    </w:rPr>
  </w:style>
  <w:style w:type="character" w:styleId="43">
    <w:name w:val="HTML Typewriter"/>
    <w:qFormat/>
    <w:uiPriority w:val="0"/>
    <w:rPr>
      <w:rFonts w:hint="default" w:ascii="monospace" w:hAnsi="monospace" w:eastAsia="monospace" w:cs="monospace"/>
      <w:sz w:val="20"/>
    </w:rPr>
  </w:style>
  <w:style w:type="character" w:styleId="44">
    <w:name w:val="HTML Acronym"/>
    <w:qFormat/>
    <w:uiPriority w:val="0"/>
    <w:rPr>
      <w:rFonts w:ascii="Times New Roman" w:hAnsi="Times New Roman" w:eastAsia="宋体" w:cs="Times New Roman"/>
    </w:rPr>
  </w:style>
  <w:style w:type="character" w:styleId="45">
    <w:name w:val="HTML Variable"/>
    <w:qFormat/>
    <w:uiPriority w:val="0"/>
    <w:rPr>
      <w:rFonts w:ascii="Times New Roman" w:hAnsi="Times New Roman" w:eastAsia="宋体" w:cs="Times New Roman"/>
    </w:rPr>
  </w:style>
  <w:style w:type="character" w:styleId="46">
    <w:name w:val="Hyperlink"/>
    <w:qFormat/>
    <w:uiPriority w:val="0"/>
    <w:rPr>
      <w:rFonts w:ascii="Times New Roman" w:hAnsi="Times New Roman" w:eastAsia="宋体" w:cs="Times New Roman"/>
      <w:color w:val="333333"/>
      <w:u w:val="none"/>
    </w:rPr>
  </w:style>
  <w:style w:type="character" w:styleId="47">
    <w:name w:val="HTML Code"/>
    <w:qFormat/>
    <w:uiPriority w:val="0"/>
    <w:rPr>
      <w:rFonts w:hint="default" w:ascii="monospace" w:hAnsi="monospace" w:eastAsia="monospace" w:cs="monospace"/>
      <w:sz w:val="20"/>
    </w:rPr>
  </w:style>
  <w:style w:type="character" w:styleId="48">
    <w:name w:val="annotation reference"/>
    <w:qFormat/>
    <w:uiPriority w:val="0"/>
    <w:rPr>
      <w:rFonts w:ascii="Times New Roman" w:hAnsi="Times New Roman" w:eastAsia="宋体" w:cs="Times New Roman"/>
      <w:sz w:val="21"/>
      <w:szCs w:val="21"/>
    </w:rPr>
  </w:style>
  <w:style w:type="character" w:styleId="49">
    <w:name w:val="HTML Cite"/>
    <w:qFormat/>
    <w:uiPriority w:val="0"/>
    <w:rPr>
      <w:rFonts w:ascii="Times New Roman" w:hAnsi="Times New Roman" w:eastAsia="宋体" w:cs="Times New Roman"/>
    </w:rPr>
  </w:style>
  <w:style w:type="character" w:styleId="50">
    <w:name w:val="HTML Keyboard"/>
    <w:qFormat/>
    <w:uiPriority w:val="0"/>
    <w:rPr>
      <w:rFonts w:hint="default" w:ascii="monospace" w:hAnsi="monospace" w:eastAsia="monospace" w:cs="monospace"/>
      <w:sz w:val="20"/>
    </w:rPr>
  </w:style>
  <w:style w:type="character" w:styleId="51">
    <w:name w:val="HTML Sample"/>
    <w:qFormat/>
    <w:uiPriority w:val="0"/>
    <w:rPr>
      <w:rFonts w:ascii="monospace" w:hAnsi="monospace" w:eastAsia="monospace" w:cs="monospace"/>
    </w:rPr>
  </w:style>
  <w:style w:type="paragraph" w:customStyle="1" w:styleId="5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3">
    <w:name w:val="正文文本缩进 Char"/>
    <w:link w:val="13"/>
    <w:qFormat/>
    <w:uiPriority w:val="0"/>
    <w:rPr>
      <w:rFonts w:ascii="Times New Roman" w:hAnsi="Times New Roman" w:eastAsia="宋体" w:cs="Times New Roman"/>
      <w:kern w:val="2"/>
      <w:sz w:val="21"/>
      <w:szCs w:val="24"/>
    </w:rPr>
  </w:style>
  <w:style w:type="character" w:customStyle="1" w:styleId="54">
    <w:name w:val="正文首行缩进 2 Char"/>
    <w:link w:val="12"/>
    <w:qFormat/>
    <w:uiPriority w:val="0"/>
    <w:rPr>
      <w:rFonts w:ascii="Times New Roman" w:hAnsi="Times New Roman" w:eastAsia="宋体" w:cs="Times New Roman"/>
    </w:rPr>
  </w:style>
  <w:style w:type="character" w:customStyle="1" w:styleId="55">
    <w:name w:val="标题 1 Char"/>
    <w:link w:val="2"/>
    <w:qFormat/>
    <w:uiPriority w:val="0"/>
    <w:rPr>
      <w:rFonts w:ascii="Times New Roman" w:hAnsi="Times New Roman" w:eastAsia="宋体" w:cs="Times New Roman"/>
      <w:b/>
      <w:bCs/>
      <w:kern w:val="44"/>
      <w:sz w:val="32"/>
      <w:szCs w:val="44"/>
    </w:rPr>
  </w:style>
  <w:style w:type="character" w:customStyle="1" w:styleId="56">
    <w:name w:val="标题 4 Char"/>
    <w:link w:val="5"/>
    <w:qFormat/>
    <w:uiPriority w:val="0"/>
    <w:rPr>
      <w:rFonts w:ascii="Arial" w:hAnsi="Arial" w:eastAsia="黑体" w:cs="Times New Roman"/>
      <w:b/>
      <w:bCs/>
      <w:color w:val="000000"/>
      <w:sz w:val="28"/>
      <w:szCs w:val="28"/>
      <w:u w:val="none" w:color="000000"/>
      <w:lang w:val="en-US" w:eastAsia="zh-CN" w:bidi="ar-SA"/>
    </w:rPr>
  </w:style>
  <w:style w:type="character" w:customStyle="1" w:styleId="57">
    <w:name w:val="标题 5 Char"/>
    <w:link w:val="6"/>
    <w:qFormat/>
    <w:uiPriority w:val="0"/>
    <w:rPr>
      <w:rFonts w:ascii="Times New Roman" w:hAnsi="Times New Roman" w:eastAsia="宋体" w:cs="Times New Roman"/>
      <w:b/>
      <w:bCs/>
      <w:kern w:val="2"/>
      <w:sz w:val="28"/>
      <w:szCs w:val="28"/>
    </w:rPr>
  </w:style>
  <w:style w:type="character" w:customStyle="1" w:styleId="58">
    <w:name w:val="标题 6 Char"/>
    <w:link w:val="7"/>
    <w:qFormat/>
    <w:uiPriority w:val="0"/>
    <w:rPr>
      <w:rFonts w:ascii="Cambria" w:hAnsi="Cambria" w:eastAsia="宋体" w:cs="Times New Roman"/>
      <w:b/>
      <w:bCs/>
      <w:kern w:val="2"/>
      <w:sz w:val="24"/>
      <w:szCs w:val="24"/>
    </w:rPr>
  </w:style>
  <w:style w:type="character" w:customStyle="1" w:styleId="59">
    <w:name w:val="标题 7 Char"/>
    <w:link w:val="8"/>
    <w:qFormat/>
    <w:uiPriority w:val="0"/>
    <w:rPr>
      <w:rFonts w:ascii="Times New Roman" w:hAnsi="Times New Roman" w:eastAsia="宋体" w:cs="Times New Roman"/>
      <w:b/>
      <w:bCs/>
      <w:kern w:val="2"/>
      <w:sz w:val="24"/>
      <w:szCs w:val="24"/>
    </w:rPr>
  </w:style>
  <w:style w:type="character" w:customStyle="1" w:styleId="60">
    <w:name w:val="批注文字 Char"/>
    <w:link w:val="16"/>
    <w:qFormat/>
    <w:uiPriority w:val="0"/>
    <w:rPr>
      <w:rFonts w:ascii="Times New Roman" w:hAnsi="Times New Roman" w:eastAsia="宋体" w:cs="Times New Roman"/>
      <w:kern w:val="2"/>
      <w:sz w:val="21"/>
      <w:szCs w:val="24"/>
    </w:rPr>
  </w:style>
  <w:style w:type="character" w:customStyle="1" w:styleId="61">
    <w:name w:val="纯文本 Char"/>
    <w:link w:val="19"/>
    <w:qFormat/>
    <w:uiPriority w:val="0"/>
    <w:rPr>
      <w:rFonts w:ascii="宋体" w:hAnsi="Times New Roman" w:eastAsia="宋体" w:cs="Times New Roman"/>
      <w:color w:val="000000"/>
      <w:kern w:val="2"/>
      <w:sz w:val="21"/>
      <w:u w:val="none" w:color="000000"/>
      <w:lang w:val="en-US" w:eastAsia="zh-CN" w:bidi="ar-SA"/>
    </w:rPr>
  </w:style>
  <w:style w:type="character" w:customStyle="1" w:styleId="62">
    <w:name w:val="日期 Char"/>
    <w:link w:val="20"/>
    <w:qFormat/>
    <w:uiPriority w:val="0"/>
    <w:rPr>
      <w:rFonts w:ascii="Arial" w:hAnsi="Arial" w:eastAsia="仿宋_GB2312" w:cs="Times New Roman"/>
      <w:color w:val="000000"/>
      <w:kern w:val="2"/>
      <w:sz w:val="32"/>
      <w:u w:val="none" w:color="000000"/>
    </w:rPr>
  </w:style>
  <w:style w:type="character" w:customStyle="1" w:styleId="63">
    <w:name w:val="正文文本缩进 2 Char"/>
    <w:link w:val="21"/>
    <w:qFormat/>
    <w:uiPriority w:val="0"/>
    <w:rPr>
      <w:rFonts w:ascii="Times New Roman" w:hAnsi="Times New Roman" w:eastAsia="宋体" w:cs="Times New Roman"/>
      <w:kern w:val="2"/>
      <w:sz w:val="21"/>
      <w:szCs w:val="24"/>
    </w:rPr>
  </w:style>
  <w:style w:type="character" w:customStyle="1" w:styleId="64">
    <w:name w:val="批注框文本 Char"/>
    <w:link w:val="22"/>
    <w:qFormat/>
    <w:uiPriority w:val="0"/>
    <w:rPr>
      <w:rFonts w:ascii="Times New Roman" w:hAnsi="Times New Roman" w:eastAsia="宋体" w:cs="Times New Roman"/>
      <w:kern w:val="2"/>
      <w:sz w:val="18"/>
      <w:szCs w:val="18"/>
    </w:rPr>
  </w:style>
  <w:style w:type="character" w:customStyle="1" w:styleId="65">
    <w:name w:val="页脚 Char"/>
    <w:link w:val="23"/>
    <w:qFormat/>
    <w:uiPriority w:val="0"/>
    <w:rPr>
      <w:rFonts w:ascii="Times New Roman" w:hAnsi="Times New Roman" w:eastAsia="宋体" w:cs="Times New Roman"/>
      <w:kern w:val="2"/>
      <w:sz w:val="18"/>
      <w:szCs w:val="18"/>
    </w:rPr>
  </w:style>
  <w:style w:type="character" w:customStyle="1" w:styleId="66">
    <w:name w:val="页眉 Char"/>
    <w:link w:val="24"/>
    <w:qFormat/>
    <w:uiPriority w:val="0"/>
    <w:rPr>
      <w:rFonts w:ascii="Times New Roman" w:hAnsi="Times New Roman" w:eastAsia="宋体" w:cs="Times New Roman"/>
      <w:kern w:val="2"/>
      <w:sz w:val="18"/>
      <w:szCs w:val="18"/>
    </w:rPr>
  </w:style>
  <w:style w:type="character" w:customStyle="1" w:styleId="67">
    <w:name w:val="批注主题 Char"/>
    <w:link w:val="33"/>
    <w:qFormat/>
    <w:uiPriority w:val="0"/>
    <w:rPr>
      <w:rFonts w:ascii="Times New Roman" w:hAnsi="Times New Roman" w:eastAsia="宋体" w:cs="Times New Roman"/>
      <w:b/>
      <w:bCs/>
      <w:kern w:val="2"/>
      <w:sz w:val="21"/>
      <w:szCs w:val="24"/>
    </w:rPr>
  </w:style>
  <w:style w:type="character" w:customStyle="1" w:styleId="68">
    <w:name w:val="图表 Char Char"/>
    <w:link w:val="69"/>
    <w:qFormat/>
    <w:uiPriority w:val="0"/>
    <w:rPr>
      <w:rFonts w:ascii="Times New Roman" w:hAnsi="Times New Roman" w:eastAsia="宋体" w:cs="Times New Roman"/>
      <w:kern w:val="2"/>
      <w:sz w:val="21"/>
      <w:szCs w:val="21"/>
    </w:rPr>
  </w:style>
  <w:style w:type="paragraph" w:customStyle="1" w:styleId="69">
    <w:name w:val="图表"/>
    <w:basedOn w:val="1"/>
    <w:next w:val="1"/>
    <w:link w:val="68"/>
    <w:qFormat/>
    <w:uiPriority w:val="0"/>
    <w:pPr>
      <w:jc w:val="center"/>
    </w:pPr>
    <w:rPr>
      <w:szCs w:val="21"/>
    </w:rPr>
  </w:style>
  <w:style w:type="character" w:customStyle="1" w:styleId="70">
    <w:name w:val="【正文】 Char Char"/>
    <w:link w:val="71"/>
    <w:qFormat/>
    <w:uiPriority w:val="0"/>
    <w:rPr>
      <w:rFonts w:ascii="Times New Roman" w:hAnsi="Times New Roman" w:eastAsia="宋体" w:cs="DokChampa"/>
      <w:kern w:val="2"/>
      <w:sz w:val="24"/>
      <w:szCs w:val="22"/>
    </w:rPr>
  </w:style>
  <w:style w:type="paragraph" w:customStyle="1" w:styleId="71">
    <w:name w:val="【正文】"/>
    <w:basedOn w:val="1"/>
    <w:link w:val="70"/>
    <w:qFormat/>
    <w:uiPriority w:val="0"/>
    <w:pPr>
      <w:spacing w:line="360" w:lineRule="auto"/>
      <w:ind w:firstLine="480" w:firstLineChars="200"/>
    </w:pPr>
    <w:rPr>
      <w:sz w:val="24"/>
      <w:szCs w:val="22"/>
    </w:rPr>
  </w:style>
  <w:style w:type="character" w:customStyle="1" w:styleId="72">
    <w:name w:val="selected"/>
    <w:qFormat/>
    <w:uiPriority w:val="0"/>
    <w:rPr>
      <w:rFonts w:ascii="Times New Roman" w:hAnsi="Times New Roman" w:eastAsia="宋体" w:cs="Times New Roman"/>
      <w:shd w:val="clear" w:color="auto" w:fill="B00006"/>
    </w:rPr>
  </w:style>
  <w:style w:type="character" w:customStyle="1" w:styleId="73">
    <w:name w:val="font21"/>
    <w:basedOn w:val="37"/>
    <w:qFormat/>
    <w:uiPriority w:val="0"/>
    <w:rPr>
      <w:rFonts w:hint="eastAsia" w:ascii="宋体" w:hAnsi="宋体" w:eastAsia="宋体" w:cs="宋体"/>
      <w:color w:val="000000"/>
      <w:sz w:val="18"/>
      <w:szCs w:val="18"/>
      <w:u w:val="none"/>
    </w:rPr>
  </w:style>
  <w:style w:type="character" w:customStyle="1" w:styleId="74">
    <w:name w:val="bds_nopic"/>
    <w:qFormat/>
    <w:uiPriority w:val="0"/>
    <w:rPr>
      <w:rFonts w:ascii="Times New Roman" w:hAnsi="Times New Roman" w:eastAsia="宋体" w:cs="Times New Roman"/>
    </w:rPr>
  </w:style>
  <w:style w:type="character" w:customStyle="1" w:styleId="75">
    <w:name w:val="NormalCharacter"/>
    <w:qFormat/>
    <w:uiPriority w:val="0"/>
    <w:rPr>
      <w:rFonts w:ascii="Times New Roman" w:hAnsi="Times New Roman" w:eastAsia="宋体" w:cs="Times New Roman"/>
      <w:kern w:val="2"/>
      <w:sz w:val="21"/>
      <w:szCs w:val="24"/>
      <w:lang w:val="en-US" w:eastAsia="zh-CN" w:bidi="ar-SA"/>
    </w:rPr>
  </w:style>
  <w:style w:type="character" w:customStyle="1" w:styleId="76">
    <w:name w:val="gpa"/>
    <w:qFormat/>
    <w:uiPriority w:val="0"/>
    <w:rPr>
      <w:rFonts w:ascii="Arial" w:hAnsi="Arial" w:eastAsia="宋体" w:cs="Arial"/>
      <w:sz w:val="15"/>
      <w:szCs w:val="15"/>
    </w:rPr>
  </w:style>
  <w:style w:type="character" w:customStyle="1" w:styleId="77">
    <w:name w:val="正文首行缩进 2 Char1"/>
    <w:qFormat/>
    <w:uiPriority w:val="0"/>
    <w:rPr>
      <w:rFonts w:ascii="Times New Roman" w:hAnsi="Times New Roman" w:eastAsia="宋体" w:cs="Times New Roman"/>
    </w:rPr>
  </w:style>
  <w:style w:type="character" w:customStyle="1" w:styleId="78">
    <w:name w:val="列出段落 Char"/>
    <w:link w:val="79"/>
    <w:qFormat/>
    <w:uiPriority w:val="0"/>
    <w:rPr>
      <w:rFonts w:ascii="Calibri" w:hAnsi="Calibri" w:eastAsia="宋体" w:cs="Times New Roman"/>
      <w:kern w:val="2"/>
      <w:sz w:val="21"/>
      <w:szCs w:val="22"/>
      <w:lang w:val="en-US" w:eastAsia="zh-CN" w:bidi="ar-SA"/>
    </w:rPr>
  </w:style>
  <w:style w:type="paragraph" w:customStyle="1" w:styleId="79">
    <w:name w:val="List Paragraph1"/>
    <w:basedOn w:val="1"/>
    <w:link w:val="78"/>
    <w:qFormat/>
    <w:uiPriority w:val="0"/>
    <w:pPr>
      <w:spacing w:line="312" w:lineRule="auto"/>
      <w:ind w:firstLine="420" w:firstLineChars="200"/>
    </w:pPr>
    <w:rPr>
      <w:rFonts w:ascii="Calibri" w:hAnsi="Calibri"/>
      <w:szCs w:val="22"/>
    </w:rPr>
  </w:style>
  <w:style w:type="character" w:customStyle="1" w:styleId="80">
    <w:name w:val="bds_nopic2"/>
    <w:qFormat/>
    <w:uiPriority w:val="0"/>
    <w:rPr>
      <w:rFonts w:ascii="Times New Roman" w:hAnsi="Times New Roman" w:eastAsia="宋体" w:cs="Times New Roman"/>
    </w:rPr>
  </w:style>
  <w:style w:type="character" w:customStyle="1" w:styleId="81">
    <w:name w:val="font61"/>
    <w:qFormat/>
    <w:uiPriority w:val="0"/>
    <w:rPr>
      <w:rFonts w:hint="default" w:ascii="MS Sans Serif" w:hAnsi="MS Sans Serif" w:eastAsia="MS Sans Serif" w:cs="MS Sans Serif"/>
      <w:color w:val="000000"/>
      <w:sz w:val="18"/>
      <w:szCs w:val="18"/>
      <w:u w:val="none"/>
    </w:rPr>
  </w:style>
  <w:style w:type="character" w:customStyle="1" w:styleId="82">
    <w:name w:val="bds_more1"/>
    <w:qFormat/>
    <w:uiPriority w:val="0"/>
    <w:rPr>
      <w:rFonts w:ascii="Times New Roman" w:hAnsi="Times New Roman" w:eastAsia="宋体" w:cs="Times New Roman"/>
    </w:rPr>
  </w:style>
  <w:style w:type="character" w:customStyle="1" w:styleId="83">
    <w:name w:val="font71"/>
    <w:qFormat/>
    <w:uiPriority w:val="0"/>
    <w:rPr>
      <w:rFonts w:hint="default" w:ascii="MS Sans Serif" w:hAnsi="MS Sans Serif" w:eastAsia="MS Sans Serif" w:cs="MS Sans Serif"/>
      <w:color w:val="000000"/>
      <w:sz w:val="18"/>
      <w:szCs w:val="18"/>
      <w:u w:val="none"/>
    </w:rPr>
  </w:style>
  <w:style w:type="character" w:customStyle="1" w:styleId="84">
    <w:name w:val="first-child"/>
    <w:qFormat/>
    <w:uiPriority w:val="0"/>
    <w:rPr>
      <w:rFonts w:ascii="Times New Roman" w:hAnsi="Times New Roman" w:eastAsia="宋体" w:cs="Times New Roman"/>
    </w:rPr>
  </w:style>
  <w:style w:type="character" w:customStyle="1" w:styleId="85">
    <w:name w:val="bds_nopic1"/>
    <w:qFormat/>
    <w:uiPriority w:val="0"/>
    <w:rPr>
      <w:rFonts w:ascii="Times New Roman" w:hAnsi="Times New Roman" w:eastAsia="宋体" w:cs="Times New Roman"/>
    </w:rPr>
  </w:style>
  <w:style w:type="character" w:customStyle="1" w:styleId="86">
    <w:name w:val="layui-this"/>
    <w:qFormat/>
    <w:uiPriority w:val="0"/>
    <w:rPr>
      <w:rFonts w:ascii="Times New Roman" w:hAnsi="Times New Roman" w:eastAsia="宋体" w:cs="Times New Roman"/>
      <w:bdr w:val="single" w:color="EEEEEE" w:sz="6" w:space="0"/>
      <w:shd w:val="clear" w:color="auto" w:fill="FFFFFF"/>
    </w:rPr>
  </w:style>
  <w:style w:type="character" w:customStyle="1" w:styleId="87">
    <w:name w:val="font81"/>
    <w:qFormat/>
    <w:uiPriority w:val="0"/>
    <w:rPr>
      <w:rFonts w:ascii="Arial Unicode MS" w:hAnsi="Arial Unicode MS" w:eastAsia="Arial Unicode MS" w:cs="Arial Unicode MS"/>
      <w:color w:val="000000"/>
      <w:sz w:val="18"/>
      <w:szCs w:val="18"/>
      <w:u w:val="none"/>
    </w:rPr>
  </w:style>
  <w:style w:type="character" w:customStyle="1" w:styleId="88">
    <w:name w:val="apple-converted-space"/>
    <w:qFormat/>
    <w:uiPriority w:val="0"/>
    <w:rPr>
      <w:rFonts w:ascii="Times New Roman" w:hAnsi="Times New Roman" w:eastAsia="宋体" w:cs="Times New Roman"/>
    </w:rPr>
  </w:style>
  <w:style w:type="character" w:customStyle="1" w:styleId="89">
    <w:name w:val="displayarti"/>
    <w:qFormat/>
    <w:uiPriority w:val="0"/>
    <w:rPr>
      <w:rFonts w:ascii="Times New Roman" w:hAnsi="Times New Roman" w:eastAsia="宋体" w:cs="Times New Roman"/>
      <w:color w:val="FFFFFF"/>
      <w:shd w:val="clear" w:color="auto" w:fill="A00000"/>
    </w:rPr>
  </w:style>
  <w:style w:type="character" w:customStyle="1" w:styleId="90">
    <w:name w:val="font131"/>
    <w:qFormat/>
    <w:uiPriority w:val="0"/>
    <w:rPr>
      <w:rFonts w:hint="eastAsia" w:ascii="宋体" w:hAnsi="宋体" w:eastAsia="宋体" w:cs="宋体"/>
      <w:b/>
      <w:bCs/>
      <w:color w:val="000000"/>
      <w:sz w:val="20"/>
      <w:szCs w:val="20"/>
      <w:u w:val="none"/>
    </w:rPr>
  </w:style>
  <w:style w:type="character" w:customStyle="1" w:styleId="91">
    <w:name w:val="bds_more2"/>
    <w:qFormat/>
    <w:uiPriority w:val="0"/>
    <w:rPr>
      <w:rFonts w:ascii="Times New Roman" w:hAnsi="Times New Roman" w:eastAsia="宋体" w:cs="Times New Roman"/>
    </w:rPr>
  </w:style>
  <w:style w:type="character" w:customStyle="1" w:styleId="92">
    <w:name w:val="bds_more"/>
    <w:qFormat/>
    <w:uiPriority w:val="0"/>
    <w:rPr>
      <w:rFonts w:hint="eastAsia" w:ascii="宋体" w:hAnsi="宋体" w:eastAsia="宋体" w:cs="宋体"/>
    </w:rPr>
  </w:style>
  <w:style w:type="paragraph" w:customStyle="1" w:styleId="93">
    <w:name w:val="Char Char Char Char"/>
    <w:basedOn w:val="1"/>
    <w:qFormat/>
    <w:uiPriority w:val="0"/>
    <w:rPr>
      <w:rFonts w:ascii="Tahoma" w:hAnsi="Tahoma"/>
      <w:sz w:val="24"/>
      <w:szCs w:val="20"/>
    </w:rPr>
  </w:style>
  <w:style w:type="paragraph" w:customStyle="1" w:styleId="94">
    <w:name w:val="标题4"/>
    <w:basedOn w:val="1"/>
    <w:qFormat/>
    <w:uiPriority w:val="0"/>
    <w:pPr>
      <w:numPr>
        <w:ilvl w:val="0"/>
        <w:numId w:val="5"/>
      </w:numPr>
      <w:spacing w:line="360" w:lineRule="auto"/>
      <w:ind w:left="720" w:leftChars="300"/>
      <w:jc w:val="left"/>
    </w:pPr>
    <w:rPr>
      <w:rFonts w:ascii="宋体" w:hAnsi="宋体"/>
      <w:sz w:val="18"/>
      <w:szCs w:val="18"/>
    </w:rPr>
  </w:style>
  <w:style w:type="paragraph" w:customStyle="1" w:styleId="95">
    <w:name w:val="Table Paragraph"/>
    <w:basedOn w:val="1"/>
    <w:qFormat/>
    <w:uiPriority w:val="0"/>
    <w:rPr>
      <w:rFonts w:ascii="宋体" w:hAnsi="宋体" w:cs="宋体"/>
      <w:lang w:val="zh-CN" w:bidi="zh-CN"/>
    </w:rPr>
  </w:style>
  <w:style w:type="paragraph" w:customStyle="1" w:styleId="96">
    <w:name w:val="p0"/>
    <w:basedOn w:val="1"/>
    <w:qFormat/>
    <w:uiPriority w:val="0"/>
    <w:pPr>
      <w:widowControl/>
      <w:spacing w:line="365" w:lineRule="atLeast"/>
      <w:ind w:left="1"/>
      <w:textAlignment w:val="bottom"/>
    </w:pPr>
    <w:rPr>
      <w:rFonts w:ascii="Calibri" w:hAnsi="Calibri"/>
      <w:kern w:val="0"/>
      <w:sz w:val="20"/>
      <w:szCs w:val="22"/>
    </w:rPr>
  </w:style>
  <w:style w:type="paragraph" w:customStyle="1" w:styleId="97">
    <w:name w:val="正文 New"/>
    <w:next w:val="98"/>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8">
    <w:name w:val="正文缩进1"/>
    <w:basedOn w:val="1"/>
    <w:next w:val="15"/>
    <w:qFormat/>
    <w:uiPriority w:val="0"/>
    <w:pPr>
      <w:spacing w:line="360" w:lineRule="atLeast"/>
      <w:ind w:firstLine="482"/>
    </w:pPr>
    <w:rPr>
      <w:sz w:val="24"/>
    </w:rPr>
  </w:style>
  <w:style w:type="paragraph" w:customStyle="1" w:styleId="99">
    <w:name w:val="Char Char Char Char Char Char Char1 Char"/>
    <w:basedOn w:val="1"/>
    <w:qFormat/>
    <w:uiPriority w:val="0"/>
    <w:rPr>
      <w:rFonts w:ascii="Tahoma" w:hAnsi="Tahoma"/>
      <w:sz w:val="24"/>
      <w:szCs w:val="20"/>
    </w:rPr>
  </w:style>
  <w:style w:type="paragraph" w:customStyle="1" w:styleId="100">
    <w:name w:val="Char"/>
    <w:basedOn w:val="1"/>
    <w:qFormat/>
    <w:uiPriority w:val="0"/>
  </w:style>
  <w:style w:type="paragraph" w:customStyle="1" w:styleId="101">
    <w:name w:val="（无样式）"/>
    <w:basedOn w:val="1"/>
    <w:qFormat/>
    <w:uiPriority w:val="0"/>
    <w:pPr>
      <w:widowControl/>
      <w:numPr>
        <w:ilvl w:val="0"/>
        <w:numId w:val="6"/>
      </w:numPr>
      <w:spacing w:line="360" w:lineRule="auto"/>
      <w:ind w:firstLine="0"/>
    </w:pPr>
    <w:rPr>
      <w:sz w:val="24"/>
      <w:szCs w:val="20"/>
    </w:rPr>
  </w:style>
  <w:style w:type="paragraph" w:customStyle="1" w:styleId="10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3">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104">
    <w:name w:val="_Style 102"/>
    <w:qFormat/>
    <w:uiPriority w:val="0"/>
    <w:rPr>
      <w:rFonts w:ascii="Times New Roman" w:hAnsi="Times New Roman" w:eastAsia="宋体" w:cs="Times New Roman"/>
      <w:kern w:val="2"/>
      <w:sz w:val="21"/>
      <w:szCs w:val="24"/>
      <w:lang w:val="en-US" w:eastAsia="zh-CN" w:bidi="ar-SA"/>
    </w:rPr>
  </w:style>
  <w:style w:type="paragraph" w:customStyle="1" w:styleId="105">
    <w:name w:val="Char1"/>
    <w:basedOn w:val="1"/>
    <w:next w:val="1"/>
    <w:qFormat/>
    <w:uiPriority w:val="0"/>
    <w:pPr>
      <w:widowControl/>
      <w:spacing w:line="360" w:lineRule="auto"/>
      <w:jc w:val="left"/>
    </w:pPr>
    <w:rPr>
      <w:kern w:val="0"/>
      <w:szCs w:val="20"/>
      <w:lang w:eastAsia="en-US"/>
    </w:rPr>
  </w:style>
  <w:style w:type="paragraph" w:customStyle="1" w:styleId="106">
    <w:name w:val="_Style 2"/>
    <w:basedOn w:val="1"/>
    <w:qFormat/>
    <w:uiPriority w:val="0"/>
  </w:style>
  <w:style w:type="paragraph" w:customStyle="1" w:styleId="107">
    <w:name w:val="列出段落2"/>
    <w:basedOn w:val="1"/>
    <w:qFormat/>
    <w:uiPriority w:val="0"/>
    <w:pPr>
      <w:ind w:firstLine="420" w:firstLineChars="200"/>
    </w:pPr>
    <w:rPr>
      <w:rFonts w:ascii="Calibri" w:hAnsi="Calibri"/>
      <w:szCs w:val="22"/>
    </w:rPr>
  </w:style>
  <w:style w:type="paragraph" w:customStyle="1" w:styleId="108">
    <w:name w:val="*正文"/>
    <w:basedOn w:val="1"/>
    <w:qFormat/>
    <w:uiPriority w:val="0"/>
    <w:pPr>
      <w:widowControl/>
      <w:snapToGrid w:val="0"/>
      <w:ind w:firstLine="560"/>
      <w:jc w:val="left"/>
    </w:pPr>
    <w:rPr>
      <w:rFonts w:ascii="仿宋_GB2312"/>
      <w:color w:val="191919"/>
      <w:sz w:val="28"/>
      <w:szCs w:val="28"/>
    </w:rPr>
  </w:style>
  <w:style w:type="paragraph" w:customStyle="1" w:styleId="109">
    <w:name w:val="列出段落1"/>
    <w:basedOn w:val="1"/>
    <w:qFormat/>
    <w:uiPriority w:val="0"/>
    <w:pPr>
      <w:ind w:firstLine="420" w:firstLineChars="200"/>
    </w:pPr>
  </w:style>
  <w:style w:type="paragraph" w:customStyle="1" w:styleId="110">
    <w:name w:val="HtmlNormal"/>
    <w:basedOn w:val="1"/>
    <w:qFormat/>
    <w:uiPriority w:val="0"/>
    <w:pPr>
      <w:widowControl/>
      <w:spacing w:before="100" w:beforeAutospacing="1" w:after="100" w:afterAutospacing="1"/>
      <w:jc w:val="left"/>
    </w:pPr>
    <w:rPr>
      <w:rFonts w:ascii="宋体" w:hAnsi="宋体"/>
      <w:kern w:val="0"/>
      <w:sz w:val="24"/>
    </w:rPr>
  </w:style>
  <w:style w:type="paragraph" w:styleId="111">
    <w:name w:val="List Paragraph"/>
    <w:basedOn w:val="1"/>
    <w:qFormat/>
    <w:uiPriority w:val="0"/>
    <w:pPr>
      <w:spacing w:line="360" w:lineRule="auto"/>
      <w:ind w:firstLine="420" w:firstLineChars="200"/>
    </w:pPr>
    <w:rPr>
      <w:rFonts w:ascii="宋体" w:hAnsi="宋体" w:cs="宋体"/>
      <w:sz w:val="24"/>
    </w:rPr>
  </w:style>
  <w:style w:type="paragraph" w:customStyle="1" w:styleId="112">
    <w:name w:val="列出段落11"/>
    <w:basedOn w:val="1"/>
    <w:qFormat/>
    <w:uiPriority w:val="0"/>
    <w:pPr>
      <w:spacing w:after="120" w:line="360" w:lineRule="auto"/>
      <w:ind w:firstLine="420" w:firstLineChars="200"/>
    </w:pPr>
    <w:rPr>
      <w:rFonts w:ascii="Calibri" w:hAnsi="Calibri"/>
      <w:szCs w:val="22"/>
    </w:rPr>
  </w:style>
  <w:style w:type="paragraph" w:customStyle="1" w:styleId="113">
    <w:name w:val="_Style 4"/>
    <w:basedOn w:val="1"/>
    <w:qFormat/>
    <w:uiPriority w:val="0"/>
    <w:pPr>
      <w:adjustRightInd w:val="0"/>
      <w:ind w:firstLine="420" w:firstLineChars="200"/>
      <w:jc w:val="left"/>
      <w:textAlignment w:val="baseline"/>
    </w:pPr>
    <w:rPr>
      <w:kern w:val="0"/>
      <w:szCs w:val="20"/>
    </w:rPr>
  </w:style>
  <w:style w:type="paragraph" w:customStyle="1" w:styleId="114">
    <w:name w:val="List Paragraph2"/>
    <w:basedOn w:val="1"/>
    <w:qFormat/>
    <w:uiPriority w:val="0"/>
    <w:pPr>
      <w:spacing w:line="360" w:lineRule="auto"/>
      <w:ind w:firstLine="420"/>
    </w:pPr>
    <w:rPr>
      <w:color w:val="000000"/>
      <w:sz w:val="24"/>
      <w:szCs w:val="21"/>
    </w:rPr>
  </w:style>
  <w:style w:type="paragraph" w:customStyle="1" w:styleId="115">
    <w:name w:val="正文文字 8"/>
    <w:basedOn w:val="1"/>
    <w:next w:val="1"/>
    <w:qFormat/>
    <w:uiPriority w:val="0"/>
    <w:pPr>
      <w:ind w:left="240"/>
    </w:pPr>
    <w:rPr>
      <w:sz w:val="16"/>
    </w:rPr>
  </w:style>
  <w:style w:type="paragraph" w:customStyle="1" w:styleId="116">
    <w:name w:val="样式1"/>
    <w:basedOn w:val="1"/>
    <w:qFormat/>
    <w:uiPriority w:val="0"/>
    <w:pPr>
      <w:spacing w:line="360" w:lineRule="auto"/>
      <w:jc w:val="center"/>
    </w:pPr>
    <w:rPr>
      <w:b/>
      <w:sz w:val="30"/>
      <w:szCs w:val="30"/>
    </w:rPr>
  </w:style>
  <w:style w:type="paragraph" w:customStyle="1" w:styleId="117">
    <w:name w:val="列表2"/>
    <w:basedOn w:val="1"/>
    <w:next w:val="1"/>
    <w:qFormat/>
    <w:uiPriority w:val="0"/>
    <w:pPr>
      <w:numPr>
        <w:ilvl w:val="0"/>
        <w:numId w:val="7"/>
      </w:numPr>
      <w:spacing w:line="200" w:lineRule="atLeast"/>
    </w:pPr>
    <w:rPr>
      <w:rFonts w:eastAsia="仿宋"/>
      <w:sz w:val="28"/>
    </w:rPr>
  </w:style>
  <w:style w:type="paragraph" w:customStyle="1" w:styleId="118">
    <w:name w:val="标题3-副本"/>
    <w:basedOn w:val="26"/>
    <w:qFormat/>
    <w:uiPriority w:val="0"/>
    <w:pPr>
      <w:numPr>
        <w:ilvl w:val="0"/>
        <w:numId w:val="0"/>
      </w:numPr>
      <w:ind w:left="840"/>
    </w:pPr>
    <w:rPr>
      <w:rFonts w:ascii="Times New Roman" w:hAnsi="Times New Roman"/>
    </w:rPr>
  </w:style>
  <w:style w:type="paragraph" w:customStyle="1" w:styleId="119">
    <w:name w:val="_Style 117"/>
    <w:basedOn w:val="1"/>
    <w:next w:val="1"/>
    <w:qFormat/>
    <w:uiPriority w:val="0"/>
    <w:pPr>
      <w:pBdr>
        <w:bottom w:val="single" w:color="auto" w:sz="6" w:space="1"/>
      </w:pBdr>
      <w:jc w:val="center"/>
    </w:pPr>
    <w:rPr>
      <w:rFonts w:ascii="Arial"/>
      <w:vanish/>
      <w:sz w:val="16"/>
    </w:rPr>
  </w:style>
  <w:style w:type="paragraph" w:customStyle="1" w:styleId="120">
    <w:name w:val="_Style 118"/>
    <w:basedOn w:val="1"/>
    <w:next w:val="1"/>
    <w:qFormat/>
    <w:uiPriority w:val="0"/>
    <w:pPr>
      <w:pBdr>
        <w:top w:val="single" w:color="auto" w:sz="6" w:space="1"/>
      </w:pBdr>
      <w:jc w:val="center"/>
    </w:pPr>
    <w:rPr>
      <w:rFonts w:ascii="Arial"/>
      <w:vanish/>
      <w:sz w:val="16"/>
    </w:rPr>
  </w:style>
  <w:style w:type="paragraph" w:customStyle="1" w:styleId="121">
    <w:name w:val="无间隔1"/>
    <w:basedOn w:val="1"/>
    <w:qFormat/>
    <w:uiPriority w:val="0"/>
    <w:pPr>
      <w:widowControl/>
      <w:adjustRightInd w:val="0"/>
      <w:snapToGrid w:val="0"/>
      <w:jc w:val="left"/>
    </w:pPr>
    <w:rPr>
      <w:rFonts w:ascii="Tahoma" w:hAnsi="Tahoma" w:eastAsia="微软雅黑"/>
      <w:kern w:val="0"/>
      <w:sz w:val="24"/>
      <w:szCs w:val="22"/>
    </w:rPr>
  </w:style>
  <w:style w:type="paragraph" w:customStyle="1" w:styleId="122">
    <w:name w:val="text-tag1"/>
    <w:basedOn w:val="1"/>
    <w:qFormat/>
    <w:uiPriority w:val="0"/>
    <w:pPr>
      <w:widowControl/>
      <w:spacing w:before="100" w:beforeAutospacing="1" w:after="100" w:afterAutospacing="1"/>
      <w:jc w:val="left"/>
    </w:pPr>
    <w:rPr>
      <w:rFonts w:ascii="宋体" w:hAnsi="宋体" w:cs="宋体"/>
      <w:kern w:val="0"/>
      <w:sz w:val="24"/>
    </w:rPr>
  </w:style>
  <w:style w:type="character" w:customStyle="1" w:styleId="123">
    <w:name w:val="font11"/>
    <w:qFormat/>
    <w:uiPriority w:val="0"/>
    <w:rPr>
      <w:rFonts w:hint="eastAsia" w:ascii="宋体" w:hAnsi="宋体" w:eastAsia="宋体" w:cs="宋体"/>
      <w:color w:val="000000"/>
      <w:sz w:val="16"/>
      <w:szCs w:val="16"/>
      <w:u w:val="none"/>
    </w:rPr>
  </w:style>
  <w:style w:type="character" w:customStyle="1" w:styleId="124">
    <w:name w:val="font31"/>
    <w:basedOn w:val="37"/>
    <w:qFormat/>
    <w:uiPriority w:val="0"/>
    <w:rPr>
      <w:rFonts w:ascii="宋体" w:hAnsi="宋体" w:eastAsia="宋体" w:cs="宋体"/>
      <w:color w:val="000000"/>
      <w:sz w:val="16"/>
      <w:szCs w:val="16"/>
      <w:u w:val="none"/>
    </w:rPr>
  </w:style>
  <w:style w:type="character" w:customStyle="1" w:styleId="125">
    <w:name w:val="font41"/>
    <w:basedOn w:val="37"/>
    <w:qFormat/>
    <w:uiPriority w:val="0"/>
    <w:rPr>
      <w:rFonts w:hint="eastAsia" w:ascii="宋体" w:hAnsi="宋体" w:eastAsia="宋体" w:cs="宋体"/>
      <w:color w:val="000000"/>
      <w:sz w:val="21"/>
      <w:szCs w:val="21"/>
      <w:u w:val="none"/>
    </w:rPr>
  </w:style>
  <w:style w:type="character" w:customStyle="1" w:styleId="126">
    <w:name w:val="hover"/>
    <w:basedOn w:val="37"/>
    <w:qFormat/>
    <w:uiPriority w:val="0"/>
  </w:style>
  <w:style w:type="character" w:customStyle="1" w:styleId="127">
    <w:name w:val="hover1"/>
    <w:basedOn w:val="37"/>
    <w:qFormat/>
    <w:uiPriority w:val="0"/>
    <w:rPr>
      <w:color w:val="2590EB"/>
    </w:rPr>
  </w:style>
  <w:style w:type="character" w:customStyle="1" w:styleId="128">
    <w:name w:val="hover2"/>
    <w:basedOn w:val="37"/>
    <w:qFormat/>
    <w:uiPriority w:val="0"/>
    <w:rPr>
      <w:color w:val="2590EB"/>
    </w:rPr>
  </w:style>
  <w:style w:type="character" w:customStyle="1" w:styleId="129">
    <w:name w:val="hover3"/>
    <w:basedOn w:val="37"/>
    <w:qFormat/>
    <w:uiPriority w:val="0"/>
    <w:rPr>
      <w:color w:val="2590EB"/>
      <w:shd w:val="clear" w:color="auto" w:fill="E9F4FD"/>
    </w:rPr>
  </w:style>
  <w:style w:type="table" w:customStyle="1" w:styleId="130">
    <w:name w:val="Table Normal"/>
    <w:semiHidden/>
    <w:unhideWhenUsed/>
    <w:qFormat/>
    <w:uiPriority w:val="0"/>
    <w:tblPr>
      <w:tblCellMar>
        <w:top w:w="0" w:type="dxa"/>
        <w:left w:w="0" w:type="dxa"/>
        <w:bottom w:w="0" w:type="dxa"/>
        <w:right w:w="0" w:type="dxa"/>
      </w:tblCellMar>
    </w:tblPr>
  </w:style>
  <w:style w:type="paragraph" w:customStyle="1" w:styleId="131">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70</Pages>
  <Words>16781</Words>
  <Characters>18305</Characters>
  <Lines>367</Lines>
  <Paragraphs>103</Paragraphs>
  <TotalTime>2</TotalTime>
  <ScaleCrop>false</ScaleCrop>
  <LinksUpToDate>false</LinksUpToDate>
  <CharactersWithSpaces>18625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2025-08-18T01:34:00Z</dcterms:created>
  <dc:creator>陈倩倩</dc:creator>
  <cp:lastModifiedBy>韦韦</cp:lastModifiedBy>
  <cp:lastPrinted>2023-02-03T03:19:00Z</cp:lastPrinted>
  <dcterms:modified xsi:type="dcterms:W3CDTF">2025-12-26T06:50:40Z</dcterms:modified>
  <dc:title>滁州市人力资源和社会保障信息中心信息网络设备采购及安装项目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8DB45D7797904C5B98A3CC3408F11A01_13</vt:lpwstr>
  </property>
  <property fmtid="{D5CDD505-2E9C-101B-9397-08002B2CF9AE}" pid="4" name="KSOTemplateDocerSaveRecord">
    <vt:lpwstr>eyJoZGlkIjoiZmQ5MGI3YTdkMjVkZTZjM2ZjZTQ5YjMxYTJjZjRlOWEiLCJ1c2VySWQiOiIzNjE4MjQ5In0=</vt:lpwstr>
  </property>
</Properties>
</file>