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滁州市网络创业培训（含电商版、直播版）和创业模拟实训教学辅助平台采购项目</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czsjcg202608-039</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滁州市公共就业服务管理中心</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3AF8DC4A">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746B5A30">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66ED081E">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51A3126E">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7CC87923">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1E36FB0F">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1FBD068F">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1A28EF6A">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44F33CB3">
      <w:pPr>
        <w:pageBreakBefore w:val="0"/>
        <w:widowControl w:val="0"/>
        <w:tabs>
          <w:tab w:val="left" w:pos="2410"/>
        </w:tabs>
        <w:kinsoku/>
        <w:wordWrap w:val="0"/>
        <w:topLinePunct w:val="0"/>
        <w:autoSpaceDE w:val="0"/>
        <w:autoSpaceDN w:val="0"/>
        <w:bidi w:val="0"/>
        <w:adjustRightInd w:val="0"/>
        <w:snapToGrid w:val="0"/>
        <w:spacing w:line="360" w:lineRule="auto"/>
        <w:jc w:val="both"/>
        <w:rPr>
          <w:rFonts w:hint="eastAsia" w:ascii="宋体" w:hAnsi="宋体" w:eastAsia="宋体"/>
          <w:b/>
          <w:color w:val="auto"/>
          <w:sz w:val="36"/>
          <w:highlight w:val="none"/>
          <w:lang w:val="en-US" w:eastAsia="zh-CN"/>
        </w:rPr>
      </w:pP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27</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28</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51</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60</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71</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滁州市网络创业培训（含电商版、直播版）和创业模拟实训教学辅助平台采购项目</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58430306"/>
      <w:bookmarkEnd w:id="4"/>
      <w:bookmarkStart w:id="5" w:name="_Toc35393791"/>
      <w:bookmarkEnd w:id="5"/>
      <w:bookmarkStart w:id="6" w:name="_Toc35393622"/>
      <w:bookmarkEnd w:id="6"/>
      <w:bookmarkStart w:id="7" w:name="_Toc28359003"/>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czsjcg202608-039</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滁州市网络创业培训（含电商版、直播版）和创业模拟实训教学辅助平台采购项目</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金额：每年4000000元</w:t>
      </w:r>
    </w:p>
    <w:p w14:paraId="7A2200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最高限价：本项目单价采用固定单价，创业模拟实训、网络创业培训(含电商版、直播版)教学使用教辅平台，按培训合格人数补贴300元/人的教学辅助平台服务费，每年最高不超过400万元。</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滁州市网络创业培训（含电商版、直播版）和创业模拟实训教学辅助平台采购</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35393624"/>
      <w:bookmarkEnd w:id="12"/>
      <w:bookmarkStart w:id="13" w:name="_Toc28359005"/>
      <w:bookmarkEnd w:id="13"/>
      <w:bookmarkStart w:id="14" w:name="_Toc28359082"/>
      <w:bookmarkEnd w:id="14"/>
      <w:bookmarkStart w:id="15" w:name="_Toc35393793"/>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20</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35393625"/>
      <w:bookmarkEnd w:id="17"/>
      <w:bookmarkStart w:id="18" w:name="_Toc35393794"/>
      <w:bookmarkEnd w:id="18"/>
      <w:bookmarkStart w:id="19" w:name="_Toc58430309"/>
      <w:bookmarkEnd w:id="19"/>
      <w:bookmarkStart w:id="20" w:name="_Toc28359007"/>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795"/>
      <w:bookmarkStart w:id="24" w:name="_Toc35393626"/>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4C6735D5">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7265"/>
      <w:bookmarkStart w:id="26" w:name="_Toc3854"/>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滁州市公共就业服务管理中心</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滁州市南谯区清流西路 158-1号（滁州人力资源服务产业园 5 号楼）</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781DE41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w:t>
      </w:r>
      <w:r>
        <w:rPr>
          <w:rFonts w:hint="eastAsia" w:ascii="宋体" w:hAnsi="宋体" w:eastAsia="宋体" w:cs="宋体"/>
          <w:color w:val="auto"/>
          <w:sz w:val="28"/>
          <w:szCs w:val="28"/>
          <w:highlight w:val="none"/>
          <w:u w:val="single"/>
          <w:lang w:val="en-US" w:eastAsia="zh-CN"/>
        </w:rPr>
        <w:t xml:space="preserve">3011053 </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7178"/>
      <w:bookmarkStart w:id="29" w:name="_Toc13589"/>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6"/>
        <w:gridCol w:w="6123"/>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 xml:space="preserve"> 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6D33CB9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0E03C3B1">
            <w:pPr>
              <w:pStyle w:val="46"/>
              <w:pageBreakBefore w:val="0"/>
              <w:widowControl w:val="0"/>
              <w:kinsoku/>
              <w:wordWrap w:val="0"/>
              <w:topLinePunct w:val="0"/>
              <w:bidi w:val="0"/>
              <w:spacing w:before="0" w:beforeAutospacing="0" w:after="0" w:afterAutospacing="0"/>
              <w:jc w:val="both"/>
              <w:rPr>
                <w:rFonts w:hint="eastAsia" w:ascii="宋体" w:hAnsi="宋体" w:eastAsia="宋体"/>
                <w:b w:val="0"/>
                <w:color w:val="auto"/>
                <w:sz w:val="24"/>
                <w:highlight w:val="none"/>
                <w:u w:val="single"/>
                <w:lang w:eastAsia="zh-CN"/>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lang w:val="en-US" w:eastAsia="zh-CN"/>
              </w:rPr>
              <w:t>/</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06AC058">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5B2B0792">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本项目实行固定单价，故本条不适用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ascii="宋体" w:hAnsi="宋体" w:eastAsia="宋体" w:cs="宋体"/>
                <w:color w:val="auto"/>
                <w:sz w:val="24"/>
                <w:szCs w:val="24"/>
                <w:highlight w:val="none"/>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rPr>
              <w:t>成交供应商</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15000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滁州市公共就业服务管理中心</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w:t>
            </w:r>
            <w:r>
              <w:rPr>
                <w:rFonts w:hint="eastAsia" w:ascii="宋体" w:hAnsi="宋体" w:eastAsia="宋体" w:cs="宋体"/>
                <w:color w:val="auto"/>
                <w:sz w:val="24"/>
                <w:highlight w:val="none"/>
                <w:u w:val="single"/>
                <w:lang w:val="en-US" w:eastAsia="zh-CN"/>
              </w:rPr>
              <w:t>3011053</w:t>
            </w:r>
            <w:r>
              <w:rPr>
                <w:rFonts w:hint="eastAsia" w:ascii="宋体" w:hAnsi="宋体" w:eastAsia="宋体" w:cs="宋体"/>
                <w:color w:val="auto"/>
                <w:sz w:val="24"/>
                <w:highlight w:val="none"/>
                <w:u w:val="single"/>
                <w:lang w:eastAsia="zh-CN"/>
              </w:rPr>
              <w:t>、0550-351959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滁州市南谯区清流西路158-1号（滁州人力资源服务产业园5号楼）</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pageBreakBefore w:val="0"/>
              <w:widowControl w:val="0"/>
              <w:numPr>
                <w:ilvl w:val="0"/>
                <w:numId w:val="0"/>
              </w:numPr>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pageBreakBefore w:val="0"/>
              <w:widowControl w:val="0"/>
              <w:numPr>
                <w:ilvl w:val="0"/>
                <w:numId w:val="0"/>
              </w:numPr>
              <w:kinsoku/>
              <w:wordWrap w:val="0"/>
              <w:topLinePunct w:val="0"/>
              <w:bidi w:val="0"/>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pageBreakBefore w:val="0"/>
              <w:widowControl w:val="0"/>
              <w:kinsoku/>
              <w:wordWrap w:val="0"/>
              <w:topLinePunct w:val="0"/>
              <w:bidi w:val="0"/>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pageBreakBefore w:val="0"/>
              <w:widowControl w:val="0"/>
              <w:numPr>
                <w:ilvl w:val="0"/>
                <w:numId w:val="0"/>
              </w:numPr>
              <w:kinsoku/>
              <w:wordWrap w:val="0"/>
              <w:topLinePunct w:val="0"/>
              <w:bidi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pageBreakBefore w:val="0"/>
              <w:widowControl w:val="0"/>
              <w:kinsoku/>
              <w:wordWrap w:val="0"/>
              <w:topLinePunct w:val="0"/>
              <w:bidi w:val="0"/>
              <w:spacing w:before="0" w:beforeAutospacing="0" w:after="0" w:afterAutospacing="0" w:line="500" w:lineRule="exact"/>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24882"/>
      <w:bookmarkStart w:id="31"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2583662"/>
      <w:bookmarkStart w:id="38"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4148"/>
      <w:bookmarkStart w:id="41" w:name="_Toc2179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5"/>
        <w:gridCol w:w="5977"/>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2D710DC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bCs w:val="0"/>
                <w:color w:val="auto"/>
                <w:sz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在提供培训教辅平台供创业培训承办方使用结束后，应及时联合创业培训承办方向人社部门报送补贴资金申请材料，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标的名称：滁州市网络创业培训（含电商版、直播版）和创业模拟实训教学辅助平台采购项</w:t>
            </w:r>
            <w:r>
              <w:rPr>
                <w:rFonts w:hint="eastAsia" w:ascii="宋体" w:hAnsi="宋体" w:eastAsia="宋体" w:cs="宋体"/>
                <w:color w:val="auto"/>
                <w:kern w:val="0"/>
                <w:sz w:val="24"/>
                <w:szCs w:val="24"/>
                <w:highlight w:val="none"/>
                <w:lang w:eastAsia="zh-CN"/>
              </w:rPr>
              <w:t>目</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keepNext w:val="0"/>
        <w:keepLines w:val="0"/>
        <w:pageBreakBefore w:val="0"/>
        <w:widowControl w:val="0"/>
        <w:kinsoku/>
        <w:wordWrap w:val="0"/>
        <w:overflowPunct/>
        <w:topLinePunct w:val="0"/>
        <w:autoSpaceDE/>
        <w:autoSpaceDN/>
        <w:bidi w:val="0"/>
        <w:adjustRightInd/>
        <w:snapToGrid/>
        <w:spacing w:before="157" w:beforeLines="50" w:after="157" w:afterLines="50" w:line="500" w:lineRule="exact"/>
        <w:jc w:val="left"/>
        <w:textAlignment w:val="auto"/>
        <w:outlineLvl w:val="1"/>
        <w:rPr>
          <w:rFonts w:hint="eastAsia" w:ascii="宋体" w:hAnsi="宋体" w:eastAsia="宋体" w:cs="宋体"/>
          <w:b/>
          <w:color w:val="auto"/>
          <w:sz w:val="21"/>
          <w:szCs w:val="21"/>
          <w:highlight w:val="none"/>
          <w:lang w:val="en-US" w:eastAsia="zh-CN"/>
        </w:rPr>
      </w:pPr>
      <w:bookmarkStart w:id="43" w:name="_Toc8753"/>
      <w:r>
        <w:rPr>
          <w:rFonts w:hint="eastAsia" w:ascii="宋体" w:hAnsi="宋体" w:eastAsia="宋体" w:cs="宋体"/>
          <w:b/>
          <w:color w:val="auto"/>
          <w:sz w:val="21"/>
          <w:szCs w:val="21"/>
          <w:highlight w:val="none"/>
          <w:lang w:val="en-US" w:eastAsia="zh-CN"/>
        </w:rPr>
        <w:t>二、</w:t>
      </w:r>
      <w:bookmarkEnd w:id="43"/>
      <w:r>
        <w:rPr>
          <w:rFonts w:hint="eastAsia" w:ascii="宋体" w:hAnsi="宋体" w:eastAsia="宋体" w:cs="宋体"/>
          <w:b/>
          <w:color w:val="auto"/>
          <w:sz w:val="21"/>
          <w:szCs w:val="21"/>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outlineLvl w:val="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进一步提升我市创业培训工作质量，根据安徽省人社厅、安徽省财政厅《关于印发&lt;安徽省创业培训管理办法&gt;的通知》(皖人社发〔2023〕19号)规定，特面向全社会开展网络创业培训和创业模拟实训教学辅助平台采购工作。中标人需同时提供网络创业培训和创业模拟实训教学辅助平台服务。</w:t>
      </w:r>
    </w:p>
    <w:p w14:paraId="0492F8A1">
      <w:pPr>
        <w:keepNext w:val="0"/>
        <w:keepLines w:val="0"/>
        <w:pageBreakBefore w:val="0"/>
        <w:widowControl w:val="0"/>
        <w:kinsoku/>
        <w:wordWrap w:val="0"/>
        <w:overflowPunct/>
        <w:topLinePunct w:val="0"/>
        <w:autoSpaceDE/>
        <w:autoSpaceDN/>
        <w:bidi w:val="0"/>
        <w:adjustRightInd/>
        <w:snapToGrid/>
        <w:spacing w:before="157" w:beforeLines="50" w:after="157" w:afterLines="50" w:line="500" w:lineRule="exact"/>
        <w:jc w:val="left"/>
        <w:textAlignment w:val="auto"/>
        <w:outlineLvl w:val="1"/>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三、服务内容</w:t>
      </w:r>
    </w:p>
    <w:p w14:paraId="71AE3B59">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44" w:name="_Toc30824"/>
      <w:r>
        <w:rPr>
          <w:rFonts w:hint="eastAsia" w:ascii="宋体" w:hAnsi="宋体" w:eastAsia="宋体" w:cs="宋体"/>
          <w:color w:val="auto"/>
          <w:sz w:val="21"/>
          <w:szCs w:val="21"/>
          <w:highlight w:val="none"/>
          <w:lang w:val="en-US" w:eastAsia="zh-CN"/>
        </w:rPr>
        <w:t>教学辅助平台是创业培训工作的重要组成部分和关键技术服务支撑，应具备以下基本条件:(一)具有教学辅助平台相关自主知识产权；(二)拥有3名以上创业培训培训师签署的技术评审意见；(三)系统具备创业培训开展所需的教学服务、模拟训练、培训考核、培训管理、后续服务等功能。</w:t>
      </w:r>
    </w:p>
    <w:p w14:paraId="08970021">
      <w:pPr>
        <w:widowControl/>
        <w:spacing w:line="360" w:lineRule="auto"/>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w:t>
      </w:r>
      <w:r>
        <w:rPr>
          <w:rFonts w:hint="eastAsia" w:ascii="宋体" w:hAnsi="宋体" w:eastAsia="宋体" w:cs="宋体"/>
          <w:b/>
          <w:bCs/>
          <w:color w:val="auto"/>
          <w:sz w:val="21"/>
          <w:szCs w:val="21"/>
          <w:highlight w:val="none"/>
          <w:lang w:val="en-US" w:eastAsia="zh-CN"/>
        </w:rPr>
        <w:t>一）创业模拟实训教学辅助平台</w:t>
      </w:r>
    </w:p>
    <w:p w14:paraId="66860641">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创业模拟实训教学辅助平台技术服务供应商，需依据省人社厅</w:t>
      </w:r>
      <w:r>
        <w:rPr>
          <w:rFonts w:hint="eastAsia" w:ascii="宋体" w:hAnsi="宋体" w:eastAsia="宋体" w:cs="宋体"/>
          <w:color w:val="auto"/>
          <w:sz w:val="21"/>
          <w:szCs w:val="21"/>
          <w:highlight w:val="none"/>
          <w:lang w:val="en-US" w:eastAsia="zh-CN"/>
        </w:rPr>
        <w:t>《关于印发&lt;安徽省创业培训管理办法&gt;的通知》（皖人社发〔2023〕19号）及</w:t>
      </w:r>
      <w:r>
        <w:rPr>
          <w:rFonts w:hint="eastAsia" w:ascii="宋体" w:hAnsi="宋体" w:eastAsia="宋体" w:cs="宋体"/>
          <w:color w:val="auto"/>
          <w:sz w:val="21"/>
          <w:szCs w:val="21"/>
          <w:highlight w:val="none"/>
        </w:rPr>
        <w:t>《关于印发〈安徽省创业模拟实训操作规程（</w:t>
      </w:r>
      <w:r>
        <w:rPr>
          <w:rFonts w:hint="eastAsia" w:ascii="宋体" w:hAnsi="宋体" w:eastAsia="宋体" w:cs="宋体"/>
          <w:color w:val="auto"/>
          <w:sz w:val="21"/>
          <w:szCs w:val="21"/>
          <w:highlight w:val="none"/>
          <w:lang w:eastAsia="zh-CN"/>
        </w:rPr>
        <w:t>试行</w:t>
      </w:r>
      <w:r>
        <w:rPr>
          <w:rFonts w:hint="eastAsia" w:ascii="宋体" w:hAnsi="宋体" w:eastAsia="宋体" w:cs="宋体"/>
          <w:color w:val="auto"/>
          <w:sz w:val="21"/>
          <w:szCs w:val="21"/>
          <w:highlight w:val="none"/>
        </w:rPr>
        <w:t>）〉的通知》（皖人社秘〔2011〕330号）</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文件要求，按照创业模拟实训标准提供包括但不限于以下服务。</w:t>
      </w:r>
    </w:p>
    <w:p w14:paraId="12A9DBE8">
      <w:pPr>
        <w:widowControl/>
        <w:spacing w:line="360" w:lineRule="auto"/>
        <w:ind w:firstLine="422"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1.平台构架</w:t>
      </w:r>
      <w:r>
        <w:rPr>
          <w:rFonts w:hint="eastAsia" w:ascii="宋体" w:hAnsi="宋体" w:eastAsia="宋体" w:cs="宋体"/>
          <w:color w:val="auto"/>
          <w:sz w:val="21"/>
          <w:szCs w:val="21"/>
          <w:highlight w:val="none"/>
          <w:lang w:eastAsia="zh-CN"/>
        </w:rPr>
        <w:t xml:space="preserve"> </w:t>
      </w:r>
    </w:p>
    <w:p w14:paraId="0A5DF9E1">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（1）B/S 结构，通过浏览器直接登录使用，能在互联网和局域网中运行，安全性好，单台服务器可支持10万个以上用户使用。</w:t>
      </w:r>
    </w:p>
    <w:p w14:paraId="56113B0F">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（2）数据库使用MySQL或SQL Server。</w:t>
      </w:r>
    </w:p>
    <w:p w14:paraId="6D2CCC20">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 xml:space="preserve">教学方法和资源 </w:t>
      </w:r>
    </w:p>
    <w:p w14:paraId="51456048">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（1）内置有大量教学资源。</w:t>
      </w:r>
    </w:p>
    <w:p w14:paraId="4ABCF140">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（2）可实现理论教学、自测教学、实验教学、案例教学、分享教学等多种教学手段。</w:t>
      </w:r>
    </w:p>
    <w:p w14:paraId="752DBE7B">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 xml:space="preserve">创业实训系统模块 </w:t>
      </w:r>
    </w:p>
    <w:p w14:paraId="02AF62AE">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（1）分为四大板块：创业前期准备、创业能力塑造、创立我的企业、经营我的企业。 </w:t>
      </w:r>
    </w:p>
    <w:p w14:paraId="3E5C044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从了解创业、培养创业能力、体验创业，到企业经营管理实训，循序渐进，涵盖创业所需要的各种知识和能力，并通过大量实训让学员体验创业的过程，训练创业过程中及创业后的经营管理能力，培养学员具备成功创业者的素质。</w:t>
      </w:r>
    </w:p>
    <w:p w14:paraId="49A92FBC">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管理员端程序的主要功能</w:t>
      </w:r>
    </w:p>
    <w:p w14:paraId="53240663">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管理员为</w:t>
      </w:r>
      <w:r>
        <w:rPr>
          <w:rFonts w:hint="eastAsia" w:ascii="宋体" w:hAnsi="宋体" w:eastAsia="宋体" w:cs="宋体"/>
          <w:color w:val="auto"/>
          <w:sz w:val="21"/>
          <w:szCs w:val="21"/>
          <w:highlight w:val="none"/>
          <w:lang w:val="en-US" w:eastAsia="zh-CN"/>
        </w:rPr>
        <w:t>平台</w:t>
      </w:r>
      <w:r>
        <w:rPr>
          <w:rFonts w:hint="eastAsia" w:ascii="宋体" w:hAnsi="宋体" w:eastAsia="宋体" w:cs="宋体"/>
          <w:color w:val="auto"/>
          <w:sz w:val="21"/>
          <w:szCs w:val="21"/>
          <w:highlight w:val="none"/>
          <w:lang w:eastAsia="zh-CN"/>
        </w:rPr>
        <w:t>或创业培训工作负责人，可实现</w:t>
      </w:r>
      <w:r>
        <w:rPr>
          <w:rFonts w:hint="eastAsia" w:ascii="宋体" w:hAnsi="宋体" w:eastAsia="宋体" w:cs="宋体"/>
          <w:color w:val="auto"/>
          <w:sz w:val="21"/>
          <w:szCs w:val="21"/>
          <w:highlight w:val="none"/>
          <w:lang w:val="en-US" w:eastAsia="zh-CN"/>
        </w:rPr>
        <w:t>机构</w:t>
      </w:r>
      <w:r>
        <w:rPr>
          <w:rFonts w:hint="eastAsia" w:ascii="宋体" w:hAnsi="宋体" w:eastAsia="宋体" w:cs="宋体"/>
          <w:color w:val="auto"/>
          <w:sz w:val="21"/>
          <w:szCs w:val="21"/>
          <w:highlight w:val="none"/>
          <w:lang w:eastAsia="zh-CN"/>
        </w:rPr>
        <w:t xml:space="preserve">管理、教师管理、班级管理、案例管理、成绩管理和修改资料。 </w:t>
      </w:r>
    </w:p>
    <w:p w14:paraId="7F8C3D75">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机构（院校）</w:t>
      </w:r>
      <w:r>
        <w:rPr>
          <w:rFonts w:hint="eastAsia" w:ascii="宋体" w:hAnsi="宋体" w:eastAsia="宋体" w:cs="宋体"/>
          <w:color w:val="auto"/>
          <w:sz w:val="21"/>
          <w:szCs w:val="21"/>
          <w:highlight w:val="none"/>
          <w:lang w:eastAsia="zh-CN"/>
        </w:rPr>
        <w:t>管理：添加、修改、删除所有下属</w:t>
      </w:r>
      <w:r>
        <w:rPr>
          <w:rFonts w:hint="eastAsia" w:ascii="宋体" w:hAnsi="宋体" w:eastAsia="宋体" w:cs="宋体"/>
          <w:color w:val="auto"/>
          <w:sz w:val="21"/>
          <w:szCs w:val="21"/>
          <w:highlight w:val="none"/>
          <w:lang w:val="en-US" w:eastAsia="zh-CN"/>
        </w:rPr>
        <w:t>机构（院校）</w:t>
      </w:r>
      <w:r>
        <w:rPr>
          <w:rFonts w:hint="eastAsia" w:ascii="宋体" w:hAnsi="宋体" w:eastAsia="宋体" w:cs="宋体"/>
          <w:color w:val="auto"/>
          <w:sz w:val="21"/>
          <w:szCs w:val="21"/>
          <w:highlight w:val="none"/>
          <w:lang w:eastAsia="zh-CN"/>
        </w:rPr>
        <w:t>；</w:t>
      </w:r>
    </w:p>
    <w:p w14:paraId="02B2341B">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 xml:space="preserve">）教师管理：添加、修改、删除所有管辖教师，重置教师密码； </w:t>
      </w:r>
    </w:p>
    <w:p w14:paraId="65B90D14">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 xml:space="preserve">）班级管理：添加、修改、删除所有管辖班级； </w:t>
      </w:r>
    </w:p>
    <w:p w14:paraId="5A94F49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 xml:space="preserve">）案例管理：管理系统各模块默认案例； </w:t>
      </w:r>
    </w:p>
    <w:p w14:paraId="6C5E450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）成绩管理：查看所有学员成绩，设置各项成绩权重；</w:t>
      </w:r>
    </w:p>
    <w:p w14:paraId="3775F0F3">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（6）修改资料：修改个人资料及密码。 </w:t>
      </w:r>
    </w:p>
    <w:p w14:paraId="4924A944">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 xml:space="preserve">教师端程序的主要功能 </w:t>
      </w:r>
    </w:p>
    <w:p w14:paraId="3E2AE10A">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教师管理功能包括班级管理、</w:t>
      </w:r>
      <w:r>
        <w:rPr>
          <w:rFonts w:hint="eastAsia" w:ascii="宋体" w:hAnsi="宋体" w:eastAsia="宋体" w:cs="宋体"/>
          <w:color w:val="auto"/>
          <w:sz w:val="21"/>
          <w:szCs w:val="21"/>
          <w:highlight w:val="none"/>
          <w:lang w:val="en-US" w:eastAsia="zh-CN"/>
        </w:rPr>
        <w:t>学员</w:t>
      </w:r>
      <w:r>
        <w:rPr>
          <w:rFonts w:hint="eastAsia" w:ascii="宋体" w:hAnsi="宋体" w:eastAsia="宋体" w:cs="宋体"/>
          <w:color w:val="auto"/>
          <w:sz w:val="21"/>
          <w:szCs w:val="21"/>
          <w:highlight w:val="none"/>
          <w:lang w:eastAsia="zh-CN"/>
        </w:rPr>
        <w:t xml:space="preserve">管理、参数设置、运行管理、案例管理、成绩管理和修改资料。 </w:t>
      </w:r>
    </w:p>
    <w:p w14:paraId="78D1EE9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）班级管理：教师查看所管理的班级，可控制这些班级是否进行实训。 </w:t>
      </w:r>
    </w:p>
    <w:p w14:paraId="13B9EAB3">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学员</w:t>
      </w:r>
      <w:r>
        <w:rPr>
          <w:rFonts w:hint="eastAsia" w:ascii="宋体" w:hAnsi="宋体" w:eastAsia="宋体" w:cs="宋体"/>
          <w:color w:val="auto"/>
          <w:sz w:val="21"/>
          <w:szCs w:val="21"/>
          <w:highlight w:val="none"/>
          <w:lang w:eastAsia="zh-CN"/>
        </w:rPr>
        <w:t>管理：教师可查看所管理班级的所有</w:t>
      </w:r>
      <w:r>
        <w:rPr>
          <w:rFonts w:hint="eastAsia" w:ascii="宋体" w:hAnsi="宋体" w:eastAsia="宋体" w:cs="宋体"/>
          <w:color w:val="auto"/>
          <w:sz w:val="21"/>
          <w:szCs w:val="21"/>
          <w:highlight w:val="none"/>
          <w:lang w:val="en-US" w:eastAsia="zh-CN"/>
        </w:rPr>
        <w:t>学员</w:t>
      </w:r>
      <w:r>
        <w:rPr>
          <w:rFonts w:hint="eastAsia" w:ascii="宋体" w:hAnsi="宋体" w:eastAsia="宋体" w:cs="宋体"/>
          <w:color w:val="auto"/>
          <w:sz w:val="21"/>
          <w:szCs w:val="21"/>
          <w:highlight w:val="none"/>
          <w:lang w:eastAsia="zh-CN"/>
        </w:rPr>
        <w:t>信息，可单独添加和批量添加、删除学</w:t>
      </w:r>
      <w:r>
        <w:rPr>
          <w:rFonts w:hint="eastAsia" w:ascii="宋体" w:hAnsi="宋体" w:eastAsia="宋体" w:cs="宋体"/>
          <w:color w:val="auto"/>
          <w:sz w:val="21"/>
          <w:szCs w:val="21"/>
          <w:highlight w:val="none"/>
          <w:lang w:val="en-US" w:eastAsia="zh-CN"/>
        </w:rPr>
        <w:t>员</w:t>
      </w:r>
      <w:r>
        <w:rPr>
          <w:rFonts w:hint="eastAsia" w:ascii="宋体" w:hAnsi="宋体" w:eastAsia="宋体" w:cs="宋体"/>
          <w:color w:val="auto"/>
          <w:sz w:val="21"/>
          <w:szCs w:val="21"/>
          <w:highlight w:val="none"/>
          <w:lang w:eastAsia="zh-CN"/>
        </w:rPr>
        <w:t>，可重置学员的密码。</w:t>
      </w:r>
    </w:p>
    <w:p w14:paraId="7FBEF45E">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）参数设置：教师可设定训练参数，如选择案例训练中的案例，改变初创企业经营实训的模拟城市环境、企业资源、市场环境、经济社会环境、电脑竞争对手等设定。通过参数设置，教师可实现自己的教学安排。</w:t>
      </w:r>
    </w:p>
    <w:p w14:paraId="3F9FAE2A">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）运行管理：教师可控制学员实训的进行，随时查看学员的实训进度，可允许学员重新进行实训。</w:t>
      </w:r>
    </w:p>
    <w:p w14:paraId="34B0E2A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 xml:space="preserve">）案例管理：教师可查看系统的默认案例（包括创业政策、创业项目、创业课堂、案例训练、创业计划书等），并增加、修改只属于自己的案例。教师也可设计自己的调查问卷。 </w:t>
      </w:r>
    </w:p>
    <w:p w14:paraId="4E7DF29F">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成</w:t>
      </w:r>
      <w:r>
        <w:rPr>
          <w:rFonts w:hint="eastAsia" w:ascii="宋体" w:hAnsi="宋体" w:eastAsia="宋体" w:cs="宋体"/>
          <w:color w:val="auto"/>
          <w:sz w:val="21"/>
          <w:szCs w:val="21"/>
          <w:highlight w:val="none"/>
          <w:lang w:eastAsia="zh-CN"/>
        </w:rPr>
        <w:t xml:space="preserve">绩管理：教师可查看学员的实训成果（创业测评、创业计划书、案例分析结果、实训心得），查看初创企业经营管理、企业设立、案例训练等模拟实训的系统评分，可对学生考勤、创业计划书等进行打分。 </w:t>
      </w:r>
    </w:p>
    <w:p w14:paraId="22DD8058">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）修改资料：修改教师个人资料和密码。</w:t>
      </w:r>
    </w:p>
    <w:p w14:paraId="236C9752">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eastAsia="zh-CN"/>
        </w:rPr>
        <w:t xml:space="preserve"> 学员端程序的主要功能 </w:t>
      </w:r>
    </w:p>
    <w:p w14:paraId="1D783771">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6.1 创业前期准备 创业前期准备板块包括创业测评、创业项目、创业政策和创业调查</w:t>
      </w:r>
    </w:p>
    <w:p w14:paraId="737D210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（1）创业测评 </w:t>
      </w:r>
    </w:p>
    <w:p w14:paraId="5BD622C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所包含的创业测评应系统全面，包含身体素质、心理素质、职业性格、创业能力、创业时机五大类，让创业者获得全面的自我认知，帮助学员把握创业时机。</w:t>
      </w:r>
    </w:p>
    <w:p w14:paraId="0A5E4F33">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 xml:space="preserve">）创业项目 </w:t>
      </w:r>
    </w:p>
    <w:p w14:paraId="5A9A1A21">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包括我的项目、推荐项目、项目分析三个模块，实现教师对学员创业项目进行指导、学员从项目库寻找和筛选适合自己的项目、学习创业项目分析等相关功能，帮助学员选择创业项目。</w:t>
      </w:r>
    </w:p>
    <w:p w14:paraId="54AF80E4">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 xml:space="preserve">）创业政策 </w:t>
      </w:r>
    </w:p>
    <w:p w14:paraId="089B7AD8">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内含的创业政策按照国家、地方、法律法规进行分类显示，汇集最新的政策信息，可随时进行补充和更新，帮助创业者充分了解创业政策、法律法规，更好地利用政策支持进行创业。 </w:t>
      </w:r>
    </w:p>
    <w:p w14:paraId="6762C1C1">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 xml:space="preserve">）创业调查 </w:t>
      </w:r>
    </w:p>
    <w:p w14:paraId="7C666154">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包含调查问卷设计、调查问卷发布管理、调查问卷统计分析等功能。</w:t>
      </w:r>
    </w:p>
    <w:p w14:paraId="1AF4BE66">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通过系统中的创业调查模块，了解培训学员的情况，听取学员的反馈，获得所需要的信息。在管理员和教师后台，可设计各类调查问卷，并有针对性地选择对象进行调查工作。系统中的分析功能，可对调查结果逐项进行统计分析，并以直观的图表方式展现出来。 </w:t>
      </w:r>
    </w:p>
    <w:p w14:paraId="06565F43">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6.2 创业能力塑造：分为创业课堂和案例训练</w:t>
      </w:r>
    </w:p>
    <w:p w14:paraId="1821875B">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（1）创业课堂 </w:t>
      </w:r>
    </w:p>
    <w:p w14:paraId="4ED313F4">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汇集了与创业相关的知识和实践经验，包括创业讲座、创业经验、创业榜样三个栏目，以多媒体的方式提供给学生。创业课堂中的内容，要根据不同培训对象进行划分。创业经验按照创业的关键要素分成十类：创业基础、创业者素质、创业团队、创业资金、创业项目、创业计划、起名与选址、企业设立、企业经营、创业风险，方便学员查找和学习。</w:t>
      </w:r>
    </w:p>
    <w:p w14:paraId="2831A875">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 xml:space="preserve">）案例训练 </w:t>
      </w:r>
    </w:p>
    <w:p w14:paraId="4081DD09">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案例训练从典型的案例分析出发，划分六个学习单元：创新能力训练、商机识别训练、创业团队训练、创业营销训练、财务管理训练、综合案例训练。 教师也可在系统中添加新的案例、修改原有案例，并可进行多方面的教学控制，如案例选择、设置参考答案等，让教师的教学自由安排。综合案例训练可自动对学员实训结果进行评分。</w:t>
      </w:r>
    </w:p>
    <w:p w14:paraId="1EFCA37A">
      <w:pPr>
        <w:widowControl/>
        <w:spacing w:line="360" w:lineRule="auto"/>
        <w:ind w:firstLine="422"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6.3 创立我的企业：包括创业计划书和创业企业实训两个模块，实际体验创业的前期过程</w:t>
      </w:r>
      <w:r>
        <w:rPr>
          <w:rFonts w:hint="eastAsia" w:ascii="宋体" w:hAnsi="宋体" w:eastAsia="宋体" w:cs="宋体"/>
          <w:color w:val="auto"/>
          <w:sz w:val="21"/>
          <w:szCs w:val="21"/>
          <w:highlight w:val="none"/>
          <w:lang w:eastAsia="zh-CN"/>
        </w:rPr>
        <w:t xml:space="preserve"> </w:t>
      </w:r>
    </w:p>
    <w:p w14:paraId="3031B74E">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（1）创业计划书 </w:t>
      </w:r>
    </w:p>
    <w:p w14:paraId="111C917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系统引导学员逐步撰写创业计划书。创业计划书分为 10 步进行训练：计划摘要、公司介绍、战略规划、组织结构、产品与服务、市场预测、营销计划、生产计划、财务规划、风险与退出。系统中有创业计划书的样本供学员参考。</w:t>
      </w:r>
    </w:p>
    <w:p w14:paraId="2BE6033F">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（2）创立企业实训 </w:t>
      </w:r>
    </w:p>
    <w:p w14:paraId="11AC4C76">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创立企业实训通过现实场景的仿真，提供给学生一个企业创立初期活动的仿真训练环境。在创立企业实训模块，学生可体验四种类型企业（包括有限责任公司、个人独资企业、合伙企业、个体工商户）的创立过程，学生通过比较能了解不同类型企业创立过程的相同和差异。创立企业实训的每个训练模块流程为学生划分了明晰的步骤——企业名称登记、前置审批、验资、领取营业执照。教师也可对创立流程进行控制和选择。模拟申请过程以最新政策为基础，并且进行了真实申请资料的填写模拟。</w:t>
      </w:r>
    </w:p>
    <w:p w14:paraId="4410C90E">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 xml:space="preserve">6.4 经营我的企业 </w:t>
      </w:r>
    </w:p>
    <w:p w14:paraId="2A1F43A4">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经营我的企业是创业后企业管理的模拟实践板块，通过仿真软件，体验企业的经营，探索创业后企业如何成长，如何在市场竞争中取得优势，通过经营实训为学生今后的创业打下坚实的基础。 </w:t>
      </w:r>
    </w:p>
    <w:p w14:paraId="2F61F41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学生在进行模拟经营活动后，系统将模型自动计算生成的结果反馈给学生，学生根据经营结果了解自己对知识掌握的情况和实践运用能力。 </w:t>
      </w:r>
    </w:p>
    <w:p w14:paraId="271FF07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本实训是初创型小企业的模拟经营训练，学生模拟经营一个新创立的企业，属于加工服务行业。实训应在竞争的环境下进行，让学员充分感受市场竞争，并训练应对和应变能力。如果学生自我练习，将由电脑控制的一家虚拟企业与之竞争。 </w:t>
      </w:r>
    </w:p>
    <w:p w14:paraId="1ABA7A01">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初创企业经营实训应将企业经营管理的关键要素全面囊括在内，包含十大训练重点：市场调查、创业团队、选址、人力资源、产品 开发、采购供应、生产加工、市场营销、财务管理、企业发展与扩张。 </w:t>
      </w:r>
    </w:p>
    <w:p w14:paraId="34C9B74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初创企业经营管理还应包括企业通用管理活动的模拟实训，锻炼学员分析和解决创业企业管理中经常遇到的各种问题。在管理训练中，分为日常管理和激励机制两大模块。</w:t>
      </w:r>
    </w:p>
    <w:p w14:paraId="3294042A">
      <w:pPr>
        <w:widowControl/>
        <w:spacing w:line="360" w:lineRule="auto"/>
        <w:ind w:firstLine="422" w:firstLine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其他要求</w:t>
      </w:r>
    </w:p>
    <w:p w14:paraId="4A5695CE">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系统应向教师开放参数的设置，教师可自由设定多种经济环境和企业状况，方便教学工作的开展。</w:t>
      </w:r>
    </w:p>
    <w:p w14:paraId="0B969192">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软件有良好的帮助和提示系统，方便学员操作。并对虚拟企业的经营问题给予提示。 </w:t>
      </w:r>
    </w:p>
    <w:p w14:paraId="2E95FC3E">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学员实训期间的所有实训过程和结果均加以保留。学员可以随时回顾经营过程。 </w:t>
      </w:r>
    </w:p>
    <w:p w14:paraId="3FB47742">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模拟软件中的经营和竞争结果以图表形式体现，让学生对经营数据有非常直观的理解和分析，也有利于教师进行分析和讲授。</w:t>
      </w:r>
    </w:p>
    <w:p w14:paraId="12F89C9C">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系统能自动生成模拟经营评价及成绩，评价指标有：净资产、销售额、净利润、顾客满意度、管理水平。并生成竞争排名。</w:t>
      </w:r>
    </w:p>
    <w:p w14:paraId="58EC4538">
      <w:pPr>
        <w:spacing w:line="36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（二）网络创业培训（含电商版、直播版）教学辅助平台</w:t>
      </w:r>
    </w:p>
    <w:p w14:paraId="7B90E33D">
      <w:pPr>
        <w:widowControl/>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根据中国就业培训技术指导中心《关于印发〈马兰花创业培训项目组织实施规程〉等技术文件的通知》（中就培函</w:t>
      </w:r>
      <w:r>
        <w:rPr>
          <w:rFonts w:hint="eastAsia" w:ascii="宋体" w:hAnsi="宋体" w:eastAsia="宋体" w:cs="宋体"/>
          <w:color w:val="auto"/>
          <w:sz w:val="21"/>
          <w:szCs w:val="21"/>
          <w:highlight w:val="none"/>
          <w:lang w:val="zh-CN" w:eastAsia="zh-CN"/>
        </w:rPr>
        <w:t>〔202</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eastAsia="zh-CN"/>
        </w:rPr>
        <w:t>62</w:t>
      </w:r>
      <w:r>
        <w:rPr>
          <w:rFonts w:hint="eastAsia" w:ascii="宋体" w:hAnsi="宋体" w:eastAsia="宋体" w:cs="宋体"/>
          <w:color w:val="auto"/>
          <w:sz w:val="21"/>
          <w:szCs w:val="21"/>
          <w:highlight w:val="none"/>
          <w:lang w:val="zh-CN" w:eastAsia="zh-CN"/>
        </w:rPr>
        <w:t>号</w:t>
      </w:r>
      <w:r>
        <w:rPr>
          <w:rFonts w:hint="eastAsia" w:ascii="宋体" w:hAnsi="宋体" w:eastAsia="宋体" w:cs="宋体"/>
          <w:color w:val="auto"/>
          <w:sz w:val="21"/>
          <w:szCs w:val="21"/>
          <w:highlight w:val="none"/>
          <w:lang w:eastAsia="zh-CN"/>
        </w:rPr>
        <w:t>）中的《网络创业培训技术要点》（以下简称《技术要点》），并结合本地工作实际需求，选择网络创业培训教学辅助平台。按照网络创业培训标准提供包括但不限于</w:t>
      </w:r>
      <w:r>
        <w:rPr>
          <w:rFonts w:hint="eastAsia" w:ascii="宋体" w:hAnsi="宋体" w:eastAsia="宋体" w:cs="宋体"/>
          <w:color w:val="auto"/>
          <w:sz w:val="21"/>
          <w:szCs w:val="21"/>
          <w:highlight w:val="none"/>
          <w:lang w:val="zh-CN" w:eastAsia="zh-CN"/>
        </w:rPr>
        <w:t>模拟训练</w:t>
      </w:r>
      <w:r>
        <w:rPr>
          <w:rFonts w:hint="eastAsia" w:ascii="宋体" w:hAnsi="宋体" w:eastAsia="宋体" w:cs="宋体"/>
          <w:color w:val="auto"/>
          <w:sz w:val="21"/>
          <w:szCs w:val="21"/>
          <w:highlight w:val="none"/>
          <w:lang w:eastAsia="zh-CN"/>
        </w:rPr>
        <w:t>、教学服务、</w:t>
      </w:r>
      <w:r>
        <w:rPr>
          <w:rFonts w:hint="eastAsia" w:ascii="宋体" w:hAnsi="宋体" w:eastAsia="宋体" w:cs="宋体"/>
          <w:color w:val="auto"/>
          <w:sz w:val="21"/>
          <w:szCs w:val="21"/>
          <w:highlight w:val="none"/>
          <w:lang w:val="zh-CN" w:eastAsia="zh-CN"/>
        </w:rPr>
        <w:t>培训考核、</w:t>
      </w:r>
      <w:r>
        <w:rPr>
          <w:rFonts w:hint="eastAsia" w:ascii="宋体" w:hAnsi="宋体" w:eastAsia="宋体" w:cs="宋体"/>
          <w:color w:val="auto"/>
          <w:sz w:val="21"/>
          <w:szCs w:val="21"/>
          <w:highlight w:val="none"/>
          <w:lang w:eastAsia="zh-CN"/>
        </w:rPr>
        <w:t>培训管理</w:t>
      </w:r>
      <w:r>
        <w:rPr>
          <w:rFonts w:hint="eastAsia" w:ascii="宋体" w:hAnsi="宋体" w:eastAsia="宋体" w:cs="宋体"/>
          <w:color w:val="auto"/>
          <w:sz w:val="21"/>
          <w:szCs w:val="21"/>
          <w:highlight w:val="none"/>
          <w:lang w:val="zh-CN" w:eastAsia="zh-CN"/>
        </w:rPr>
        <w:t>、后续服务</w:t>
      </w:r>
      <w:r>
        <w:rPr>
          <w:rFonts w:hint="eastAsia" w:ascii="宋体" w:hAnsi="宋体" w:eastAsia="宋体" w:cs="宋体"/>
          <w:color w:val="auto"/>
          <w:sz w:val="21"/>
          <w:szCs w:val="21"/>
          <w:highlight w:val="none"/>
          <w:lang w:eastAsia="zh-CN"/>
        </w:rPr>
        <w:t>等功能</w:t>
      </w:r>
      <w:r>
        <w:rPr>
          <w:rFonts w:hint="eastAsia" w:ascii="宋体" w:hAnsi="宋体" w:eastAsia="宋体" w:cs="宋体"/>
          <w:color w:val="auto"/>
          <w:sz w:val="21"/>
          <w:szCs w:val="21"/>
          <w:highlight w:val="none"/>
          <w:lang w:val="zh-CN" w:eastAsia="zh-CN"/>
        </w:rPr>
        <w:t>模块。</w:t>
      </w:r>
    </w:p>
    <w:p w14:paraId="66554FA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教学辅助平台原则</w:t>
      </w:r>
    </w:p>
    <w:p w14:paraId="38C912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可扩展性原则</w:t>
      </w:r>
    </w:p>
    <w:p w14:paraId="1837D2D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虑平台功能扩展及接口开发等需要，基于平台数据库表结构，要求支持未来出现的新业务带来的数据种类、数据量及并发访问量的增长；支持新建业务系统或数据服务类型的不断增长和变化，并具有持续改进能力。</w:t>
      </w:r>
    </w:p>
    <w:p w14:paraId="14D8AE6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共享性原则</w:t>
      </w:r>
    </w:p>
    <w:p w14:paraId="45264CB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平台应具备与本地区实名制管理系统进行培训监管数据对接的接口能力，同时应确保在系统间数据交换过程中信息不丢失、不重复、不被篡改，确保数据交换的安全、及时和准确。</w:t>
      </w:r>
    </w:p>
    <w:p w14:paraId="461D371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可靠性原则</w:t>
      </w:r>
    </w:p>
    <w:p w14:paraId="58A336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设计、开发和应用时，要求从系统结构、技术服务和维护能力等方面综合考虑，采用主流、成熟、稳定、先进的操作系统、数据库、网络协议、中间件等，需建立安全的硬件和软件防火墙实现黑白名单制度，确保系统较稳定的运行性能和较低故障率。</w:t>
      </w:r>
    </w:p>
    <w:p w14:paraId="0331866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高效性原则</w:t>
      </w:r>
    </w:p>
    <w:p w14:paraId="2DCC89F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平台应采用分布式架构，支持负载均衡，能够支撑本地区电商版网络创业培训工作实际应用。平台设计科学化、专业化与简易化并重，保证用户操作的流畅快捷。</w:t>
      </w:r>
    </w:p>
    <w:p w14:paraId="56E51B54">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教学辅助平台功能要求</w:t>
      </w:r>
    </w:p>
    <w:p w14:paraId="0EEB019E">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根据《技术要点》要求，平台功能要求参考如下：</w:t>
      </w:r>
    </w:p>
    <w:tbl>
      <w:tblPr>
        <w:tblStyle w:val="28"/>
        <w:tblW w:w="973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24"/>
        <w:gridCol w:w="1118"/>
        <w:gridCol w:w="7488"/>
      </w:tblGrid>
      <w:tr w14:paraId="777A34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1124" w:type="dxa"/>
            <w:shd w:val="clear" w:color="auto" w:fill="F2F2F2"/>
            <w:noWrap w:val="0"/>
            <w:vAlign w:val="center"/>
          </w:tcPr>
          <w:p w14:paraId="57A30127">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辅助平台</w:t>
            </w:r>
          </w:p>
        </w:tc>
        <w:tc>
          <w:tcPr>
            <w:tcW w:w="1118" w:type="dxa"/>
            <w:shd w:val="clear" w:color="auto" w:fill="F2F2F2"/>
            <w:noWrap w:val="0"/>
            <w:vAlign w:val="center"/>
          </w:tcPr>
          <w:p w14:paraId="68511801">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模块名称</w:t>
            </w:r>
          </w:p>
        </w:tc>
        <w:tc>
          <w:tcPr>
            <w:tcW w:w="7488" w:type="dxa"/>
            <w:shd w:val="clear" w:color="auto" w:fill="F2F2F2"/>
            <w:noWrap w:val="0"/>
            <w:vAlign w:val="center"/>
          </w:tcPr>
          <w:p w14:paraId="59502F1A">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平台功能要求</w:t>
            </w:r>
          </w:p>
        </w:tc>
      </w:tr>
      <w:tr w14:paraId="14A868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124" w:type="dxa"/>
            <w:vMerge w:val="restart"/>
            <w:noWrap w:val="0"/>
            <w:vAlign w:val="center"/>
          </w:tcPr>
          <w:p w14:paraId="06B0A39F">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网创电商版</w:t>
            </w:r>
          </w:p>
        </w:tc>
        <w:tc>
          <w:tcPr>
            <w:tcW w:w="1118" w:type="dxa"/>
            <w:noWrap w:val="0"/>
            <w:vAlign w:val="center"/>
          </w:tcPr>
          <w:p w14:paraId="650A14C8">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模拟训练</w:t>
            </w:r>
          </w:p>
        </w:tc>
        <w:tc>
          <w:tcPr>
            <w:tcW w:w="7488" w:type="dxa"/>
            <w:noWrap w:val="0"/>
            <w:vAlign w:val="center"/>
          </w:tcPr>
          <w:p w14:paraId="5C428595">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包括模拟商城和模拟供销系统，满足电商版网创线上实操教学需求。</w:t>
            </w:r>
          </w:p>
          <w:p w14:paraId="0D7CE8F6">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1.支持学员练习店铺注册、商品管理（商品引导式发布）、交易管理（实现DSR动态评价）、店铺管理、营销管理（直通车竞价排名）等操作，物流管理（从发货到仓储的全面模拟）；</w:t>
            </w:r>
          </w:p>
          <w:p w14:paraId="71ABE1CE">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2.能提供电商数据分析与诊断（包括店铺概况、流量统计、效率统计等数据）；</w:t>
            </w:r>
          </w:p>
          <w:p w14:paraId="1979210E">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3.能模拟买家订单流量等功能；</w:t>
            </w:r>
          </w:p>
          <w:p w14:paraId="773BD831">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4.模拟供销系统与模拟商城实现数据交互，支持学员练习商品一键上架、订单抓取、库存同步等操作要点；</w:t>
            </w:r>
          </w:p>
          <w:p w14:paraId="238D1DC5">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5.能提供商品优惠券、搜索竞价、限时活动等模拟营销工具。</w:t>
            </w:r>
          </w:p>
        </w:tc>
      </w:tr>
      <w:tr w14:paraId="4F9DE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1124" w:type="dxa"/>
            <w:vMerge w:val="continue"/>
            <w:noWrap w:val="0"/>
            <w:vAlign w:val="center"/>
          </w:tcPr>
          <w:p w14:paraId="55BF0F14">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1629275A">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教学服务</w:t>
            </w:r>
          </w:p>
        </w:tc>
        <w:tc>
          <w:tcPr>
            <w:tcW w:w="7488" w:type="dxa"/>
            <w:noWrap w:val="0"/>
            <w:vAlign w:val="center"/>
          </w:tcPr>
          <w:p w14:paraId="4B2D5D3A">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1.支持培训讲师发布教学任务；支持学员查看培训讲师信息、课程任务详情并完成课程任务；</w:t>
            </w:r>
          </w:p>
          <w:p w14:paraId="1096D860">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2.支持学员对培训机构、培训讲师进行教学服务质量评价。</w:t>
            </w:r>
          </w:p>
          <w:p w14:paraId="01A77B7D">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3.支持点播教学、直播教学、在线互动、随堂练习、线上学习签到、过程记录以及学员学情统计分析等功能。</w:t>
            </w:r>
          </w:p>
        </w:tc>
      </w:tr>
      <w:tr w14:paraId="56725A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94" w:hRule="atLeast"/>
          <w:jc w:val="center"/>
        </w:trPr>
        <w:tc>
          <w:tcPr>
            <w:tcW w:w="1124" w:type="dxa"/>
            <w:vMerge w:val="continue"/>
            <w:noWrap w:val="0"/>
            <w:vAlign w:val="center"/>
          </w:tcPr>
          <w:p w14:paraId="590FCB19">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7066AD15">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培训考核</w:t>
            </w:r>
          </w:p>
        </w:tc>
        <w:tc>
          <w:tcPr>
            <w:tcW w:w="7488" w:type="dxa"/>
            <w:noWrap w:val="0"/>
            <w:vAlign w:val="center"/>
          </w:tcPr>
          <w:p w14:paraId="010C83C4">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1.支持学员在线提交实践成果和《网店规划书》；支持讲师在线评审打分，并进行电子签名确认；</w:t>
            </w:r>
          </w:p>
          <w:p w14:paraId="67C5D490">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2.支持学员通过实名认证、人脸核验身份在线参加理论考试（随机组卷、自动阅卷并生成理论考试成绩）；</w:t>
            </w:r>
          </w:p>
        </w:tc>
      </w:tr>
      <w:tr w14:paraId="79937E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1124" w:type="dxa"/>
            <w:vMerge w:val="continue"/>
            <w:noWrap w:val="0"/>
            <w:vAlign w:val="center"/>
          </w:tcPr>
          <w:p w14:paraId="347E694F">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5ED672AA">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培训管理</w:t>
            </w:r>
          </w:p>
        </w:tc>
        <w:tc>
          <w:tcPr>
            <w:tcW w:w="7488" w:type="dxa"/>
            <w:noWrap w:val="0"/>
            <w:vAlign w:val="center"/>
          </w:tcPr>
          <w:p w14:paraId="68FC22EA">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1.主管部门、教学机构、具有不同层级与权限，实现线上审批与监管；</w:t>
            </w:r>
          </w:p>
          <w:p w14:paraId="10351AC3">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主要帮助创业培训主管部门完成培训监督和效果评估，包括培训机构管理、培训讲师管理、开班申请审核、学员信息录入（或导入）、监督评估工具表单提交、材料报送、后续跟踪、统计分析等。</w:t>
            </w:r>
          </w:p>
        </w:tc>
      </w:tr>
      <w:tr w14:paraId="20F3A1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1124" w:type="dxa"/>
            <w:vMerge w:val="continue"/>
            <w:noWrap w:val="0"/>
            <w:vAlign w:val="center"/>
          </w:tcPr>
          <w:p w14:paraId="29FB39CC">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0A0D46D5">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后续服务</w:t>
            </w:r>
          </w:p>
        </w:tc>
        <w:tc>
          <w:tcPr>
            <w:tcW w:w="7488" w:type="dxa"/>
            <w:noWrap w:val="0"/>
            <w:vAlign w:val="center"/>
          </w:tcPr>
          <w:p w14:paraId="013263F0">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1.在线学习可结合电商版网创课程内容，持续补充提供更多提升学习资源；</w:t>
            </w:r>
          </w:p>
          <w:p w14:paraId="2C332E81">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2.资源对接可展示融资、孵化、咨询、指导等服务资源信息，帮助学员高效匹配所需服务；</w:t>
            </w:r>
          </w:p>
          <w:p w14:paraId="45A87C57">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3.后续服务监督评估实现后续服务过程可记录、典型创业学员成果可展示，为创业培训主管部门、培训机构及创业指导师工作室开展后续服务提供数据支撑。</w:t>
            </w:r>
          </w:p>
        </w:tc>
      </w:tr>
      <w:tr w14:paraId="681258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1124" w:type="dxa"/>
            <w:vMerge w:val="restart"/>
            <w:noWrap w:val="0"/>
            <w:vAlign w:val="center"/>
          </w:tcPr>
          <w:p w14:paraId="4863CB7E">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网创直播版</w:t>
            </w:r>
          </w:p>
        </w:tc>
        <w:tc>
          <w:tcPr>
            <w:tcW w:w="1118" w:type="dxa"/>
            <w:noWrap w:val="0"/>
            <w:vAlign w:val="center"/>
          </w:tcPr>
          <w:p w14:paraId="0ADEC479">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模拟训练</w:t>
            </w:r>
          </w:p>
        </w:tc>
        <w:tc>
          <w:tcPr>
            <w:tcW w:w="7488" w:type="dxa"/>
            <w:noWrap w:val="0"/>
            <w:vAlign w:val="center"/>
          </w:tcPr>
          <w:p w14:paraId="48EE5E4E">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为学员提供模拟真实的直播创业环境，满足直播网创培训线上实操教学需求。</w:t>
            </w:r>
          </w:p>
          <w:p w14:paraId="722D71E1">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1.支持学员以不同角色进行模拟训练，包括但不限于商家、买家、主播等角色的相关模拟实操；</w:t>
            </w:r>
          </w:p>
          <w:p w14:paraId="7DB517E5">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2.支持通过人工智能进行直播脚本等内容的辅助生成；</w:t>
            </w:r>
          </w:p>
          <w:p w14:paraId="6935398C">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3.支持多种营销功能，包括但不限于福袋、红包、秒杀、优惠券、短视频（短视频具有教师审核功能）等；</w:t>
            </w:r>
          </w:p>
          <w:p w14:paraId="724FE2AA">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4.支持直播数据的抓取和呈现并形成数据看板，支持学员查看直播数据，包括订单状态、交易数据、直播时长等。</w:t>
            </w:r>
          </w:p>
          <w:p w14:paraId="08130242">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5.支持教师端查看学员直播回放及直播数据。</w:t>
            </w:r>
          </w:p>
        </w:tc>
      </w:tr>
      <w:tr w14:paraId="7C41AA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124" w:type="dxa"/>
            <w:vMerge w:val="continue"/>
            <w:noWrap w:val="0"/>
            <w:vAlign w:val="center"/>
          </w:tcPr>
          <w:p w14:paraId="5E3B117F">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6C7F2910">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教学服务</w:t>
            </w:r>
          </w:p>
        </w:tc>
        <w:tc>
          <w:tcPr>
            <w:tcW w:w="7488" w:type="dxa"/>
            <w:noWrap w:val="0"/>
            <w:vAlign w:val="center"/>
          </w:tcPr>
          <w:p w14:paraId="487A0D93">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1.支持培训讲师发布教学任务，支持学员查看培训讲师信息、课程任务详情并完成课程任务；</w:t>
            </w:r>
          </w:p>
          <w:p w14:paraId="5C369FDF">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2.支持学员对培训机构、培训讲师进行教学服务质量评价；</w:t>
            </w:r>
          </w:p>
          <w:p w14:paraId="11DEB396">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3.支持点播教学、直播教学、在线互动、随堂练习、线上学习签到、过程记录以及学员学情统计分析等功能；</w:t>
            </w:r>
          </w:p>
        </w:tc>
      </w:tr>
      <w:tr w14:paraId="41CC8E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1124" w:type="dxa"/>
            <w:vMerge w:val="continue"/>
            <w:noWrap w:val="0"/>
            <w:vAlign w:val="center"/>
          </w:tcPr>
          <w:p w14:paraId="0E7460B9">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70D3132F">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培训考核</w:t>
            </w:r>
          </w:p>
        </w:tc>
        <w:tc>
          <w:tcPr>
            <w:tcW w:w="7488" w:type="dxa"/>
            <w:noWrap w:val="0"/>
            <w:vAlign w:val="center"/>
          </w:tcPr>
          <w:p w14:paraId="119E00C7">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1.支持学员在线提交实践成果和《直播规划书》；支持讲师在线评审打分，并进行电子签名确认；</w:t>
            </w:r>
          </w:p>
          <w:p w14:paraId="2E10E9B5">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2.支持学员通过实名认证、人脸核验身份在线参加理论考试（随机组卷、自动阅卷并生成理论考试成绩）；</w:t>
            </w:r>
          </w:p>
        </w:tc>
      </w:tr>
      <w:tr w14:paraId="490DA2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1124" w:type="dxa"/>
            <w:vMerge w:val="continue"/>
            <w:noWrap w:val="0"/>
            <w:vAlign w:val="center"/>
          </w:tcPr>
          <w:p w14:paraId="3FBCD500">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7AF921F2">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培训管理</w:t>
            </w:r>
          </w:p>
        </w:tc>
        <w:tc>
          <w:tcPr>
            <w:tcW w:w="7488" w:type="dxa"/>
            <w:noWrap w:val="0"/>
            <w:vAlign w:val="center"/>
          </w:tcPr>
          <w:p w14:paraId="5724F303">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1.主管部门、教学机构、具有不同层级与权限，实现线上审批与监管；</w:t>
            </w:r>
          </w:p>
          <w:p w14:paraId="5F33A242">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主要帮助创业培训主管部门完成培训监督和效果评估，包括培训机构管理、培训讲师管理、开班申请审核、学员信息录入（或导入）、监督评估工具表单提交、材料报送、后续跟踪、统计分析等。</w:t>
            </w:r>
          </w:p>
        </w:tc>
      </w:tr>
      <w:tr w14:paraId="21B7D5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24" w:type="dxa"/>
            <w:vMerge w:val="continue"/>
            <w:noWrap w:val="0"/>
            <w:vAlign w:val="center"/>
          </w:tcPr>
          <w:p w14:paraId="7AD3CD96">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p>
        </w:tc>
        <w:tc>
          <w:tcPr>
            <w:tcW w:w="1118" w:type="dxa"/>
            <w:noWrap w:val="0"/>
            <w:vAlign w:val="center"/>
          </w:tcPr>
          <w:p w14:paraId="44EDF744">
            <w:pPr>
              <w:keepNext w:val="0"/>
              <w:keepLines w:val="0"/>
              <w:pageBreakBefore w:val="0"/>
              <w:widowControl/>
              <w:kinsoku/>
              <w:wordWrap/>
              <w:overflowPunct w:val="0"/>
              <w:topLinePunct w:val="0"/>
              <w:autoSpaceDE/>
              <w:autoSpaceDN/>
              <w:bidi w:val="0"/>
              <w:adjustRightInd/>
              <w:snapToGrid/>
              <w:spacing w:line="42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后续服务</w:t>
            </w:r>
          </w:p>
        </w:tc>
        <w:tc>
          <w:tcPr>
            <w:tcW w:w="7488" w:type="dxa"/>
            <w:noWrap w:val="0"/>
            <w:vAlign w:val="center"/>
          </w:tcPr>
          <w:p w14:paraId="48BE7418">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1.在线学习可结合直播版网创课程内容，持续补充提供更多提升学习资源；</w:t>
            </w:r>
          </w:p>
          <w:p w14:paraId="7BE093E3">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2.资源对接可展示融资、孵化、咨询、指导等服务资源信息，帮助学员高效匹配所需服务；</w:t>
            </w:r>
          </w:p>
          <w:p w14:paraId="06CD8A1B">
            <w:pPr>
              <w:keepNext w:val="0"/>
              <w:keepLines w:val="0"/>
              <w:pageBreakBefore w:val="0"/>
              <w:widowControl/>
              <w:kinsoku/>
              <w:wordWrap/>
              <w:overflowPunct w:val="0"/>
              <w:topLinePunct w:val="0"/>
              <w:autoSpaceDE/>
              <w:autoSpaceDN/>
              <w:bidi w:val="0"/>
              <w:adjustRightInd/>
              <w:snapToGrid/>
              <w:spacing w:line="420" w:lineRule="exact"/>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3.后续服务监督评估实现后续服务过程可记录、典型创业学员成果可展示，为创业培训主管部门、培训机构及创业指导师工作室开展后续服务提供数据支撑。</w:t>
            </w:r>
          </w:p>
        </w:tc>
      </w:tr>
    </w:tbl>
    <w:p w14:paraId="4CDA1FB5">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教学辅助平台服务要求</w:t>
      </w:r>
    </w:p>
    <w:p w14:paraId="27AE7BA0">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由技术服务单位提供管理服务、师资服务、学员服务及平台系统运维服务，具体服务要求参考如下：</w:t>
      </w:r>
    </w:p>
    <w:tbl>
      <w:tblPr>
        <w:tblStyle w:val="28"/>
        <w:tblW w:w="989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27"/>
        <w:gridCol w:w="1233"/>
        <w:gridCol w:w="7535"/>
      </w:tblGrid>
      <w:tr w14:paraId="3A7BA5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blHeader/>
          <w:jc w:val="center"/>
        </w:trPr>
        <w:tc>
          <w:tcPr>
            <w:tcW w:w="1127" w:type="dxa"/>
            <w:shd w:val="clear" w:color="auto" w:fill="F2F2F2"/>
            <w:noWrap w:val="0"/>
            <w:vAlign w:val="center"/>
          </w:tcPr>
          <w:p w14:paraId="6E1FE530">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辅助平台</w:t>
            </w:r>
          </w:p>
        </w:tc>
        <w:tc>
          <w:tcPr>
            <w:tcW w:w="1233" w:type="dxa"/>
            <w:shd w:val="clear" w:color="auto" w:fill="F2F2F2"/>
            <w:noWrap w:val="0"/>
            <w:vAlign w:val="center"/>
          </w:tcPr>
          <w:p w14:paraId="247F51E0">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服务类别</w:t>
            </w:r>
          </w:p>
        </w:tc>
        <w:tc>
          <w:tcPr>
            <w:tcW w:w="7535" w:type="dxa"/>
            <w:shd w:val="clear" w:color="auto" w:fill="F2F2F2"/>
            <w:noWrap w:val="0"/>
            <w:vAlign w:val="center"/>
          </w:tcPr>
          <w:p w14:paraId="73E0FF52">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服务内容</w:t>
            </w:r>
          </w:p>
        </w:tc>
      </w:tr>
      <w:tr w14:paraId="787048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23" w:hRule="atLeast"/>
          <w:jc w:val="center"/>
        </w:trPr>
        <w:tc>
          <w:tcPr>
            <w:tcW w:w="1127" w:type="dxa"/>
            <w:vMerge w:val="restart"/>
            <w:noWrap w:val="0"/>
            <w:vAlign w:val="center"/>
          </w:tcPr>
          <w:p w14:paraId="11EA208A">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网创教学辅助平台</w:t>
            </w:r>
          </w:p>
        </w:tc>
        <w:tc>
          <w:tcPr>
            <w:tcW w:w="1233" w:type="dxa"/>
            <w:noWrap w:val="0"/>
            <w:vAlign w:val="center"/>
          </w:tcPr>
          <w:p w14:paraId="195EA8F5">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管理服务</w:t>
            </w:r>
          </w:p>
        </w:tc>
        <w:tc>
          <w:tcPr>
            <w:tcW w:w="7535" w:type="dxa"/>
            <w:noWrap w:val="0"/>
            <w:vAlign w:val="center"/>
          </w:tcPr>
          <w:p w14:paraId="4C9BF8C0">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1.协助制定属地化电商版</w:t>
            </w:r>
            <w:r>
              <w:rPr>
                <w:rFonts w:hint="eastAsia" w:ascii="宋体" w:hAnsi="宋体" w:eastAsia="宋体" w:cs="宋体"/>
                <w:color w:val="auto"/>
                <w:sz w:val="21"/>
                <w:szCs w:val="21"/>
                <w:highlight w:val="none"/>
                <w:lang w:val="en-US" w:eastAsia="zh-CN"/>
              </w:rPr>
              <w:t>和直播版</w:t>
            </w:r>
            <w:r>
              <w:rPr>
                <w:rFonts w:hint="eastAsia" w:ascii="宋体" w:hAnsi="宋体" w:eastAsia="宋体" w:cs="宋体"/>
                <w:color w:val="auto"/>
                <w:sz w:val="21"/>
                <w:szCs w:val="21"/>
                <w:highlight w:val="none"/>
              </w:rPr>
              <w:t>网创实施流程及管理服务体系。</w:t>
            </w:r>
          </w:p>
          <w:p w14:paraId="440D2197">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2.部署属地化教学辅助平台，并按需提供培训及咨询服务。</w:t>
            </w:r>
          </w:p>
          <w:p w14:paraId="1DC0B56C">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3.协助开发培训考核资源（题库、试卷开发）、协同培训管理工作，支持大数据采集、整理、分析等各项培训监管效果的服务工作。</w:t>
            </w:r>
          </w:p>
        </w:tc>
      </w:tr>
      <w:tr w14:paraId="4EB537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1127" w:type="dxa"/>
            <w:vMerge w:val="continue"/>
            <w:noWrap w:val="0"/>
            <w:vAlign w:val="center"/>
          </w:tcPr>
          <w:p w14:paraId="2421F502">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712F2A67">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师资服务</w:t>
            </w:r>
          </w:p>
        </w:tc>
        <w:tc>
          <w:tcPr>
            <w:tcW w:w="7535" w:type="dxa"/>
            <w:noWrap w:val="0"/>
            <w:vAlign w:val="center"/>
          </w:tcPr>
          <w:p w14:paraId="154AAB9F">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1.利用各类资源为师资提供持续培养和教学能力提升。</w:t>
            </w:r>
          </w:p>
          <w:p w14:paraId="4F0323E3">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2.提供线上线下融合的创业培训讲师提升活动。</w:t>
            </w:r>
          </w:p>
        </w:tc>
      </w:tr>
      <w:tr w14:paraId="12444C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1127" w:type="dxa"/>
            <w:vMerge w:val="continue"/>
            <w:noWrap w:val="0"/>
            <w:vAlign w:val="center"/>
          </w:tcPr>
          <w:p w14:paraId="1409383C">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3481CDD4">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学员服务</w:t>
            </w:r>
          </w:p>
        </w:tc>
        <w:tc>
          <w:tcPr>
            <w:tcW w:w="7535" w:type="dxa"/>
            <w:noWrap w:val="0"/>
            <w:vAlign w:val="center"/>
          </w:tcPr>
          <w:p w14:paraId="73914218">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1.助力主管部门打造创业培训服务后续跟踪服务管理体系。</w:t>
            </w:r>
          </w:p>
          <w:p w14:paraId="6E20460E">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2.为学员免费提供精品课程学习内容及各类创业服务资源对接。</w:t>
            </w:r>
          </w:p>
          <w:p w14:paraId="69468476">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3.为学员提供持续的后续跟踪及典型学员选树服务。</w:t>
            </w:r>
          </w:p>
        </w:tc>
      </w:tr>
      <w:tr w14:paraId="698BCA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27" w:type="dxa"/>
            <w:vMerge w:val="continue"/>
            <w:noWrap w:val="0"/>
            <w:vAlign w:val="center"/>
          </w:tcPr>
          <w:p w14:paraId="00A079C4">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2A11DDE6">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服务器</w:t>
            </w:r>
          </w:p>
          <w:p w14:paraId="133F768B">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操作系统维护服务</w:t>
            </w:r>
          </w:p>
        </w:tc>
        <w:tc>
          <w:tcPr>
            <w:tcW w:w="7535" w:type="dxa"/>
            <w:noWrap w:val="0"/>
            <w:vAlign w:val="center"/>
          </w:tcPr>
          <w:p w14:paraId="010E93C6">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1.服务器配置优化及重要配置文件定期备份。</w:t>
            </w:r>
          </w:p>
          <w:p w14:paraId="26CCFCD8">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2.服务器日常打补丁，出现异常时及时恢复。</w:t>
            </w:r>
          </w:p>
          <w:p w14:paraId="3BB02A9C">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3.检测服务器是否在线、性能预警和安全预警。</w:t>
            </w:r>
          </w:p>
        </w:tc>
      </w:tr>
      <w:tr w14:paraId="40BB10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27" w:type="dxa"/>
            <w:vMerge w:val="continue"/>
            <w:noWrap w:val="0"/>
            <w:vAlign w:val="center"/>
          </w:tcPr>
          <w:p w14:paraId="31741161">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70B2DA8E">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w:t>
            </w:r>
          </w:p>
          <w:p w14:paraId="6A2304EF">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维护服务</w:t>
            </w:r>
          </w:p>
        </w:tc>
        <w:tc>
          <w:tcPr>
            <w:tcW w:w="7535" w:type="dxa"/>
            <w:noWrap w:val="0"/>
            <w:vAlign w:val="center"/>
          </w:tcPr>
          <w:p w14:paraId="20F7D0D8">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1.重要数据的安全管理与备份。</w:t>
            </w:r>
          </w:p>
          <w:p w14:paraId="1A3649CE">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.超负荷预警和安全预警，系统失败时恢复数据库系统。</w:t>
            </w:r>
          </w:p>
          <w:p w14:paraId="107B9889">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3.日常的日志安全管理。</w:t>
            </w:r>
          </w:p>
        </w:tc>
      </w:tr>
      <w:tr w14:paraId="5E3C47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5" w:hRule="atLeast"/>
          <w:jc w:val="center"/>
        </w:trPr>
        <w:tc>
          <w:tcPr>
            <w:tcW w:w="1127" w:type="dxa"/>
            <w:vMerge w:val="continue"/>
            <w:noWrap w:val="0"/>
            <w:vAlign w:val="center"/>
          </w:tcPr>
          <w:p w14:paraId="54484A3E">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68ED9E85">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Web服务器维护服务</w:t>
            </w:r>
          </w:p>
        </w:tc>
        <w:tc>
          <w:tcPr>
            <w:tcW w:w="7535" w:type="dxa"/>
            <w:noWrap w:val="0"/>
            <w:vAlign w:val="center"/>
          </w:tcPr>
          <w:p w14:paraId="73A57078">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1.日志统计和分析。</w:t>
            </w:r>
          </w:p>
          <w:p w14:paraId="5A19899F">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2.安全补丁与版本升级。</w:t>
            </w:r>
          </w:p>
          <w:p w14:paraId="7E338AC5">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3.检测Web服务的可用性、安全预警、超负荷预警。</w:t>
            </w:r>
          </w:p>
        </w:tc>
      </w:tr>
      <w:tr w14:paraId="2C8168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1127" w:type="dxa"/>
            <w:vMerge w:val="continue"/>
            <w:noWrap w:val="0"/>
            <w:vAlign w:val="center"/>
          </w:tcPr>
          <w:p w14:paraId="4B255A4E">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p>
        </w:tc>
        <w:tc>
          <w:tcPr>
            <w:tcW w:w="1233" w:type="dxa"/>
            <w:noWrap w:val="0"/>
            <w:vAlign w:val="center"/>
          </w:tcPr>
          <w:p w14:paraId="5883C88E">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子系统</w:t>
            </w:r>
          </w:p>
          <w:p w14:paraId="2545A9DE">
            <w:pPr>
              <w:keepNext w:val="0"/>
              <w:keepLines w:val="0"/>
              <w:pageBreakBefore w:val="0"/>
              <w:widowControl/>
              <w:kinsoku/>
              <w:wordWrap/>
              <w:overflowPunct w:val="0"/>
              <w:topLinePunct w:val="0"/>
              <w:autoSpaceDE/>
              <w:autoSpaceDN/>
              <w:bidi w:val="0"/>
              <w:adjustRightInd/>
              <w:snapToGrid/>
              <w:spacing w:line="44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维护服务</w:t>
            </w:r>
          </w:p>
        </w:tc>
        <w:tc>
          <w:tcPr>
            <w:tcW w:w="7535" w:type="dxa"/>
            <w:noWrap w:val="0"/>
            <w:vAlign w:val="center"/>
          </w:tcPr>
          <w:p w14:paraId="321B3B42">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1.各子系统数据备份（全盘备份和增量备份）。</w:t>
            </w:r>
          </w:p>
          <w:p w14:paraId="72C36638">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2.各子系统功能的常规升级（调整或者改进）。</w:t>
            </w:r>
          </w:p>
          <w:p w14:paraId="1E347341">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3.各子系统出现极端情况的快速响应（快速解决）。</w:t>
            </w:r>
          </w:p>
          <w:p w14:paraId="6F7D9B2C">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4.各子系统权限的调整和基于权限的角色调整。</w:t>
            </w:r>
          </w:p>
          <w:p w14:paraId="594387B5">
            <w:pPr>
              <w:keepNext w:val="0"/>
              <w:keepLines w:val="0"/>
              <w:pageBreakBefore w:val="0"/>
              <w:widowControl/>
              <w:kinsoku/>
              <w:wordWrap/>
              <w:overflowPunct w:val="0"/>
              <w:topLinePunct w:val="0"/>
              <w:autoSpaceDE/>
              <w:autoSpaceDN/>
              <w:bidi w:val="0"/>
              <w:adjustRightInd/>
              <w:snapToGrid/>
              <w:spacing w:line="44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5.各子系统中产生的统计数据的定时整理。</w:t>
            </w:r>
          </w:p>
        </w:tc>
      </w:tr>
    </w:tbl>
    <w:p w14:paraId="70480B6F">
      <w:pPr>
        <w:keepNext w:val="0"/>
        <w:keepLines w:val="0"/>
        <w:pageBreakBefore w:val="0"/>
        <w:widowControl w:val="0"/>
        <w:kinsoku/>
        <w:wordWrap w:val="0"/>
        <w:overflowPunct/>
        <w:topLinePunct w:val="0"/>
        <w:autoSpaceDE/>
        <w:autoSpaceDN/>
        <w:bidi w:val="0"/>
        <w:adjustRightInd/>
        <w:snapToGrid/>
        <w:spacing w:before="157" w:beforeLines="50" w:after="157" w:afterLines="50" w:line="500" w:lineRule="exact"/>
        <w:jc w:val="left"/>
        <w:textAlignment w:val="auto"/>
        <w:outlineLvl w:val="1"/>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四、后续服务</w:t>
      </w:r>
    </w:p>
    <w:p w14:paraId="01074C56">
      <w:pPr>
        <w:keepNext w:val="0"/>
        <w:keepLines w:val="0"/>
        <w:pageBreakBefore w:val="0"/>
        <w:widowControl w:val="0"/>
        <w:kinsoku/>
        <w:wordWrap w:val="0"/>
        <w:overflowPunct w:val="0"/>
        <w:topLinePunct w:val="0"/>
        <w:bidi w:val="0"/>
        <w:spacing w:line="560" w:lineRule="exact"/>
        <w:ind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1、中标人须具有专业的技术服务人员和服务团队，能及时解决机构在培训中遇到的技术问题。</w:t>
      </w:r>
    </w:p>
    <w:p w14:paraId="65888004">
      <w:pPr>
        <w:keepNext w:val="0"/>
        <w:keepLines w:val="0"/>
        <w:pageBreakBefore w:val="0"/>
        <w:widowControl w:val="0"/>
        <w:kinsoku/>
        <w:wordWrap w:val="0"/>
        <w:overflowPunct w:val="0"/>
        <w:topLinePunct w:val="0"/>
        <w:bidi w:val="0"/>
        <w:spacing w:line="560" w:lineRule="exact"/>
        <w:ind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2、中标人需安排专人负责滁州地区的网络创业培训/创业模拟实训服务工作，听从采购人安排。</w:t>
      </w:r>
    </w:p>
    <w:p w14:paraId="29D9106E">
      <w:pPr>
        <w:keepNext w:val="0"/>
        <w:keepLines w:val="0"/>
        <w:pageBreakBefore w:val="0"/>
        <w:widowControl w:val="0"/>
        <w:kinsoku/>
        <w:wordWrap w:val="0"/>
        <w:overflowPunct w:val="0"/>
        <w:topLinePunct w:val="0"/>
        <w:bidi w:val="0"/>
        <w:spacing w:line="560" w:lineRule="exact"/>
        <w:ind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3、中标人要制定后续服务计划并承诺实施。</w:t>
      </w:r>
    </w:p>
    <w:p w14:paraId="6C3A9487">
      <w:pPr>
        <w:keepNext w:val="0"/>
        <w:keepLines w:val="0"/>
        <w:pageBreakBefore w:val="0"/>
        <w:widowControl w:val="0"/>
        <w:kinsoku/>
        <w:wordWrap w:val="0"/>
        <w:overflowPunct w:val="0"/>
        <w:topLinePunct w:val="0"/>
        <w:bidi w:val="0"/>
        <w:spacing w:line="560" w:lineRule="exact"/>
        <w:ind w:firstLine="420" w:firstLineChars="20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后续服务包括但不局限于以下内容：每年协助采购方开展创业培训师资交流活动；协助滁州市创业培训机构开展创业培训师资交流、创业大讲坛、上门服务等后续服务；协助滁州市人社部门（含县市区）开展双创活动。</w:t>
      </w:r>
    </w:p>
    <w:p w14:paraId="0F0BA2FE">
      <w:pPr>
        <w:keepNext w:val="0"/>
        <w:keepLines w:val="0"/>
        <w:pageBreakBefore w:val="0"/>
        <w:widowControl w:val="0"/>
        <w:kinsoku/>
        <w:wordWrap w:val="0"/>
        <w:overflowPunct/>
        <w:topLinePunct w:val="0"/>
        <w:autoSpaceDE/>
        <w:autoSpaceDN/>
        <w:bidi w:val="0"/>
        <w:adjustRightInd/>
        <w:snapToGrid/>
        <w:spacing w:before="157" w:beforeLines="50" w:after="157" w:afterLines="50" w:line="500" w:lineRule="exact"/>
        <w:jc w:val="left"/>
        <w:textAlignment w:val="auto"/>
        <w:outlineLvl w:val="1"/>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五、其他要求</w:t>
      </w:r>
    </w:p>
    <w:p w14:paraId="4E4DAE4D">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1、报价要求</w:t>
      </w:r>
    </w:p>
    <w:p w14:paraId="7E54F2DE">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本项目采用固定单价报价，单价包含完成本次所有服务所需的人员费用、调试费、利润、税费、招标代理费、专家评审费等一切费用，招标人不再另行支付任何费用；</w:t>
      </w:r>
    </w:p>
    <w:p w14:paraId="5C0D0B64">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投标人应充分考虑项目实施过程中的所有风险，合同履行期间，固定单价不作调整。</w:t>
      </w:r>
    </w:p>
    <w:p w14:paraId="202B5195">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2、其他要求</w:t>
      </w:r>
    </w:p>
    <w:p w14:paraId="1492E31A">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投标人需严格遵守国家相关法律法规及招标人的各项规章制度，服从招标人的统一安排和管理；</w:t>
      </w:r>
    </w:p>
    <w:p w14:paraId="1D0BD049">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项目实施过程中，投标人负责现场工作人员的人身安全及设备财产安全，如发生安全事故，一切责任和损失由投标人自行承担。</w:t>
      </w:r>
    </w:p>
    <w:p w14:paraId="10B1A798">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baseline"/>
        <w:rPr>
          <w:rFonts w:hint="eastAsia" w:asciiTheme="minorEastAsia" w:hAnsiTheme="minorEastAsia" w:eastAsiaTheme="minorEastAsia" w:cstheme="minorEastAsia"/>
          <w:b w:val="0"/>
          <w:bCs/>
          <w:color w:val="auto"/>
          <w:sz w:val="21"/>
          <w:szCs w:val="21"/>
          <w:highlight w:val="none"/>
          <w:lang w:val="en-US" w:eastAsia="zh-CN"/>
        </w:rPr>
      </w:pPr>
    </w:p>
    <w:p w14:paraId="78C47D9E">
      <w:pPr>
        <w:pageBreakBefore w:val="0"/>
        <w:widowControl w:val="0"/>
        <w:numPr>
          <w:ilvl w:val="0"/>
          <w:numId w:val="0"/>
        </w:numPr>
        <w:kinsoku/>
        <w:wordWrap w:val="0"/>
        <w:topLinePunct w:val="0"/>
        <w:bidi w:val="0"/>
        <w:spacing w:line="440" w:lineRule="exact"/>
        <w:textAlignment w:val="baseline"/>
        <w:rPr>
          <w:rFonts w:hint="default" w:asciiTheme="minorEastAsia" w:hAnsiTheme="minorEastAsia" w:eastAsiaTheme="minorEastAsia"/>
          <w:b/>
          <w:color w:val="auto"/>
          <w:sz w:val="28"/>
          <w:highlight w:val="none"/>
          <w:lang w:val="en-US" w:eastAsia="zh-CN"/>
        </w:rPr>
      </w:pPr>
    </w:p>
    <w:p w14:paraId="165DCE60">
      <w:pPr>
        <w:pageBreakBefore w:val="0"/>
        <w:widowControl w:val="0"/>
        <w:kinsoku/>
        <w:wordWrap w:val="0"/>
        <w:topLinePunct w:val="0"/>
        <w:bidi w:val="0"/>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4705"/>
      <w:bookmarkStart w:id="46" w:name="_Toc11823"/>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2410"/>
      <w:bookmarkStart w:id="48" w:name="_Toc31871"/>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798"/>
        <w:gridCol w:w="4960"/>
        <w:gridCol w:w="207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1"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1"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1"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1"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1"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1"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2299"/>
        <w:gridCol w:w="3547"/>
        <w:gridCol w:w="2809"/>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3"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1"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3"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1"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3"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1"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3"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1"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3"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1"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3"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1"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3"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1"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3"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CB1ADA3">
      <w:pPr>
        <w:pageBreakBefore w:val="0"/>
        <w:widowControl w:val="0"/>
        <w:kinsoku/>
        <w:wordWrap w:val="0"/>
        <w:topLinePunct w:val="0"/>
        <w:bidi w:val="0"/>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8"/>
        <w:gridCol w:w="2463"/>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8"/>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8"/>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8"/>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8"/>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0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1308"/>
        <w:gridCol w:w="5741"/>
        <w:gridCol w:w="957"/>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31"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97"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3060"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10"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技术资信分（</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lang w:val="zh-CN"/>
              </w:rPr>
              <w:t>分）</w:t>
            </w:r>
          </w:p>
        </w:tc>
        <w:tc>
          <w:tcPr>
            <w:tcW w:w="697"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业绩</w:t>
            </w:r>
          </w:p>
        </w:tc>
        <w:tc>
          <w:tcPr>
            <w:tcW w:w="3060"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投标人自2023年1月1日至投标文件递交截止时间承担过创业培训平台业绩的，每提供1个业绩得2分，其他的不得分，最高得4分。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510"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31" w:type="pct"/>
            <w:vMerge w:val="continue"/>
            <w:tcBorders>
              <w:left w:val="single" w:color="auto" w:sz="4" w:space="0"/>
              <w:right w:val="single" w:color="auto" w:sz="4" w:space="0"/>
            </w:tcBorders>
            <w:vAlign w:val="center"/>
          </w:tcPr>
          <w:p w14:paraId="2B73A3BE">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宋体" w:hAnsi="宋体" w:eastAsia="宋体" w:cs="宋体"/>
                <w:b w:val="0"/>
                <w:bCs/>
                <w:color w:val="auto"/>
                <w:sz w:val="21"/>
                <w:szCs w:val="21"/>
                <w:highlight w:val="none"/>
                <w:lang w:val="en-US" w:eastAsia="zh-CN"/>
              </w:rPr>
              <w:t>2.投标人综合能力</w:t>
            </w:r>
          </w:p>
        </w:tc>
        <w:tc>
          <w:tcPr>
            <w:tcW w:w="3060" w:type="pct"/>
            <w:tcBorders>
              <w:top w:val="single" w:color="auto" w:sz="4" w:space="0"/>
              <w:left w:val="single" w:color="auto" w:sz="4" w:space="0"/>
              <w:right w:val="single" w:color="auto" w:sz="4" w:space="0"/>
            </w:tcBorders>
            <w:vAlign w:val="center"/>
          </w:tcPr>
          <w:p w14:paraId="64FD021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val="en-US" w:eastAsia="zh-CN" w:bidi="ar-SA"/>
              </w:rPr>
              <w:t>1、</w:t>
            </w:r>
            <w:r>
              <w:rPr>
                <w:rFonts w:hint="eastAsia" w:ascii="宋体" w:hAnsi="宋体" w:eastAsia="宋体" w:cs="宋体"/>
                <w:color w:val="auto"/>
                <w:highlight w:val="none"/>
                <w:lang w:val="en-US" w:eastAsia="zh-CN"/>
              </w:rPr>
              <w:t>投标人具有平台软件（网络创业培训教学辅助平台、创业实训系统）的自主知识产权证明（软件著作权证书），每提供一个得2分，本项最高得4分。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sz w:val="21"/>
                <w:szCs w:val="21"/>
                <w:highlight w:val="none"/>
              </w:rPr>
              <w:t>投标文件中</w:t>
            </w:r>
            <w:r>
              <w:rPr>
                <w:rFonts w:hint="default" w:ascii="宋体" w:hAnsi="宋体" w:eastAsia="宋体" w:cs="宋体"/>
                <w:b/>
                <w:bCs/>
                <w:color w:val="auto"/>
                <w:highlight w:val="none"/>
                <w:lang w:val="en-US" w:eastAsia="zh-CN"/>
              </w:rPr>
              <w:t>提供软件著作权证书扫描件</w:t>
            </w:r>
            <w:r>
              <w:rPr>
                <w:rFonts w:hint="eastAsia" w:ascii="宋体" w:hAnsi="宋体" w:eastAsia="宋体" w:cs="宋体"/>
                <w:b/>
                <w:bCs/>
                <w:color w:val="auto"/>
                <w:highlight w:val="none"/>
                <w:lang w:val="en-US" w:eastAsia="zh-CN"/>
              </w:rPr>
              <w:t>。</w:t>
            </w:r>
          </w:p>
        </w:tc>
        <w:tc>
          <w:tcPr>
            <w:tcW w:w="510"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0-4分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3.项目人员配备</w:t>
            </w:r>
          </w:p>
        </w:tc>
        <w:tc>
          <w:tcPr>
            <w:tcW w:w="3060" w:type="pct"/>
            <w:tcBorders>
              <w:top w:val="single" w:color="auto" w:sz="4" w:space="0"/>
              <w:left w:val="single" w:color="auto" w:sz="4" w:space="0"/>
              <w:bottom w:val="single" w:color="auto" w:sz="4" w:space="0"/>
              <w:right w:val="single" w:color="auto" w:sz="4" w:space="0"/>
            </w:tcBorders>
            <w:vAlign w:val="center"/>
          </w:tcPr>
          <w:p w14:paraId="24B57649">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投标人为本项目拟配备人员中：</w:t>
            </w:r>
          </w:p>
          <w:p w14:paraId="3D21BFEC">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highlight w:val="none"/>
                <w:lang w:val="en-US" w:eastAsia="zh-CN"/>
              </w:rPr>
              <w:t>项目负责人(1人）</w:t>
            </w:r>
          </w:p>
          <w:p w14:paraId="1467B58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（1）具有信息系统项目管理师高级证书的得2分；</w:t>
            </w:r>
          </w:p>
          <w:p w14:paraId="3C1A71B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（2）具有高级软件技术开发工程师证书的得2分。</w:t>
            </w:r>
          </w:p>
          <w:p w14:paraId="5B22C8D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2、服务团队（除项目负责人外）</w:t>
            </w:r>
          </w:p>
          <w:p w14:paraId="354A5E13">
            <w:pPr>
              <w:keepNext w:val="0"/>
              <w:keepLines w:val="0"/>
              <w:pageBreakBefore w:val="0"/>
              <w:widowControl w:val="0"/>
              <w:kinsoku/>
              <w:wordWrap/>
              <w:overflowPunct/>
              <w:topLinePunct w:val="0"/>
              <w:autoSpaceDE/>
              <w:autoSpaceDN/>
              <w:bidi w:val="0"/>
              <w:spacing w:line="440" w:lineRule="exact"/>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（1）具有创业导师或创业指导专家证书的，每有1个得2分，最高得10分。</w:t>
            </w:r>
          </w:p>
          <w:p w14:paraId="7CA8CE92">
            <w:pPr>
              <w:keepNext w:val="0"/>
              <w:keepLines w:val="0"/>
              <w:pageBreakBefore w:val="0"/>
              <w:widowControl w:val="0"/>
              <w:kinsoku/>
              <w:wordWrap/>
              <w:overflowPunct/>
              <w:topLinePunct w:val="0"/>
              <w:autoSpaceDE/>
              <w:autoSpaceDN/>
              <w:bidi w:val="0"/>
              <w:spacing w:line="440" w:lineRule="exact"/>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（2）具有高级信息系统项目管理师证书的，每有1个得2分，最高得4分。</w:t>
            </w:r>
          </w:p>
          <w:p w14:paraId="78FD58D6">
            <w:pPr>
              <w:keepNext w:val="0"/>
              <w:keepLines w:val="0"/>
              <w:pageBreakBefore w:val="0"/>
              <w:widowControl w:val="0"/>
              <w:kinsoku/>
              <w:wordWrap/>
              <w:overflowPunct/>
              <w:topLinePunct w:val="0"/>
              <w:autoSpaceDE/>
              <w:autoSpaceDN/>
              <w:bidi w:val="0"/>
              <w:spacing w:line="440" w:lineRule="exact"/>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（3）具有中级或高级软件评测师证书的，每有1个得2分，最高得2分。</w:t>
            </w:r>
          </w:p>
          <w:p w14:paraId="2DB74469">
            <w:pPr>
              <w:keepNext w:val="0"/>
              <w:keepLines w:val="0"/>
              <w:pageBreakBefore w:val="0"/>
              <w:widowControl w:val="0"/>
              <w:kinsoku/>
              <w:wordWrap/>
              <w:overflowPunct/>
              <w:topLinePunct w:val="0"/>
              <w:autoSpaceDE/>
              <w:autoSpaceDN/>
              <w:bidi w:val="0"/>
              <w:spacing w:line="440" w:lineRule="exact"/>
              <w:jc w:val="left"/>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（4）具有注册信息安全管理人员证书的，每有1个得2分，最高得2分。</w:t>
            </w:r>
          </w:p>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注：①投标文件中同时提供上述人员名单（格式自拟）、相关证书扫描件和及社保部门出具的投标人为其缴纳的投标前近三个月内任意一个月的养老保险证明（含官网在线打印件，证明文件两个月内有效）或投标人提供已为上述人员缴纳养老保险证明的承诺书（格式自拟）。</w:t>
            </w:r>
          </w:p>
        </w:tc>
        <w:tc>
          <w:tcPr>
            <w:tcW w:w="510"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0-22分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4.管理服务方案</w:t>
            </w:r>
          </w:p>
        </w:tc>
        <w:tc>
          <w:tcPr>
            <w:tcW w:w="3060" w:type="pct"/>
            <w:tcBorders>
              <w:top w:val="single" w:color="auto" w:sz="4" w:space="0"/>
              <w:left w:val="single" w:color="auto" w:sz="4" w:space="0"/>
              <w:bottom w:val="single" w:color="auto" w:sz="4" w:space="0"/>
              <w:right w:val="single" w:color="auto" w:sz="4" w:space="0"/>
            </w:tcBorders>
            <w:vAlign w:val="center"/>
          </w:tcPr>
          <w:p w14:paraId="16F1317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根据投标人提供的管理服务方案进行评价：</w:t>
            </w:r>
          </w:p>
          <w:p w14:paraId="7B6EC89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w:t>
            </w:r>
            <w:r>
              <w:rPr>
                <w:rFonts w:ascii="Segoe UI" w:hAnsi="Segoe UI" w:eastAsia="Segoe UI" w:cs="Segoe UI"/>
                <w:i w:val="0"/>
                <w:iCs w:val="0"/>
                <w:caps w:val="0"/>
                <w:color w:val="auto"/>
                <w:spacing w:val="0"/>
                <w:sz w:val="20"/>
                <w:szCs w:val="20"/>
                <w:highlight w:val="none"/>
                <w:shd w:val="clear" w:fill="FFFFFF"/>
              </w:rPr>
              <w:t>管理服务方案包含协助制定属地化实施流程、平台部署与培训咨询、培训考核资源开发、大数据采集整理分析等全部内容。方案流程完整，工作节点明确，各环节责任划分清晰。在服务效率（如开班审批响应时间</w:t>
            </w:r>
            <w:r>
              <w:rPr>
                <w:rFonts w:hint="eastAsia" w:ascii="Segoe UI" w:hAnsi="Segoe UI" w:eastAsia="Segoe UI" w:cs="Segoe UI"/>
                <w:i w:val="0"/>
                <w:iCs w:val="0"/>
                <w:caps w:val="0"/>
                <w:color w:val="auto"/>
                <w:spacing w:val="0"/>
                <w:sz w:val="20"/>
                <w:szCs w:val="20"/>
                <w:highlight w:val="none"/>
                <w:shd w:val="clear" w:fill="FFFFFF"/>
                <w:lang w:val="en-US" w:eastAsia="zh-CN"/>
              </w:rPr>
              <w:t>≤2</w:t>
            </w:r>
            <w:r>
              <w:rPr>
                <w:rFonts w:ascii="Segoe UI" w:hAnsi="Segoe UI" w:eastAsia="Segoe UI" w:cs="Segoe UI"/>
                <w:i w:val="0"/>
                <w:iCs w:val="0"/>
                <w:caps w:val="0"/>
                <w:color w:val="auto"/>
                <w:spacing w:val="0"/>
                <w:sz w:val="20"/>
                <w:szCs w:val="20"/>
                <w:highlight w:val="none"/>
                <w:shd w:val="clear" w:fill="FFFFFF"/>
              </w:rPr>
              <w:t>个工作日）、数据准确性（数据采集零差错）等方面有具体量化</w:t>
            </w:r>
            <w:r>
              <w:rPr>
                <w:rFonts w:hint="eastAsia" w:ascii="宋体" w:hAnsi="宋体" w:eastAsia="宋体" w:cs="宋体"/>
                <w:color w:val="auto"/>
                <w:sz w:val="21"/>
                <w:szCs w:val="21"/>
                <w:highlight w:val="none"/>
                <w:shd w:val="clear" w:color="auto" w:fill="auto"/>
                <w:lang w:val="en-US" w:eastAsia="zh-CN"/>
              </w:rPr>
              <w:t>的，得5分；</w:t>
            </w:r>
          </w:p>
          <w:p w14:paraId="640F2AF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w:t>
            </w:r>
            <w:r>
              <w:rPr>
                <w:rFonts w:ascii="Segoe UI" w:hAnsi="Segoe UI" w:eastAsia="Segoe UI" w:cs="Segoe UI"/>
                <w:i w:val="0"/>
                <w:iCs w:val="0"/>
                <w:caps w:val="0"/>
                <w:color w:val="auto"/>
                <w:spacing w:val="0"/>
                <w:sz w:val="20"/>
                <w:szCs w:val="20"/>
                <w:highlight w:val="none"/>
                <w:shd w:val="clear" w:fill="FFFFFF"/>
              </w:rPr>
              <w:t>管理服务方案包含协助制定属地化实施流程、平台部署与培训咨询、培训考核资源开发、大数据采集整理分析等全部内容，流程合理，满足采购需求</w:t>
            </w:r>
            <w:r>
              <w:rPr>
                <w:rFonts w:hint="eastAsia" w:ascii="宋体" w:hAnsi="宋体" w:eastAsia="宋体" w:cs="宋体"/>
                <w:color w:val="auto"/>
                <w:sz w:val="21"/>
                <w:szCs w:val="21"/>
                <w:highlight w:val="none"/>
                <w:shd w:val="clear" w:color="auto" w:fill="auto"/>
                <w:lang w:val="en-US" w:eastAsia="zh-CN"/>
              </w:rPr>
              <w:t>的，得3分；</w:t>
            </w:r>
          </w:p>
          <w:p w14:paraId="0E2DC62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w:t>
            </w:r>
            <w:r>
              <w:rPr>
                <w:rFonts w:ascii="Segoe UI" w:hAnsi="Segoe UI" w:eastAsia="Segoe UI" w:cs="Segoe UI"/>
                <w:i w:val="0"/>
                <w:iCs w:val="0"/>
                <w:caps w:val="0"/>
                <w:color w:val="auto"/>
                <w:spacing w:val="0"/>
                <w:sz w:val="20"/>
                <w:szCs w:val="20"/>
                <w:highlight w:val="none"/>
                <w:shd w:val="clear" w:fill="FFFFFF"/>
              </w:rPr>
              <w:t> </w:t>
            </w:r>
            <w:r>
              <w:rPr>
                <w:rFonts w:hint="default" w:ascii="Segoe UI" w:hAnsi="Segoe UI" w:eastAsia="Segoe UI" w:cs="Segoe UI"/>
                <w:i w:val="0"/>
                <w:iCs w:val="0"/>
                <w:caps w:val="0"/>
                <w:color w:val="auto"/>
                <w:spacing w:val="0"/>
                <w:sz w:val="20"/>
                <w:szCs w:val="20"/>
                <w:highlight w:val="none"/>
                <w:shd w:val="clear" w:fill="FFFFFF"/>
              </w:rPr>
              <w:t>管理服务方案内容不完整，缺少部分内容（如缺少培训考核资源开发方案、或缺少数据采集服务方案）</w:t>
            </w:r>
            <w:r>
              <w:rPr>
                <w:rFonts w:hint="eastAsia" w:ascii="Segoe UI" w:hAnsi="Segoe UI" w:eastAsia="宋体" w:cs="Segoe UI"/>
                <w:i w:val="0"/>
                <w:iCs w:val="0"/>
                <w:caps w:val="0"/>
                <w:color w:val="auto"/>
                <w:spacing w:val="0"/>
                <w:sz w:val="20"/>
                <w:szCs w:val="20"/>
                <w:highlight w:val="none"/>
                <w:shd w:val="clear" w:fill="FFFFFF"/>
                <w:lang w:eastAsia="zh-CN"/>
              </w:rPr>
              <w:t>，</w:t>
            </w:r>
            <w:r>
              <w:rPr>
                <w:rFonts w:hint="eastAsia" w:ascii="宋体" w:hAnsi="宋体" w:eastAsia="宋体" w:cs="宋体"/>
                <w:color w:val="auto"/>
                <w:sz w:val="21"/>
                <w:szCs w:val="21"/>
                <w:highlight w:val="none"/>
                <w:shd w:val="clear" w:color="auto" w:fill="auto"/>
                <w:lang w:val="en-US" w:eastAsia="zh-CN"/>
              </w:rPr>
              <w:t xml:space="preserve">有待完善的，得1分； </w:t>
            </w:r>
          </w:p>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60ED00A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6A3BD1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5.师资线上服务方案</w:t>
            </w:r>
          </w:p>
        </w:tc>
        <w:tc>
          <w:tcPr>
            <w:tcW w:w="3060" w:type="pct"/>
            <w:tcBorders>
              <w:top w:val="single" w:color="auto" w:sz="4" w:space="0"/>
              <w:left w:val="single" w:color="auto" w:sz="4" w:space="0"/>
              <w:bottom w:val="single" w:color="auto" w:sz="4" w:space="0"/>
              <w:right w:val="single" w:color="auto" w:sz="4" w:space="0"/>
            </w:tcBorders>
            <w:vAlign w:val="center"/>
          </w:tcPr>
          <w:p w14:paraId="63D58D1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根据投标人提供的师资线上服务方案进行评价：</w:t>
            </w:r>
          </w:p>
          <w:p w14:paraId="21793CC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ascii="Segoe UI" w:hAnsi="Segoe UI" w:eastAsia="Segoe UI" w:cs="Segoe UI"/>
                <w:i w:val="0"/>
                <w:iCs w:val="0"/>
                <w:caps w:val="0"/>
                <w:color w:val="auto"/>
                <w:spacing w:val="0"/>
                <w:sz w:val="20"/>
                <w:szCs w:val="20"/>
                <w:highlight w:val="none"/>
                <w:shd w:val="clear" w:fill="FFFFFF"/>
              </w:rPr>
              <w:t>方案包含利用各类线上资源为师资提供持续培养、线上线下融合的创业培训讲师提升活动等全部内容。线上培养计划具体（如年度在线提升活动场次、覆盖人数），在线活动主题和内容安排详实，覆盖电商版和直播版网创线上教学能力提升，优于采购需求</w:t>
            </w:r>
            <w:r>
              <w:rPr>
                <w:rFonts w:hint="eastAsia" w:ascii="宋体" w:hAnsi="宋体" w:eastAsia="宋体" w:cs="宋体"/>
                <w:color w:val="auto"/>
                <w:sz w:val="21"/>
                <w:szCs w:val="21"/>
                <w:highlight w:val="none"/>
                <w:lang w:val="en-US" w:eastAsia="zh-CN"/>
              </w:rPr>
              <w:t>的，得5分；</w:t>
            </w:r>
          </w:p>
          <w:p w14:paraId="2075F42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ascii="Segoe UI" w:hAnsi="Segoe UI" w:eastAsia="Segoe UI" w:cs="Segoe UI"/>
                <w:i w:val="0"/>
                <w:iCs w:val="0"/>
                <w:caps w:val="0"/>
                <w:color w:val="auto"/>
                <w:spacing w:val="0"/>
                <w:sz w:val="20"/>
                <w:szCs w:val="20"/>
                <w:highlight w:val="none"/>
                <w:shd w:val="clear" w:fill="FFFFFF"/>
              </w:rPr>
              <w:t>方案包含线上持续培养和提升活动安排。线上培养方式（直播授课、在线研讨等）和培养内容（电商版/直播版线上教学能力）均有明确安排，活动组织形式描述清晰</w:t>
            </w:r>
            <w:r>
              <w:rPr>
                <w:rFonts w:hint="eastAsia" w:ascii="宋体" w:hAnsi="宋体" w:eastAsia="宋体" w:cs="宋体"/>
                <w:color w:val="auto"/>
                <w:sz w:val="21"/>
                <w:szCs w:val="21"/>
                <w:highlight w:val="none"/>
                <w:lang w:val="en-US" w:eastAsia="zh-CN"/>
              </w:rPr>
              <w:t>的，得3分；</w:t>
            </w:r>
          </w:p>
          <w:p w14:paraId="020F583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ascii="Segoe UI" w:hAnsi="Segoe UI" w:eastAsia="Segoe UI" w:cs="Segoe UI"/>
                <w:i w:val="0"/>
                <w:iCs w:val="0"/>
                <w:caps w:val="0"/>
                <w:color w:val="auto"/>
                <w:spacing w:val="0"/>
                <w:sz w:val="20"/>
                <w:szCs w:val="20"/>
                <w:highlight w:val="none"/>
                <w:shd w:val="clear" w:fill="FFFFFF"/>
              </w:rPr>
              <w:t>方案未完整覆盖上述内容，如缺少年度在线培养计划、或缺少线上提升活动的具体主题和形式安排、或未明确电商版和直播版的师资培养差异，存在需要补充完善的内容</w:t>
            </w:r>
            <w:r>
              <w:rPr>
                <w:rFonts w:hint="eastAsia" w:ascii="宋体" w:hAnsi="宋体" w:eastAsia="宋体" w:cs="宋体"/>
                <w:color w:val="auto"/>
                <w:sz w:val="21"/>
                <w:szCs w:val="21"/>
                <w:highlight w:val="none"/>
                <w:lang w:val="en-US" w:eastAsia="zh-CN"/>
              </w:rPr>
              <w:t xml:space="preserve">的，得1分； </w:t>
            </w:r>
          </w:p>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D22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5D382B7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151458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6.学员线上服务方案</w:t>
            </w:r>
          </w:p>
        </w:tc>
        <w:tc>
          <w:tcPr>
            <w:tcW w:w="3060" w:type="pct"/>
            <w:tcBorders>
              <w:top w:val="single" w:color="auto" w:sz="4" w:space="0"/>
              <w:left w:val="single" w:color="auto" w:sz="4" w:space="0"/>
              <w:bottom w:val="single" w:color="auto" w:sz="4" w:space="0"/>
              <w:right w:val="single" w:color="auto" w:sz="4" w:space="0"/>
            </w:tcBorders>
            <w:shd w:val="clear" w:color="auto" w:fill="auto"/>
            <w:vAlign w:val="center"/>
          </w:tcPr>
          <w:p w14:paraId="30684B4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根据投标人提供的学员线上服务方案进行评价：</w:t>
            </w:r>
          </w:p>
          <w:p w14:paraId="775151E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包含为学员免费提供线上精品课程学习资源（含点播课程、直播回放等）、各类线上创业服务资源对接（融资、孵化、咨询等信息展示与匹配）、持续的线上后续跟踪服务（在线回访、学习进度追踪）及典型创业学员线上选树服务等全部内容。在线跟踪服务流程具体，线上资源对接渠道清晰的，得5分；</w:t>
            </w:r>
          </w:p>
          <w:p w14:paraId="46E3D80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ascii="Segoe UI" w:hAnsi="Segoe UI" w:eastAsia="Segoe UI" w:cs="Segoe UI"/>
                <w:i w:val="0"/>
                <w:iCs w:val="0"/>
                <w:caps w:val="0"/>
                <w:color w:val="auto"/>
                <w:spacing w:val="0"/>
                <w:sz w:val="20"/>
                <w:szCs w:val="20"/>
                <w:highlight w:val="none"/>
                <w:shd w:val="clear" w:fill="FFFFFF"/>
              </w:rPr>
              <w:t>方案包含为学员提供线上精品课程学习资源、线上创业服务资源对接、线上后续跟踪服务及典型学员线上选树服务等全部内容。各类在线服务资源的类型和来源渠道有明确说明，线上跟踪服务的实施方式描述清晰，满足采购需求</w:t>
            </w:r>
            <w:r>
              <w:rPr>
                <w:rFonts w:hint="eastAsia" w:ascii="宋体" w:hAnsi="宋体" w:eastAsia="宋体" w:cs="宋体"/>
                <w:color w:val="auto"/>
                <w:sz w:val="21"/>
                <w:szCs w:val="21"/>
                <w:highlight w:val="none"/>
                <w:lang w:val="en-US" w:eastAsia="zh-CN"/>
              </w:rPr>
              <w:t>的，得3分；</w:t>
            </w:r>
          </w:p>
          <w:p w14:paraId="199F5C2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ascii="Segoe UI" w:hAnsi="Segoe UI" w:eastAsia="Segoe UI" w:cs="Segoe UI"/>
                <w:i w:val="0"/>
                <w:iCs w:val="0"/>
                <w:caps w:val="0"/>
                <w:color w:val="auto"/>
                <w:spacing w:val="0"/>
                <w:sz w:val="20"/>
                <w:szCs w:val="20"/>
                <w:highlight w:val="none"/>
                <w:shd w:val="clear" w:fill="FFFFFF"/>
              </w:rPr>
              <w:t>方案未完整覆盖上述内容，如缺少线上课程资源清单及更新机制、或缺少线上资源对接的具体渠道和方式、或线上后续跟踪服务无实施路径，存在需要补充完善的内容</w:t>
            </w:r>
            <w:r>
              <w:rPr>
                <w:rFonts w:hint="eastAsia" w:ascii="宋体" w:hAnsi="宋体" w:eastAsia="宋体" w:cs="宋体"/>
                <w:color w:val="auto"/>
                <w:sz w:val="21"/>
                <w:szCs w:val="21"/>
                <w:highlight w:val="none"/>
                <w:lang w:val="en-US" w:eastAsia="zh-CN"/>
              </w:rPr>
              <w:t xml:space="preserve">的，得1分； </w:t>
            </w:r>
          </w:p>
          <w:p w14:paraId="0053131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shd w:val="clear" w:color="auto" w:fill="auto"/>
            <w:vAlign w:val="center"/>
          </w:tcPr>
          <w:p w14:paraId="38307AF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EA0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vMerge w:val="continue"/>
            <w:tcBorders>
              <w:left w:val="single" w:color="auto" w:sz="4" w:space="0"/>
              <w:right w:val="single" w:color="auto" w:sz="4" w:space="0"/>
            </w:tcBorders>
            <w:vAlign w:val="center"/>
          </w:tcPr>
          <w:p w14:paraId="14D1B3F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386F86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7.平台线上运维服务方案</w:t>
            </w:r>
          </w:p>
        </w:tc>
        <w:tc>
          <w:tcPr>
            <w:tcW w:w="3060" w:type="pct"/>
            <w:tcBorders>
              <w:top w:val="single" w:color="auto" w:sz="4" w:space="0"/>
              <w:left w:val="single" w:color="auto" w:sz="4" w:space="0"/>
              <w:bottom w:val="single" w:color="auto" w:sz="4" w:space="0"/>
              <w:right w:val="single" w:color="auto" w:sz="4" w:space="0"/>
            </w:tcBorders>
            <w:shd w:val="clear" w:color="auto" w:fill="auto"/>
            <w:vAlign w:val="center"/>
          </w:tcPr>
          <w:p w14:paraId="63E1C30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根据投标人提供的平台线上运维服务方案进行评价：</w:t>
            </w:r>
          </w:p>
          <w:p w14:paraId="58CE1F7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包含服务器操作系统在线维护（远程补丁更新、异常恢复、在线检测与预警）、数据库在线维护（远程数据备份、超负荷预警、日志管理）、Web服务器在线维护（远程日志分析、安全补丁、可用性检测）、各子系统在线维护（远程数据备份、功能升级、权限调整、统计数据整理）等全部远程运维内容。在线操作规程具体，远程备份策略明确（如全量+增量备份频率），在线预警机制完善的，得5分；</w:t>
            </w:r>
          </w:p>
          <w:p w14:paraId="11BB967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2、方案包含上述全部远程运维内容。每类在线运维工作的具体任务（如远程操作系统补丁更新、远程数据库备份、远程日志分析）和开展频次均有明确描述，运维措施完整的，得3分；</w:t>
            </w:r>
          </w:p>
          <w:p w14:paraId="7190F07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方案未完整覆盖上述运维内容，如缺少远程数据库维护方案（无在线备份策略或预警机制）、或缺少远程Web服务器维护方案（无可用的在线可用性检测和日志分析）、或缺少远程子系统维护方案（无在线功能升级和权限调整说明），要点突出不够明显的，得1分； </w:t>
            </w:r>
          </w:p>
          <w:p w14:paraId="4FD6A8B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shd w:val="clear" w:color="auto" w:fill="auto"/>
            <w:vAlign w:val="center"/>
          </w:tcPr>
          <w:p w14:paraId="589DA8E7">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B9E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7E0CAD2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7D613A0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8.线上后续服务方案</w:t>
            </w:r>
          </w:p>
        </w:tc>
        <w:tc>
          <w:tcPr>
            <w:tcW w:w="3060" w:type="pct"/>
            <w:tcBorders>
              <w:top w:val="single" w:color="auto" w:sz="4" w:space="0"/>
              <w:left w:val="single" w:color="auto" w:sz="4" w:space="0"/>
              <w:bottom w:val="single" w:color="auto" w:sz="4" w:space="0"/>
              <w:right w:val="single" w:color="auto" w:sz="4" w:space="0"/>
            </w:tcBorders>
            <w:vAlign w:val="center"/>
          </w:tcPr>
          <w:p w14:paraId="4031145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根据投标人提供的线上后续服务方案进行评价：</w:t>
            </w:r>
          </w:p>
          <w:p w14:paraId="0754726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方案包含年度线上创业培训师资交流活动、线上创业大讲坛、线上上门服务（远程指导）等创业专项后续服务，以及协助滁州市人社部门（含县市区）开展各类线上双创活动等全部内容。年度线上活动计划具体（如各类在线活动的频次、覆盖区域），在线服务范围明确，优于采购需求的，得5分；</w:t>
            </w:r>
          </w:p>
          <w:p w14:paraId="38B6846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方案包含线上师资交流活动、线上创业大讲坛、线上指导服务、线上双创活动等全部后续服务内容。各项在线活动的组织形式和拟开展频次均有明确安排，线上活动覆盖范围（含县市区）有清晰界定，满足采购需求的，得3分；</w:t>
            </w:r>
          </w:p>
          <w:p w14:paraId="1589427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3、方案未完整覆盖上述内容，如缺少线上师资交流活动的年度计划、或缺少线上创业大讲坛的具体组织形式和频次、或未明确对县市区的线上覆盖安排、或无线上双创活动协助方案的，得1分； </w:t>
            </w:r>
          </w:p>
          <w:p w14:paraId="40482E2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5FD407B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5B4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55107F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01DAF86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9.平台技术方案</w:t>
            </w:r>
          </w:p>
        </w:tc>
        <w:tc>
          <w:tcPr>
            <w:tcW w:w="3060" w:type="pct"/>
            <w:tcBorders>
              <w:top w:val="single" w:color="auto" w:sz="4" w:space="0"/>
              <w:left w:val="single" w:color="auto" w:sz="4" w:space="0"/>
              <w:bottom w:val="single" w:color="auto" w:sz="4" w:space="0"/>
              <w:right w:val="single" w:color="auto" w:sz="4" w:space="0"/>
            </w:tcBorders>
            <w:vAlign w:val="center"/>
          </w:tcPr>
          <w:p w14:paraId="0FDDF4B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根据投标人提供的平台技术方案进行评价：</w:t>
            </w:r>
          </w:p>
          <w:p w14:paraId="4B3B648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1、方案包含系统总体架构设计（B/S结构说明、MySQL或SQL Server数据库选型论证）、单台服务器支持10万以上用户的性能保障方案、分布式架构与负载均衡实现方案。对本项目三大平台的技术特点和在线应用场景理解深刻</w:t>
            </w:r>
            <w:r>
              <w:rPr>
                <w:rFonts w:hint="eastAsia" w:ascii="宋体" w:hAnsi="宋体" w:eastAsia="宋体" w:cs="宋体"/>
                <w:color w:val="auto"/>
                <w:sz w:val="21"/>
                <w:szCs w:val="21"/>
                <w:highlight w:val="none"/>
                <w:shd w:val="clear" w:color="auto" w:fill="auto"/>
                <w:lang w:val="en-US" w:eastAsia="zh-CN"/>
              </w:rPr>
              <w:t>的，得5分；</w:t>
            </w:r>
          </w:p>
          <w:p w14:paraId="730373E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2、方案包含系统总体架构设计（含B/S结构说明和数据库选型论证）、单台服务器支持10万以上用户的性能保障方案、分布式架构与负载均衡实现方案。系统部署方式和数据库选型理由清楚，性能保障的技术路径明确</w:t>
            </w:r>
            <w:r>
              <w:rPr>
                <w:rFonts w:hint="eastAsia" w:ascii="宋体" w:hAnsi="宋体" w:eastAsia="宋体" w:cs="宋体"/>
                <w:color w:val="auto"/>
                <w:sz w:val="21"/>
                <w:szCs w:val="21"/>
                <w:highlight w:val="none"/>
                <w:shd w:val="clear" w:color="auto" w:fill="auto"/>
                <w:lang w:val="en-US" w:eastAsia="zh-CN"/>
              </w:rPr>
              <w:t>，得3分；</w:t>
            </w:r>
          </w:p>
          <w:p w14:paraId="1B27C07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3、</w:t>
            </w:r>
            <w:r>
              <w:rPr>
                <w:rFonts w:hint="eastAsia" w:ascii="宋体" w:hAnsi="宋体" w:eastAsia="宋体" w:cs="宋体"/>
                <w:color w:val="auto"/>
                <w:sz w:val="21"/>
                <w:szCs w:val="21"/>
                <w:highlight w:val="none"/>
                <w:shd w:val="clear" w:color="auto" w:fill="auto"/>
                <w:lang w:val="en-US" w:eastAsia="zh-CN"/>
              </w:rPr>
              <w:t>技术方案内容不完整，缺少B/S结构具体说明、或数据库选型无论证、或单台服务器10万以上用户性能保障无具体技术措施、或分布式架构和负载均衡方案缺失的，得1分；</w:t>
            </w:r>
          </w:p>
          <w:p w14:paraId="2778FCD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4、</w:t>
            </w:r>
            <w:r>
              <w:rPr>
                <w:rFonts w:hint="eastAsia" w:ascii="宋体" w:hAnsi="宋体" w:eastAsia="宋体" w:cs="宋体"/>
                <w:color w:val="auto"/>
                <w:sz w:val="21"/>
                <w:szCs w:val="21"/>
                <w:highlight w:val="none"/>
                <w:shd w:val="clear" w:color="auto" w:fill="auto"/>
                <w:lang w:val="en-US" w:eastAsia="zh-CN"/>
              </w:rPr>
              <w:t>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5575CD50">
            <w:pPr>
              <w:keepNext w:val="0"/>
              <w:keepLines w:val="0"/>
              <w:pageBreakBefore w:val="0"/>
              <w:widowControl w:val="0"/>
              <w:kinsoku/>
              <w:wordWrap/>
              <w:overflowPunct/>
              <w:topLinePunct w:val="0"/>
              <w:bidi w:val="0"/>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0-5分 </w:t>
            </w:r>
          </w:p>
        </w:tc>
      </w:tr>
      <w:tr w14:paraId="7539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443B9127">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083261A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10.平台功能响应方案</w:t>
            </w:r>
          </w:p>
        </w:tc>
        <w:tc>
          <w:tcPr>
            <w:tcW w:w="3060" w:type="pct"/>
            <w:tcBorders>
              <w:top w:val="single" w:color="auto" w:sz="4" w:space="0"/>
              <w:left w:val="single" w:color="auto" w:sz="4" w:space="0"/>
              <w:bottom w:val="single" w:color="auto" w:sz="4" w:space="0"/>
              <w:right w:val="single" w:color="auto" w:sz="4" w:space="0"/>
            </w:tcBorders>
            <w:vAlign w:val="center"/>
          </w:tcPr>
          <w:p w14:paraId="526B50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根据投标人提供的平台功能响应方案进行评价：</w:t>
            </w:r>
          </w:p>
          <w:p w14:paraId="6344613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1、逐项响应三大平台（创业模拟实训、网创电商版、网创直播版）全部功能模块，逐条描述实现方式和效果。功能覆盖完整，在模拟训练真实性、在线教学互动性、在线培训考核智能化等方面有额外功能扩展</w:t>
            </w:r>
            <w:r>
              <w:rPr>
                <w:rFonts w:hint="eastAsia" w:ascii="宋体" w:hAnsi="宋体" w:eastAsia="宋体" w:cs="宋体"/>
                <w:color w:val="auto"/>
                <w:sz w:val="21"/>
                <w:szCs w:val="21"/>
                <w:highlight w:val="none"/>
                <w:shd w:val="clear" w:color="auto" w:fill="auto"/>
                <w:lang w:val="en-US" w:eastAsia="zh-CN"/>
              </w:rPr>
              <w:t>的，得5分；</w:t>
            </w:r>
          </w:p>
          <w:p w14:paraId="0DBFDB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逐项响应三大平台全部功能模块。创业模拟实训平台（含管理员端、教师端、学员端所有功能模块）、网创电商版（模拟训练、教学服务、培训考核、培训管理、后续服务）、网创直播版（模拟训练、教学服务、培训考核、培训管理、后续服务）功能点覆盖完整，无缺项，满足采购需求</w:t>
            </w:r>
            <w:r>
              <w:rPr>
                <w:rFonts w:hint="eastAsia" w:ascii="宋体" w:hAnsi="宋体" w:eastAsia="宋体" w:cs="宋体"/>
                <w:color w:val="auto"/>
                <w:sz w:val="21"/>
                <w:szCs w:val="21"/>
                <w:highlight w:val="none"/>
                <w:shd w:val="clear" w:color="auto" w:fill="auto"/>
                <w:lang w:val="en-US" w:eastAsia="zh-CN"/>
              </w:rPr>
              <w:t>的，得3分；</w:t>
            </w:r>
          </w:p>
          <w:p w14:paraId="0258C06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3</w:t>
            </w:r>
            <w:r>
              <w:rPr>
                <w:rFonts w:hint="default" w:ascii="宋体" w:hAnsi="宋体" w:eastAsia="宋体" w:cs="宋体"/>
                <w:color w:val="auto"/>
                <w:kern w:val="2"/>
                <w:sz w:val="21"/>
                <w:szCs w:val="21"/>
                <w:highlight w:val="none"/>
                <w:shd w:val="clear" w:fill="auto"/>
                <w:lang w:val="en-US" w:eastAsia="zh-CN" w:bidi="ar-SA"/>
              </w:rPr>
              <w:t>、功能响应存在未覆盖项，如创业模拟实训平台的创业测评或经营模拟功能未响应、电商版模拟供销系统或DSR动态评价功能未响应、直播版直播数据看板或AI辅助生成功能未响应，存在需要补充完善的内容</w:t>
            </w:r>
            <w:r>
              <w:rPr>
                <w:rFonts w:hint="eastAsia" w:ascii="宋体" w:hAnsi="宋体" w:eastAsia="宋体" w:cs="宋体"/>
                <w:color w:val="auto"/>
                <w:sz w:val="21"/>
                <w:szCs w:val="21"/>
                <w:highlight w:val="none"/>
                <w:shd w:val="clear" w:color="auto" w:fill="auto"/>
                <w:lang w:val="en-US" w:eastAsia="zh-CN"/>
              </w:rPr>
              <w:t>的，得1分；</w:t>
            </w:r>
          </w:p>
          <w:p w14:paraId="43371A1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8、</w:t>
            </w:r>
            <w:r>
              <w:rPr>
                <w:rFonts w:hint="eastAsia" w:ascii="宋体" w:hAnsi="宋体" w:eastAsia="宋体" w:cs="宋体"/>
                <w:color w:val="auto"/>
                <w:sz w:val="21"/>
                <w:szCs w:val="21"/>
                <w:highlight w:val="none"/>
                <w:shd w:val="clear" w:color="auto" w:fill="auto"/>
                <w:lang w:val="en-US" w:eastAsia="zh-CN"/>
              </w:rPr>
              <w:t>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23765458">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p w14:paraId="4A24E63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p>
        </w:tc>
      </w:tr>
      <w:tr w14:paraId="0C8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69F50CC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70113CE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11.数据安全与保密方案</w:t>
            </w:r>
          </w:p>
        </w:tc>
        <w:tc>
          <w:tcPr>
            <w:tcW w:w="3060" w:type="pct"/>
            <w:tcBorders>
              <w:top w:val="single" w:color="auto" w:sz="4" w:space="0"/>
              <w:left w:val="single" w:color="auto" w:sz="4" w:space="0"/>
              <w:bottom w:val="single" w:color="auto" w:sz="4" w:space="0"/>
              <w:right w:val="single" w:color="auto" w:sz="4" w:space="0"/>
            </w:tcBorders>
            <w:vAlign w:val="center"/>
          </w:tcPr>
          <w:p w14:paraId="49C47A9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w:t>
            </w:r>
            <w:r>
              <w:rPr>
                <w:rFonts w:hint="eastAsia" w:ascii="宋体" w:hAnsi="宋体" w:eastAsia="宋体" w:cs="宋体"/>
                <w:color w:val="auto"/>
                <w:kern w:val="0"/>
                <w:sz w:val="21"/>
                <w:szCs w:val="21"/>
                <w:highlight w:val="none"/>
                <w:lang w:val="en-US" w:eastAsia="zh-CN"/>
              </w:rPr>
              <w:t>数据安全与保密方案</w:t>
            </w:r>
            <w:r>
              <w:rPr>
                <w:rFonts w:hint="eastAsia" w:ascii="宋体" w:hAnsi="宋体" w:eastAsia="宋体" w:cs="宋体"/>
                <w:color w:val="auto"/>
                <w:sz w:val="21"/>
                <w:szCs w:val="21"/>
                <w:highlight w:val="none"/>
                <w:shd w:val="clear" w:color="auto" w:fill="auto"/>
                <w:lang w:val="en-US" w:eastAsia="zh-CN"/>
              </w:rPr>
              <w:t>进行评价：</w:t>
            </w:r>
          </w:p>
          <w:p w14:paraId="2D03D21F">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方案包含数据加密传输（HTTPS/TLS协议）、存储加密（数据库字段级加密）、分级权限管理（RBAC模型）、操作日志审计（完整记录可追溯）、数据备份与恢复（定时全量+增量备份）、网络安全防护（含防火墙黑白名单制度）等完整措施。在实名认证、人脸识别信息保护方面有专项方案，符合《数据安全法》《个人信息保护法》要求的，得5分；</w:t>
            </w:r>
          </w:p>
          <w:p w14:paraId="367EA342">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方案包含数据加密传输、存储加密、权限管理、日志审计、备份恢复、网络安全防护等主要安全措施，满足采购需求和法律法规要求的，得3分；</w:t>
            </w:r>
          </w:p>
          <w:p w14:paraId="7B7C91C5">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ascii="Segoe UI" w:hAnsi="Segoe UI" w:eastAsia="Segoe UI" w:cs="Segoe UI"/>
                <w:i w:val="0"/>
                <w:iCs w:val="0"/>
                <w:caps w:val="0"/>
                <w:color w:val="auto"/>
                <w:spacing w:val="0"/>
                <w:sz w:val="20"/>
                <w:szCs w:val="20"/>
                <w:highlight w:val="none"/>
                <w:shd w:val="clear" w:fill="FFFFFF"/>
              </w:rPr>
              <w:t>安全措施不完整，缺少关键安全环节（如无数据备份策略、或无权限管理说明、或无日志审计），存在需要补充完善的内容</w:t>
            </w:r>
            <w:r>
              <w:rPr>
                <w:rFonts w:hint="eastAsia" w:ascii="宋体" w:hAnsi="宋体" w:eastAsia="宋体" w:cs="宋体"/>
                <w:color w:val="auto"/>
                <w:sz w:val="21"/>
                <w:szCs w:val="21"/>
                <w:highlight w:val="none"/>
                <w:shd w:val="clear" w:color="auto" w:fill="auto"/>
                <w:lang w:val="en-US" w:eastAsia="zh-CN"/>
              </w:rPr>
              <w:t>的，得1分；</w:t>
            </w:r>
          </w:p>
          <w:p w14:paraId="25B86BA4">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27CA4B8A">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3D0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1CE5DE1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08EDD81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12.线上售后服务方案</w:t>
            </w:r>
          </w:p>
        </w:tc>
        <w:tc>
          <w:tcPr>
            <w:tcW w:w="3060" w:type="pct"/>
            <w:tcBorders>
              <w:top w:val="single" w:color="auto" w:sz="4" w:space="0"/>
              <w:left w:val="single" w:color="auto" w:sz="4" w:space="0"/>
              <w:bottom w:val="single" w:color="auto" w:sz="4" w:space="0"/>
              <w:right w:val="single" w:color="auto" w:sz="4" w:space="0"/>
            </w:tcBorders>
            <w:vAlign w:val="center"/>
          </w:tcPr>
          <w:p w14:paraId="6E5F405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根据投标人提供的线上售后服务方案进行评价：</w:t>
            </w:r>
          </w:p>
          <w:p w14:paraId="5319C8C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w:t>
            </w:r>
            <w:r>
              <w:rPr>
                <w:rFonts w:hint="eastAsia" w:ascii="宋体" w:hAnsi="宋体" w:eastAsia="宋体" w:cs="宋体"/>
                <w:color w:val="auto"/>
                <w:sz w:val="21"/>
                <w:szCs w:val="21"/>
                <w:highlight w:val="none"/>
                <w:shd w:val="clear" w:color="auto" w:fill="auto"/>
                <w:lang w:val="en-US" w:eastAsia="zh-CN"/>
              </w:rPr>
              <w:t>方案包含滁州地区专人专岗远程服务配置、在线故障响应时效承诺（如响应≤1小时）、线上问题分级处理流程、远程定期巡检、线上应急处理预案等全部内容。在线服务承诺具体量化，问题线上升级和闭环机制完整的，得5分；</w:t>
            </w:r>
          </w:p>
          <w:p w14:paraId="0FBBEE4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w:t>
            </w:r>
            <w:r>
              <w:rPr>
                <w:rFonts w:hint="default" w:ascii="宋体" w:hAnsi="宋体" w:eastAsia="宋体" w:cs="宋体"/>
                <w:color w:val="auto"/>
                <w:sz w:val="21"/>
                <w:szCs w:val="21"/>
                <w:highlight w:val="none"/>
                <w:shd w:val="clear" w:color="auto" w:fill="auto"/>
                <w:lang w:val="en-US" w:eastAsia="zh-CN"/>
              </w:rPr>
              <w:t>方案包含滁州地区专人远程配置、在线故障响应时效承诺、线上问题分级处理流程、远程定期巡检、线上应急处理预案等全部内容。远程岗位职责和在线响应时效有明确承诺，线上问题处理流程各环节描述清晰</w:t>
            </w:r>
            <w:r>
              <w:rPr>
                <w:rFonts w:hint="eastAsia" w:ascii="宋体" w:hAnsi="宋体" w:eastAsia="宋体" w:cs="宋体"/>
                <w:color w:val="auto"/>
                <w:sz w:val="21"/>
                <w:szCs w:val="21"/>
                <w:highlight w:val="none"/>
                <w:shd w:val="clear" w:color="auto" w:fill="auto"/>
                <w:lang w:val="en-US" w:eastAsia="zh-CN"/>
              </w:rPr>
              <w:t>的，得3分；</w:t>
            </w:r>
          </w:p>
          <w:p w14:paraId="0007947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3、</w:t>
            </w:r>
            <w:r>
              <w:rPr>
                <w:rFonts w:hint="default" w:ascii="宋体" w:hAnsi="宋体" w:eastAsia="宋体" w:cs="宋体"/>
                <w:color w:val="auto"/>
                <w:sz w:val="21"/>
                <w:szCs w:val="21"/>
                <w:highlight w:val="none"/>
                <w:shd w:val="clear" w:color="auto" w:fill="auto"/>
                <w:lang w:val="en-US" w:eastAsia="zh-CN"/>
              </w:rPr>
              <w:t>未明确滁州地区专人远程配置、或无在线故障响应时效承诺、或无线上问题分级标准和处理流程、或无线上应急处理预案，存在需要补充完善的内容</w:t>
            </w:r>
            <w:r>
              <w:rPr>
                <w:rFonts w:hint="eastAsia" w:ascii="宋体" w:hAnsi="宋体" w:eastAsia="宋体" w:cs="宋体"/>
                <w:color w:val="auto"/>
                <w:sz w:val="21"/>
                <w:szCs w:val="21"/>
                <w:highlight w:val="none"/>
                <w:shd w:val="clear" w:color="auto" w:fill="auto"/>
                <w:lang w:val="en-US" w:eastAsia="zh-CN"/>
              </w:rPr>
              <w:t>的，得1分；</w:t>
            </w:r>
          </w:p>
          <w:p w14:paraId="78B202B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4、</w:t>
            </w:r>
            <w:r>
              <w:rPr>
                <w:rFonts w:hint="eastAsia" w:ascii="宋体" w:hAnsi="宋体" w:eastAsia="宋体" w:cs="宋体"/>
                <w:color w:val="auto"/>
                <w:sz w:val="21"/>
                <w:szCs w:val="21"/>
                <w:highlight w:val="none"/>
                <w:shd w:val="clear" w:color="auto" w:fill="auto"/>
                <w:lang w:val="en-US" w:eastAsia="zh-CN"/>
              </w:rPr>
              <w:t>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76261B15">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82D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1FAFF62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3E91584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13.线上培训方案</w:t>
            </w:r>
          </w:p>
        </w:tc>
        <w:tc>
          <w:tcPr>
            <w:tcW w:w="3060" w:type="pct"/>
            <w:tcBorders>
              <w:top w:val="single" w:color="auto" w:sz="4" w:space="0"/>
              <w:left w:val="single" w:color="auto" w:sz="4" w:space="0"/>
              <w:bottom w:val="single" w:color="auto" w:sz="4" w:space="0"/>
              <w:right w:val="single" w:color="auto" w:sz="4" w:space="0"/>
            </w:tcBorders>
            <w:vAlign w:val="center"/>
          </w:tcPr>
          <w:p w14:paraId="5236D12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w:t>
            </w:r>
            <w:r>
              <w:rPr>
                <w:rFonts w:hint="eastAsia" w:ascii="宋体" w:hAnsi="宋体" w:eastAsia="宋体" w:cs="宋体"/>
                <w:color w:val="auto"/>
                <w:kern w:val="0"/>
                <w:sz w:val="21"/>
                <w:szCs w:val="21"/>
                <w:highlight w:val="none"/>
                <w:lang w:val="en-US" w:eastAsia="zh-CN"/>
              </w:rPr>
              <w:t>线上培训方案</w:t>
            </w:r>
            <w:r>
              <w:rPr>
                <w:rFonts w:hint="eastAsia" w:ascii="宋体" w:hAnsi="宋体" w:eastAsia="宋体" w:cs="宋体"/>
                <w:color w:val="auto"/>
                <w:sz w:val="21"/>
                <w:szCs w:val="21"/>
                <w:highlight w:val="none"/>
                <w:shd w:val="clear" w:color="auto" w:fill="auto"/>
                <w:lang w:val="en-US" w:eastAsia="zh-CN"/>
              </w:rPr>
              <w:t>进行评价：</w:t>
            </w:r>
          </w:p>
          <w:p w14:paraId="222228C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w:t>
            </w:r>
            <w:r>
              <w:rPr>
                <w:rFonts w:hint="eastAsia" w:ascii="宋体" w:hAnsi="宋体" w:eastAsia="宋体" w:cs="宋体"/>
                <w:color w:val="auto"/>
                <w:sz w:val="21"/>
                <w:szCs w:val="21"/>
                <w:highlight w:val="none"/>
                <w:shd w:val="clear" w:color="auto" w:fill="auto"/>
                <w:lang w:val="en-US" w:eastAsia="zh-CN"/>
              </w:rPr>
              <w:t>方案包含面向管理员、教师、学员三类对象的线上分层培训计划，培训内容覆盖平台全部功能模块的在线操作，培训方式包含线上直播培训和录播课程自主学习相结合，培训时间节点与项目实施进度衔接明确，在线效果评估机制（含在线考核测试和线上满意度调查）和复训安排完善的，得5分；</w:t>
            </w:r>
          </w:p>
          <w:p w14:paraId="5D5D0DB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2、方案包含三类对象的线上分层培训计划，培训内容覆盖平台全部功能模块的在线操作，培训方式包含线上直播培训和录播课程，培训时间节点与项目进度衔接明确，在线效果评估机制完善的，得3分；</w:t>
            </w:r>
          </w:p>
          <w:p w14:paraId="78D2967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color w:val="auto"/>
                <w:sz w:val="21"/>
                <w:szCs w:val="21"/>
                <w:highlight w:val="none"/>
                <w:shd w:val="clear" w:color="auto" w:fill="auto"/>
                <w:lang w:val="en-US" w:eastAsia="zh-CN"/>
              </w:rPr>
            </w:pPr>
            <w:r>
              <w:rPr>
                <w:rFonts w:hint="default" w:ascii="宋体" w:hAnsi="宋体" w:eastAsia="宋体" w:cs="宋体"/>
                <w:color w:val="auto"/>
                <w:kern w:val="2"/>
                <w:sz w:val="21"/>
                <w:szCs w:val="21"/>
                <w:highlight w:val="none"/>
                <w:shd w:val="clear" w:fill="auto"/>
                <w:lang w:val="en-US" w:eastAsia="zh-CN" w:bidi="ar-SA"/>
              </w:rPr>
              <w:t>5</w:t>
            </w:r>
            <w:r>
              <w:rPr>
                <w:rFonts w:hint="eastAsia" w:ascii="宋体" w:hAnsi="宋体" w:eastAsia="宋体" w:cs="宋体"/>
                <w:color w:val="auto"/>
                <w:sz w:val="21"/>
                <w:szCs w:val="21"/>
                <w:highlight w:val="none"/>
                <w:shd w:val="clear" w:color="auto" w:fill="auto"/>
                <w:lang w:val="en-US" w:eastAsia="zh-CN"/>
              </w:rPr>
              <w:t>3、未区分三类培训对象的线上差异化培训内容、或培训内容仅覆盖部分功能模块、或缺少线上录播课程方式、或线上培训时间未与项目进度衔接、或缺少在线效果评估机制的，得1分；</w:t>
            </w:r>
          </w:p>
          <w:p w14:paraId="60F9552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214BB9D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A98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3E31593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5819988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14.在线教学质量保证措施</w:t>
            </w:r>
          </w:p>
        </w:tc>
        <w:tc>
          <w:tcPr>
            <w:tcW w:w="3060" w:type="pct"/>
            <w:tcBorders>
              <w:top w:val="single" w:color="auto" w:sz="4" w:space="0"/>
              <w:left w:val="single" w:color="auto" w:sz="4" w:space="0"/>
              <w:bottom w:val="single" w:color="auto" w:sz="4" w:space="0"/>
              <w:right w:val="single" w:color="auto" w:sz="4" w:space="0"/>
            </w:tcBorders>
            <w:vAlign w:val="center"/>
          </w:tcPr>
          <w:p w14:paraId="762105B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w:t>
            </w:r>
            <w:r>
              <w:rPr>
                <w:rFonts w:hint="eastAsia" w:ascii="宋体" w:hAnsi="宋体" w:eastAsia="宋体" w:cs="宋体"/>
                <w:color w:val="auto"/>
                <w:kern w:val="0"/>
                <w:sz w:val="21"/>
                <w:szCs w:val="21"/>
                <w:highlight w:val="none"/>
                <w:lang w:val="en-US" w:eastAsia="zh-CN"/>
              </w:rPr>
              <w:t>在线教学质量保证措施</w:t>
            </w:r>
            <w:r>
              <w:rPr>
                <w:rFonts w:hint="eastAsia" w:ascii="宋体" w:hAnsi="宋体" w:eastAsia="宋体" w:cs="宋体"/>
                <w:color w:val="auto"/>
                <w:sz w:val="21"/>
                <w:szCs w:val="21"/>
                <w:highlight w:val="none"/>
                <w:shd w:val="clear" w:color="auto" w:fill="auto"/>
                <w:lang w:val="en-US" w:eastAsia="zh-CN"/>
              </w:rPr>
              <w:t>进行评价：</w:t>
            </w:r>
          </w:p>
          <w:p w14:paraId="25F5F0D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w:t>
            </w:r>
            <w:r>
              <w:rPr>
                <w:rFonts w:hint="eastAsia" w:ascii="宋体" w:hAnsi="宋体" w:eastAsia="宋体" w:cs="宋体"/>
                <w:color w:val="auto"/>
                <w:sz w:val="21"/>
                <w:szCs w:val="21"/>
                <w:highlight w:val="none"/>
                <w:shd w:val="clear" w:color="auto" w:fill="auto"/>
                <w:lang w:val="en-US" w:eastAsia="zh-CN"/>
              </w:rPr>
              <w:t>措施包含平台上线各阶段（部署、联调测试、试运行、验收）的质量控制节点和验收标准；包含平台运营期间在线服务质量监测指标体系（系统在线可用率≥99.9%、在线页面加载时间≤3秒、在线故障修复时限等量化指标）；包含在线问题整改闭环机制和持续改进方案的，得5分；</w:t>
            </w:r>
          </w:p>
          <w:p w14:paraId="0932949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w:t>
            </w:r>
            <w:r>
              <w:rPr>
                <w:rFonts w:hint="eastAsia" w:ascii="宋体" w:hAnsi="宋体" w:eastAsia="宋体" w:cs="宋体"/>
                <w:color w:val="auto"/>
                <w:sz w:val="21"/>
                <w:szCs w:val="21"/>
                <w:highlight w:val="none"/>
                <w:shd w:val="clear" w:color="auto" w:fill="auto"/>
                <w:lang w:val="en-US" w:eastAsia="zh-CN"/>
              </w:rPr>
              <w:t>措施包含平台上线各阶段的质量控制节点和验收标准；包含运营期间在线服务质量监测指标体系；包含在线问题整改闭环机制和持续改进方案。各阶段验收标准和运营期在线监测指标均有明确说明的，得3分；</w:t>
            </w:r>
          </w:p>
          <w:p w14:paraId="335EFF2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3、措施不完整，如缺少平台上线阶段的质量控制节点划分、或无各阶段具体验收标准、或无运营期在线服务质量监测指标、或无在线问题整改闭环机制</w:t>
            </w:r>
            <w:r>
              <w:rPr>
                <w:rFonts w:hint="eastAsia" w:ascii="宋体" w:hAnsi="宋体" w:eastAsia="宋体" w:cs="宋体"/>
                <w:color w:val="auto"/>
                <w:sz w:val="21"/>
                <w:szCs w:val="21"/>
                <w:highlight w:val="none"/>
                <w:shd w:val="clear" w:color="auto" w:fill="auto"/>
                <w:lang w:val="en-US" w:eastAsia="zh-CN"/>
              </w:rPr>
              <w:t>的，得1分；</w:t>
            </w:r>
          </w:p>
          <w:p w14:paraId="048B9C8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567FEA5B">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A7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3EEF411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1F537E0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15.平台数据对接方案</w:t>
            </w:r>
          </w:p>
        </w:tc>
        <w:tc>
          <w:tcPr>
            <w:tcW w:w="3060" w:type="pct"/>
            <w:tcBorders>
              <w:top w:val="single" w:color="auto" w:sz="4" w:space="0"/>
              <w:left w:val="single" w:color="auto" w:sz="4" w:space="0"/>
              <w:bottom w:val="single" w:color="auto" w:sz="4" w:space="0"/>
              <w:right w:val="single" w:color="auto" w:sz="4" w:space="0"/>
            </w:tcBorders>
            <w:vAlign w:val="center"/>
          </w:tcPr>
          <w:p w14:paraId="7F0756A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根据投标人提供的平台数据对接方案进行评价：</w:t>
            </w:r>
          </w:p>
          <w:p w14:paraId="60A0ACF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1、方案包含与本地区实名制管理系统数据对接的完整方案，明确接口协议（RESTful API/WebService）、数据传输加密方式（TLS/SSL）、数据同步机制（实时/定时同步策略）、异常处理与数据补录/补偿机制、对接测试验证方案。确保系统间数据交换信息不丢失、不重复、不被篡改</w:t>
            </w:r>
            <w:r>
              <w:rPr>
                <w:rFonts w:hint="eastAsia" w:ascii="宋体" w:hAnsi="宋体" w:eastAsia="宋体" w:cs="宋体"/>
                <w:color w:val="auto"/>
                <w:sz w:val="21"/>
                <w:szCs w:val="21"/>
                <w:highlight w:val="none"/>
                <w:shd w:val="clear" w:color="auto" w:fill="auto"/>
                <w:lang w:val="en-US" w:eastAsia="zh-CN"/>
              </w:rPr>
              <w:t>的，得5分；</w:t>
            </w:r>
          </w:p>
          <w:p w14:paraId="459CB82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2、方案包含与本地区实名制管理系统数据对接的完整方案，明确接口协议、数据传输加密方式、数据同步机制、异常处理与数据补录机制。数据交换安全保障措施描述清晰</w:t>
            </w:r>
            <w:r>
              <w:rPr>
                <w:rFonts w:hint="eastAsia" w:ascii="宋体" w:hAnsi="宋体" w:eastAsia="宋体" w:cs="宋体"/>
                <w:color w:val="auto"/>
                <w:sz w:val="21"/>
                <w:szCs w:val="21"/>
                <w:highlight w:val="none"/>
                <w:shd w:val="clear" w:color="auto" w:fill="auto"/>
                <w:lang w:val="en-US" w:eastAsia="zh-CN"/>
              </w:rPr>
              <w:t>的，得3分；</w:t>
            </w:r>
          </w:p>
          <w:p w14:paraId="38760D3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3、方案未完整覆盖对接需求，如缺少接口协议类型说明、或无数据传输加密方式、或无数据同步机制（未区分实时/定时策略）、或无异常处理和数据补录方案</w:t>
            </w:r>
            <w:r>
              <w:rPr>
                <w:rFonts w:hint="eastAsia" w:ascii="宋体" w:hAnsi="宋体" w:eastAsia="宋体" w:cs="宋体"/>
                <w:color w:val="auto"/>
                <w:sz w:val="21"/>
                <w:szCs w:val="21"/>
                <w:highlight w:val="none"/>
                <w:shd w:val="clear" w:color="auto" w:fill="auto"/>
                <w:lang w:val="en-US" w:eastAsia="zh-CN"/>
              </w:rPr>
              <w:t>的，得1分；</w:t>
            </w:r>
          </w:p>
          <w:p w14:paraId="39BB2E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2F569CC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03A9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1" w:type="pct"/>
            <w:vMerge w:val="continue"/>
            <w:tcBorders>
              <w:left w:val="single" w:color="auto" w:sz="4" w:space="0"/>
              <w:right w:val="single" w:color="auto" w:sz="4" w:space="0"/>
            </w:tcBorders>
            <w:vAlign w:val="center"/>
          </w:tcPr>
          <w:p w14:paraId="3FE922D2">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bottom w:val="single" w:color="auto" w:sz="4" w:space="0"/>
              <w:right w:val="single" w:color="auto" w:sz="4" w:space="0"/>
            </w:tcBorders>
            <w:vAlign w:val="center"/>
          </w:tcPr>
          <w:p w14:paraId="3BEAF6F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16.项目进度与组织方案</w:t>
            </w:r>
          </w:p>
        </w:tc>
        <w:tc>
          <w:tcPr>
            <w:tcW w:w="3060" w:type="pct"/>
            <w:tcBorders>
              <w:top w:val="single" w:color="auto" w:sz="4" w:space="0"/>
              <w:left w:val="single" w:color="auto" w:sz="4" w:space="0"/>
              <w:bottom w:val="single" w:color="auto" w:sz="4" w:space="0"/>
              <w:right w:val="single" w:color="auto" w:sz="4" w:space="0"/>
            </w:tcBorders>
            <w:vAlign w:val="center"/>
          </w:tcPr>
          <w:p w14:paraId="404DA7D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根据投标人提供的项目进度与组织方案进行评价：</w:t>
            </w:r>
          </w:p>
          <w:p w14:paraId="0898BB4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方案包含完整的线上平台部署实施计划（平台账号开通与配置、联调测试、试运行、正式上线各阶段），各阶段时间节点具体明确（如合同签订后3个工作日内完成账号开通、7个工作日内完成联调测试、15个工作日内正式上线），关键路径清晰，人员分工明确，进度保障与风险应对措施完善</w:t>
            </w:r>
            <w:r>
              <w:rPr>
                <w:rFonts w:hint="eastAsia" w:ascii="宋体" w:hAnsi="宋体" w:eastAsia="宋体" w:cs="宋体"/>
                <w:color w:val="auto"/>
                <w:sz w:val="21"/>
                <w:szCs w:val="21"/>
                <w:highlight w:val="none"/>
                <w:shd w:val="clear" w:color="auto" w:fill="auto"/>
                <w:lang w:val="en-US" w:eastAsia="zh-CN"/>
              </w:rPr>
              <w:t>的，得5分；</w:t>
            </w:r>
          </w:p>
          <w:p w14:paraId="779E20E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2、方案包含各实施阶段划分（账号开通、联调测试、试运行、正式上线），各阶段时间节点明确，人员分工和职责描述清晰，进度保障措施具体</w:t>
            </w:r>
            <w:r>
              <w:rPr>
                <w:rFonts w:hint="eastAsia" w:ascii="宋体" w:hAnsi="宋体" w:eastAsia="宋体" w:cs="宋体"/>
                <w:color w:val="auto"/>
                <w:sz w:val="21"/>
                <w:szCs w:val="21"/>
                <w:highlight w:val="none"/>
                <w:shd w:val="clear" w:color="auto" w:fill="auto"/>
                <w:lang w:val="en-US" w:eastAsia="zh-CN"/>
              </w:rPr>
              <w:t>的，得3分；</w:t>
            </w:r>
          </w:p>
          <w:p w14:paraId="2274709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3、方案未完整覆盖上述内容，如缺少账号开通阶段安排、或无各阶段具体时间节点、或无人员分工表、或无进度保障措施，存在需要补充完善的内容</w:t>
            </w:r>
            <w:r>
              <w:rPr>
                <w:rFonts w:hint="eastAsia" w:ascii="宋体" w:hAnsi="宋体" w:eastAsia="宋体" w:cs="宋体"/>
                <w:color w:val="auto"/>
                <w:sz w:val="21"/>
                <w:szCs w:val="21"/>
                <w:highlight w:val="none"/>
                <w:shd w:val="clear" w:color="auto" w:fill="auto"/>
                <w:lang w:val="en-US" w:eastAsia="zh-CN"/>
              </w:rPr>
              <w:t>的，得1分；</w:t>
            </w:r>
          </w:p>
          <w:p w14:paraId="7704897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bottom w:val="single" w:color="auto" w:sz="4" w:space="0"/>
              <w:right w:val="single" w:color="auto" w:sz="4" w:space="0"/>
            </w:tcBorders>
            <w:vAlign w:val="center"/>
          </w:tcPr>
          <w:p w14:paraId="4628FB4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6E0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0" w:hRule="atLeast"/>
          <w:jc w:val="center"/>
        </w:trPr>
        <w:tc>
          <w:tcPr>
            <w:tcW w:w="731" w:type="pct"/>
            <w:vMerge w:val="continue"/>
            <w:tcBorders>
              <w:left w:val="single" w:color="auto" w:sz="4" w:space="0"/>
              <w:right w:val="single" w:color="auto" w:sz="4" w:space="0"/>
            </w:tcBorders>
            <w:vAlign w:val="center"/>
          </w:tcPr>
          <w:p w14:paraId="4615DD32">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97" w:type="pct"/>
            <w:tcBorders>
              <w:top w:val="single" w:color="auto" w:sz="4" w:space="0"/>
              <w:left w:val="single" w:color="auto" w:sz="4" w:space="0"/>
              <w:right w:val="single" w:color="auto" w:sz="4" w:space="0"/>
            </w:tcBorders>
            <w:vAlign w:val="center"/>
          </w:tcPr>
          <w:p w14:paraId="6957CA9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17.合理化建议</w:t>
            </w:r>
          </w:p>
        </w:tc>
        <w:tc>
          <w:tcPr>
            <w:tcW w:w="3060" w:type="pct"/>
            <w:tcBorders>
              <w:top w:val="single" w:color="auto" w:sz="4" w:space="0"/>
              <w:left w:val="single" w:color="auto" w:sz="4" w:space="0"/>
              <w:right w:val="single" w:color="auto" w:sz="4" w:space="0"/>
            </w:tcBorders>
            <w:vAlign w:val="center"/>
          </w:tcPr>
          <w:p w14:paraId="58F680B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根据投标人提供的合理化建议进行评价：</w:t>
            </w:r>
          </w:p>
          <w:p w14:paraId="5113A05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1、投标人基于对本项目网络创业培训（含电商版、直播版）线上平台实际应用的深刻理解，提出5条及以上合理化建议。建议内容紧扣滁州市网络创业培训工作实际，针对平台功能优化、线上教学模式改进、学员参训体验提升、培训监管效率增强、创业后续服务深化等方面提出具体可行的改进措施。建议具有前瞻性和创新性，建议采纳后可显著提升网络创业培训线上平台的使用效果和管理水平</w:t>
            </w:r>
            <w:r>
              <w:rPr>
                <w:rFonts w:hint="eastAsia" w:ascii="宋体" w:hAnsi="宋体" w:eastAsia="宋体" w:cs="宋体"/>
                <w:color w:val="auto"/>
                <w:sz w:val="21"/>
                <w:szCs w:val="21"/>
                <w:highlight w:val="none"/>
                <w:shd w:val="clear" w:color="auto" w:fill="auto"/>
                <w:lang w:val="en-US" w:eastAsia="zh-CN"/>
              </w:rPr>
              <w:t>的，得5分；</w:t>
            </w:r>
          </w:p>
          <w:p w14:paraId="1B2B9DC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2、投标人结合本项目特点，提出3-4条合理化建议。建议内容针对网络创业培训线上平台实际使用场景，具备可操作性，建议采纳后可对平台运行或培训管理产生积极效果</w:t>
            </w:r>
            <w:r>
              <w:rPr>
                <w:rFonts w:hint="eastAsia" w:ascii="宋体" w:hAnsi="宋体" w:eastAsia="宋体" w:cs="宋体"/>
                <w:color w:val="auto"/>
                <w:sz w:val="21"/>
                <w:szCs w:val="21"/>
                <w:highlight w:val="none"/>
                <w:shd w:val="clear" w:color="auto" w:fill="auto"/>
                <w:lang w:val="en-US" w:eastAsia="zh-CN"/>
              </w:rPr>
              <w:t>的，得3分；</w:t>
            </w:r>
          </w:p>
          <w:p w14:paraId="6D139ED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2"/>
                <w:sz w:val="21"/>
                <w:szCs w:val="21"/>
                <w:highlight w:val="none"/>
                <w:shd w:val="clear" w:fill="auto"/>
                <w:lang w:val="en-US" w:eastAsia="zh-CN" w:bidi="ar-SA"/>
              </w:rPr>
              <w:t>3、投标人提出1-2条合理化建议，或建议内容空泛缺乏具体措施，或建议内容与本项目网络创业培训线上平台关联度不高</w:t>
            </w:r>
            <w:r>
              <w:rPr>
                <w:rFonts w:hint="eastAsia" w:ascii="宋体" w:hAnsi="宋体" w:eastAsia="宋体" w:cs="宋体"/>
                <w:color w:val="auto"/>
                <w:sz w:val="21"/>
                <w:szCs w:val="21"/>
                <w:highlight w:val="none"/>
                <w:shd w:val="clear" w:color="auto" w:fill="auto"/>
                <w:lang w:val="en-US" w:eastAsia="zh-CN"/>
              </w:rPr>
              <w:t>的，得1分；</w:t>
            </w:r>
          </w:p>
          <w:p w14:paraId="226B6DF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4、未提供的不得分。</w:t>
            </w:r>
          </w:p>
        </w:tc>
        <w:tc>
          <w:tcPr>
            <w:tcW w:w="510" w:type="pct"/>
            <w:tcBorders>
              <w:top w:val="single" w:color="auto" w:sz="4" w:space="0"/>
              <w:left w:val="single" w:color="auto" w:sz="4" w:space="0"/>
              <w:right w:val="single" w:color="auto" w:sz="4" w:space="0"/>
            </w:tcBorders>
            <w:vAlign w:val="center"/>
          </w:tcPr>
          <w:p w14:paraId="23FC4BB7">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9"/>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9"/>
        <w:pageBreakBefore w:val="0"/>
        <w:widowControl w:val="0"/>
        <w:kinsoku/>
        <w:wordWrap w:val="0"/>
        <w:topLinePunct w:val="0"/>
        <w:bidi w:val="0"/>
        <w:rPr>
          <w:color w:val="auto"/>
          <w:highlight w:val="none"/>
        </w:rPr>
      </w:pPr>
    </w:p>
    <w:p w14:paraId="6694D951">
      <w:pPr>
        <w:pStyle w:val="9"/>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滁州市公共就业服务管理中心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3029"/>
      <w:bookmarkStart w:id="55" w:name="_Toc24059"/>
      <w:bookmarkStart w:id="56" w:name="_Toc2232"/>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6311"/>
      <w:bookmarkStart w:id="58" w:name="_Toc22185"/>
      <w:bookmarkStart w:id="59" w:name="_Toc18585"/>
      <w:bookmarkStart w:id="60" w:name="_Toc6773"/>
      <w:bookmarkStart w:id="61" w:name="_Toc2918"/>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3292"/>
      <w:bookmarkStart w:id="63" w:name="_Toc21631"/>
      <w:bookmarkStart w:id="64"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10340"/>
      <w:bookmarkStart w:id="66" w:name="_Toc1814"/>
      <w:bookmarkStart w:id="67" w:name="_Toc22618"/>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19304"/>
      <w:bookmarkStart w:id="69" w:name="_Toc32071"/>
      <w:bookmarkStart w:id="70" w:name="_Toc2846"/>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27250"/>
      <w:bookmarkStart w:id="72" w:name="_Toc21423"/>
      <w:bookmarkStart w:id="73" w:name="_Toc19554"/>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28375"/>
      <w:bookmarkStart w:id="75" w:name="_Toc15583"/>
      <w:bookmarkStart w:id="76" w:name="_Toc16021"/>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11173"/>
      <w:bookmarkStart w:id="78" w:name="_Toc15322"/>
      <w:bookmarkStart w:id="79" w:name="_Toc7245"/>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Ref467379225"/>
      <w:bookmarkStart w:id="84" w:name="_Toc279701240"/>
      <w:bookmarkStart w:id="85" w:name="_Toc16917"/>
      <w:bookmarkStart w:id="86" w:name="_Ref467379109"/>
      <w:bookmarkStart w:id="87" w:name="_Ref467379101"/>
      <w:bookmarkStart w:id="88" w:name="_Toc19614"/>
      <w:bookmarkStart w:id="89" w:name="_Toc487900349"/>
      <w:bookmarkStart w:id="90" w:name="_Ref467378463"/>
      <w:bookmarkStart w:id="91" w:name="_Ref467379205"/>
      <w:bookmarkStart w:id="92" w:name="_Ref467379214"/>
      <w:bookmarkStart w:id="93" w:name="_Toc259093669"/>
      <w:bookmarkStart w:id="94" w:name="_Toc28763"/>
      <w:bookmarkStart w:id="95" w:name="_Ref467378499"/>
      <w:bookmarkStart w:id="96" w:name="_Ref467379195"/>
      <w:bookmarkStart w:id="97" w:name="_Ref467379094"/>
      <w:bookmarkStart w:id="98" w:name="_Ref46737840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27635"/>
      <w:bookmarkStart w:id="103" w:name="_Toc32504"/>
      <w:bookmarkStart w:id="104" w:name="_Toc279701241"/>
      <w:bookmarkStart w:id="105" w:name="_Toc487900350"/>
      <w:bookmarkStart w:id="106" w:name="_Toc259093670"/>
      <w:bookmarkStart w:id="107" w:name="_Toc13336"/>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31634"/>
      <w:bookmarkStart w:id="109" w:name="_Toc487900351"/>
      <w:bookmarkStart w:id="110" w:name="_Toc27853"/>
      <w:bookmarkStart w:id="111" w:name="_Toc9829"/>
      <w:bookmarkStart w:id="112" w:name="_Toc259093671"/>
      <w:bookmarkStart w:id="113" w:name="_Toc27970124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Toc259093674"/>
      <w:bookmarkStart w:id="115" w:name="_Toc487900354"/>
      <w:bookmarkStart w:id="116" w:name="_Toc279701245"/>
      <w:bookmarkStart w:id="117" w:name="_Ref467378541"/>
      <w:bookmarkStart w:id="118" w:name="_Ref467379536"/>
      <w:bookmarkStart w:id="119" w:name="_Ref467379527"/>
      <w:bookmarkStart w:id="120" w:name="_Ref467378591"/>
      <w:bookmarkStart w:id="121" w:name="_Ref467379542"/>
      <w:bookmarkStart w:id="122" w:name="_Toc19074"/>
      <w:bookmarkStart w:id="123" w:name="_Toc30272"/>
      <w:bookmarkStart w:id="124" w:name="_Toc26182"/>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Ref467379793"/>
      <w:bookmarkStart w:id="127" w:name="_Toc487900357"/>
      <w:bookmarkStart w:id="128" w:name="_Toc259093676"/>
      <w:bookmarkStart w:id="129" w:name="_Ref467379807"/>
      <w:bookmarkStart w:id="130" w:name="_Toc27970124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7836"/>
      <w:bookmarkStart w:id="133" w:name="_Toc28451"/>
      <w:bookmarkStart w:id="134"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Toc279701248"/>
      <w:bookmarkStart w:id="136" w:name="_Ref467379852"/>
      <w:bookmarkStart w:id="137" w:name="_Toc487900358"/>
      <w:bookmarkStart w:id="138" w:name="_Toc259093677"/>
      <w:bookmarkStart w:id="139" w:name="_Ref467379863"/>
      <w:bookmarkStart w:id="140" w:name="_Ref467379923"/>
      <w:bookmarkStart w:id="141" w:name="_Toc3225"/>
      <w:bookmarkStart w:id="142" w:name="_Toc16110"/>
      <w:bookmarkStart w:id="143" w:name="_Toc7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Ref467378121"/>
      <w:bookmarkStart w:id="148" w:name="_Toc259093683"/>
      <w:bookmarkStart w:id="149" w:name="_Toc279701254"/>
      <w:bookmarkStart w:id="150" w:name="_Toc487900364"/>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259093688"/>
      <w:bookmarkStart w:id="152" w:name="_Toc279701259"/>
      <w:bookmarkStart w:id="153" w:name="_Toc487900369"/>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10366"/>
      <w:bookmarkStart w:id="155" w:name="_Toc15237"/>
      <w:bookmarkStart w:id="156" w:name="_Toc2295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6508"/>
      <w:bookmarkStart w:id="158" w:name="_Toc14066"/>
      <w:bookmarkStart w:id="159" w:name="_Toc135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6969"/>
      <w:bookmarkStart w:id="161" w:name="_Toc279701255"/>
      <w:bookmarkStart w:id="162" w:name="_Toc30676"/>
      <w:bookmarkStart w:id="163" w:name="_Toc689"/>
      <w:bookmarkStart w:id="164" w:name="_Toc259093684"/>
      <w:bookmarkStart w:id="165" w:name="_Toc48790036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16959"/>
      <w:bookmarkStart w:id="167" w:name="_Toc7102"/>
      <w:bookmarkStart w:id="168" w:name="_Toc259093687"/>
      <w:bookmarkStart w:id="169" w:name="_Toc8298"/>
      <w:bookmarkStart w:id="170" w:name="_Toc279701258"/>
      <w:bookmarkStart w:id="171" w:name="_Toc48790036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29333"/>
      <w:bookmarkStart w:id="173" w:name="_Toc15387"/>
      <w:bookmarkStart w:id="174" w:name="_Toc613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14563"/>
      <w:bookmarkStart w:id="176" w:name="_Toc1125"/>
      <w:bookmarkStart w:id="177" w:name="_Toc659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259093692"/>
      <w:bookmarkStart w:id="179" w:name="_Toc12773"/>
      <w:bookmarkStart w:id="180" w:name="_Toc18567"/>
      <w:bookmarkStart w:id="181" w:name="_Toc487900373"/>
      <w:bookmarkStart w:id="182" w:name="_Toc10330"/>
      <w:bookmarkStart w:id="183" w:name="_Toc27970126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12004"/>
      <w:bookmarkStart w:id="185" w:name="_Toc16673"/>
      <w:bookmarkStart w:id="186" w:name="_Toc279701264"/>
      <w:bookmarkStart w:id="187" w:name="_Toc3148"/>
      <w:bookmarkStart w:id="188" w:name="_Toc259093693"/>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6885"/>
      <w:bookmarkStart w:id="191" w:name="_Toc14001"/>
      <w:bookmarkStart w:id="192" w:name="_Toc1989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7568"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7568"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1ACFC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6D1B33F">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2.15</w:t>
            </w:r>
          </w:p>
        </w:tc>
        <w:tc>
          <w:tcPr>
            <w:tcW w:w="7568" w:type="dxa"/>
            <w:vAlign w:val="center"/>
          </w:tcPr>
          <w:p w14:paraId="3D8EB195">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2.15.1乙方按照月定期提交服务报告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或甲方主动考核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，甲方按照在收到报告后，结合当月考核情况定期验收予以支付服务费用；</w:t>
            </w:r>
          </w:p>
          <w:p w14:paraId="5BF29721">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2.15.3检验和验收标准、程序等具体内容以及前述验收书的效力：验收书的内容以检验和验收标准、程序结合项目具体内容出具，以验收书作为结算依据</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2.17</w:t>
            </w:r>
          </w:p>
        </w:tc>
        <w:tc>
          <w:tcPr>
            <w:tcW w:w="7568"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2.18</w:t>
            </w:r>
          </w:p>
        </w:tc>
        <w:tc>
          <w:tcPr>
            <w:tcW w:w="7568"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7568"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7568"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57519D00">
      <w:pPr>
        <w:pStyle w:val="27"/>
        <w:rPr>
          <w:color w:val="auto"/>
          <w:highlight w:val="none"/>
        </w:rPr>
      </w:pPr>
    </w:p>
    <w:p w14:paraId="38F4C9A4">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2A1E30AD">
      <w:pPr>
        <w:pageBreakBefore w:val="0"/>
        <w:widowControl w:val="0"/>
        <w:kinsoku/>
        <w:wordWrap w:val="0"/>
        <w:topLinePunct w:val="0"/>
        <w:bidi w:val="0"/>
        <w:jc w:val="left"/>
        <w:rPr>
          <w:rFonts w:asciiTheme="minorEastAsia" w:hAnsiTheme="minorEastAsia" w:eastAsiaTheme="minorEastAsia"/>
          <w:color w:val="auto"/>
          <w:sz w:val="24"/>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bookmarkStart w:id="235" w:name="_GoBack"/>
      <w:bookmarkEnd w:id="235"/>
    </w:p>
    <w:p w14:paraId="334F72E9">
      <w:pPr>
        <w:pStyle w:val="4"/>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19687"/>
      <w:bookmarkStart w:id="20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08D11572">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17986"/>
      <w:bookmarkStart w:id="202" w:name="_Toc28960"/>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7"/>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keepNext w:val="0"/>
              <w:keepLines w:val="0"/>
              <w:pageBreakBefore w:val="0"/>
              <w:widowControl w:val="0"/>
              <w:kinsoku/>
              <w:wordWrap w:val="0"/>
              <w:overflowPunct/>
              <w:topLinePunct w:val="0"/>
              <w:autoSpaceDE/>
              <w:autoSpaceDN/>
              <w:bidi w:val="0"/>
              <w:adjustRightInd/>
              <w:spacing w:line="360" w:lineRule="auto"/>
              <w:ind w:right="-670"/>
              <w:textAlignment w:val="auto"/>
              <w:rPr>
                <w:rFonts w:hint="default" w:eastAsia="宋体" w:asciiTheme="minorEastAsia" w:hAnsiTheme="minorEastAsia"/>
                <w:color w:val="auto"/>
                <w:sz w:val="24"/>
                <w:highlight w:val="none"/>
                <w:u w:val="single"/>
                <w:lang w:val="en-US" w:eastAsia="zh-CN"/>
              </w:rPr>
            </w:pPr>
            <w:r>
              <w:rPr>
                <w:rFonts w:hint="eastAsia" w:eastAsia="宋体" w:asciiTheme="minorEastAsia" w:hAnsiTheme="minorEastAsia"/>
                <w:b/>
                <w:bCs/>
                <w:color w:val="auto"/>
                <w:sz w:val="24"/>
                <w:highlight w:val="none"/>
                <w:u w:val="singl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441"/>
      <w:bookmarkStart w:id="204" w:name="_Toc6120"/>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9"/>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2226"/>
      <w:bookmarkStart w:id="209" w:name="_Toc31027"/>
      <w:r>
        <w:rPr>
          <w:rFonts w:hint="eastAsia" w:asciiTheme="minorEastAsia" w:hAnsiTheme="minorEastAsia" w:eastAsiaTheme="minorEastAsia"/>
          <w:b/>
          <w:color w:val="auto"/>
          <w:sz w:val="24"/>
          <w:highlight w:val="none"/>
          <w:lang w:val="en-US" w:eastAsia="zh-CN"/>
        </w:rPr>
        <w:t>五、响应</w:t>
      </w:r>
      <w:r>
        <w:rPr>
          <w:rFonts w:hint="eastAsia" w:asciiTheme="minorEastAsia" w:hAnsiTheme="minorEastAsia" w:eastAsiaTheme="minorEastAsia"/>
          <w:b/>
          <w:color w:val="auto"/>
          <w:sz w:val="24"/>
          <w:highlight w:val="none"/>
        </w:rPr>
        <w:t>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3"/>
        <w:gridCol w:w="2806"/>
        <w:gridCol w:w="883"/>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9"/>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5"/>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5"/>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486CDE7">
      <w:pPr>
        <w:pStyle w:val="9"/>
        <w:pageBreakBefore w:val="0"/>
        <w:widowControl w:val="0"/>
        <w:kinsoku/>
        <w:wordWrap w:val="0"/>
        <w:topLinePunct w:val="0"/>
        <w:bidi w:val="0"/>
        <w:rPr>
          <w:rFonts w:hint="eastAsia" w:asciiTheme="minorEastAsia" w:hAnsiTheme="minorEastAsia" w:eastAsiaTheme="minorEastAsia"/>
          <w:b/>
          <w:bCs/>
          <w:color w:val="auto"/>
          <w:szCs w:val="24"/>
          <w:highlight w:val="none"/>
        </w:rPr>
      </w:pP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7315"/>
      <w:bookmarkStart w:id="212" w:name="_Toc16713"/>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9"/>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520299348"/>
      <w:bookmarkStart w:id="214" w:name="_Toc300210382"/>
      <w:bookmarkStart w:id="215" w:name="_Toc457768004"/>
      <w:bookmarkStart w:id="216" w:name="_Toc23860"/>
      <w:bookmarkStart w:id="217" w:name="_Toc26536"/>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1807"/>
      <w:bookmarkStart w:id="220" w:name="_Toc32633"/>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r>
        <w:rPr>
          <w:rFonts w:asciiTheme="minorEastAsia" w:hAnsiTheme="minorEastAsia" w:eastAsiaTheme="minorEastAsia"/>
          <w:color w:val="auto"/>
          <w:sz w:val="24"/>
          <w:highlight w:val="none"/>
        </w:rPr>
        <w:t>。</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20819"/>
      <w:bookmarkStart w:id="22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6955"/>
      <w:bookmarkStart w:id="224" w:name="_Toc27159"/>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857"/>
      <w:bookmarkStart w:id="228" w:name="_Toc1575"/>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22239"/>
      <w:bookmarkStart w:id="234" w:name="_Toc9754"/>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68A663F">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2115865-4034-4E1B-B88F-550B7258AB1B}"/>
  </w:font>
  <w:font w:name="Arial">
    <w:panose1 w:val="020B0604020202020204"/>
    <w:charset w:val="01"/>
    <w:family w:val="swiss"/>
    <w:pitch w:val="default"/>
    <w:sig w:usb0="E0002EFF" w:usb1="C000785B" w:usb2="00000009" w:usb3="00000000" w:csb0="400001FF" w:csb1="FFFF0000"/>
    <w:embedRegular r:id="rId2" w:fontKey="{2988C830-B3AE-49BA-95C0-D499E1C452A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C190BD26-77F6-49AE-B54A-05A0CB518B9E}"/>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707DF192-875E-450B-A2F0-259C7A55CF43}"/>
  </w:font>
  <w:font w:name="Segoe UI">
    <w:panose1 w:val="020B0502040204020203"/>
    <w:charset w:val="00"/>
    <w:family w:val="auto"/>
    <w:pitch w:val="default"/>
    <w:sig w:usb0="E4002EFF" w:usb1="C000E47F" w:usb2="00000009" w:usb3="00000000" w:csb0="200001FF" w:csb1="00000000"/>
    <w:embedRegular r:id="rId5" w:fontKey="{C2792FDB-D690-421B-AFC1-8062B42CFB9C}"/>
  </w:font>
  <w:font w:name="仿宋">
    <w:panose1 w:val="02010609060101010101"/>
    <w:charset w:val="86"/>
    <w:family w:val="auto"/>
    <w:pitch w:val="default"/>
    <w:sig w:usb0="800002BF" w:usb1="38CF7CFA" w:usb2="00000016" w:usb3="00000000" w:csb0="00040001" w:csb1="00000000"/>
    <w:embedRegular r:id="rId6" w:fontKey="{2BB2A18E-3494-4516-A44C-379F1F3360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0ADCC"/>
    <w:multiLevelType w:val="singleLevel"/>
    <w:tmpl w:val="A4B0ADCC"/>
    <w:lvl w:ilvl="0" w:tentative="0">
      <w:start w:val="1"/>
      <w:numFmt w:val="decimal"/>
      <w:suff w:val="nothing"/>
      <w:lvlText w:val="%1、"/>
      <w:lvlJc w:val="left"/>
    </w:lvl>
  </w:abstractNum>
  <w:abstractNum w:abstractNumId="1">
    <w:nsid w:val="B5839E55"/>
    <w:multiLevelType w:val="singleLevel"/>
    <w:tmpl w:val="B5839E55"/>
    <w:lvl w:ilvl="0" w:tentative="0">
      <w:start w:val="1"/>
      <w:numFmt w:val="decimal"/>
      <w:suff w:val="space"/>
      <w:lvlText w:val="%1."/>
      <w:lvlJc w:val="left"/>
    </w:lvl>
  </w:abstractNum>
  <w:abstractNum w:abstractNumId="2">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CB710DB"/>
    <w:multiLevelType w:val="singleLevel"/>
    <w:tmpl w:val="0CB710DB"/>
    <w:lvl w:ilvl="0" w:tentative="0">
      <w:start w:val="1"/>
      <w:numFmt w:val="decimal"/>
      <w:suff w:val="nothing"/>
      <w:lvlText w:val="%1、"/>
      <w:lvlJc w:val="left"/>
    </w:lvl>
  </w:abstractNum>
  <w:abstractNum w:abstractNumId="4">
    <w:nsid w:val="1D7A3751"/>
    <w:multiLevelType w:val="singleLevel"/>
    <w:tmpl w:val="1D7A3751"/>
    <w:lvl w:ilvl="0" w:tentative="0">
      <w:start w:val="1"/>
      <w:numFmt w:val="decimal"/>
      <w:suff w:val="space"/>
      <w:lvlText w:val="%1."/>
      <w:lvlJc w:val="left"/>
    </w:lvl>
  </w:abstractNum>
  <w:abstractNum w:abstractNumId="5">
    <w:nsid w:val="2A064A37"/>
    <w:multiLevelType w:val="singleLevel"/>
    <w:tmpl w:val="2A064A37"/>
    <w:lvl w:ilvl="0" w:tentative="0">
      <w:start w:val="3"/>
      <w:numFmt w:val="chineseCounting"/>
      <w:suff w:val="space"/>
      <w:lvlText w:val="第%1章"/>
      <w:lvlJc w:val="left"/>
      <w:rPr>
        <w:rFonts w:hint="eastAsia"/>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5394"/>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40A094E"/>
    <w:rsid w:val="041C7B7F"/>
    <w:rsid w:val="04E36C96"/>
    <w:rsid w:val="056800F4"/>
    <w:rsid w:val="056F201D"/>
    <w:rsid w:val="05B664D4"/>
    <w:rsid w:val="065C649E"/>
    <w:rsid w:val="07076C01"/>
    <w:rsid w:val="071C12AC"/>
    <w:rsid w:val="074E231E"/>
    <w:rsid w:val="07A934B3"/>
    <w:rsid w:val="07BD6760"/>
    <w:rsid w:val="07CA07CF"/>
    <w:rsid w:val="083900FE"/>
    <w:rsid w:val="08B15E54"/>
    <w:rsid w:val="0980799C"/>
    <w:rsid w:val="09C40B0E"/>
    <w:rsid w:val="0A0F6376"/>
    <w:rsid w:val="0A353CEA"/>
    <w:rsid w:val="0A6A18DB"/>
    <w:rsid w:val="0AEF3828"/>
    <w:rsid w:val="0B271EA5"/>
    <w:rsid w:val="0BBB665B"/>
    <w:rsid w:val="0CB7664E"/>
    <w:rsid w:val="0E6C55F8"/>
    <w:rsid w:val="0E816EC5"/>
    <w:rsid w:val="0EEA6FC1"/>
    <w:rsid w:val="0F4277C2"/>
    <w:rsid w:val="0F954485"/>
    <w:rsid w:val="0FBA55CD"/>
    <w:rsid w:val="0FBF344F"/>
    <w:rsid w:val="0FD56B4E"/>
    <w:rsid w:val="101C30CB"/>
    <w:rsid w:val="10505F32"/>
    <w:rsid w:val="105A27E6"/>
    <w:rsid w:val="119B0711"/>
    <w:rsid w:val="12197477"/>
    <w:rsid w:val="121A05A5"/>
    <w:rsid w:val="127B0C62"/>
    <w:rsid w:val="12F933E5"/>
    <w:rsid w:val="13587E2C"/>
    <w:rsid w:val="13A002C1"/>
    <w:rsid w:val="1466407E"/>
    <w:rsid w:val="146D2F69"/>
    <w:rsid w:val="147677B7"/>
    <w:rsid w:val="14834E28"/>
    <w:rsid w:val="148E7D65"/>
    <w:rsid w:val="151D4243"/>
    <w:rsid w:val="15231BF9"/>
    <w:rsid w:val="167D6DB2"/>
    <w:rsid w:val="179F5278"/>
    <w:rsid w:val="1A3B68AA"/>
    <w:rsid w:val="1A3E1C1E"/>
    <w:rsid w:val="1C141836"/>
    <w:rsid w:val="1E6B6A14"/>
    <w:rsid w:val="1E8079E2"/>
    <w:rsid w:val="1F9A008F"/>
    <w:rsid w:val="20550D9A"/>
    <w:rsid w:val="21714B53"/>
    <w:rsid w:val="218E2416"/>
    <w:rsid w:val="226915FE"/>
    <w:rsid w:val="22E14C32"/>
    <w:rsid w:val="247D172D"/>
    <w:rsid w:val="24B97929"/>
    <w:rsid w:val="2520252D"/>
    <w:rsid w:val="253908EB"/>
    <w:rsid w:val="26163BC1"/>
    <w:rsid w:val="262221C3"/>
    <w:rsid w:val="28514D40"/>
    <w:rsid w:val="285F40CA"/>
    <w:rsid w:val="28701A4C"/>
    <w:rsid w:val="28C01ECB"/>
    <w:rsid w:val="28EC3ECC"/>
    <w:rsid w:val="29BF71E3"/>
    <w:rsid w:val="2A127B63"/>
    <w:rsid w:val="2AAA4765"/>
    <w:rsid w:val="2AC21606"/>
    <w:rsid w:val="2AF63C5E"/>
    <w:rsid w:val="2B7E7608"/>
    <w:rsid w:val="2B7F04E9"/>
    <w:rsid w:val="2BCA5C66"/>
    <w:rsid w:val="2C305555"/>
    <w:rsid w:val="2C324425"/>
    <w:rsid w:val="2C9A21B9"/>
    <w:rsid w:val="2CA35449"/>
    <w:rsid w:val="2CE20523"/>
    <w:rsid w:val="2D496D68"/>
    <w:rsid w:val="2D652BC5"/>
    <w:rsid w:val="2E6672CB"/>
    <w:rsid w:val="2E7A48DE"/>
    <w:rsid w:val="2EDC3ED8"/>
    <w:rsid w:val="2F2D046C"/>
    <w:rsid w:val="2F6351B4"/>
    <w:rsid w:val="2FCF199E"/>
    <w:rsid w:val="302E4A7C"/>
    <w:rsid w:val="30483E83"/>
    <w:rsid w:val="30AA0E97"/>
    <w:rsid w:val="30BD4AC6"/>
    <w:rsid w:val="31FC1669"/>
    <w:rsid w:val="323B4877"/>
    <w:rsid w:val="331673B0"/>
    <w:rsid w:val="334E4CD8"/>
    <w:rsid w:val="343C0775"/>
    <w:rsid w:val="34AA76A9"/>
    <w:rsid w:val="351705A2"/>
    <w:rsid w:val="356C50EC"/>
    <w:rsid w:val="361108CD"/>
    <w:rsid w:val="3700166C"/>
    <w:rsid w:val="3727617F"/>
    <w:rsid w:val="375969FE"/>
    <w:rsid w:val="377260D5"/>
    <w:rsid w:val="38694EE9"/>
    <w:rsid w:val="38C12275"/>
    <w:rsid w:val="38F80D91"/>
    <w:rsid w:val="393C6E91"/>
    <w:rsid w:val="3AAF722D"/>
    <w:rsid w:val="3B365CC9"/>
    <w:rsid w:val="3B9A7B88"/>
    <w:rsid w:val="3BC114FF"/>
    <w:rsid w:val="3C114756"/>
    <w:rsid w:val="3C2660C6"/>
    <w:rsid w:val="3D2C7AC8"/>
    <w:rsid w:val="3D855D12"/>
    <w:rsid w:val="3D8B42FF"/>
    <w:rsid w:val="3D8C02DD"/>
    <w:rsid w:val="3D9409D6"/>
    <w:rsid w:val="3DC20089"/>
    <w:rsid w:val="3DF36A6E"/>
    <w:rsid w:val="3E515AA9"/>
    <w:rsid w:val="3EF86514"/>
    <w:rsid w:val="3F1138E1"/>
    <w:rsid w:val="3F792F1E"/>
    <w:rsid w:val="3FCF2A56"/>
    <w:rsid w:val="407A3E67"/>
    <w:rsid w:val="40824826"/>
    <w:rsid w:val="40E63923"/>
    <w:rsid w:val="411E0097"/>
    <w:rsid w:val="4140333C"/>
    <w:rsid w:val="42545C34"/>
    <w:rsid w:val="42B443F4"/>
    <w:rsid w:val="42F43FD4"/>
    <w:rsid w:val="433569A4"/>
    <w:rsid w:val="43A91E5B"/>
    <w:rsid w:val="44330E67"/>
    <w:rsid w:val="44BC3308"/>
    <w:rsid w:val="459C53D8"/>
    <w:rsid w:val="45BA48DB"/>
    <w:rsid w:val="45BE11FB"/>
    <w:rsid w:val="462867A4"/>
    <w:rsid w:val="463A3650"/>
    <w:rsid w:val="469F0116"/>
    <w:rsid w:val="47402999"/>
    <w:rsid w:val="475259B7"/>
    <w:rsid w:val="48831CF9"/>
    <w:rsid w:val="48A64365"/>
    <w:rsid w:val="49845D76"/>
    <w:rsid w:val="49A165B8"/>
    <w:rsid w:val="49B1408D"/>
    <w:rsid w:val="49BE3444"/>
    <w:rsid w:val="4A7D4FD2"/>
    <w:rsid w:val="4A913C9A"/>
    <w:rsid w:val="4AE22D2F"/>
    <w:rsid w:val="4AE6766D"/>
    <w:rsid w:val="4B1F70AC"/>
    <w:rsid w:val="4B240F94"/>
    <w:rsid w:val="4B386AE5"/>
    <w:rsid w:val="4BA75287"/>
    <w:rsid w:val="4BDC6EAE"/>
    <w:rsid w:val="4BED70D6"/>
    <w:rsid w:val="4C0E05BB"/>
    <w:rsid w:val="4C3C565C"/>
    <w:rsid w:val="4C936C5D"/>
    <w:rsid w:val="4CCC79C7"/>
    <w:rsid w:val="4D706CF0"/>
    <w:rsid w:val="4D7555C7"/>
    <w:rsid w:val="4E2D13A4"/>
    <w:rsid w:val="4EAE6DA0"/>
    <w:rsid w:val="4F002A5F"/>
    <w:rsid w:val="4FB17138"/>
    <w:rsid w:val="4FD037EF"/>
    <w:rsid w:val="5016514B"/>
    <w:rsid w:val="502857C7"/>
    <w:rsid w:val="50476D3D"/>
    <w:rsid w:val="50F72CFD"/>
    <w:rsid w:val="51CB1C78"/>
    <w:rsid w:val="51FD6A51"/>
    <w:rsid w:val="526B680A"/>
    <w:rsid w:val="52C90BE7"/>
    <w:rsid w:val="52FB705C"/>
    <w:rsid w:val="53150D15"/>
    <w:rsid w:val="5352083E"/>
    <w:rsid w:val="541A5D30"/>
    <w:rsid w:val="54F24195"/>
    <w:rsid w:val="54F66B38"/>
    <w:rsid w:val="552F56E3"/>
    <w:rsid w:val="553E632F"/>
    <w:rsid w:val="55F068CD"/>
    <w:rsid w:val="55F97F14"/>
    <w:rsid w:val="566C3136"/>
    <w:rsid w:val="568D04F2"/>
    <w:rsid w:val="57B9325C"/>
    <w:rsid w:val="57B976AF"/>
    <w:rsid w:val="58631FF0"/>
    <w:rsid w:val="588D6DD7"/>
    <w:rsid w:val="58943156"/>
    <w:rsid w:val="59246BE1"/>
    <w:rsid w:val="5930529E"/>
    <w:rsid w:val="59CF22B9"/>
    <w:rsid w:val="5A526582"/>
    <w:rsid w:val="5A5F5C77"/>
    <w:rsid w:val="5A933291"/>
    <w:rsid w:val="5B900F3C"/>
    <w:rsid w:val="5BBE39CD"/>
    <w:rsid w:val="5BC11A60"/>
    <w:rsid w:val="5C7A4D54"/>
    <w:rsid w:val="5CD23B73"/>
    <w:rsid w:val="5D483260"/>
    <w:rsid w:val="5D997B0D"/>
    <w:rsid w:val="5F127819"/>
    <w:rsid w:val="5F63752A"/>
    <w:rsid w:val="60F1503F"/>
    <w:rsid w:val="60F905F7"/>
    <w:rsid w:val="61025188"/>
    <w:rsid w:val="61057D5F"/>
    <w:rsid w:val="614D4977"/>
    <w:rsid w:val="61BD3D42"/>
    <w:rsid w:val="61F47A98"/>
    <w:rsid w:val="63962CDC"/>
    <w:rsid w:val="63A12CE2"/>
    <w:rsid w:val="63C60FC0"/>
    <w:rsid w:val="64BA3D7A"/>
    <w:rsid w:val="64F179BC"/>
    <w:rsid w:val="65C94C55"/>
    <w:rsid w:val="665704D3"/>
    <w:rsid w:val="672A2FC6"/>
    <w:rsid w:val="673148E2"/>
    <w:rsid w:val="675445CD"/>
    <w:rsid w:val="675608AD"/>
    <w:rsid w:val="675A23DE"/>
    <w:rsid w:val="67C065A4"/>
    <w:rsid w:val="67D359C9"/>
    <w:rsid w:val="68DF53B3"/>
    <w:rsid w:val="68FE36DD"/>
    <w:rsid w:val="694E60FC"/>
    <w:rsid w:val="69EF4042"/>
    <w:rsid w:val="6A465D34"/>
    <w:rsid w:val="6B2E0222"/>
    <w:rsid w:val="6C410A63"/>
    <w:rsid w:val="6C675CE6"/>
    <w:rsid w:val="6CEF35AF"/>
    <w:rsid w:val="6D4F4321"/>
    <w:rsid w:val="6DFF7360"/>
    <w:rsid w:val="6E7A5F73"/>
    <w:rsid w:val="6F2E3798"/>
    <w:rsid w:val="6F8455DF"/>
    <w:rsid w:val="6FA22640"/>
    <w:rsid w:val="6FAD5732"/>
    <w:rsid w:val="6FD74228"/>
    <w:rsid w:val="70B33744"/>
    <w:rsid w:val="70FE5EDF"/>
    <w:rsid w:val="71633091"/>
    <w:rsid w:val="72C76B74"/>
    <w:rsid w:val="73081CA5"/>
    <w:rsid w:val="73483525"/>
    <w:rsid w:val="73C45C4A"/>
    <w:rsid w:val="74545B7C"/>
    <w:rsid w:val="7487762D"/>
    <w:rsid w:val="75385498"/>
    <w:rsid w:val="766B3AFD"/>
    <w:rsid w:val="769962BD"/>
    <w:rsid w:val="76BC207F"/>
    <w:rsid w:val="76CA0F85"/>
    <w:rsid w:val="76EB4904"/>
    <w:rsid w:val="777378F5"/>
    <w:rsid w:val="777A2D3C"/>
    <w:rsid w:val="77F04406"/>
    <w:rsid w:val="78537BEA"/>
    <w:rsid w:val="79074B81"/>
    <w:rsid w:val="794F0939"/>
    <w:rsid w:val="79AF0FCA"/>
    <w:rsid w:val="79BF23C1"/>
    <w:rsid w:val="79EF2560"/>
    <w:rsid w:val="7AE658BA"/>
    <w:rsid w:val="7AF9279C"/>
    <w:rsid w:val="7C8A45E3"/>
    <w:rsid w:val="7CC51958"/>
    <w:rsid w:val="7CEC40B6"/>
    <w:rsid w:val="7D256FE6"/>
    <w:rsid w:val="7E2936C3"/>
    <w:rsid w:val="7E2E365C"/>
    <w:rsid w:val="7E6411B9"/>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60"/>
    <w:autoRedefine/>
    <w:qFormat/>
    <w:uiPriority w:val="0"/>
    <w:pPr>
      <w:jc w:val="left"/>
    </w:pPr>
    <w:rPr>
      <w:rFonts w:ascii="Arial" w:hAnsi="Arial" w:eastAsia="黑体" w:cs="Arial"/>
    </w:rPr>
  </w:style>
  <w:style w:type="paragraph" w:styleId="9">
    <w:name w:val="Body Text"/>
    <w:basedOn w:val="1"/>
    <w:link w:val="82"/>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unhideWhenUsed/>
    <w:qFormat/>
    <w:uiPriority w:val="0"/>
    <w:pPr>
      <w:spacing w:after="120"/>
      <w:ind w:left="420" w:leftChars="200"/>
    </w:pPr>
    <w:rPr>
      <w:rFonts w:asciiTheme="minorHAnsi" w:hAnsiTheme="minorHAnsi"/>
      <w:szCs w:val="22"/>
    </w:rPr>
  </w:style>
  <w:style w:type="paragraph" w:styleId="11">
    <w:name w:val="envelope return"/>
    <w:basedOn w:val="1"/>
    <w:qFormat/>
    <w:uiPriority w:val="0"/>
    <w:pPr>
      <w:snapToGrid w:val="0"/>
    </w:pPr>
    <w:rPr>
      <w:rFonts w:ascii="Arial" w:hAnsi="Arial"/>
    </w:rPr>
  </w:style>
  <w:style w:type="paragraph" w:styleId="12">
    <w:name w:val="toc 5"/>
    <w:basedOn w:val="1"/>
    <w:next w:val="1"/>
    <w:qFormat/>
    <w:uiPriority w:val="0"/>
    <w:pPr>
      <w:ind w:left="1680"/>
    </w:p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8"/>
    <w:next w:val="8"/>
    <w:link w:val="71"/>
    <w:autoRedefine/>
    <w:semiHidden/>
    <w:unhideWhenUsed/>
    <w:qFormat/>
    <w:uiPriority w:val="99"/>
    <w:rPr>
      <w:rFonts w:ascii="@仿宋_GB2312" w:hAnsi="@仿宋_GB2312" w:eastAsia="@仿宋_GB2312" w:cs="@仿宋_GB2312"/>
      <w:b/>
      <w:bCs/>
    </w:rPr>
  </w:style>
  <w:style w:type="paragraph" w:styleId="26">
    <w:name w:val="Body Text First Indent"/>
    <w:basedOn w:val="9"/>
    <w:autoRedefine/>
    <w:unhideWhenUsed/>
    <w:qFormat/>
    <w:uiPriority w:val="99"/>
    <w:pPr>
      <w:ind w:firstLine="420" w:firstLineChars="100"/>
    </w:pPr>
  </w:style>
  <w:style w:type="paragraph" w:styleId="27">
    <w:name w:val="Body Text First Indent 2"/>
    <w:basedOn w:val="10"/>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8"/>
    <w:autoRedefine/>
    <w:qFormat/>
    <w:uiPriority w:val="0"/>
    <w:rPr>
      <w:rFonts w:ascii="Arial" w:hAnsi="Arial" w:eastAsia="黑体" w:cs="Arial"/>
      <w:szCs w:val="20"/>
    </w:rPr>
  </w:style>
  <w:style w:type="character" w:customStyle="1" w:styleId="61">
    <w:name w:val="标题 1 Char"/>
    <w:basedOn w:val="30"/>
    <w:link w:val="2"/>
    <w:autoRedefine/>
    <w:qFormat/>
    <w:uiPriority w:val="9"/>
    <w:rPr>
      <w:rFonts w:ascii="@仿宋_GB2312" w:hAnsi="@仿宋_GB2312" w:eastAsia="@仿宋_GB2312" w:cs="@仿宋_GB2312"/>
      <w:b/>
      <w:bCs/>
      <w:kern w:val="44"/>
      <w:sz w:val="44"/>
      <w:szCs w:val="44"/>
    </w:rPr>
  </w:style>
  <w:style w:type="paragraph" w:customStyle="1" w:styleId="62">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4"/>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5"/>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9"/>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customXml/itemProps3.xml><?xml version="1.0" encoding="utf-8"?>
<ds:datastoreItem xmlns:ds="http://schemas.openxmlformats.org/officeDocument/2006/customXml" ds:itemID="{5932e229-fcc8-4271-b9d9-f02fd6c1427f}">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73</Pages>
  <Words>2182</Words>
  <Characters>2515</Characters>
  <Lines>244</Lines>
  <Paragraphs>68</Paragraphs>
  <TotalTime>11</TotalTime>
  <ScaleCrop>false</ScaleCrop>
  <LinksUpToDate>false</LinksUpToDate>
  <CharactersWithSpaces>2547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2026-08-20T01:39:40Z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C05424356DED402BA0F9AB8065EFB3D4_13</vt:lpwstr>
  </property>
  <property fmtid="{D5CDD505-2E9C-101B-9397-08002B2CF9AE}" pid="4" name="KSOTemplateDocerSaveRecord">
    <vt:lpwstr>eyJoZGlkIjoiOTc5MDNjMmIyODczM2YwMGZkZTNjYWY1NjIxZTY5YjciLCJ1c2VySWQiOiI1MDM3MjkwOTMifQ==</vt:lpwstr>
  </property>
</Properties>
</file>