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549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lang w:val="en-US" w:eastAsia="zh-CN"/>
        </w:rPr>
      </w:pPr>
      <w:bookmarkStart w:id="3" w:name="_GoBack"/>
      <w:bookmarkEnd w:id="3"/>
      <w:r>
        <w:rPr>
          <w:rFonts w:hint="eastAsia" w:ascii="宋体" w:hAnsi="宋体" w:eastAsia="宋体" w:cs="宋体"/>
          <w:b/>
          <w:bCs/>
          <w:color w:val="auto"/>
          <w:sz w:val="40"/>
          <w:szCs w:val="40"/>
          <w:highlight w:val="none"/>
          <w:lang w:val="en-US" w:eastAsia="zh-CN"/>
        </w:rPr>
        <w:t>南谯区排水管网排查整治工程图纸设计疑问</w:t>
      </w:r>
    </w:p>
    <w:p w14:paraId="0AD7A6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32"/>
          <w:szCs w:val="32"/>
          <w:highlight w:val="none"/>
          <w:lang w:val="en-US" w:eastAsia="zh-CN"/>
        </w:rPr>
      </w:pPr>
      <w:bookmarkStart w:id="0" w:name="OLE_LINK2"/>
    </w:p>
    <w:p w14:paraId="7AF588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第一批次图纸</w:t>
      </w:r>
    </w:p>
    <w:bookmarkEnd w:id="0"/>
    <w:p w14:paraId="384E48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共性问题：</w:t>
      </w:r>
    </w:p>
    <w:p w14:paraId="2B2FA9B3">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图纸主要工程量表格中井盖，请提供具体作法；</w:t>
      </w:r>
    </w:p>
    <w:p w14:paraId="374A4BE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drawing>
          <wp:inline distT="0" distB="0" distL="114300" distR="114300">
            <wp:extent cx="5261610" cy="264795"/>
            <wp:effectExtent l="0" t="0" r="152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1610" cy="264795"/>
                    </a:xfrm>
                    <a:prstGeom prst="rect">
                      <a:avLst/>
                    </a:prstGeom>
                    <a:noFill/>
                    <a:ln>
                      <a:noFill/>
                    </a:ln>
                  </pic:spPr>
                </pic:pic>
              </a:graphicData>
            </a:graphic>
          </wp:inline>
        </w:drawing>
      </w:r>
    </w:p>
    <w:p w14:paraId="3DFF6AF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回复：本次工程市政检查井盖采用成品五防井盖，购买的井盖须满足《检查井盖》（GBT23858-2009）规范要求。</w:t>
      </w:r>
    </w:p>
    <w:p w14:paraId="0918310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道路恢复未标注部位，属于主干路、次干路还是支路？因各部位不同作法相应不同，需加以描述，若存在不同作法请明确各作法的工程量面积分别是多少或明确各自比例，以便较准确的确认相关工程量；</w:t>
      </w:r>
    </w:p>
    <w:p w14:paraId="06C6E0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drawing>
          <wp:inline distT="0" distB="0" distL="114300" distR="114300">
            <wp:extent cx="5265420" cy="191135"/>
            <wp:effectExtent l="0" t="0" r="1143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5420" cy="191135"/>
                    </a:xfrm>
                    <a:prstGeom prst="rect">
                      <a:avLst/>
                    </a:prstGeom>
                    <a:noFill/>
                    <a:ln>
                      <a:noFill/>
                    </a:ln>
                  </pic:spPr>
                </pic:pic>
              </a:graphicData>
            </a:graphic>
          </wp:inline>
        </w:drawing>
      </w:r>
    </w:p>
    <w:p w14:paraId="355FA7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回复：工程量表及道路恢复面积。</w:t>
      </w:r>
    </w:p>
    <w:p w14:paraId="41F35D8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图纸主要</w:t>
      </w:r>
      <w:bookmarkStart w:id="1" w:name="OLE_LINK1"/>
      <w:r>
        <w:rPr>
          <w:rFonts w:hint="eastAsia" w:ascii="宋体" w:hAnsi="宋体" w:eastAsia="宋体" w:cs="宋体"/>
          <w:b w:val="0"/>
          <w:bCs w:val="0"/>
          <w:color w:val="auto"/>
          <w:sz w:val="28"/>
          <w:szCs w:val="28"/>
          <w:highlight w:val="none"/>
          <w:lang w:val="en-US" w:eastAsia="zh-CN"/>
        </w:rPr>
        <w:t>工程量表格中</w:t>
      </w:r>
      <w:bookmarkEnd w:id="1"/>
      <w:r>
        <w:rPr>
          <w:rFonts w:hint="eastAsia" w:ascii="宋体" w:hAnsi="宋体" w:eastAsia="宋体" w:cs="宋体"/>
          <w:b w:val="0"/>
          <w:bCs w:val="0"/>
          <w:color w:val="auto"/>
          <w:sz w:val="28"/>
          <w:szCs w:val="28"/>
          <w:highlight w:val="none"/>
          <w:lang w:val="en-US" w:eastAsia="zh-CN"/>
        </w:rPr>
        <w:t>支护长度属于管道开挖段长度还是支护钢板（或槽钢）实际使用的长度？</w:t>
      </w:r>
    </w:p>
    <w:p w14:paraId="76677C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回复：支护长度为实际使用长度</w:t>
      </w:r>
    </w:p>
    <w:p w14:paraId="162FDF1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检查井修复指的施工作法请明确？</w:t>
      </w:r>
    </w:p>
    <w:p w14:paraId="75AAC7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drawing>
          <wp:inline distT="0" distB="0" distL="114300" distR="114300">
            <wp:extent cx="5262245" cy="248285"/>
            <wp:effectExtent l="0" t="0" r="1460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62245" cy="248285"/>
                    </a:xfrm>
                    <a:prstGeom prst="rect">
                      <a:avLst/>
                    </a:prstGeom>
                    <a:noFill/>
                    <a:ln>
                      <a:noFill/>
                    </a:ln>
                  </pic:spPr>
                </pic:pic>
              </a:graphicData>
            </a:graphic>
          </wp:inline>
        </w:drawing>
      </w:r>
    </w:p>
    <w:p w14:paraId="1AB011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回复：详见施工图设计说明</w:t>
      </w:r>
    </w:p>
    <w:p w14:paraId="36513AD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6、部分路段（例如滁宁大道）管线迁改未提供具体作法，是否计入本次造价；</w:t>
      </w:r>
    </w:p>
    <w:p w14:paraId="1936F7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回复：计入造价</w:t>
      </w:r>
    </w:p>
    <w:p w14:paraId="1CCED839">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部分路段（例如滁宁大道）绿化恢复请确认绿化苗木种类及相应规格；</w:t>
      </w:r>
    </w:p>
    <w:p w14:paraId="5F3E507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回复：请编标单位自行勘察现场。</w:t>
      </w:r>
    </w:p>
    <w:p w14:paraId="7BB4CE4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8、结构设计说明三中临时保护方案关于电信管、电力光缆保护工字钢或木道等材料及燃气管、给水管保护方案中钢板吊箍、工字钢等材料未描述详细规格，需加以说明；</w:t>
      </w:r>
    </w:p>
    <w:p w14:paraId="36A4E2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drawing>
          <wp:inline distT="0" distB="0" distL="114300" distR="114300">
            <wp:extent cx="5269865" cy="1734185"/>
            <wp:effectExtent l="0" t="0" r="6985"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69865" cy="1734185"/>
                    </a:xfrm>
                    <a:prstGeom prst="rect">
                      <a:avLst/>
                    </a:prstGeom>
                    <a:noFill/>
                    <a:ln>
                      <a:noFill/>
                    </a:ln>
                  </pic:spPr>
                </pic:pic>
              </a:graphicData>
            </a:graphic>
          </wp:inline>
        </w:drawing>
      </w:r>
    </w:p>
    <w:p w14:paraId="09A27C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drawing>
          <wp:inline distT="0" distB="0" distL="114300" distR="114300">
            <wp:extent cx="5266690" cy="1793875"/>
            <wp:effectExtent l="0" t="0" r="10160"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66690" cy="1793875"/>
                    </a:xfrm>
                    <a:prstGeom prst="rect">
                      <a:avLst/>
                    </a:prstGeom>
                    <a:noFill/>
                    <a:ln>
                      <a:noFill/>
                    </a:ln>
                  </pic:spPr>
                </pic:pic>
              </a:graphicData>
            </a:graphic>
          </wp:inline>
        </w:drawing>
      </w:r>
    </w:p>
    <w:p w14:paraId="7B5DF42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回复：工字钢选用25a工字钢，道木寸尺为10cm×10cm×200cm，</w:t>
      </w:r>
      <w:r>
        <w:rPr>
          <w:rFonts w:hint="default" w:ascii="宋体" w:hAnsi="宋体" w:eastAsia="宋体" w:cs="宋体"/>
          <w:b w:val="0"/>
          <w:bCs w:val="0"/>
          <w:color w:val="0000FF"/>
          <w:sz w:val="28"/>
          <w:szCs w:val="28"/>
          <w:highlight w:val="none"/>
          <w:lang w:val="en-US" w:eastAsia="zh-CN"/>
        </w:rPr>
        <w:t>钢板吊箍</w:t>
      </w:r>
      <w:r>
        <w:rPr>
          <w:rFonts w:hint="eastAsia" w:ascii="宋体" w:hAnsi="宋体" w:eastAsia="宋体" w:cs="宋体"/>
          <w:b w:val="0"/>
          <w:bCs w:val="0"/>
          <w:color w:val="0000FF"/>
          <w:sz w:val="28"/>
          <w:szCs w:val="28"/>
          <w:highlight w:val="none"/>
          <w:lang w:val="en-US" w:eastAsia="zh-CN"/>
        </w:rPr>
        <w:t>尺寸为宽度为150mm，厚度为8mm，</w:t>
      </w:r>
      <w:r>
        <w:rPr>
          <w:rFonts w:ascii="Segoe UI" w:hAnsi="Segoe UI" w:eastAsia="Segoe UI" w:cs="Segoe UI"/>
          <w:i w:val="0"/>
          <w:iCs w:val="0"/>
          <w:caps w:val="0"/>
          <w:color w:val="0000FF"/>
          <w:spacing w:val="0"/>
          <w:sz w:val="24"/>
          <w:szCs w:val="24"/>
          <w:shd w:val="clear" w:fill="FFFFFF"/>
        </w:rPr>
        <w:t>钢丝绳索</w:t>
      </w:r>
      <w:r>
        <w:rPr>
          <w:rFonts w:hint="eastAsia" w:ascii="Segoe UI" w:hAnsi="Segoe UI" w:eastAsia="宋体" w:cs="Segoe UI"/>
          <w:i w:val="0"/>
          <w:iCs w:val="0"/>
          <w:caps w:val="0"/>
          <w:color w:val="0000FF"/>
          <w:spacing w:val="0"/>
          <w:sz w:val="24"/>
          <w:szCs w:val="24"/>
          <w:shd w:val="clear" w:fill="FFFFFF"/>
          <w:lang w:val="en-US" w:eastAsia="zh-CN"/>
        </w:rPr>
        <w:t>直径为16mm，结构为6×37；施工中可根据实际情况对悬吊材料进行调整</w:t>
      </w:r>
      <w:r>
        <w:rPr>
          <w:rFonts w:hint="eastAsia" w:ascii="宋体" w:hAnsi="宋体" w:eastAsia="宋体" w:cs="宋体"/>
          <w:b w:val="0"/>
          <w:bCs w:val="0"/>
          <w:color w:val="0000FF"/>
          <w:sz w:val="28"/>
          <w:szCs w:val="28"/>
          <w:highlight w:val="none"/>
          <w:lang w:val="en-US" w:eastAsia="zh-CN"/>
        </w:rPr>
        <w:t>。</w:t>
      </w:r>
    </w:p>
    <w:p w14:paraId="43C538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9、请明确雨污水新建及开挖管道的基础回填作法尺寸（</w:t>
      </w:r>
      <w:r>
        <w:rPr>
          <w:rFonts w:hint="eastAsia" w:ascii="宋体" w:hAnsi="宋体" w:eastAsia="宋体" w:cs="宋体"/>
          <w:b/>
          <w:bCs/>
          <w:color w:val="auto"/>
          <w:sz w:val="28"/>
          <w:szCs w:val="28"/>
          <w:highlight w:val="none"/>
          <w:lang w:val="en-US" w:eastAsia="zh-CN"/>
        </w:rPr>
        <w:t>最好提供大样图）</w:t>
      </w:r>
      <w:r>
        <w:rPr>
          <w:rFonts w:hint="eastAsia" w:ascii="宋体" w:hAnsi="宋体" w:eastAsia="宋体" w:cs="宋体"/>
          <w:b w:val="0"/>
          <w:bCs w:val="0"/>
          <w:color w:val="auto"/>
          <w:sz w:val="28"/>
          <w:szCs w:val="28"/>
          <w:highlight w:val="none"/>
          <w:lang w:val="en-US" w:eastAsia="zh-CN"/>
        </w:rPr>
        <w:t>及管道埋深，以便于计算管道开挖及回填相关工程量</w:t>
      </w:r>
    </w:p>
    <w:p w14:paraId="64130B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回复：新建及开挖管道的基础回填作法尺寸详见结构设计说明详图。</w:t>
      </w:r>
    </w:p>
    <w:p w14:paraId="78CA2AE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10、槽钢支护时槽钢布置间距多少，若间距较大槽钢与土层接触位置是否需要布置其他挡土材料（</w:t>
      </w:r>
      <w:r>
        <w:rPr>
          <w:rFonts w:hint="eastAsia" w:ascii="宋体" w:hAnsi="宋体" w:eastAsia="宋体" w:cs="宋体"/>
          <w:b/>
          <w:bCs/>
          <w:color w:val="auto"/>
          <w:sz w:val="28"/>
          <w:szCs w:val="28"/>
          <w:highlight w:val="none"/>
          <w:lang w:val="en-US" w:eastAsia="zh-CN"/>
        </w:rPr>
        <w:t>如模板</w:t>
      </w:r>
      <w:r>
        <w:rPr>
          <w:rFonts w:hint="eastAsia" w:ascii="宋体" w:hAnsi="宋体" w:eastAsia="宋体" w:cs="宋体"/>
          <w:b w:val="0"/>
          <w:bCs w:val="0"/>
          <w:color w:val="auto"/>
          <w:sz w:val="28"/>
          <w:szCs w:val="28"/>
          <w:highlight w:val="none"/>
          <w:lang w:val="en-US" w:eastAsia="zh-CN"/>
        </w:rPr>
        <w:t>）？</w:t>
      </w:r>
    </w:p>
    <w:p w14:paraId="2C5C432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回复：根据意见，补充槽钢支护大样图，详细尺寸见结构设计说明详图。</w:t>
      </w:r>
    </w:p>
    <w:p w14:paraId="1E3C291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11、水泥稳定碎石中水泥含量是多少？</w:t>
      </w:r>
      <w:r>
        <w:rPr>
          <w:rFonts w:hint="eastAsia" w:ascii="宋体" w:hAnsi="宋体" w:eastAsia="宋体" w:cs="宋体"/>
          <w:b w:val="0"/>
          <w:bCs w:val="0"/>
          <w:color w:val="auto"/>
          <w:sz w:val="28"/>
          <w:szCs w:val="28"/>
          <w:highlight w:val="none"/>
          <w:lang w:val="en-US" w:eastAsia="zh-CN"/>
        </w:rPr>
        <w:br w:type="textWrapping"/>
      </w:r>
      <w:r>
        <w:rPr>
          <w:rFonts w:hint="eastAsia" w:ascii="宋体" w:hAnsi="宋体" w:eastAsia="宋体" w:cs="宋体"/>
          <w:b w:val="0"/>
          <w:bCs w:val="0"/>
          <w:color w:val="0000FF"/>
          <w:sz w:val="28"/>
          <w:szCs w:val="28"/>
          <w:highlight w:val="none"/>
          <w:lang w:val="en-US" w:eastAsia="zh-CN"/>
        </w:rPr>
        <w:t>回复：水泥稳定碎石中水泥含量一般为4.5%，图纸中道路恢复仅为一般做法。现场须按原道路结构层恢复，且道路恢复做法须与道路管养单位及相关单位达成一致。</w:t>
      </w:r>
    </w:p>
    <w:p w14:paraId="15C5F54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12、恢复路面时是否需要考虑标线？</w:t>
      </w:r>
    </w:p>
    <w:p w14:paraId="7CBA776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0000FF"/>
          <w:sz w:val="28"/>
          <w:szCs w:val="28"/>
          <w:highlight w:val="none"/>
          <w:lang w:val="en-US" w:eastAsia="zh-CN"/>
        </w:rPr>
      </w:pPr>
      <w:bookmarkStart w:id="2" w:name="OLE_LINK3"/>
      <w:r>
        <w:rPr>
          <w:rFonts w:hint="eastAsia" w:ascii="宋体" w:hAnsi="宋体" w:eastAsia="宋体" w:cs="宋体"/>
          <w:b w:val="0"/>
          <w:bCs w:val="0"/>
          <w:color w:val="0000FF"/>
          <w:sz w:val="28"/>
          <w:szCs w:val="28"/>
          <w:highlight w:val="none"/>
          <w:lang w:val="en-US" w:eastAsia="zh-CN"/>
        </w:rPr>
        <w:t>回复：根据《城市道路交通标志和标线设置规范 GB 51038-2015》等相关法律法规，道路建设或修复后，相应的交通标线恢复是必须的，以确保道路符合交通安全标准和管理要求</w:t>
      </w:r>
      <w:r>
        <w:rPr>
          <w:rFonts w:hint="default" w:ascii="宋体" w:hAnsi="宋体" w:eastAsia="宋体" w:cs="宋体"/>
          <w:b w:val="0"/>
          <w:bCs w:val="0"/>
          <w:color w:val="0000FF"/>
          <w:sz w:val="28"/>
          <w:szCs w:val="28"/>
          <w:highlight w:val="none"/>
          <w:lang w:val="en-US" w:eastAsia="zh-CN"/>
        </w:rPr>
        <w:t>。</w:t>
      </w:r>
    </w:p>
    <w:p w14:paraId="664920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第二批次图纸【共性问题同第一批次图纸】</w:t>
      </w:r>
    </w:p>
    <w:bookmarkEnd w:id="2"/>
    <w:p w14:paraId="2BD95A64">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文慧路（康泰路以西）工程量汇总表有两个，以哪个为准？</w:t>
      </w:r>
    </w:p>
    <w:p w14:paraId="74E5F5A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回复：以最新日期为准。</w:t>
      </w:r>
    </w:p>
    <w:p w14:paraId="5AD6CC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第三批次图纸【共性问题同第一、二批次图纸】</w:t>
      </w:r>
    </w:p>
    <w:p w14:paraId="655F06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201CFA"/>
    <w:multiLevelType w:val="singleLevel"/>
    <w:tmpl w:val="27201CFA"/>
    <w:lvl w:ilvl="0" w:tentative="0">
      <w:start w:val="7"/>
      <w:numFmt w:val="decimal"/>
      <w:suff w:val="nothing"/>
      <w:lvlText w:val="%1、"/>
      <w:lvlJc w:val="left"/>
    </w:lvl>
  </w:abstractNum>
  <w:abstractNum w:abstractNumId="1">
    <w:nsid w:val="563E9B44"/>
    <w:multiLevelType w:val="singleLevel"/>
    <w:tmpl w:val="563E9B44"/>
    <w:lvl w:ilvl="0" w:tentative="0">
      <w:start w:val="1"/>
      <w:numFmt w:val="decimal"/>
      <w:suff w:val="nothing"/>
      <w:lvlText w:val="%1、"/>
      <w:lvlJc w:val="left"/>
    </w:lvl>
  </w:abstractNum>
  <w:abstractNum w:abstractNumId="2">
    <w:nsid w:val="72C61DF7"/>
    <w:multiLevelType w:val="singleLevel"/>
    <w:tmpl w:val="72C61DF7"/>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YzNkMzk2MjU2MGU3OThiNThjN2Q5N2UxMDM0ZDcifQ=="/>
  </w:docVars>
  <w:rsids>
    <w:rsidRoot w:val="00000000"/>
    <w:rsid w:val="06E74151"/>
    <w:rsid w:val="07C2144F"/>
    <w:rsid w:val="0CAC4948"/>
    <w:rsid w:val="10660710"/>
    <w:rsid w:val="120029D2"/>
    <w:rsid w:val="195B5EC6"/>
    <w:rsid w:val="26F91A5F"/>
    <w:rsid w:val="303A757C"/>
    <w:rsid w:val="30BB2AFC"/>
    <w:rsid w:val="33A910BF"/>
    <w:rsid w:val="34523BBF"/>
    <w:rsid w:val="37725255"/>
    <w:rsid w:val="3CD573E3"/>
    <w:rsid w:val="44142270"/>
    <w:rsid w:val="450D070F"/>
    <w:rsid w:val="46F54FCB"/>
    <w:rsid w:val="49891CD7"/>
    <w:rsid w:val="4BD022C8"/>
    <w:rsid w:val="535F5528"/>
    <w:rsid w:val="539800A0"/>
    <w:rsid w:val="5A585B5B"/>
    <w:rsid w:val="5DCB7A65"/>
    <w:rsid w:val="5E9B16F3"/>
    <w:rsid w:val="612B4FB0"/>
    <w:rsid w:val="639156D3"/>
    <w:rsid w:val="653A72BF"/>
    <w:rsid w:val="67B83AA4"/>
    <w:rsid w:val="689D1C34"/>
    <w:rsid w:val="6C666798"/>
    <w:rsid w:val="73F70491"/>
    <w:rsid w:val="74783957"/>
    <w:rsid w:val="7DFA78BA"/>
    <w:rsid w:val="7F484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943</Words>
  <Characters>993</Characters>
  <Lines>0</Lines>
  <Paragraphs>0</Paragraphs>
  <TotalTime>82</TotalTime>
  <ScaleCrop>false</ScaleCrop>
  <LinksUpToDate>false</LinksUpToDate>
  <CharactersWithSpaces>995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2025-05-09T07:38:00Z</dcterms:created>
  <dc:creator>Administrator</dc:creator>
  <cp:lastModifiedBy>又双叒叕</cp:lastModifiedBy>
  <dcterms:modified xsi:type="dcterms:W3CDTF">2025-05-20T07:26:57Z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B0CB0C090A654C76A03BB01DB96398BA_13</vt:lpwstr>
  </property>
  <property fmtid="{D5CDD505-2E9C-101B-9397-08002B2CF9AE}" pid="4" name="KSOTemplateDocerSaveRecord">
    <vt:lpwstr>eyJoZGlkIjoiZmQwNTg1NDk4NDQ0M2VmZmY0MGQ3NDQ2MDQzYzFhZDkifQ==</vt:lpwstr>
  </property>
</Properties>
</file>