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095DD">
      <w:pPr>
        <w:pStyle w:val="18"/>
        <w:rPr>
          <w:color w:val="auto"/>
          <w:highlight w:val="none"/>
        </w:rPr>
      </w:pPr>
      <w:bookmarkStart w:id="0" w:name="_Toc152045511"/>
      <w:bookmarkStart w:id="1" w:name="_Toc152042287"/>
      <w:bookmarkStart w:id="2" w:name="_Toc179632527"/>
      <w:bookmarkStart w:id="3" w:name="_Toc144974479"/>
      <w:bookmarkStart w:id="4" w:name="OLE_LINK3"/>
      <w:bookmarkStart w:id="5" w:name="OLE_LINK1"/>
      <w:bookmarkStart w:id="6" w:name="OLE_LINK2"/>
      <w:bookmarkStart w:id="7" w:name="OLE_LINK5"/>
      <w:bookmarkStart w:id="8" w:name="OLE_LINK4"/>
    </w:p>
    <w:p w14:paraId="668C6C8F">
      <w:pPr>
        <w:adjustRightInd w:val="0"/>
        <w:snapToGrid w:val="0"/>
        <w:spacing w:line="360" w:lineRule="auto"/>
        <w:jc w:val="center"/>
        <w:rPr>
          <w:rFonts w:hint="eastAsia" w:ascii="宋体" w:hAnsi="宋体" w:eastAsia="宋体" w:cs="宋体"/>
          <w:b/>
          <w:bCs/>
          <w:color w:val="auto"/>
          <w:sz w:val="48"/>
          <w:szCs w:val="48"/>
          <w:highlight w:val="none"/>
          <w:lang w:eastAsia="zh-CN"/>
        </w:rPr>
      </w:pPr>
      <w:r>
        <w:rPr>
          <w:rFonts w:hint="eastAsia" w:ascii="宋体" w:hAnsi="宋体" w:cs="宋体"/>
          <w:b/>
          <w:bCs/>
          <w:color w:val="auto"/>
          <w:sz w:val="56"/>
          <w:szCs w:val="56"/>
          <w:highlight w:val="none"/>
          <w:lang w:eastAsia="zh-CN"/>
        </w:rPr>
        <w:t>滁州工投中都科技产业园（一期）屋面光伏项目EPC项目</w:t>
      </w:r>
    </w:p>
    <w:p w14:paraId="23290D28">
      <w:pPr>
        <w:adjustRightInd w:val="0"/>
        <w:snapToGrid w:val="0"/>
        <w:spacing w:line="360" w:lineRule="auto"/>
        <w:jc w:val="center"/>
        <w:rPr>
          <w:rFonts w:ascii="宋体" w:hAnsi="宋体" w:cs="宋体"/>
          <w:b/>
          <w:bCs/>
          <w:color w:val="auto"/>
          <w:sz w:val="72"/>
          <w:szCs w:val="72"/>
          <w:highlight w:val="none"/>
        </w:rPr>
      </w:pPr>
    </w:p>
    <w:p w14:paraId="74378C90">
      <w:pPr>
        <w:adjustRightInd w:val="0"/>
        <w:snapToGrid w:val="0"/>
        <w:spacing w:line="36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招 标 文 件</w:t>
      </w:r>
    </w:p>
    <w:p w14:paraId="4A6877A5">
      <w:pPr>
        <w:widowControl/>
        <w:shd w:val="clear" w:color="auto" w:fill="FFFFFF"/>
        <w:spacing w:line="480" w:lineRule="atLeas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招标项目编号：</w:t>
      </w:r>
      <w:r>
        <w:rPr>
          <w:rFonts w:hint="eastAsia" w:ascii="宋体" w:hAnsi="宋体" w:cs="宋体"/>
          <w:color w:val="auto"/>
          <w:sz w:val="24"/>
          <w:highlight w:val="none"/>
          <w:lang w:eastAsia="zh-CN"/>
        </w:rPr>
        <w:t>czsjgc202609-003</w:t>
      </w:r>
    </w:p>
    <w:p w14:paraId="185D2B8F">
      <w:pPr>
        <w:adjustRightInd w:val="0"/>
        <w:snapToGrid w:val="0"/>
        <w:spacing w:line="360" w:lineRule="auto"/>
        <w:jc w:val="center"/>
        <w:rPr>
          <w:rFonts w:ascii="宋体" w:hAnsi="宋体" w:cs="宋体"/>
          <w:color w:val="auto"/>
          <w:sz w:val="24"/>
          <w:highlight w:val="none"/>
        </w:rPr>
      </w:pPr>
    </w:p>
    <w:p w14:paraId="23BF53EF">
      <w:pPr>
        <w:jc w:val="center"/>
        <w:rPr>
          <w:rFonts w:ascii="宋体" w:hAnsi="宋体" w:cs="宋体"/>
          <w:color w:val="auto"/>
          <w:sz w:val="72"/>
          <w:szCs w:val="72"/>
          <w:highlight w:val="none"/>
        </w:rPr>
      </w:pPr>
    </w:p>
    <w:p w14:paraId="0A7930BC">
      <w:pPr>
        <w:spacing w:line="540" w:lineRule="exact"/>
        <w:ind w:firstLine="437"/>
        <w:rPr>
          <w:rFonts w:ascii="宋体" w:hAnsi="宋体" w:cs="宋体"/>
          <w:color w:val="auto"/>
          <w:szCs w:val="21"/>
          <w:highlight w:val="none"/>
        </w:rPr>
      </w:pPr>
    </w:p>
    <w:p w14:paraId="41F89D2D">
      <w:pPr>
        <w:rPr>
          <w:color w:val="auto"/>
          <w:highlight w:val="none"/>
        </w:rPr>
      </w:pPr>
    </w:p>
    <w:p w14:paraId="1917901B">
      <w:pPr>
        <w:rPr>
          <w:color w:val="auto"/>
          <w:highlight w:val="none"/>
        </w:rPr>
      </w:pPr>
    </w:p>
    <w:p w14:paraId="216140A5">
      <w:pPr>
        <w:spacing w:line="540" w:lineRule="exact"/>
        <w:rPr>
          <w:rFonts w:ascii="宋体" w:hAnsi="宋体" w:cs="宋体"/>
          <w:color w:val="auto"/>
          <w:szCs w:val="21"/>
          <w:highlight w:val="none"/>
        </w:rPr>
      </w:pPr>
    </w:p>
    <w:p w14:paraId="35D86CDA">
      <w:pPr>
        <w:pStyle w:val="18"/>
        <w:rPr>
          <w:rFonts w:ascii="宋体" w:hAnsi="宋体" w:cs="宋体"/>
          <w:color w:val="auto"/>
          <w:szCs w:val="21"/>
          <w:highlight w:val="none"/>
        </w:rPr>
      </w:pPr>
    </w:p>
    <w:p w14:paraId="246079C7">
      <w:pPr>
        <w:rPr>
          <w:color w:val="auto"/>
          <w:highlight w:val="none"/>
        </w:rPr>
      </w:pPr>
    </w:p>
    <w:p w14:paraId="6A172872">
      <w:pPr>
        <w:adjustRightInd w:val="0"/>
        <w:snapToGrid w:val="0"/>
        <w:spacing w:line="480" w:lineRule="auto"/>
        <w:ind w:firstLine="437"/>
        <w:rPr>
          <w:rFonts w:ascii="宋体" w:hAnsi="宋体" w:cs="宋体"/>
          <w:color w:val="auto"/>
          <w:szCs w:val="21"/>
          <w:highlight w:val="none"/>
        </w:rPr>
      </w:pPr>
    </w:p>
    <w:p w14:paraId="4DFAA864">
      <w:pPr>
        <w:pStyle w:val="18"/>
        <w:rPr>
          <w:color w:val="auto"/>
          <w:highlight w:val="none"/>
        </w:rPr>
      </w:pPr>
    </w:p>
    <w:p w14:paraId="7AC4B062">
      <w:pPr>
        <w:adjustRightInd w:val="0"/>
        <w:snapToGrid w:val="0"/>
        <w:spacing w:line="480" w:lineRule="auto"/>
        <w:ind w:firstLine="643" w:firstLineChars="200"/>
        <w:rPr>
          <w:rFonts w:ascii="宋体" w:hAnsi="宋体" w:cs="宋体"/>
          <w:color w:val="auto"/>
          <w:sz w:val="32"/>
          <w:szCs w:val="32"/>
          <w:highlight w:val="none"/>
        </w:rPr>
      </w:pPr>
      <w:r>
        <w:rPr>
          <w:rFonts w:hint="eastAsia" w:ascii="宋体" w:hAnsi="宋体" w:cs="宋体"/>
          <w:b/>
          <w:bCs/>
          <w:color w:val="auto"/>
          <w:sz w:val="32"/>
          <w:szCs w:val="32"/>
          <w:highlight w:val="none"/>
        </w:rPr>
        <w:t>招标人：</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eastAsia="zh-CN"/>
        </w:rPr>
        <w:t>滁州工投中都科技产业园有限公司</w:t>
      </w:r>
      <w:r>
        <w:rPr>
          <w:rFonts w:hint="eastAsia" w:ascii="宋体" w:hAnsi="宋体" w:cs="宋体"/>
          <w:b/>
          <w:bCs/>
          <w:color w:val="auto"/>
          <w:sz w:val="32"/>
          <w:szCs w:val="32"/>
          <w:highlight w:val="none"/>
          <w:u w:val="single"/>
        </w:rPr>
        <w:t xml:space="preserve">   </w:t>
      </w:r>
      <w:r>
        <w:rPr>
          <w:rFonts w:hint="eastAsia" w:ascii="宋体" w:hAnsi="宋体" w:cs="宋体"/>
          <w:color w:val="auto"/>
          <w:sz w:val="32"/>
          <w:szCs w:val="32"/>
          <w:highlight w:val="none"/>
        </w:rPr>
        <w:t>（盖章）</w:t>
      </w:r>
    </w:p>
    <w:p w14:paraId="54AA8212">
      <w:pPr>
        <w:adjustRightInd w:val="0"/>
        <w:snapToGrid w:val="0"/>
        <w:spacing w:line="480" w:lineRule="auto"/>
        <w:ind w:firstLine="643" w:firstLineChars="200"/>
        <w:rPr>
          <w:rFonts w:ascii="宋体" w:hAnsi="宋体" w:cs="宋体"/>
          <w:color w:val="auto"/>
          <w:sz w:val="32"/>
          <w:szCs w:val="32"/>
          <w:highlight w:val="none"/>
          <w:u w:val="single"/>
        </w:rPr>
      </w:pPr>
      <w:r>
        <w:rPr>
          <w:rFonts w:hint="eastAsia" w:ascii="宋体" w:hAnsi="宋体" w:cs="宋体"/>
          <w:b/>
          <w:bCs/>
          <w:color w:val="auto"/>
          <w:sz w:val="32"/>
          <w:szCs w:val="32"/>
          <w:highlight w:val="none"/>
        </w:rPr>
        <w:t>招标代理机构</w:t>
      </w:r>
      <w:r>
        <w:rPr>
          <w:rFonts w:hint="eastAsia" w:ascii="宋体" w:hAnsi="宋体" w:cs="宋体"/>
          <w:color w:val="auto"/>
          <w:sz w:val="32"/>
          <w:szCs w:val="32"/>
          <w:highlight w:val="none"/>
        </w:rPr>
        <w:t>：</w:t>
      </w:r>
      <w:r>
        <w:rPr>
          <w:rFonts w:hint="eastAsia" w:ascii="宋体" w:hAnsi="宋体" w:cs="宋体"/>
          <w:b/>
          <w:bCs/>
          <w:color w:val="auto"/>
          <w:sz w:val="30"/>
          <w:szCs w:val="30"/>
          <w:highlight w:val="none"/>
          <w:u w:val="single"/>
        </w:rPr>
        <w:t>滁州市城投工程咨询管理有限公司</w:t>
      </w:r>
      <w:r>
        <w:rPr>
          <w:rFonts w:hint="eastAsia" w:ascii="宋体" w:hAnsi="宋体" w:cs="宋体"/>
          <w:color w:val="auto"/>
          <w:sz w:val="32"/>
          <w:szCs w:val="32"/>
          <w:highlight w:val="none"/>
        </w:rPr>
        <w:t>（盖章）</w:t>
      </w:r>
    </w:p>
    <w:p w14:paraId="2648E89C">
      <w:pPr>
        <w:jc w:val="center"/>
        <w:rPr>
          <w:rFonts w:ascii="宋体" w:hAnsi="宋体" w:cs="宋体"/>
          <w:color w:val="auto"/>
          <w:sz w:val="32"/>
          <w:szCs w:val="32"/>
          <w:highlight w:val="none"/>
        </w:rPr>
      </w:pPr>
      <w:r>
        <w:rPr>
          <w:rFonts w:hint="eastAsia" w:ascii="宋体" w:hAnsi="宋体" w:cs="宋体"/>
          <w:color w:val="auto"/>
          <w:sz w:val="32"/>
          <w:szCs w:val="32"/>
          <w:highlight w:val="none"/>
          <w:u w:val="single"/>
        </w:rPr>
        <w:t>2026</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single"/>
          <w:lang w:val="en-US" w:eastAsia="zh-CN"/>
        </w:rPr>
        <w:t>9</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8</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rPr>
        <w:t>日</w:t>
      </w:r>
    </w:p>
    <w:p w14:paraId="59445F9B">
      <w:pPr>
        <w:pStyle w:val="18"/>
        <w:rPr>
          <w:color w:val="auto"/>
          <w:highlight w:val="none"/>
        </w:rPr>
      </w:pPr>
    </w:p>
    <w:p w14:paraId="406E1411">
      <w:pPr>
        <w:jc w:val="center"/>
        <w:rPr>
          <w:color w:val="auto"/>
          <w:sz w:val="52"/>
          <w:highlight w:val="none"/>
          <w:lang w:val="zh-CN"/>
        </w:rPr>
      </w:pPr>
      <w:r>
        <w:rPr>
          <w:rFonts w:hint="eastAsia"/>
          <w:color w:val="auto"/>
          <w:sz w:val="52"/>
          <w:highlight w:val="none"/>
          <w:lang w:val="zh-CN"/>
        </w:rPr>
        <w:br w:type="page"/>
      </w:r>
    </w:p>
    <w:p w14:paraId="2C7B017A">
      <w:pPr>
        <w:pStyle w:val="34"/>
        <w:adjustRightInd w:val="0"/>
        <w:snapToGrid w:val="0"/>
        <w:spacing w:before="0" w:line="240" w:lineRule="auto"/>
        <w:ind w:right="210" w:rightChars="100"/>
        <w:jc w:val="center"/>
        <w:rPr>
          <w:color w:val="auto"/>
          <w:sz w:val="52"/>
          <w:highlight w:val="none"/>
          <w:lang w:val="zh-CN"/>
        </w:rPr>
      </w:pPr>
      <w:bookmarkStart w:id="9" w:name="_Toc95223332"/>
      <w:bookmarkStart w:id="10" w:name="_Toc10200"/>
    </w:p>
    <w:p w14:paraId="2884B8E6">
      <w:pPr>
        <w:pStyle w:val="34"/>
        <w:adjustRightInd w:val="0"/>
        <w:snapToGrid w:val="0"/>
        <w:spacing w:before="0" w:line="240" w:lineRule="auto"/>
        <w:ind w:right="210" w:rightChars="100"/>
        <w:jc w:val="center"/>
        <w:rPr>
          <w:color w:val="auto"/>
          <w:sz w:val="52"/>
          <w:highlight w:val="none"/>
        </w:rPr>
      </w:pPr>
      <w:r>
        <w:rPr>
          <w:color w:val="auto"/>
          <w:sz w:val="52"/>
          <w:highlight w:val="none"/>
          <w:lang w:val="zh-CN"/>
        </w:rPr>
        <w:t>目</w:t>
      </w:r>
      <w:r>
        <w:rPr>
          <w:rFonts w:hint="eastAsia"/>
          <w:color w:val="auto"/>
          <w:sz w:val="52"/>
          <w:highlight w:val="none"/>
          <w:lang w:val="zh-CN"/>
        </w:rPr>
        <w:t xml:space="preserve">  </w:t>
      </w:r>
      <w:r>
        <w:rPr>
          <w:color w:val="auto"/>
          <w:sz w:val="52"/>
          <w:highlight w:val="none"/>
          <w:lang w:val="zh-CN"/>
        </w:rPr>
        <w:t>录</w:t>
      </w:r>
    </w:p>
    <w:p w14:paraId="59F130E1">
      <w:pPr>
        <w:pStyle w:val="13"/>
        <w:tabs>
          <w:tab w:val="right" w:leader="dot" w:pos="10130"/>
        </w:tabs>
        <w:spacing w:line="480" w:lineRule="auto"/>
        <w:rPr>
          <w:rFonts w:hint="eastAsia" w:ascii="宋体" w:hAnsi="宋体" w:cs="宋体"/>
          <w:b w:val="0"/>
          <w:bCs w:val="0"/>
          <w:color w:val="auto"/>
          <w:sz w:val="28"/>
          <w:szCs w:val="28"/>
          <w:highlight w:val="none"/>
        </w:rPr>
      </w:pP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TOC \o "1-3" \h \z \u </w:instrText>
      </w:r>
      <w:r>
        <w:rPr>
          <w:rFonts w:hint="eastAsia" w:ascii="宋体" w:hAnsi="宋体" w:cs="宋体"/>
          <w:b w:val="0"/>
          <w:bCs w:val="0"/>
          <w:color w:val="auto"/>
          <w:sz w:val="28"/>
          <w:szCs w:val="28"/>
          <w:highlight w:val="none"/>
        </w:rPr>
        <w:fldChar w:fldCharType="separate"/>
      </w:r>
      <w:r>
        <w:rPr>
          <w:rFonts w:hint="eastAsia" w:ascii="宋体" w:hAnsi="宋体" w:cs="宋体"/>
          <w:b w:val="0"/>
          <w:bCs w:val="0"/>
          <w:color w:val="auto"/>
          <w:sz w:val="28"/>
          <w:szCs w:val="28"/>
          <w:highlight w:val="none"/>
          <w:lang w:val="zh-CN"/>
        </w:rPr>
        <w:fldChar w:fldCharType="begin"/>
      </w:r>
      <w:r>
        <w:rPr>
          <w:rFonts w:hint="eastAsia" w:ascii="宋体" w:hAnsi="宋体" w:cs="宋体"/>
          <w:b w:val="0"/>
          <w:bCs w:val="0"/>
          <w:color w:val="auto"/>
          <w:sz w:val="28"/>
          <w:szCs w:val="28"/>
          <w:highlight w:val="none"/>
          <w:lang w:val="zh-CN"/>
        </w:rPr>
        <w:instrText xml:space="preserve"> HYPERLINK \l _Toc19151 </w:instrText>
      </w:r>
      <w:r>
        <w:rPr>
          <w:rFonts w:hint="eastAsia" w:ascii="宋体" w:hAnsi="宋体" w:cs="宋体"/>
          <w:b w:val="0"/>
          <w:bCs w:val="0"/>
          <w:color w:val="auto"/>
          <w:sz w:val="28"/>
          <w:szCs w:val="28"/>
          <w:highlight w:val="none"/>
          <w:lang w:val="zh-CN"/>
        </w:rPr>
        <w:fldChar w:fldCharType="separate"/>
      </w:r>
      <w:r>
        <w:rPr>
          <w:rFonts w:hint="eastAsia" w:ascii="宋体" w:hAnsi="宋体" w:cs="宋体"/>
          <w:b w:val="0"/>
          <w:bCs w:val="0"/>
          <w:color w:val="auto"/>
          <w:sz w:val="28"/>
          <w:szCs w:val="28"/>
          <w:highlight w:val="none"/>
        </w:rPr>
        <w:t>第一章  招标公告</w:t>
      </w:r>
      <w:r>
        <w:rPr>
          <w:rFonts w:hint="eastAsia" w:ascii="宋体" w:hAnsi="宋体" w:cs="宋体"/>
          <w:b w:val="0"/>
          <w:bCs w:val="0"/>
          <w:color w:val="auto"/>
          <w:sz w:val="28"/>
          <w:szCs w:val="28"/>
          <w:highlight w:val="none"/>
        </w:rPr>
        <w:tab/>
      </w: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PAGEREF _Toc19151 \h </w:instrText>
      </w:r>
      <w:r>
        <w:rPr>
          <w:rFonts w:hint="eastAsia" w:ascii="宋体" w:hAnsi="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w:t>
      </w:r>
      <w:r>
        <w:rPr>
          <w:rFonts w:hint="eastAsia" w:ascii="宋体" w:hAnsi="宋体" w:cs="宋体"/>
          <w:b w:val="0"/>
          <w:bCs w:val="0"/>
          <w:color w:val="auto"/>
          <w:sz w:val="28"/>
          <w:szCs w:val="28"/>
          <w:highlight w:val="none"/>
        </w:rPr>
        <w:fldChar w:fldCharType="end"/>
      </w:r>
      <w:r>
        <w:rPr>
          <w:rFonts w:hint="eastAsia" w:ascii="宋体" w:hAnsi="宋体" w:cs="宋体"/>
          <w:b w:val="0"/>
          <w:bCs w:val="0"/>
          <w:color w:val="auto"/>
          <w:sz w:val="28"/>
          <w:szCs w:val="28"/>
          <w:highlight w:val="none"/>
          <w:lang w:val="zh-CN"/>
        </w:rPr>
        <w:fldChar w:fldCharType="end"/>
      </w:r>
    </w:p>
    <w:p w14:paraId="73514F13">
      <w:pPr>
        <w:pStyle w:val="13"/>
        <w:tabs>
          <w:tab w:val="right" w:leader="dot" w:pos="10130"/>
        </w:tabs>
        <w:spacing w:line="480" w:lineRule="auto"/>
        <w:rPr>
          <w:rFonts w:hint="eastAsia" w:ascii="宋体" w:hAnsi="宋体" w:cs="宋体"/>
          <w:b w:val="0"/>
          <w:bCs w:val="0"/>
          <w:color w:val="auto"/>
          <w:sz w:val="28"/>
          <w:szCs w:val="28"/>
          <w:highlight w:val="none"/>
        </w:rPr>
      </w:pPr>
      <w:r>
        <w:rPr>
          <w:rFonts w:hint="eastAsia" w:ascii="宋体" w:hAnsi="宋体" w:cs="宋体"/>
          <w:b w:val="0"/>
          <w:bCs w:val="0"/>
          <w:color w:val="auto"/>
          <w:sz w:val="28"/>
          <w:szCs w:val="28"/>
          <w:highlight w:val="none"/>
          <w:lang w:val="zh-CN"/>
        </w:rPr>
        <w:fldChar w:fldCharType="begin"/>
      </w:r>
      <w:r>
        <w:rPr>
          <w:rFonts w:hint="eastAsia" w:ascii="宋体" w:hAnsi="宋体" w:cs="宋体"/>
          <w:b w:val="0"/>
          <w:bCs w:val="0"/>
          <w:color w:val="auto"/>
          <w:sz w:val="28"/>
          <w:szCs w:val="28"/>
          <w:highlight w:val="none"/>
          <w:lang w:val="zh-CN"/>
        </w:rPr>
        <w:instrText xml:space="preserve"> HYPERLINK \l _Toc19518 </w:instrText>
      </w:r>
      <w:r>
        <w:rPr>
          <w:rFonts w:hint="eastAsia" w:ascii="宋体" w:hAnsi="宋体" w:cs="宋体"/>
          <w:b w:val="0"/>
          <w:bCs w:val="0"/>
          <w:color w:val="auto"/>
          <w:sz w:val="28"/>
          <w:szCs w:val="28"/>
          <w:highlight w:val="none"/>
          <w:lang w:val="zh-CN"/>
        </w:rPr>
        <w:fldChar w:fldCharType="separate"/>
      </w:r>
      <w:r>
        <w:rPr>
          <w:rFonts w:hint="eastAsia" w:ascii="宋体" w:hAnsi="宋体" w:cs="宋体"/>
          <w:b w:val="0"/>
          <w:bCs w:val="0"/>
          <w:color w:val="auto"/>
          <w:sz w:val="28"/>
          <w:szCs w:val="28"/>
          <w:highlight w:val="none"/>
        </w:rPr>
        <w:t>第二章 投标人须知</w:t>
      </w:r>
      <w:r>
        <w:rPr>
          <w:rFonts w:hint="eastAsia" w:ascii="宋体" w:hAnsi="宋体" w:cs="宋体"/>
          <w:b w:val="0"/>
          <w:bCs w:val="0"/>
          <w:color w:val="auto"/>
          <w:sz w:val="28"/>
          <w:szCs w:val="28"/>
          <w:highlight w:val="none"/>
        </w:rPr>
        <w:tab/>
      </w: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PAGEREF _Toc19518 \h </w:instrText>
      </w:r>
      <w:r>
        <w:rPr>
          <w:rFonts w:hint="eastAsia" w:ascii="宋体" w:hAnsi="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13</w:t>
      </w:r>
      <w:r>
        <w:rPr>
          <w:rFonts w:hint="eastAsia" w:ascii="宋体" w:hAnsi="宋体" w:cs="宋体"/>
          <w:b w:val="0"/>
          <w:bCs w:val="0"/>
          <w:color w:val="auto"/>
          <w:sz w:val="28"/>
          <w:szCs w:val="28"/>
          <w:highlight w:val="none"/>
        </w:rPr>
        <w:fldChar w:fldCharType="end"/>
      </w:r>
      <w:r>
        <w:rPr>
          <w:rFonts w:hint="eastAsia" w:ascii="宋体" w:hAnsi="宋体" w:cs="宋体"/>
          <w:b w:val="0"/>
          <w:bCs w:val="0"/>
          <w:color w:val="auto"/>
          <w:sz w:val="28"/>
          <w:szCs w:val="28"/>
          <w:highlight w:val="none"/>
          <w:lang w:val="zh-CN"/>
        </w:rPr>
        <w:fldChar w:fldCharType="end"/>
      </w:r>
    </w:p>
    <w:p w14:paraId="0EA884EC">
      <w:pPr>
        <w:pStyle w:val="13"/>
        <w:tabs>
          <w:tab w:val="right" w:leader="dot" w:pos="10130"/>
        </w:tabs>
        <w:spacing w:line="480" w:lineRule="auto"/>
        <w:rPr>
          <w:rFonts w:hint="eastAsia" w:ascii="宋体" w:hAnsi="宋体" w:cs="宋体"/>
          <w:b w:val="0"/>
          <w:bCs w:val="0"/>
          <w:color w:val="auto"/>
          <w:sz w:val="28"/>
          <w:szCs w:val="28"/>
          <w:highlight w:val="none"/>
        </w:rPr>
      </w:pPr>
      <w:r>
        <w:rPr>
          <w:rFonts w:hint="eastAsia" w:ascii="宋体" w:hAnsi="宋体" w:cs="宋体"/>
          <w:b w:val="0"/>
          <w:bCs w:val="0"/>
          <w:color w:val="auto"/>
          <w:sz w:val="28"/>
          <w:szCs w:val="28"/>
          <w:highlight w:val="none"/>
          <w:lang w:val="zh-CN"/>
        </w:rPr>
        <w:fldChar w:fldCharType="begin"/>
      </w:r>
      <w:r>
        <w:rPr>
          <w:rFonts w:hint="eastAsia" w:ascii="宋体" w:hAnsi="宋体" w:cs="宋体"/>
          <w:b w:val="0"/>
          <w:bCs w:val="0"/>
          <w:color w:val="auto"/>
          <w:sz w:val="28"/>
          <w:szCs w:val="28"/>
          <w:highlight w:val="none"/>
          <w:lang w:val="zh-CN"/>
        </w:rPr>
        <w:instrText xml:space="preserve"> HYPERLINK \l _Toc1706 </w:instrText>
      </w:r>
      <w:r>
        <w:rPr>
          <w:rFonts w:hint="eastAsia" w:ascii="宋体" w:hAnsi="宋体" w:cs="宋体"/>
          <w:b w:val="0"/>
          <w:bCs w:val="0"/>
          <w:color w:val="auto"/>
          <w:sz w:val="28"/>
          <w:szCs w:val="28"/>
          <w:highlight w:val="none"/>
          <w:lang w:val="zh-CN"/>
        </w:rPr>
        <w:fldChar w:fldCharType="separate"/>
      </w:r>
      <w:r>
        <w:rPr>
          <w:rFonts w:hint="eastAsia" w:ascii="宋体" w:hAnsi="宋体" w:cs="宋体"/>
          <w:b w:val="0"/>
          <w:bCs w:val="0"/>
          <w:color w:val="auto"/>
          <w:sz w:val="28"/>
          <w:szCs w:val="28"/>
          <w:highlight w:val="none"/>
        </w:rPr>
        <w:t>第三章 资格审查办法</w:t>
      </w:r>
      <w:r>
        <w:rPr>
          <w:rFonts w:hint="eastAsia" w:ascii="宋体" w:hAnsi="宋体" w:cs="宋体"/>
          <w:b w:val="0"/>
          <w:bCs w:val="0"/>
          <w:color w:val="auto"/>
          <w:sz w:val="28"/>
          <w:szCs w:val="28"/>
          <w:highlight w:val="none"/>
        </w:rPr>
        <w:tab/>
      </w: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PAGEREF _Toc1706 \h </w:instrText>
      </w:r>
      <w:r>
        <w:rPr>
          <w:rFonts w:hint="eastAsia" w:ascii="宋体" w:hAnsi="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13</w:t>
      </w:r>
      <w:r>
        <w:rPr>
          <w:rFonts w:hint="eastAsia" w:ascii="宋体" w:hAnsi="宋体" w:cs="宋体"/>
          <w:b w:val="0"/>
          <w:bCs w:val="0"/>
          <w:color w:val="auto"/>
          <w:sz w:val="28"/>
          <w:szCs w:val="28"/>
          <w:highlight w:val="none"/>
        </w:rPr>
        <w:fldChar w:fldCharType="end"/>
      </w:r>
      <w:r>
        <w:rPr>
          <w:rFonts w:hint="eastAsia" w:ascii="宋体" w:hAnsi="宋体" w:cs="宋体"/>
          <w:b w:val="0"/>
          <w:bCs w:val="0"/>
          <w:color w:val="auto"/>
          <w:sz w:val="28"/>
          <w:szCs w:val="28"/>
          <w:highlight w:val="none"/>
          <w:lang w:val="zh-CN"/>
        </w:rPr>
        <w:fldChar w:fldCharType="end"/>
      </w:r>
    </w:p>
    <w:p w14:paraId="799B020E">
      <w:pPr>
        <w:pStyle w:val="13"/>
        <w:tabs>
          <w:tab w:val="right" w:leader="dot" w:pos="10130"/>
        </w:tabs>
        <w:spacing w:line="480" w:lineRule="auto"/>
        <w:rPr>
          <w:rFonts w:hint="eastAsia" w:ascii="宋体" w:hAnsi="宋体" w:cs="宋体"/>
          <w:b w:val="0"/>
          <w:bCs w:val="0"/>
          <w:color w:val="auto"/>
          <w:sz w:val="28"/>
          <w:szCs w:val="28"/>
          <w:highlight w:val="none"/>
        </w:rPr>
      </w:pPr>
      <w:r>
        <w:rPr>
          <w:rFonts w:hint="eastAsia" w:ascii="宋体" w:hAnsi="宋体" w:cs="宋体"/>
          <w:b w:val="0"/>
          <w:bCs w:val="0"/>
          <w:color w:val="auto"/>
          <w:sz w:val="28"/>
          <w:szCs w:val="28"/>
          <w:highlight w:val="none"/>
          <w:lang w:val="zh-CN"/>
        </w:rPr>
        <w:fldChar w:fldCharType="begin"/>
      </w:r>
      <w:r>
        <w:rPr>
          <w:rFonts w:hint="eastAsia" w:ascii="宋体" w:hAnsi="宋体" w:cs="宋体"/>
          <w:b w:val="0"/>
          <w:bCs w:val="0"/>
          <w:color w:val="auto"/>
          <w:sz w:val="28"/>
          <w:szCs w:val="28"/>
          <w:highlight w:val="none"/>
          <w:lang w:val="zh-CN"/>
        </w:rPr>
        <w:instrText xml:space="preserve"> HYPERLINK \l _Toc25012 </w:instrText>
      </w:r>
      <w:r>
        <w:rPr>
          <w:rFonts w:hint="eastAsia" w:ascii="宋体" w:hAnsi="宋体" w:cs="宋体"/>
          <w:b w:val="0"/>
          <w:bCs w:val="0"/>
          <w:color w:val="auto"/>
          <w:sz w:val="28"/>
          <w:szCs w:val="28"/>
          <w:highlight w:val="none"/>
          <w:lang w:val="zh-CN"/>
        </w:rPr>
        <w:fldChar w:fldCharType="separate"/>
      </w:r>
      <w:r>
        <w:rPr>
          <w:rFonts w:hint="eastAsia" w:ascii="宋体" w:hAnsi="宋体" w:cs="宋体"/>
          <w:b w:val="0"/>
          <w:bCs w:val="0"/>
          <w:color w:val="auto"/>
          <w:sz w:val="28"/>
          <w:szCs w:val="28"/>
          <w:highlight w:val="none"/>
        </w:rPr>
        <w:t>第五章 合同条款及格式</w:t>
      </w:r>
      <w:r>
        <w:rPr>
          <w:rFonts w:hint="eastAsia" w:ascii="宋体" w:hAnsi="宋体" w:cs="宋体"/>
          <w:b w:val="0"/>
          <w:bCs w:val="0"/>
          <w:color w:val="auto"/>
          <w:sz w:val="28"/>
          <w:szCs w:val="28"/>
          <w:highlight w:val="none"/>
        </w:rPr>
        <w:tab/>
      </w: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PAGEREF _Toc25012 \h </w:instrText>
      </w:r>
      <w:r>
        <w:rPr>
          <w:rFonts w:hint="eastAsia" w:ascii="宋体" w:hAnsi="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29</w:t>
      </w:r>
      <w:r>
        <w:rPr>
          <w:rFonts w:hint="eastAsia" w:ascii="宋体" w:hAnsi="宋体" w:cs="宋体"/>
          <w:b w:val="0"/>
          <w:bCs w:val="0"/>
          <w:color w:val="auto"/>
          <w:sz w:val="28"/>
          <w:szCs w:val="28"/>
          <w:highlight w:val="none"/>
        </w:rPr>
        <w:fldChar w:fldCharType="end"/>
      </w:r>
      <w:r>
        <w:rPr>
          <w:rFonts w:hint="eastAsia" w:ascii="宋体" w:hAnsi="宋体" w:cs="宋体"/>
          <w:b w:val="0"/>
          <w:bCs w:val="0"/>
          <w:color w:val="auto"/>
          <w:sz w:val="28"/>
          <w:szCs w:val="28"/>
          <w:highlight w:val="none"/>
          <w:lang w:val="zh-CN"/>
        </w:rPr>
        <w:fldChar w:fldCharType="end"/>
      </w:r>
    </w:p>
    <w:p w14:paraId="412564D7">
      <w:pPr>
        <w:pStyle w:val="13"/>
        <w:tabs>
          <w:tab w:val="right" w:leader="dot" w:pos="10130"/>
        </w:tabs>
        <w:spacing w:line="480" w:lineRule="auto"/>
        <w:rPr>
          <w:rFonts w:hint="eastAsia" w:ascii="宋体" w:hAnsi="宋体" w:cs="宋体"/>
          <w:b w:val="0"/>
          <w:bCs w:val="0"/>
          <w:color w:val="auto"/>
          <w:sz w:val="28"/>
          <w:szCs w:val="28"/>
          <w:highlight w:val="none"/>
        </w:rPr>
      </w:pPr>
      <w:r>
        <w:rPr>
          <w:rFonts w:hint="eastAsia" w:ascii="宋体" w:hAnsi="宋体" w:cs="宋体"/>
          <w:b w:val="0"/>
          <w:bCs w:val="0"/>
          <w:color w:val="auto"/>
          <w:sz w:val="28"/>
          <w:szCs w:val="28"/>
          <w:highlight w:val="none"/>
          <w:lang w:val="zh-CN"/>
        </w:rPr>
        <w:fldChar w:fldCharType="begin"/>
      </w:r>
      <w:r>
        <w:rPr>
          <w:rFonts w:hint="eastAsia" w:ascii="宋体" w:hAnsi="宋体" w:cs="宋体"/>
          <w:b w:val="0"/>
          <w:bCs w:val="0"/>
          <w:color w:val="auto"/>
          <w:sz w:val="28"/>
          <w:szCs w:val="28"/>
          <w:highlight w:val="none"/>
          <w:lang w:val="zh-CN"/>
        </w:rPr>
        <w:instrText xml:space="preserve"> HYPERLINK \l _Toc19870 </w:instrText>
      </w:r>
      <w:r>
        <w:rPr>
          <w:rFonts w:hint="eastAsia" w:ascii="宋体" w:hAnsi="宋体" w:cs="宋体"/>
          <w:b w:val="0"/>
          <w:bCs w:val="0"/>
          <w:color w:val="auto"/>
          <w:sz w:val="28"/>
          <w:szCs w:val="28"/>
          <w:highlight w:val="none"/>
          <w:lang w:val="zh-CN"/>
        </w:rPr>
        <w:fldChar w:fldCharType="separate"/>
      </w:r>
      <w:r>
        <w:rPr>
          <w:rFonts w:hint="eastAsia" w:ascii="宋体" w:hAnsi="宋体" w:cs="宋体"/>
          <w:b w:val="0"/>
          <w:bCs w:val="0"/>
          <w:color w:val="auto"/>
          <w:sz w:val="28"/>
          <w:szCs w:val="28"/>
          <w:highlight w:val="none"/>
        </w:rPr>
        <w:t>第六章 技术标准和要求</w:t>
      </w:r>
      <w:r>
        <w:rPr>
          <w:rFonts w:hint="eastAsia" w:ascii="宋体" w:hAnsi="宋体" w:cs="宋体"/>
          <w:b w:val="0"/>
          <w:bCs w:val="0"/>
          <w:color w:val="auto"/>
          <w:sz w:val="28"/>
          <w:szCs w:val="28"/>
          <w:highlight w:val="none"/>
        </w:rPr>
        <w:tab/>
      </w: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PAGEREF _Toc19870 \h </w:instrText>
      </w:r>
      <w:r>
        <w:rPr>
          <w:rFonts w:hint="eastAsia" w:ascii="宋体" w:hAnsi="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80</w:t>
      </w:r>
      <w:r>
        <w:rPr>
          <w:rFonts w:hint="eastAsia" w:ascii="宋体" w:hAnsi="宋体" w:cs="宋体"/>
          <w:b w:val="0"/>
          <w:bCs w:val="0"/>
          <w:color w:val="auto"/>
          <w:sz w:val="28"/>
          <w:szCs w:val="28"/>
          <w:highlight w:val="none"/>
        </w:rPr>
        <w:fldChar w:fldCharType="end"/>
      </w:r>
      <w:r>
        <w:rPr>
          <w:rFonts w:hint="eastAsia" w:ascii="宋体" w:hAnsi="宋体" w:cs="宋体"/>
          <w:b w:val="0"/>
          <w:bCs w:val="0"/>
          <w:color w:val="auto"/>
          <w:sz w:val="28"/>
          <w:szCs w:val="28"/>
          <w:highlight w:val="none"/>
          <w:lang w:val="zh-CN"/>
        </w:rPr>
        <w:fldChar w:fldCharType="end"/>
      </w:r>
    </w:p>
    <w:p w14:paraId="67DE0D38">
      <w:pPr>
        <w:pStyle w:val="13"/>
        <w:tabs>
          <w:tab w:val="right" w:leader="dot" w:pos="10130"/>
        </w:tabs>
        <w:spacing w:line="480" w:lineRule="auto"/>
        <w:rPr>
          <w:rFonts w:hint="eastAsia" w:ascii="宋体" w:hAnsi="宋体" w:cs="宋体"/>
          <w:b w:val="0"/>
          <w:bCs w:val="0"/>
          <w:color w:val="auto"/>
          <w:sz w:val="28"/>
          <w:szCs w:val="28"/>
          <w:highlight w:val="none"/>
        </w:rPr>
      </w:pPr>
      <w:r>
        <w:rPr>
          <w:rFonts w:hint="eastAsia" w:ascii="宋体" w:hAnsi="宋体" w:cs="宋体"/>
          <w:b w:val="0"/>
          <w:bCs w:val="0"/>
          <w:color w:val="auto"/>
          <w:sz w:val="28"/>
          <w:szCs w:val="28"/>
          <w:highlight w:val="none"/>
          <w:lang w:val="zh-CN"/>
        </w:rPr>
        <w:fldChar w:fldCharType="begin"/>
      </w:r>
      <w:r>
        <w:rPr>
          <w:rFonts w:hint="eastAsia" w:ascii="宋体" w:hAnsi="宋体" w:cs="宋体"/>
          <w:b w:val="0"/>
          <w:bCs w:val="0"/>
          <w:color w:val="auto"/>
          <w:sz w:val="28"/>
          <w:szCs w:val="28"/>
          <w:highlight w:val="none"/>
          <w:lang w:val="zh-CN"/>
        </w:rPr>
        <w:instrText xml:space="preserve"> HYPERLINK \l _Toc21432 </w:instrText>
      </w:r>
      <w:r>
        <w:rPr>
          <w:rFonts w:hint="eastAsia" w:ascii="宋体" w:hAnsi="宋体" w:cs="宋体"/>
          <w:b w:val="0"/>
          <w:bCs w:val="0"/>
          <w:color w:val="auto"/>
          <w:sz w:val="28"/>
          <w:szCs w:val="28"/>
          <w:highlight w:val="none"/>
          <w:lang w:val="zh-CN"/>
        </w:rPr>
        <w:fldChar w:fldCharType="separate"/>
      </w:r>
      <w:r>
        <w:rPr>
          <w:rFonts w:hint="eastAsia" w:ascii="宋体" w:hAnsi="宋体" w:cs="宋体"/>
          <w:b w:val="0"/>
          <w:bCs w:val="0"/>
          <w:color w:val="auto"/>
          <w:sz w:val="28"/>
          <w:szCs w:val="28"/>
          <w:highlight w:val="none"/>
        </w:rPr>
        <w:t>第七章  投标文件格式</w:t>
      </w:r>
      <w:r>
        <w:rPr>
          <w:rFonts w:hint="eastAsia" w:ascii="宋体" w:hAnsi="宋体" w:cs="宋体"/>
          <w:b w:val="0"/>
          <w:bCs w:val="0"/>
          <w:color w:val="auto"/>
          <w:sz w:val="28"/>
          <w:szCs w:val="28"/>
          <w:highlight w:val="none"/>
        </w:rPr>
        <w:tab/>
      </w: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PAGEREF _Toc21432 \h </w:instrText>
      </w:r>
      <w:r>
        <w:rPr>
          <w:rFonts w:hint="eastAsia" w:ascii="宋体" w:hAnsi="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93</w:t>
      </w:r>
      <w:r>
        <w:rPr>
          <w:rFonts w:hint="eastAsia" w:ascii="宋体" w:hAnsi="宋体" w:cs="宋体"/>
          <w:b w:val="0"/>
          <w:bCs w:val="0"/>
          <w:color w:val="auto"/>
          <w:sz w:val="28"/>
          <w:szCs w:val="28"/>
          <w:highlight w:val="none"/>
        </w:rPr>
        <w:fldChar w:fldCharType="end"/>
      </w:r>
      <w:r>
        <w:rPr>
          <w:rFonts w:hint="eastAsia" w:ascii="宋体" w:hAnsi="宋体" w:cs="宋体"/>
          <w:b w:val="0"/>
          <w:bCs w:val="0"/>
          <w:color w:val="auto"/>
          <w:sz w:val="28"/>
          <w:szCs w:val="28"/>
          <w:highlight w:val="none"/>
          <w:lang w:val="zh-CN"/>
        </w:rPr>
        <w:fldChar w:fldCharType="end"/>
      </w:r>
    </w:p>
    <w:p w14:paraId="177C1717">
      <w:pPr>
        <w:pStyle w:val="13"/>
        <w:tabs>
          <w:tab w:val="right" w:leader="dot" w:pos="10130"/>
        </w:tabs>
        <w:spacing w:line="480" w:lineRule="auto"/>
        <w:rPr>
          <w:rFonts w:hint="eastAsia" w:ascii="宋体" w:hAnsi="宋体" w:cs="宋体"/>
          <w:b w:val="0"/>
          <w:bCs w:val="0"/>
          <w:color w:val="auto"/>
          <w:sz w:val="28"/>
          <w:szCs w:val="28"/>
          <w:highlight w:val="none"/>
        </w:rPr>
      </w:pPr>
      <w:r>
        <w:rPr>
          <w:rFonts w:hint="eastAsia" w:ascii="宋体" w:hAnsi="宋体" w:cs="宋体"/>
          <w:b w:val="0"/>
          <w:bCs w:val="0"/>
          <w:color w:val="auto"/>
          <w:sz w:val="28"/>
          <w:szCs w:val="28"/>
          <w:highlight w:val="none"/>
          <w:lang w:val="zh-CN"/>
        </w:rPr>
        <w:fldChar w:fldCharType="begin"/>
      </w:r>
      <w:r>
        <w:rPr>
          <w:rFonts w:hint="eastAsia" w:ascii="宋体" w:hAnsi="宋体" w:cs="宋体"/>
          <w:b w:val="0"/>
          <w:bCs w:val="0"/>
          <w:color w:val="auto"/>
          <w:sz w:val="28"/>
          <w:szCs w:val="28"/>
          <w:highlight w:val="none"/>
          <w:lang w:val="zh-CN"/>
        </w:rPr>
        <w:instrText xml:space="preserve"> HYPERLINK \l _Toc9437 </w:instrText>
      </w:r>
      <w:r>
        <w:rPr>
          <w:rFonts w:hint="eastAsia" w:ascii="宋体" w:hAnsi="宋体" w:cs="宋体"/>
          <w:b w:val="0"/>
          <w:bCs w:val="0"/>
          <w:color w:val="auto"/>
          <w:sz w:val="28"/>
          <w:szCs w:val="28"/>
          <w:highlight w:val="none"/>
          <w:lang w:val="zh-CN"/>
        </w:rPr>
        <w:fldChar w:fldCharType="separate"/>
      </w:r>
      <w:r>
        <w:rPr>
          <w:rFonts w:hint="eastAsia" w:ascii="宋体" w:hAnsi="宋体" w:eastAsia="宋体" w:cs="宋体"/>
          <w:b w:val="0"/>
          <w:bCs w:val="0"/>
          <w:color w:val="auto"/>
          <w:sz w:val="28"/>
          <w:szCs w:val="28"/>
          <w:highlight w:val="none"/>
        </w:rPr>
        <w:t>第八章  招标人、招标代理机构对本招标文件的确认</w:t>
      </w:r>
      <w:r>
        <w:rPr>
          <w:rFonts w:hint="eastAsia" w:ascii="宋体" w:hAnsi="宋体" w:cs="宋体"/>
          <w:b w:val="0"/>
          <w:bCs w:val="0"/>
          <w:color w:val="auto"/>
          <w:sz w:val="28"/>
          <w:szCs w:val="28"/>
          <w:highlight w:val="none"/>
        </w:rPr>
        <w:tab/>
      </w:r>
      <w:r>
        <w:rPr>
          <w:rFonts w:hint="eastAsia" w:ascii="宋体" w:hAnsi="宋体" w:cs="宋体"/>
          <w:b w:val="0"/>
          <w:bCs w:val="0"/>
          <w:color w:val="auto"/>
          <w:sz w:val="28"/>
          <w:szCs w:val="28"/>
          <w:highlight w:val="none"/>
        </w:rPr>
        <w:fldChar w:fldCharType="begin"/>
      </w:r>
      <w:r>
        <w:rPr>
          <w:rFonts w:hint="eastAsia" w:ascii="宋体" w:hAnsi="宋体" w:cs="宋体"/>
          <w:b w:val="0"/>
          <w:bCs w:val="0"/>
          <w:color w:val="auto"/>
          <w:sz w:val="28"/>
          <w:szCs w:val="28"/>
          <w:highlight w:val="none"/>
        </w:rPr>
        <w:instrText xml:space="preserve"> PAGEREF _Toc9437 \h </w:instrText>
      </w:r>
      <w:r>
        <w:rPr>
          <w:rFonts w:hint="eastAsia" w:ascii="宋体" w:hAnsi="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114</w:t>
      </w:r>
      <w:r>
        <w:rPr>
          <w:rFonts w:hint="eastAsia" w:ascii="宋体" w:hAnsi="宋体" w:cs="宋体"/>
          <w:b w:val="0"/>
          <w:bCs w:val="0"/>
          <w:color w:val="auto"/>
          <w:sz w:val="28"/>
          <w:szCs w:val="28"/>
          <w:highlight w:val="none"/>
        </w:rPr>
        <w:fldChar w:fldCharType="end"/>
      </w:r>
      <w:r>
        <w:rPr>
          <w:rFonts w:hint="eastAsia" w:ascii="宋体" w:hAnsi="宋体" w:cs="宋体"/>
          <w:b w:val="0"/>
          <w:bCs w:val="0"/>
          <w:color w:val="auto"/>
          <w:sz w:val="28"/>
          <w:szCs w:val="28"/>
          <w:highlight w:val="none"/>
          <w:lang w:val="zh-CN"/>
        </w:rPr>
        <w:fldChar w:fldCharType="end"/>
      </w:r>
    </w:p>
    <w:p w14:paraId="2885D82A">
      <w:pPr>
        <w:pStyle w:val="2"/>
        <w:spacing w:line="480" w:lineRule="auto"/>
        <w:jc w:val="center"/>
        <w:rPr>
          <w:rFonts w:hint="eastAsia" w:ascii="宋体" w:hAnsi="宋体" w:eastAsia="宋体" w:cs="宋体"/>
          <w:b w:val="0"/>
          <w:bCs w:val="0"/>
          <w:color w:val="auto"/>
          <w:sz w:val="28"/>
          <w:szCs w:val="28"/>
          <w:highlight w:val="none"/>
          <w:lang w:val="zh-CN"/>
        </w:rPr>
      </w:pPr>
      <w:r>
        <w:rPr>
          <w:rFonts w:hint="eastAsia" w:ascii="宋体" w:hAnsi="宋体" w:cs="宋体"/>
          <w:b w:val="0"/>
          <w:bCs w:val="0"/>
          <w:color w:val="auto"/>
          <w:sz w:val="28"/>
          <w:szCs w:val="28"/>
          <w:highlight w:val="none"/>
          <w:lang w:val="zh-CN"/>
        </w:rPr>
        <w:fldChar w:fldCharType="end"/>
      </w:r>
      <w:bookmarkStart w:id="11" w:name="_Toc19151"/>
    </w:p>
    <w:p w14:paraId="1AFE881B">
      <w:pPr>
        <w:pStyle w:val="2"/>
        <w:spacing w:line="480" w:lineRule="auto"/>
        <w:jc w:val="center"/>
        <w:rPr>
          <w:rFonts w:hint="eastAsia" w:ascii="宋体" w:hAnsi="宋体" w:eastAsia="宋体" w:cs="宋体"/>
          <w:b w:val="0"/>
          <w:bCs w:val="0"/>
          <w:color w:val="auto"/>
          <w:sz w:val="28"/>
          <w:szCs w:val="28"/>
          <w:highlight w:val="none"/>
          <w:lang w:val="zh-CN"/>
        </w:rPr>
      </w:pPr>
    </w:p>
    <w:p w14:paraId="42349B87">
      <w:pPr>
        <w:pStyle w:val="2"/>
        <w:spacing w:line="480" w:lineRule="auto"/>
        <w:jc w:val="center"/>
        <w:rPr>
          <w:rFonts w:hint="eastAsia" w:ascii="宋体" w:hAnsi="宋体" w:eastAsia="宋体" w:cs="宋体"/>
          <w:b w:val="0"/>
          <w:bCs w:val="0"/>
          <w:color w:val="auto"/>
          <w:sz w:val="28"/>
          <w:szCs w:val="28"/>
          <w:highlight w:val="none"/>
          <w:lang w:val="zh-CN"/>
        </w:rPr>
      </w:pPr>
    </w:p>
    <w:p w14:paraId="75DB5E7C">
      <w:pPr>
        <w:pStyle w:val="2"/>
        <w:spacing w:line="480" w:lineRule="auto"/>
        <w:jc w:val="center"/>
        <w:rPr>
          <w:rFonts w:hint="eastAsia"/>
          <w:color w:val="auto"/>
          <w:highlight w:val="none"/>
        </w:rPr>
      </w:pPr>
    </w:p>
    <w:p w14:paraId="0833A9CC">
      <w:pPr>
        <w:pStyle w:val="2"/>
        <w:spacing w:line="480" w:lineRule="auto"/>
        <w:jc w:val="center"/>
        <w:rPr>
          <w:rFonts w:hint="eastAsia"/>
          <w:color w:val="auto"/>
          <w:highlight w:val="none"/>
        </w:rPr>
      </w:pPr>
    </w:p>
    <w:p w14:paraId="60386C53">
      <w:pPr>
        <w:pStyle w:val="2"/>
        <w:spacing w:line="480" w:lineRule="auto"/>
        <w:jc w:val="center"/>
        <w:rPr>
          <w:rFonts w:hint="eastAsia"/>
          <w:color w:val="auto"/>
          <w:highlight w:val="none"/>
        </w:rPr>
      </w:pPr>
    </w:p>
    <w:p w14:paraId="26704AEB">
      <w:pPr>
        <w:pStyle w:val="2"/>
        <w:spacing w:line="480" w:lineRule="auto"/>
        <w:jc w:val="both"/>
        <w:rPr>
          <w:rFonts w:hint="eastAsia"/>
          <w:color w:val="auto"/>
          <w:highlight w:val="none"/>
        </w:rPr>
      </w:pPr>
    </w:p>
    <w:bookmarkEnd w:id="9"/>
    <w:bookmarkEnd w:id="10"/>
    <w:bookmarkEnd w:id="11"/>
    <w:p w14:paraId="000E5586">
      <w:pPr>
        <w:pStyle w:val="18"/>
        <w:ind w:left="0" w:leftChars="0" w:firstLine="0" w:firstLineChars="0"/>
        <w:jc w:val="center"/>
        <w:rPr>
          <w:rFonts w:hint="eastAsia" w:ascii="宋体" w:hAnsi="宋体" w:cs="宋体"/>
          <w:b/>
          <w:color w:val="auto"/>
          <w:sz w:val="28"/>
          <w:szCs w:val="28"/>
          <w:highlight w:val="none"/>
        </w:rPr>
      </w:pPr>
    </w:p>
    <w:p w14:paraId="28054254">
      <w:pPr>
        <w:pStyle w:val="18"/>
        <w:ind w:left="0" w:leftChars="0" w:firstLine="0" w:firstLineChars="0"/>
        <w:jc w:val="center"/>
        <w:rPr>
          <w:rFonts w:hint="eastAsia" w:ascii="宋体" w:hAnsi="宋体" w:cs="宋体"/>
          <w:b/>
          <w:color w:val="auto"/>
          <w:sz w:val="28"/>
          <w:szCs w:val="28"/>
          <w:highlight w:val="none"/>
        </w:rPr>
      </w:pPr>
    </w:p>
    <w:p w14:paraId="189C6F64">
      <w:pPr>
        <w:pStyle w:val="18"/>
        <w:ind w:left="0" w:leftChars="0" w:firstLine="0" w:firstLineChars="0"/>
        <w:jc w:val="center"/>
        <w:rPr>
          <w:rFonts w:hint="eastAsia" w:ascii="宋体" w:hAnsi="宋体" w:cs="宋体"/>
          <w:b/>
          <w:color w:val="auto"/>
          <w:sz w:val="28"/>
          <w:szCs w:val="28"/>
          <w:highlight w:val="none"/>
        </w:rPr>
      </w:pPr>
    </w:p>
    <w:p w14:paraId="24551016">
      <w:pPr>
        <w:pStyle w:val="18"/>
        <w:ind w:left="0" w:leftChars="0" w:firstLine="0" w:firstLineChars="0"/>
        <w:jc w:val="center"/>
        <w:rPr>
          <w:rFonts w:hint="eastAsia" w:ascii="宋体" w:hAnsi="宋体" w:cs="宋体"/>
          <w:b/>
          <w:color w:val="auto"/>
          <w:sz w:val="28"/>
          <w:szCs w:val="28"/>
          <w:highlight w:val="none"/>
        </w:rPr>
      </w:pPr>
    </w:p>
    <w:p w14:paraId="56C4BF78">
      <w:pPr>
        <w:pStyle w:val="2"/>
        <w:spacing w:line="480" w:lineRule="auto"/>
        <w:jc w:val="center"/>
        <w:rPr>
          <w:color w:val="auto"/>
          <w:highlight w:val="none"/>
          <w:lang w:val="zh-CN"/>
        </w:rPr>
      </w:pPr>
      <w:r>
        <w:rPr>
          <w:rFonts w:hint="eastAsia"/>
          <w:color w:val="auto"/>
          <w:highlight w:val="none"/>
        </w:rPr>
        <w:t>第一章  招标公告</w:t>
      </w:r>
    </w:p>
    <w:p w14:paraId="6B9C293C">
      <w:pPr>
        <w:pStyle w:val="18"/>
        <w:ind w:left="0" w:leftChars="0" w:firstLine="0" w:firstLineChars="0"/>
        <w:jc w:val="center"/>
        <w:rPr>
          <w:rFonts w:ascii="宋体" w:hAnsi="宋体" w:cs="宋体"/>
          <w:b/>
          <w:color w:val="auto"/>
          <w:sz w:val="28"/>
          <w:szCs w:val="28"/>
          <w:highlight w:val="none"/>
        </w:rPr>
      </w:pPr>
      <w:r>
        <w:rPr>
          <w:rFonts w:hint="eastAsia" w:ascii="宋体" w:hAnsi="宋体" w:cs="宋体"/>
          <w:b/>
          <w:color w:val="auto"/>
          <w:sz w:val="28"/>
          <w:szCs w:val="28"/>
          <w:highlight w:val="none"/>
          <w:lang w:eastAsia="zh-CN"/>
        </w:rPr>
        <w:t>滁州工投中都科技产业园（一期）屋面光伏项目EPC项目</w:t>
      </w:r>
      <w:r>
        <w:rPr>
          <w:rFonts w:hint="eastAsia" w:ascii="宋体" w:hAnsi="宋体" w:cs="宋体"/>
          <w:b/>
          <w:color w:val="auto"/>
          <w:sz w:val="28"/>
          <w:szCs w:val="28"/>
          <w:highlight w:val="none"/>
        </w:rPr>
        <w:t>招标公告信息（电子招标投标）</w:t>
      </w:r>
    </w:p>
    <w:tbl>
      <w:tblPr>
        <w:tblStyle w:val="19"/>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7997"/>
      </w:tblGrid>
      <w:tr w14:paraId="7CB9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vAlign w:val="center"/>
          </w:tcPr>
          <w:p w14:paraId="6ACA03E0">
            <w:pPr>
              <w:spacing w:line="440" w:lineRule="exact"/>
              <w:jc w:val="center"/>
              <w:rPr>
                <w:rFonts w:ascii="宋体" w:hAnsi="宋体" w:cs="宋体"/>
                <w:bCs/>
                <w:color w:val="auto"/>
                <w:kern w:val="1"/>
                <w:szCs w:val="21"/>
                <w:highlight w:val="none"/>
              </w:rPr>
            </w:pPr>
            <w:r>
              <w:rPr>
                <w:rFonts w:hint="eastAsia" w:ascii="宋体" w:hAnsi="宋体" w:cs="宋体"/>
                <w:b/>
                <w:color w:val="auto"/>
                <w:kern w:val="0"/>
                <w:sz w:val="24"/>
                <w:highlight w:val="none"/>
              </w:rPr>
              <w:t>招标条件</w:t>
            </w:r>
          </w:p>
        </w:tc>
      </w:tr>
      <w:tr w14:paraId="1E0B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933" w:type="dxa"/>
            <w:vAlign w:val="center"/>
          </w:tcPr>
          <w:p w14:paraId="56EF0BC0">
            <w:pPr>
              <w:spacing w:line="400" w:lineRule="exact"/>
              <w:jc w:val="center"/>
              <w:rPr>
                <w:rFonts w:ascii="宋体" w:cs="宋体"/>
                <w:bCs/>
                <w:color w:val="auto"/>
                <w:kern w:val="1"/>
                <w:szCs w:val="21"/>
                <w:highlight w:val="none"/>
              </w:rPr>
            </w:pPr>
            <w:r>
              <w:rPr>
                <w:rFonts w:hint="eastAsia" w:ascii="宋体" w:hAnsi="宋体" w:cs="宋体"/>
                <w:bCs/>
                <w:color w:val="auto"/>
                <w:kern w:val="1"/>
                <w:szCs w:val="21"/>
                <w:highlight w:val="none"/>
              </w:rPr>
              <w:t>项目</w:t>
            </w:r>
            <w:r>
              <w:rPr>
                <w:rFonts w:hint="eastAsia" w:ascii="宋体" w:hAnsi="宋体" w:cs="宋体"/>
                <w:color w:val="auto"/>
                <w:kern w:val="0"/>
                <w:szCs w:val="21"/>
                <w:highlight w:val="none"/>
              </w:rPr>
              <w:t>名称</w:t>
            </w:r>
          </w:p>
        </w:tc>
        <w:tc>
          <w:tcPr>
            <w:tcW w:w="7997" w:type="dxa"/>
          </w:tcPr>
          <w:p w14:paraId="2CFFCF7C">
            <w:pPr>
              <w:spacing w:line="400" w:lineRule="exact"/>
              <w:jc w:val="left"/>
              <w:rPr>
                <w:rFonts w:hint="eastAsia" w:ascii="宋体" w:eastAsia="宋体" w:cs="宋体"/>
                <w:bCs/>
                <w:color w:val="auto"/>
                <w:kern w:val="1"/>
                <w:szCs w:val="21"/>
                <w:highlight w:val="none"/>
                <w:lang w:eastAsia="zh-CN"/>
              </w:rPr>
            </w:pPr>
            <w:r>
              <w:rPr>
                <w:rFonts w:hint="eastAsia" w:ascii="宋体" w:cs="宋体"/>
                <w:bCs/>
                <w:color w:val="auto"/>
                <w:kern w:val="1"/>
                <w:szCs w:val="21"/>
                <w:highlight w:val="none"/>
                <w:lang w:eastAsia="zh-CN"/>
              </w:rPr>
              <w:t>滁州工投中都科技产业园（一期）屋面光伏项目EPC项目</w:t>
            </w:r>
          </w:p>
        </w:tc>
      </w:tr>
      <w:tr w14:paraId="42D5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39324426">
            <w:pPr>
              <w:widowControl/>
              <w:spacing w:line="400" w:lineRule="exact"/>
              <w:jc w:val="center"/>
              <w:rPr>
                <w:rFonts w:ascii="宋体" w:hAnsi="宋体" w:cs="宋体"/>
                <w:color w:val="auto"/>
                <w:kern w:val="0"/>
                <w:szCs w:val="21"/>
                <w:highlight w:val="none"/>
              </w:rPr>
            </w:pPr>
            <w:r>
              <w:rPr>
                <w:rFonts w:hint="eastAsia" w:ascii="宋体" w:hAnsi="宋体" w:cs="宋体"/>
                <w:bCs/>
                <w:snapToGrid w:val="0"/>
                <w:color w:val="auto"/>
                <w:kern w:val="0"/>
                <w:szCs w:val="21"/>
                <w:highlight w:val="none"/>
              </w:rPr>
              <w:t>项目审批、核准或备案机关名称</w:t>
            </w:r>
          </w:p>
        </w:tc>
        <w:tc>
          <w:tcPr>
            <w:tcW w:w="7997" w:type="dxa"/>
            <w:vAlign w:val="center"/>
          </w:tcPr>
          <w:p w14:paraId="205BB305">
            <w:pPr>
              <w:widowControl/>
              <w:spacing w:line="440" w:lineRule="exact"/>
              <w:jc w:val="left"/>
              <w:rPr>
                <w:rFonts w:ascii="宋体" w:hAnsi="宋体" w:cs="宋体"/>
                <w:color w:val="auto"/>
                <w:szCs w:val="21"/>
                <w:highlight w:val="none"/>
              </w:rPr>
            </w:pPr>
            <w:r>
              <w:rPr>
                <w:rFonts w:hint="eastAsia" w:ascii="宋体" w:hAnsi="宋体" w:cs="宋体"/>
                <w:color w:val="auto"/>
                <w:szCs w:val="21"/>
                <w:highlight w:val="none"/>
              </w:rPr>
              <w:t>凤阳县发展改革委</w:t>
            </w:r>
          </w:p>
        </w:tc>
      </w:tr>
      <w:tr w14:paraId="75E1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3038185C">
            <w:pPr>
              <w:widowControl/>
              <w:spacing w:line="400" w:lineRule="exact"/>
              <w:jc w:val="center"/>
              <w:rPr>
                <w:rFonts w:ascii="宋体" w:hAnsi="宋体" w:cs="宋体"/>
                <w:color w:val="auto"/>
                <w:kern w:val="0"/>
                <w:szCs w:val="21"/>
                <w:highlight w:val="none"/>
              </w:rPr>
            </w:pPr>
            <w:r>
              <w:rPr>
                <w:rFonts w:hint="eastAsia" w:ascii="宋体" w:hAnsi="宋体" w:cs="宋体"/>
                <w:bCs/>
                <w:snapToGrid w:val="0"/>
                <w:color w:val="auto"/>
                <w:kern w:val="0"/>
                <w:szCs w:val="21"/>
                <w:highlight w:val="none"/>
              </w:rPr>
              <w:t>批文名称及编号</w:t>
            </w:r>
          </w:p>
        </w:tc>
        <w:tc>
          <w:tcPr>
            <w:tcW w:w="7997" w:type="dxa"/>
            <w:vAlign w:val="center"/>
          </w:tcPr>
          <w:p w14:paraId="0EE33CEB">
            <w:pPr>
              <w:widowControl/>
              <w:spacing w:after="0" w:line="240" w:lineRule="auto"/>
              <w:ind w:firstLine="0" w:firstLineChars="0"/>
              <w:jc w:val="left"/>
              <w:rPr>
                <w:rFonts w:ascii="宋体" w:hAnsi="宋体" w:eastAsia="宋体" w:cs="宋体"/>
                <w:color w:val="auto"/>
                <w:sz w:val="24"/>
                <w:szCs w:val="21"/>
                <w:highlight w:val="none"/>
              </w:rPr>
            </w:pPr>
            <w:r>
              <w:rPr>
                <w:rFonts w:hint="eastAsia" w:ascii="宋体" w:hAnsi="宋体" w:cs="宋体"/>
                <w:color w:val="auto"/>
                <w:szCs w:val="21"/>
                <w:highlight w:val="none"/>
              </w:rPr>
              <w:t>凤阳县发展改革委备案表(一般工商业分布式光伏</w:t>
            </w:r>
            <w:r>
              <w:rPr>
                <w:rFonts w:hint="eastAsia" w:ascii="宋体" w:hAnsi="宋体" w:cs="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2608-341126-04-01-639024</w:t>
            </w:r>
          </w:p>
        </w:tc>
      </w:tr>
      <w:tr w14:paraId="3037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027FF79F">
            <w:pPr>
              <w:widowControl/>
              <w:spacing w:line="400" w:lineRule="exact"/>
              <w:jc w:val="center"/>
              <w:rPr>
                <w:rFonts w:ascii="宋体" w:hAnsi="宋体" w:cs="宋体"/>
                <w:color w:val="auto"/>
                <w:kern w:val="0"/>
                <w:szCs w:val="21"/>
                <w:highlight w:val="none"/>
              </w:rPr>
            </w:pPr>
            <w:r>
              <w:rPr>
                <w:rFonts w:hint="eastAsia" w:ascii="宋体" w:hAnsi="宋体" w:cs="宋体"/>
                <w:bCs/>
                <w:snapToGrid w:val="0"/>
                <w:color w:val="auto"/>
                <w:kern w:val="0"/>
                <w:szCs w:val="21"/>
                <w:highlight w:val="none"/>
              </w:rPr>
              <w:t>招标人</w:t>
            </w:r>
          </w:p>
        </w:tc>
        <w:tc>
          <w:tcPr>
            <w:tcW w:w="7997" w:type="dxa"/>
            <w:vAlign w:val="center"/>
          </w:tcPr>
          <w:p w14:paraId="58477124">
            <w:pPr>
              <w:widowControl/>
              <w:spacing w:line="4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滁州工投中都科技产业园有限公司</w:t>
            </w:r>
          </w:p>
        </w:tc>
      </w:tr>
      <w:tr w14:paraId="7303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92586BD">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项目业主</w:t>
            </w:r>
          </w:p>
        </w:tc>
        <w:tc>
          <w:tcPr>
            <w:tcW w:w="7997" w:type="dxa"/>
            <w:vAlign w:val="center"/>
          </w:tcPr>
          <w:p w14:paraId="5BB885E8">
            <w:pPr>
              <w:widowControl/>
              <w:spacing w:line="4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滁州工投中都科技产业园有限公司</w:t>
            </w:r>
          </w:p>
        </w:tc>
      </w:tr>
      <w:tr w14:paraId="3CA6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1DBA4A8B">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资金来源</w:t>
            </w:r>
          </w:p>
        </w:tc>
        <w:tc>
          <w:tcPr>
            <w:tcW w:w="7997" w:type="dxa"/>
            <w:vAlign w:val="center"/>
          </w:tcPr>
          <w:p w14:paraId="67643FAB">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自筹资金</w:t>
            </w:r>
          </w:p>
        </w:tc>
      </w:tr>
      <w:tr w14:paraId="6772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6C667392">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项目出资比例</w:t>
            </w:r>
          </w:p>
        </w:tc>
        <w:tc>
          <w:tcPr>
            <w:tcW w:w="7997" w:type="dxa"/>
            <w:vAlign w:val="center"/>
          </w:tcPr>
          <w:p w14:paraId="150CF874">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100%</w:t>
            </w:r>
          </w:p>
        </w:tc>
      </w:tr>
      <w:tr w14:paraId="0B4A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070ED9DE">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招标方式</w:t>
            </w:r>
          </w:p>
        </w:tc>
        <w:tc>
          <w:tcPr>
            <w:tcW w:w="7997" w:type="dxa"/>
            <w:vAlign w:val="center"/>
          </w:tcPr>
          <w:p w14:paraId="3B902C5D">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公开招标</w:t>
            </w:r>
          </w:p>
        </w:tc>
      </w:tr>
      <w:tr w14:paraId="2877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751DE27D">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评标办法</w:t>
            </w:r>
          </w:p>
        </w:tc>
        <w:tc>
          <w:tcPr>
            <w:tcW w:w="7997" w:type="dxa"/>
            <w:vAlign w:val="center"/>
          </w:tcPr>
          <w:p w14:paraId="689165E1">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工程总承包（EPC）综合评估法</w:t>
            </w:r>
          </w:p>
        </w:tc>
      </w:tr>
      <w:tr w14:paraId="19F2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vAlign w:val="center"/>
          </w:tcPr>
          <w:p w14:paraId="27E690B8">
            <w:pPr>
              <w:widowControl/>
              <w:spacing w:line="400" w:lineRule="exact"/>
              <w:jc w:val="center"/>
              <w:rPr>
                <w:rFonts w:ascii="宋体" w:cs="宋体"/>
                <w:color w:val="auto"/>
                <w:szCs w:val="21"/>
                <w:highlight w:val="none"/>
              </w:rPr>
            </w:pPr>
            <w:r>
              <w:rPr>
                <w:rFonts w:hint="eastAsia" w:ascii="宋体" w:hAnsi="宋体" w:cs="宋体"/>
                <w:b/>
                <w:color w:val="auto"/>
                <w:kern w:val="0"/>
                <w:sz w:val="24"/>
                <w:highlight w:val="none"/>
              </w:rPr>
              <w:t>项目概况与招标范围</w:t>
            </w:r>
          </w:p>
        </w:tc>
      </w:tr>
      <w:tr w14:paraId="5BA4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6C636363">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招标项目名称</w:t>
            </w:r>
          </w:p>
        </w:tc>
        <w:tc>
          <w:tcPr>
            <w:tcW w:w="7997" w:type="dxa"/>
            <w:vAlign w:val="center"/>
          </w:tcPr>
          <w:p w14:paraId="521784C8">
            <w:pPr>
              <w:widowControl/>
              <w:spacing w:line="400" w:lineRule="exact"/>
              <w:jc w:val="left"/>
              <w:rPr>
                <w:rFonts w:hint="eastAsia" w:eastAsia="宋体"/>
                <w:color w:val="auto"/>
                <w:szCs w:val="21"/>
                <w:highlight w:val="none"/>
                <w:lang w:eastAsia="zh-CN"/>
              </w:rPr>
            </w:pPr>
            <w:r>
              <w:rPr>
                <w:rFonts w:hint="eastAsia"/>
                <w:color w:val="auto"/>
                <w:szCs w:val="21"/>
                <w:highlight w:val="none"/>
                <w:lang w:eastAsia="zh-CN"/>
              </w:rPr>
              <w:t>滁州工投中都科技产业园（一期）屋面光伏项目EPC项目</w:t>
            </w:r>
          </w:p>
        </w:tc>
      </w:tr>
      <w:tr w14:paraId="4525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vAlign w:val="center"/>
          </w:tcPr>
          <w:p w14:paraId="2E58FAF3">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招标项目编号</w:t>
            </w:r>
          </w:p>
        </w:tc>
        <w:tc>
          <w:tcPr>
            <w:tcW w:w="7997" w:type="dxa"/>
            <w:vAlign w:val="center"/>
          </w:tcPr>
          <w:p w14:paraId="7D436B6D">
            <w:pPr>
              <w:widowControl/>
              <w:spacing w:line="4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czsjgc202609-003</w:t>
            </w:r>
          </w:p>
        </w:tc>
      </w:tr>
      <w:tr w14:paraId="5FA4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7D62608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标段划分</w:t>
            </w:r>
          </w:p>
        </w:tc>
        <w:tc>
          <w:tcPr>
            <w:tcW w:w="7997" w:type="dxa"/>
            <w:vAlign w:val="center"/>
          </w:tcPr>
          <w:p w14:paraId="7DE0A9C7">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一个标段</w:t>
            </w:r>
          </w:p>
        </w:tc>
      </w:tr>
      <w:tr w14:paraId="03F1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7225CF7A">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招标项目标段编号</w:t>
            </w:r>
          </w:p>
        </w:tc>
        <w:tc>
          <w:tcPr>
            <w:tcW w:w="7997" w:type="dxa"/>
            <w:vAlign w:val="center"/>
          </w:tcPr>
          <w:p w14:paraId="53D65B73">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lang w:eastAsia="zh-CN"/>
              </w:rPr>
              <w:t>czsjgc202609-003</w:t>
            </w:r>
            <w:r>
              <w:rPr>
                <w:rFonts w:hint="eastAsia" w:ascii="宋体" w:hAnsi="宋体" w:cs="宋体"/>
                <w:color w:val="auto"/>
                <w:szCs w:val="21"/>
                <w:highlight w:val="none"/>
              </w:rPr>
              <w:t>-01</w:t>
            </w:r>
          </w:p>
        </w:tc>
      </w:tr>
      <w:tr w14:paraId="53B6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7965F17">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7997" w:type="dxa"/>
            <w:vAlign w:val="center"/>
          </w:tcPr>
          <w:p w14:paraId="37AC7319">
            <w:pPr>
              <w:widowControl/>
              <w:spacing w:line="400" w:lineRule="exact"/>
              <w:jc w:val="left"/>
              <w:rPr>
                <w:color w:val="auto"/>
                <w:szCs w:val="21"/>
                <w:highlight w:val="none"/>
              </w:rPr>
            </w:pPr>
            <w:r>
              <w:rPr>
                <w:rFonts w:hint="eastAsia" w:ascii="宋体" w:hAnsi="宋体" w:cs="宋体"/>
                <w:color w:val="auto"/>
                <w:sz w:val="21"/>
                <w:szCs w:val="21"/>
                <w:highlight w:val="none"/>
                <w:lang w:val="en-US" w:eastAsia="zh-CN"/>
              </w:rPr>
              <w:t>滁州市凤阳县凤翔大道与琉璃岗路交口西北地块滁州工投中都科技产业园</w:t>
            </w:r>
          </w:p>
        </w:tc>
      </w:tr>
      <w:tr w14:paraId="4842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vAlign w:val="center"/>
          </w:tcPr>
          <w:p w14:paraId="08A0E659">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建设规模</w:t>
            </w:r>
          </w:p>
        </w:tc>
        <w:tc>
          <w:tcPr>
            <w:tcW w:w="7997" w:type="dxa"/>
            <w:shd w:val="clear" w:color="auto" w:fill="auto"/>
            <w:vAlign w:val="center"/>
          </w:tcPr>
          <w:p w14:paraId="571BAE12">
            <w:pPr>
              <w:widowControl/>
              <w:spacing w:line="400" w:lineRule="exact"/>
              <w:jc w:val="left"/>
              <w:rPr>
                <w:color w:val="auto"/>
                <w:highlight w:val="none"/>
              </w:rPr>
            </w:pPr>
            <w:r>
              <w:rPr>
                <w:rFonts w:hint="eastAsia" w:ascii="宋体" w:hAnsi="宋体" w:eastAsia="宋体" w:cs="宋体"/>
                <w:color w:val="auto"/>
                <w:kern w:val="0"/>
                <w:szCs w:val="21"/>
                <w:highlight w:val="none"/>
                <w:lang w:val="en-US" w:eastAsia="zh-CN"/>
              </w:rPr>
              <w:t>本项目拟在滁州工投中都科技产业园建设规模为交流侧4.78MW/直流侧5.5MWp的一般工商业分布式光伏发电项目。总投资约1375万元。本项目包含项目设计、设备采购供货、屋面结构加固（如有）、</w:t>
            </w:r>
            <w:r>
              <w:rPr>
                <w:rFonts w:hint="eastAsia" w:ascii="宋体" w:hAnsi="宋体" w:cs="宋体"/>
                <w:color w:val="auto"/>
                <w:kern w:val="0"/>
                <w:szCs w:val="21"/>
                <w:highlight w:val="none"/>
                <w:lang w:val="en-US" w:eastAsia="zh-CN"/>
              </w:rPr>
              <w:t>屋面防水工程（如有）、</w:t>
            </w:r>
            <w:r>
              <w:rPr>
                <w:rFonts w:hint="eastAsia" w:ascii="宋体" w:hAnsi="宋体" w:eastAsia="宋体" w:cs="宋体"/>
                <w:color w:val="auto"/>
                <w:kern w:val="0"/>
                <w:szCs w:val="21"/>
                <w:highlight w:val="none"/>
                <w:lang w:val="en-US" w:eastAsia="zh-CN"/>
              </w:rPr>
              <w:t>管线迁改、土建及安装施工、施工用水、施工用电辅助工程等、地方关系协调、部分建筑改造、本工程内所有设备和系统的供货安装、检验、试验、调试、试运行、竣工验收、整套系统启动的性能保证的考核验收、技术和售后服务、人员培训、直至移交生产所完成的全部工作，并网模式采用“自发自用，余电上网”</w:t>
            </w:r>
            <w:r>
              <w:rPr>
                <w:rFonts w:hint="eastAsia" w:ascii="宋体" w:hAnsi="宋体" w:cs="宋体"/>
                <w:color w:val="auto"/>
                <w:kern w:val="0"/>
                <w:szCs w:val="21"/>
                <w:highlight w:val="none"/>
                <w:lang w:val="en-US" w:eastAsia="zh-CN"/>
              </w:rPr>
              <w:t>，并网电压等级为10kV ，采取安装“四可”设备接受电网统一调控等方式确保公共电网安全</w:t>
            </w:r>
            <w:r>
              <w:rPr>
                <w:rFonts w:hint="eastAsia" w:ascii="宋体" w:hAnsi="宋体" w:eastAsia="宋体" w:cs="宋体"/>
                <w:color w:val="auto"/>
                <w:kern w:val="0"/>
                <w:szCs w:val="21"/>
                <w:highlight w:val="none"/>
                <w:lang w:val="en-US" w:eastAsia="zh-CN"/>
              </w:rPr>
              <w:t>。</w:t>
            </w:r>
          </w:p>
        </w:tc>
      </w:tr>
      <w:tr w14:paraId="2C1B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D0AED7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合同估算价</w:t>
            </w:r>
          </w:p>
        </w:tc>
        <w:tc>
          <w:tcPr>
            <w:tcW w:w="7997" w:type="dxa"/>
            <w:shd w:val="clear" w:color="auto" w:fill="auto"/>
            <w:vAlign w:val="center"/>
          </w:tcPr>
          <w:p w14:paraId="6FD371B8">
            <w:pPr>
              <w:widowControl/>
              <w:spacing w:line="400" w:lineRule="exact"/>
              <w:jc w:val="left"/>
              <w:rPr>
                <w:rFonts w:hint="eastAsia" w:eastAsia="宋体"/>
                <w:color w:val="auto"/>
                <w:szCs w:val="21"/>
                <w:highlight w:val="none"/>
                <w:lang w:eastAsia="zh-CN"/>
              </w:rPr>
            </w:pPr>
            <w:r>
              <w:rPr>
                <w:rFonts w:hint="eastAsia" w:ascii="宋体" w:hAnsi="宋体" w:cs="宋体"/>
                <w:color w:val="auto"/>
                <w:kern w:val="0"/>
                <w:szCs w:val="21"/>
                <w:highlight w:val="none"/>
              </w:rPr>
              <w:t>约</w:t>
            </w:r>
            <w:r>
              <w:rPr>
                <w:rFonts w:hint="eastAsia" w:ascii="宋体" w:hAnsi="宋体" w:cs="宋体"/>
                <w:color w:val="auto"/>
                <w:kern w:val="0"/>
                <w:szCs w:val="21"/>
                <w:highlight w:val="none"/>
                <w:lang w:eastAsia="zh-CN"/>
              </w:rPr>
              <w:t>1375万元</w:t>
            </w:r>
          </w:p>
        </w:tc>
      </w:tr>
      <w:tr w14:paraId="0A14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40E1C261">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计划工期</w:t>
            </w:r>
          </w:p>
        </w:tc>
        <w:tc>
          <w:tcPr>
            <w:tcW w:w="7997" w:type="dxa"/>
            <w:shd w:val="clear" w:color="auto" w:fill="auto"/>
            <w:vAlign w:val="center"/>
          </w:tcPr>
          <w:p w14:paraId="71706E06">
            <w:pPr>
              <w:widowControl/>
              <w:spacing w:line="400" w:lineRule="exact"/>
              <w:jc w:val="left"/>
              <w:rPr>
                <w:color w:val="auto"/>
                <w:szCs w:val="21"/>
                <w:highlight w:val="none"/>
              </w:rPr>
            </w:pPr>
            <w:r>
              <w:rPr>
                <w:rFonts w:hint="eastAsia" w:ascii="宋体" w:hAnsi="宋体" w:cs="宋体"/>
                <w:color w:val="auto"/>
                <w:kern w:val="0"/>
                <w:szCs w:val="21"/>
                <w:highlight w:val="none"/>
              </w:rPr>
              <w:t>整个项目</w:t>
            </w:r>
            <w:r>
              <w:rPr>
                <w:rFonts w:hint="eastAsia" w:ascii="宋体" w:hAnsi="宋体" w:cs="宋体"/>
                <w:color w:val="auto"/>
                <w:kern w:val="0"/>
                <w:szCs w:val="21"/>
                <w:highlight w:val="none"/>
                <w:lang w:val="en-US" w:eastAsia="zh-CN"/>
              </w:rPr>
              <w:t>55</w:t>
            </w:r>
            <w:r>
              <w:rPr>
                <w:rFonts w:hint="eastAsia" w:ascii="宋体" w:hAnsi="宋体" w:cs="宋体"/>
                <w:color w:val="auto"/>
                <w:kern w:val="0"/>
                <w:szCs w:val="21"/>
                <w:highlight w:val="none"/>
              </w:rPr>
              <w:t>个日历天内通过供电公司验收、并网，并取得并网验收报告</w:t>
            </w:r>
            <w:r>
              <w:rPr>
                <w:rFonts w:hint="eastAsia" w:ascii="宋体" w:hAnsi="宋体" w:cs="宋体"/>
                <w:color w:val="auto"/>
                <w:szCs w:val="21"/>
                <w:highlight w:val="none"/>
              </w:rPr>
              <w:t>。</w:t>
            </w:r>
          </w:p>
        </w:tc>
      </w:tr>
      <w:tr w14:paraId="4240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4531E69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招标范围</w:t>
            </w:r>
          </w:p>
        </w:tc>
        <w:tc>
          <w:tcPr>
            <w:tcW w:w="7997" w:type="dxa"/>
            <w:vAlign w:val="center"/>
          </w:tcPr>
          <w:p w14:paraId="5EC4BA48">
            <w:pPr>
              <w:widowControl/>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本次招标范围包括但不限于：</w:t>
            </w:r>
          </w:p>
          <w:p w14:paraId="62EE9AA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设计部分：包括但不限于本项目投资分析、可研报告编制、现场勘察、设计方案（含设计基础排布）、屋面荷载鉴定报告、加固设计方案（如需）、施工图设计、竣工图编制、概算编制、图纸审查等，以上如涉及必须提供。</w:t>
            </w:r>
          </w:p>
          <w:p w14:paraId="478536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（2）施工部分：包括但不限于</w:t>
            </w:r>
            <w:r>
              <w:rPr>
                <w:rFonts w:hint="eastAsia" w:ascii="宋体" w:hAnsi="宋体" w:cs="宋体"/>
                <w:color w:val="auto"/>
                <w:kern w:val="0"/>
                <w:szCs w:val="21"/>
                <w:highlight w:val="none"/>
                <w:lang w:val="en-US" w:eastAsia="zh-CN"/>
              </w:rPr>
              <w:t>电力接入、</w:t>
            </w:r>
            <w:r>
              <w:rPr>
                <w:rFonts w:hint="eastAsia" w:ascii="宋体" w:hAnsi="宋体" w:cs="宋体"/>
                <w:color w:val="auto"/>
                <w:kern w:val="0"/>
                <w:szCs w:val="21"/>
                <w:highlight w:val="none"/>
              </w:rPr>
              <w:t>并网接入等相关手续办理、施工图范围内的所有工作内容、屋顶加固（如需）、屋面瓦更换（如需）、土建及安装施工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部分建筑空间改造</w:t>
            </w:r>
            <w:r>
              <w:rPr>
                <w:rFonts w:hint="eastAsia" w:ascii="宋体" w:hAnsi="宋体" w:cs="宋体"/>
                <w:color w:val="auto"/>
                <w:kern w:val="0"/>
                <w:szCs w:val="21"/>
                <w:highlight w:val="none"/>
              </w:rPr>
              <w:t>等工作、本工程内所有设备和系统的供货安装、检验、试验、竣工验收、全站全容量并网240小时安全稳定试运行(出具试运行报告)、消缺、整套系统启动的性能保证的考核验收、技术和售后服务、人员培训、直至移交等全部工作。</w:t>
            </w:r>
            <w:r>
              <w:rPr>
                <w:rFonts w:hint="eastAsia" w:ascii="宋体" w:hAnsi="宋体" w:cs="宋体"/>
                <w:color w:val="auto"/>
                <w:kern w:val="0"/>
                <w:szCs w:val="21"/>
                <w:highlight w:val="none"/>
                <w:lang w:val="en-US" w:eastAsia="zh-CN"/>
              </w:rPr>
              <w:t>本项目的逆变器、数据采集器、远红等设备，由中标单位设计和采购</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并负责接入招标人已建或者后续要建设的能源管理平台便于后期统一运营管理，相关费用均在投标报价中。</w:t>
            </w:r>
            <w:r>
              <w:rPr>
                <w:rFonts w:hint="eastAsia" w:ascii="宋体" w:hAnsi="宋体" w:eastAsia="宋体" w:cs="宋体"/>
                <w:color w:val="auto"/>
                <w:spacing w:val="-6"/>
                <w:sz w:val="21"/>
                <w:szCs w:val="21"/>
                <w:highlight w:val="none"/>
                <w:lang w:val="en-US" w:eastAsia="zh-CN"/>
              </w:rPr>
              <w:t>实现实</w:t>
            </w:r>
            <w:r>
              <w:rPr>
                <w:rFonts w:hint="eastAsia" w:ascii="宋体" w:hAnsi="宋体" w:eastAsia="宋体" w:cs="宋体"/>
                <w:color w:val="auto"/>
                <w:kern w:val="0"/>
                <w:szCs w:val="21"/>
                <w:highlight w:val="none"/>
                <w:lang w:val="en-US" w:eastAsia="zh-CN"/>
              </w:rPr>
              <w:t>施范围全覆盖的视频监控设备，相关硬件设施费用和网络传输租赁费</w:t>
            </w:r>
            <w:r>
              <w:rPr>
                <w:rFonts w:hint="eastAsia" w:ascii="宋体" w:hAnsi="宋体" w:eastAsia="宋体" w:cs="宋体"/>
                <w:color w:val="auto"/>
                <w:spacing w:val="-6"/>
                <w:sz w:val="21"/>
                <w:szCs w:val="21"/>
                <w:highlight w:val="none"/>
                <w:lang w:val="en-US" w:eastAsia="zh-CN"/>
              </w:rPr>
              <w:t>用（</w:t>
            </w:r>
            <w:r>
              <w:rPr>
                <w:rFonts w:hint="eastAsia" w:ascii="宋体" w:hAnsi="宋体" w:cs="宋体"/>
                <w:color w:val="auto"/>
                <w:spacing w:val="-6"/>
                <w:sz w:val="21"/>
                <w:szCs w:val="21"/>
                <w:highlight w:val="none"/>
                <w:lang w:val="en-US" w:eastAsia="zh-CN"/>
              </w:rPr>
              <w:t>质保期</w:t>
            </w:r>
            <w:r>
              <w:rPr>
                <w:rFonts w:hint="eastAsia" w:ascii="宋体" w:hAnsi="宋体" w:eastAsia="宋体" w:cs="宋体"/>
                <w:color w:val="auto"/>
                <w:spacing w:val="-6"/>
                <w:sz w:val="21"/>
                <w:szCs w:val="21"/>
                <w:highlight w:val="none"/>
                <w:lang w:val="en-US" w:eastAsia="zh-CN"/>
              </w:rPr>
              <w:t>）均在</w:t>
            </w:r>
            <w:r>
              <w:rPr>
                <w:rFonts w:hint="eastAsia" w:ascii="宋体" w:hAnsi="宋体" w:cs="宋体"/>
                <w:color w:val="auto"/>
                <w:kern w:val="0"/>
                <w:szCs w:val="21"/>
                <w:highlight w:val="none"/>
                <w:lang w:val="en-US" w:eastAsia="zh-CN"/>
              </w:rPr>
              <w:t>投标报价中</w:t>
            </w:r>
            <w:r>
              <w:rPr>
                <w:rFonts w:hint="eastAsia" w:ascii="宋体" w:hAnsi="宋体" w:eastAsia="宋体" w:cs="宋体"/>
                <w:color w:val="auto"/>
                <w:spacing w:val="-6"/>
                <w:sz w:val="21"/>
                <w:szCs w:val="21"/>
                <w:highlight w:val="none"/>
                <w:lang w:val="en-US" w:eastAsia="zh-CN"/>
              </w:rPr>
              <w:t>。</w:t>
            </w:r>
            <w:r>
              <w:rPr>
                <w:rFonts w:hint="eastAsia" w:ascii="宋体" w:hAnsi="宋体" w:cs="宋体"/>
                <w:color w:val="auto"/>
                <w:kern w:val="0"/>
                <w:szCs w:val="21"/>
                <w:highlight w:val="none"/>
              </w:rPr>
              <w:t>移交前的运维管理，竣工验收交付后，光伏板产品质保10年、逆变器质保5年，其他电设备2年质保，免费运维</w:t>
            </w:r>
            <w:r>
              <w:rPr>
                <w:rFonts w:hint="default" w:ascii="宋体" w:hAnsi="宋体" w:cs="宋体"/>
                <w:color w:val="auto"/>
                <w:kern w:val="0"/>
                <w:szCs w:val="21"/>
                <w:highlight w:val="none"/>
                <w:lang w:val="en-US"/>
              </w:rPr>
              <w:t>2</w:t>
            </w:r>
            <w:r>
              <w:rPr>
                <w:rFonts w:hint="eastAsia" w:ascii="宋体" w:hAnsi="宋体" w:cs="宋体"/>
                <w:color w:val="auto"/>
                <w:kern w:val="0"/>
                <w:szCs w:val="21"/>
                <w:highlight w:val="none"/>
              </w:rPr>
              <w:t>年；具体以招标人实施需求为准。</w:t>
            </w:r>
            <w:r>
              <w:rPr>
                <w:rFonts w:hint="eastAsia" w:ascii="宋体" w:hAnsi="宋体" w:cs="宋体"/>
                <w:color w:val="auto"/>
                <w:kern w:val="0"/>
                <w:szCs w:val="21"/>
                <w:highlight w:val="none"/>
                <w:lang w:val="en-US" w:eastAsia="zh-CN"/>
              </w:rPr>
              <w:t>最终</w:t>
            </w:r>
            <w:r>
              <w:rPr>
                <w:rFonts w:hint="eastAsia" w:ascii="宋体" w:hAnsi="宋体" w:cs="宋体"/>
                <w:color w:val="auto"/>
                <w:kern w:val="0"/>
                <w:szCs w:val="21"/>
                <w:highlight w:val="none"/>
              </w:rPr>
              <w:t>以实际完成装机容量为准</w:t>
            </w:r>
            <w:r>
              <w:rPr>
                <w:rFonts w:hint="eastAsia" w:ascii="宋体" w:hAnsi="宋体" w:cs="宋体"/>
                <w:color w:val="auto"/>
                <w:kern w:val="0"/>
                <w:szCs w:val="21"/>
                <w:highlight w:val="none"/>
                <w:lang w:val="en-US" w:eastAsia="zh-CN"/>
              </w:rPr>
              <w:t>。</w:t>
            </w:r>
          </w:p>
          <w:p w14:paraId="54D7AE13">
            <w:pPr>
              <w:widowControl/>
              <w:spacing w:line="400" w:lineRule="exact"/>
              <w:jc w:val="left"/>
              <w:rPr>
                <w:color w:val="auto"/>
                <w:szCs w:val="21"/>
                <w:highlight w:val="none"/>
              </w:rPr>
            </w:pPr>
            <w:r>
              <w:rPr>
                <w:rFonts w:hint="eastAsia" w:ascii="宋体" w:hAnsi="宋体" w:cs="宋体"/>
                <w:color w:val="auto"/>
                <w:kern w:val="0"/>
                <w:szCs w:val="21"/>
                <w:highlight w:val="none"/>
                <w:lang w:val="en-US" w:eastAsia="zh-CN"/>
              </w:rPr>
              <w:t>(3)运维部分：按季度覆盖全场站巡检（巡检要求详见附件：巡检检查要求）、按季度清洗光伏组件（连续梅雨季节可顺延）、按半年度检查组件热斑及隐裂、提供由于自然原因导致组件及逆变器损坏的更换及安装服务；高压电力设备及场站故障需满足24小时内的应急处理，提供由于自然原因导致高压电力设备元器件损坏的更换及安装服务；配合并及时响应电网相关调度。</w:t>
            </w:r>
          </w:p>
        </w:tc>
      </w:tr>
      <w:tr w14:paraId="4286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6B9F01B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项目类别</w:t>
            </w:r>
          </w:p>
        </w:tc>
        <w:tc>
          <w:tcPr>
            <w:tcW w:w="7997" w:type="dxa"/>
            <w:vAlign w:val="center"/>
          </w:tcPr>
          <w:p w14:paraId="273DA908">
            <w:pPr>
              <w:widowControl/>
              <w:spacing w:line="400" w:lineRule="exact"/>
              <w:jc w:val="left"/>
              <w:rPr>
                <w:color w:val="auto"/>
                <w:szCs w:val="21"/>
                <w:highlight w:val="none"/>
              </w:rPr>
            </w:pPr>
            <w:r>
              <w:rPr>
                <w:rFonts w:hint="eastAsia" w:ascii="宋体" w:hAnsi="宋体" w:cs="宋体"/>
                <w:color w:val="auto"/>
                <w:szCs w:val="21"/>
                <w:highlight w:val="none"/>
              </w:rPr>
              <w:t>电力工程</w:t>
            </w:r>
          </w:p>
        </w:tc>
      </w:tr>
      <w:tr w14:paraId="4D1E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70CC013">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其他</w:t>
            </w:r>
          </w:p>
        </w:tc>
        <w:tc>
          <w:tcPr>
            <w:tcW w:w="7997" w:type="dxa"/>
            <w:vAlign w:val="center"/>
          </w:tcPr>
          <w:p w14:paraId="34B6D2C6">
            <w:pPr>
              <w:widowControl/>
              <w:spacing w:line="400" w:lineRule="exact"/>
              <w:jc w:val="left"/>
              <w:rPr>
                <w:color w:val="auto"/>
                <w:szCs w:val="21"/>
                <w:highlight w:val="none"/>
              </w:rPr>
            </w:pPr>
            <w:r>
              <w:rPr>
                <w:rFonts w:hint="eastAsia"/>
                <w:color w:val="auto"/>
                <w:szCs w:val="21"/>
                <w:highlight w:val="none"/>
              </w:rPr>
              <w:t>/</w:t>
            </w:r>
          </w:p>
        </w:tc>
      </w:tr>
      <w:tr w14:paraId="2436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vAlign w:val="center"/>
          </w:tcPr>
          <w:p w14:paraId="595A6FFF">
            <w:pPr>
              <w:widowControl/>
              <w:spacing w:line="400" w:lineRule="exact"/>
              <w:jc w:val="center"/>
              <w:rPr>
                <w:b/>
                <w:color w:val="auto"/>
                <w:szCs w:val="21"/>
                <w:highlight w:val="none"/>
              </w:rPr>
            </w:pPr>
            <w:r>
              <w:rPr>
                <w:rFonts w:hint="eastAsia" w:ascii="宋体" w:hAnsi="宋体" w:cs="宋体"/>
                <w:b/>
                <w:color w:val="auto"/>
                <w:kern w:val="0"/>
                <w:sz w:val="24"/>
                <w:highlight w:val="none"/>
              </w:rPr>
              <w:t>投标人资格要求</w:t>
            </w:r>
          </w:p>
        </w:tc>
      </w:tr>
      <w:tr w14:paraId="47FE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vAlign w:val="center"/>
          </w:tcPr>
          <w:p w14:paraId="7665EA0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投标人资质要求</w:t>
            </w:r>
          </w:p>
        </w:tc>
        <w:tc>
          <w:tcPr>
            <w:tcW w:w="7997" w:type="dxa"/>
            <w:vAlign w:val="center"/>
          </w:tcPr>
          <w:p w14:paraId="55FE736C">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投标人同时满足下列要求：</w:t>
            </w:r>
          </w:p>
          <w:p w14:paraId="0F3CFBDA">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①具备电力工程施工总承包叁级（或以上）资质，并具有有效的安全生产许可证；</w:t>
            </w:r>
          </w:p>
          <w:p w14:paraId="5A868BF8">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②具备国家能源局或国家能源局派出机构颁发的承装（修、试）电力设施许可证（承装类三级及以上、承修类三级及以上，承试类三级及以上）；</w:t>
            </w:r>
          </w:p>
          <w:p w14:paraId="5C9D7120">
            <w:pPr>
              <w:widowControl/>
              <w:spacing w:line="400" w:lineRule="exact"/>
              <w:jc w:val="left"/>
              <w:rPr>
                <w:color w:val="auto"/>
                <w:szCs w:val="21"/>
                <w:highlight w:val="none"/>
              </w:rPr>
            </w:pPr>
            <w:r>
              <w:rPr>
                <w:rFonts w:ascii="宋体" w:hAnsi="宋体" w:cs="宋体"/>
                <w:color w:val="auto"/>
                <w:szCs w:val="21"/>
                <w:highlight w:val="none"/>
              </w:rPr>
              <w:t>③</w:t>
            </w:r>
            <w:r>
              <w:rPr>
                <w:rFonts w:hint="eastAsia" w:ascii="宋体" w:hAnsi="宋体" w:cs="宋体"/>
                <w:color w:val="auto"/>
                <w:szCs w:val="21"/>
                <w:highlight w:val="none"/>
              </w:rPr>
              <w:t>具备建设行政主管部门颁发的工程设计综合资质或工程设计电力行业乙级（或以上）资质或工程设计电力行业（新能源发电）专业乙级（或以上）资质。</w:t>
            </w:r>
          </w:p>
        </w:tc>
      </w:tr>
      <w:tr w14:paraId="0057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198258A4">
            <w:pPr>
              <w:widowControl/>
              <w:spacing w:line="400" w:lineRule="exact"/>
              <w:jc w:val="center"/>
              <w:rPr>
                <w:rFonts w:ascii="宋体" w:hAnsi="宋体" w:cs="宋体"/>
                <w:color w:val="auto"/>
                <w:kern w:val="0"/>
                <w:szCs w:val="21"/>
                <w:highlight w:val="none"/>
              </w:rPr>
            </w:pPr>
            <w:r>
              <w:rPr>
                <w:rFonts w:hint="eastAsia" w:ascii="宋体" w:hAnsi="宋体" w:cs="宋体"/>
                <w:bCs/>
                <w:snapToGrid w:val="0"/>
                <w:color w:val="auto"/>
                <w:kern w:val="0"/>
                <w:szCs w:val="21"/>
                <w:highlight w:val="none"/>
              </w:rPr>
              <w:t>项目负责人资格要求</w:t>
            </w:r>
          </w:p>
        </w:tc>
        <w:tc>
          <w:tcPr>
            <w:tcW w:w="7997" w:type="dxa"/>
            <w:vAlign w:val="center"/>
          </w:tcPr>
          <w:p w14:paraId="33AB0334">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投标人拟委任人员资格要求：</w:t>
            </w:r>
          </w:p>
          <w:p w14:paraId="3BEFCB3E">
            <w:pPr>
              <w:widowControl/>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①项目</w:t>
            </w:r>
            <w:r>
              <w:rPr>
                <w:rFonts w:ascii="宋体" w:hAnsi="宋体" w:cs="宋体"/>
                <w:color w:val="auto"/>
                <w:szCs w:val="21"/>
                <w:highlight w:val="none"/>
              </w:rPr>
              <w:t>经理</w:t>
            </w:r>
            <w:r>
              <w:rPr>
                <w:rFonts w:hint="eastAsia" w:ascii="宋体" w:hAnsi="宋体" w:cs="宋体"/>
                <w:color w:val="auto"/>
                <w:szCs w:val="21"/>
                <w:highlight w:val="none"/>
              </w:rPr>
              <w:t>：具备在本单位注册的机电工程专业二级及以上注册建造师资格，具备有效的安全生产考核合格(B类)证书。</w:t>
            </w:r>
          </w:p>
          <w:p w14:paraId="14440688">
            <w:pPr>
              <w:widowControl/>
              <w:spacing w:line="400" w:lineRule="exact"/>
              <w:jc w:val="left"/>
              <w:rPr>
                <w:rFonts w:ascii="宋体" w:hAnsi="宋体" w:cs="宋体"/>
                <w:color w:val="auto"/>
                <w:szCs w:val="21"/>
                <w:highlight w:val="none"/>
              </w:rPr>
            </w:pPr>
            <w:r>
              <w:rPr>
                <w:rFonts w:hint="eastAsia" w:ascii="宋体" w:hAnsi="宋体" w:cs="宋体"/>
                <w:color w:val="auto"/>
                <w:szCs w:val="21"/>
                <w:highlight w:val="none"/>
              </w:rPr>
              <w:t>②设计负责人：具备</w:t>
            </w:r>
            <w:r>
              <w:rPr>
                <w:rFonts w:ascii="宋体" w:hAnsi="宋体" w:cs="宋体"/>
                <w:color w:val="auto"/>
                <w:szCs w:val="21"/>
                <w:highlight w:val="none"/>
              </w:rPr>
              <w:t>注册电气工程师执业资格</w:t>
            </w:r>
            <w:r>
              <w:rPr>
                <w:rFonts w:hint="eastAsia" w:ascii="宋体" w:hAnsi="宋体" w:cs="宋体"/>
                <w:color w:val="auto"/>
                <w:szCs w:val="21"/>
                <w:highlight w:val="none"/>
              </w:rPr>
              <w:t>。</w:t>
            </w:r>
          </w:p>
          <w:p w14:paraId="3D994797">
            <w:pPr>
              <w:widowControl/>
              <w:spacing w:line="400" w:lineRule="exact"/>
              <w:jc w:val="left"/>
              <w:rPr>
                <w:color w:val="auto"/>
                <w:szCs w:val="21"/>
                <w:highlight w:val="none"/>
              </w:rPr>
            </w:pPr>
            <w:r>
              <w:rPr>
                <w:rFonts w:hint="eastAsia" w:ascii="宋体" w:hAnsi="宋体" w:cs="宋体"/>
                <w:color w:val="auto"/>
                <w:szCs w:val="21"/>
                <w:highlight w:val="none"/>
              </w:rPr>
              <w:t>注：项目经理和设计负责人不可为同一人。</w:t>
            </w:r>
          </w:p>
        </w:tc>
      </w:tr>
      <w:tr w14:paraId="4F7E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631359F">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信誉要求</w:t>
            </w:r>
          </w:p>
        </w:tc>
        <w:tc>
          <w:tcPr>
            <w:tcW w:w="7997" w:type="dxa"/>
            <w:vAlign w:val="center"/>
          </w:tcPr>
          <w:p w14:paraId="54397E9C">
            <w:pPr>
              <w:widowControl/>
              <w:spacing w:line="560" w:lineRule="exact"/>
              <w:jc w:val="left"/>
              <w:rPr>
                <w:rFonts w:hint="eastAsia"/>
                <w:color w:val="auto"/>
                <w:szCs w:val="21"/>
                <w:highlight w:val="none"/>
              </w:rPr>
            </w:pPr>
            <w:r>
              <w:rPr>
                <w:rFonts w:hint="eastAsia"/>
                <w:color w:val="auto"/>
                <w:szCs w:val="21"/>
                <w:highlight w:val="none"/>
              </w:rPr>
              <w:t>1、投标人（包括联合体各成员）存在以下情形之一的，不得被确定为中标人：</w:t>
            </w:r>
          </w:p>
          <w:p w14:paraId="05E6E6B9">
            <w:pPr>
              <w:widowControl/>
              <w:spacing w:line="560" w:lineRule="exact"/>
              <w:jc w:val="left"/>
              <w:rPr>
                <w:rFonts w:hint="eastAsia"/>
                <w:color w:val="auto"/>
                <w:szCs w:val="21"/>
                <w:highlight w:val="none"/>
              </w:rPr>
            </w:pPr>
            <w:r>
              <w:rPr>
                <w:rFonts w:hint="eastAsia"/>
                <w:color w:val="auto"/>
                <w:szCs w:val="21"/>
                <w:highlight w:val="none"/>
              </w:rPr>
              <w:t>①被列入“信用中国”网站（www.creditchina.gov.cn）“失信被执行人”的；</w:t>
            </w:r>
          </w:p>
          <w:p w14:paraId="1F97F3EC">
            <w:pPr>
              <w:widowControl/>
              <w:spacing w:line="560" w:lineRule="exact"/>
              <w:jc w:val="left"/>
              <w:rPr>
                <w:rFonts w:hint="eastAsia"/>
                <w:color w:val="auto"/>
                <w:szCs w:val="21"/>
                <w:highlight w:val="none"/>
              </w:rPr>
            </w:pPr>
            <w:r>
              <w:rPr>
                <w:rFonts w:hint="eastAsia"/>
                <w:color w:val="auto"/>
                <w:szCs w:val="21"/>
                <w:highlight w:val="none"/>
              </w:rPr>
              <w:t>②被列入“信用中国”网站（www.creditchina.gov.cn）“重大税收违法失信主体”的；</w:t>
            </w:r>
          </w:p>
          <w:p w14:paraId="0E2FEF81">
            <w:pPr>
              <w:widowControl/>
              <w:spacing w:line="560" w:lineRule="exact"/>
              <w:jc w:val="left"/>
              <w:rPr>
                <w:rFonts w:hint="eastAsia"/>
                <w:color w:val="auto"/>
                <w:szCs w:val="21"/>
                <w:highlight w:val="none"/>
              </w:rPr>
            </w:pPr>
            <w:r>
              <w:rPr>
                <w:rFonts w:hint="eastAsia"/>
                <w:color w:val="auto"/>
                <w:szCs w:val="21"/>
                <w:highlight w:val="none"/>
              </w:rPr>
              <w:t>③被列入“信用中国”网站（www.creditchina.gov.cn）“拖欠农民工工资失信联合惩戒对象名单”的；</w:t>
            </w:r>
          </w:p>
          <w:p w14:paraId="6B240FEB">
            <w:pPr>
              <w:widowControl/>
              <w:spacing w:line="560" w:lineRule="exact"/>
              <w:jc w:val="left"/>
              <w:rPr>
                <w:rFonts w:hint="eastAsia"/>
                <w:color w:val="auto"/>
                <w:szCs w:val="21"/>
                <w:highlight w:val="none"/>
              </w:rPr>
            </w:pPr>
            <w:r>
              <w:rPr>
                <w:rFonts w:hint="eastAsia"/>
                <w:color w:val="auto"/>
                <w:szCs w:val="21"/>
                <w:highlight w:val="none"/>
              </w:rPr>
              <w:t>④被列入“信用中国”网站（www.creditchina.gov.cn）“安全生产严重失信主体名单”的；</w:t>
            </w:r>
          </w:p>
          <w:p w14:paraId="11884D95">
            <w:pPr>
              <w:widowControl/>
              <w:spacing w:line="560" w:lineRule="exact"/>
              <w:jc w:val="left"/>
              <w:rPr>
                <w:color w:val="auto"/>
                <w:szCs w:val="21"/>
                <w:highlight w:val="none"/>
              </w:rPr>
            </w:pPr>
            <w:r>
              <w:rPr>
                <w:rFonts w:hint="eastAsia"/>
                <w:color w:val="auto"/>
                <w:szCs w:val="21"/>
                <w:highlight w:val="none"/>
              </w:rPr>
              <w:t>⑤被列入国家企业信用信息公示系统网站（www.gsxt.gov.cn）“严重违法失信名单”的。2、投标人所属分公司、办事处等分支机构存在第1条信誉要求①</w:t>
            </w:r>
            <w:r>
              <w:rPr>
                <w:color w:val="auto"/>
                <w:szCs w:val="21"/>
                <w:highlight w:val="none"/>
              </w:rPr>
              <w:t>-</w:t>
            </w:r>
            <w:r>
              <w:rPr>
                <w:rFonts w:hint="eastAsia"/>
                <w:color w:val="auto"/>
                <w:szCs w:val="21"/>
                <w:highlight w:val="none"/>
              </w:rPr>
              <w:t>⑤项情形之一的，</w:t>
            </w:r>
            <w:r>
              <w:rPr>
                <w:rFonts w:hint="eastAsia" w:ascii="宋体" w:hAnsi="宋体" w:cs="宋体"/>
                <w:b/>
                <w:color w:val="auto"/>
                <w:kern w:val="0"/>
                <w:szCs w:val="21"/>
                <w:highlight w:val="none"/>
                <w:u w:val="single"/>
              </w:rPr>
              <w:t>接受</w:t>
            </w:r>
            <w:r>
              <w:rPr>
                <w:rFonts w:hint="eastAsia"/>
                <w:color w:val="auto"/>
                <w:szCs w:val="21"/>
                <w:highlight w:val="none"/>
              </w:rPr>
              <w:t>其被确定为中标人。</w:t>
            </w:r>
          </w:p>
        </w:tc>
      </w:tr>
      <w:tr w14:paraId="0C64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7D27254">
            <w:pPr>
              <w:widowControl/>
              <w:spacing w:line="400" w:lineRule="exact"/>
              <w:jc w:val="center"/>
              <w:rPr>
                <w:rFonts w:ascii="宋体" w:cs="宋体"/>
                <w:color w:val="auto"/>
                <w:kern w:val="0"/>
                <w:szCs w:val="21"/>
                <w:highlight w:val="none"/>
              </w:rPr>
            </w:pPr>
            <w:r>
              <w:rPr>
                <w:rFonts w:hint="eastAsia" w:ascii="宋体" w:hAnsi="宋体" w:cs="宋体"/>
                <w:color w:val="auto"/>
                <w:kern w:val="0"/>
                <w:szCs w:val="21"/>
                <w:highlight w:val="none"/>
              </w:rPr>
              <w:t>联合体投标</w:t>
            </w:r>
          </w:p>
        </w:tc>
        <w:tc>
          <w:tcPr>
            <w:tcW w:w="7997" w:type="dxa"/>
            <w:vAlign w:val="center"/>
          </w:tcPr>
          <w:p w14:paraId="09540885">
            <w:pPr>
              <w:widowControl/>
              <w:spacing w:line="400" w:lineRule="exact"/>
              <w:jc w:val="left"/>
              <w:rPr>
                <w:color w:val="auto"/>
                <w:szCs w:val="21"/>
                <w:highlight w:val="none"/>
              </w:rPr>
            </w:pPr>
            <w:r>
              <w:rPr>
                <w:rFonts w:hint="eastAsia"/>
                <w:color w:val="auto"/>
                <w:szCs w:val="21"/>
                <w:highlight w:val="none"/>
              </w:rPr>
              <w:t>本次招标接受联合体投标，应满足下列要求：</w:t>
            </w:r>
          </w:p>
          <w:p w14:paraId="55271B9D">
            <w:pPr>
              <w:widowControl/>
              <w:spacing w:line="400" w:lineRule="exact"/>
              <w:jc w:val="left"/>
              <w:rPr>
                <w:color w:val="auto"/>
                <w:szCs w:val="21"/>
                <w:highlight w:val="none"/>
              </w:rPr>
            </w:pPr>
            <w:r>
              <w:rPr>
                <w:rFonts w:hint="eastAsia"/>
                <w:color w:val="auto"/>
                <w:szCs w:val="21"/>
                <w:highlight w:val="none"/>
              </w:rPr>
              <w:t>1、联合体参加投标的，联合体（牵头方和成员方）总数不得超过2家。同一专业工程由一个单位承担的，按照承担单位资质确定资质等级；同一专业工程由两个单位共同承担的，按照资质等级较低的单位确定资质等级；不同专业工程由不同单位分别承担的，按照各单位的相应资质确定联合体的资质。联合体牵头人和联合体成员按专业分工确定的联合体资质须满足招标文件的要求。</w:t>
            </w:r>
          </w:p>
          <w:p w14:paraId="0795B37F">
            <w:pPr>
              <w:widowControl/>
              <w:spacing w:line="400" w:lineRule="exact"/>
              <w:jc w:val="left"/>
              <w:rPr>
                <w:color w:val="auto"/>
                <w:szCs w:val="21"/>
                <w:highlight w:val="none"/>
              </w:rPr>
            </w:pPr>
            <w:r>
              <w:rPr>
                <w:rFonts w:hint="eastAsia"/>
                <w:color w:val="auto"/>
                <w:szCs w:val="21"/>
                <w:highlight w:val="none"/>
              </w:rPr>
              <w:t>2、联合体参加投标的，招标文件下载、投标保证金缴纳、投标文件编制、电子签章、网上递交标书、解密等工作均由其牵头人负责办理，其他联合体成员方按招标文件要求提供相关材料即可。</w:t>
            </w:r>
          </w:p>
          <w:p w14:paraId="17739B80">
            <w:pPr>
              <w:widowControl/>
              <w:spacing w:line="400" w:lineRule="exact"/>
              <w:jc w:val="left"/>
              <w:rPr>
                <w:color w:val="auto"/>
                <w:szCs w:val="21"/>
                <w:highlight w:val="none"/>
              </w:rPr>
            </w:pPr>
            <w:r>
              <w:rPr>
                <w:rFonts w:hint="eastAsia"/>
                <w:color w:val="auto"/>
                <w:szCs w:val="21"/>
                <w:highlight w:val="none"/>
              </w:rPr>
              <w:t>3、联合体参加投标的，一旦中标，联合体各方将向招标人承担连带责任，各方应服从招标人的管理。</w:t>
            </w:r>
          </w:p>
          <w:p w14:paraId="19A2E9F3">
            <w:pPr>
              <w:widowControl/>
              <w:spacing w:line="400" w:lineRule="exact"/>
              <w:jc w:val="left"/>
              <w:rPr>
                <w:color w:val="auto"/>
                <w:szCs w:val="21"/>
                <w:highlight w:val="none"/>
              </w:rPr>
            </w:pPr>
            <w:r>
              <w:rPr>
                <w:rFonts w:hint="eastAsia"/>
                <w:color w:val="auto"/>
                <w:szCs w:val="21"/>
                <w:highlight w:val="none"/>
              </w:rPr>
              <w:t>4、若为联合体投标的，联合体投标牵头方必须在投标文件中填报派驻项目经理（建造师）A岗，联合体成员方可根据项目情况自行选择是否在投标文件中填报派驻项目经理（建造师）B岗，若派驻，AB岗须满足项目经理资格要求。如联合体成员方没有在投标文件中填报派驻项目经理（建造师） B岗的，视为放弃填报派驻项目经理（建造师） B岗的权利，中标后不予填报增派。</w:t>
            </w:r>
          </w:p>
          <w:p w14:paraId="2FFC4D65">
            <w:pPr>
              <w:widowControl/>
              <w:spacing w:line="400" w:lineRule="exact"/>
              <w:jc w:val="left"/>
              <w:rPr>
                <w:color w:val="auto"/>
                <w:szCs w:val="21"/>
                <w:highlight w:val="none"/>
              </w:rPr>
            </w:pPr>
            <w:r>
              <w:rPr>
                <w:rFonts w:hint="eastAsia"/>
                <w:color w:val="auto"/>
                <w:szCs w:val="21"/>
                <w:highlight w:val="none"/>
              </w:rPr>
              <w:t>5、联合体牵头人及成员单位共同对所提交的投标文件及相关证书材料的真实合规性负责。如联合体任一方出现保证金不予退还的情形，联合体所缴纳的投标保证金均不予退还。</w:t>
            </w:r>
          </w:p>
        </w:tc>
      </w:tr>
      <w:tr w14:paraId="70F4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05AF54BC">
            <w:pPr>
              <w:widowControl/>
              <w:spacing w:line="400" w:lineRule="exact"/>
              <w:jc w:val="center"/>
              <w:rPr>
                <w:rFonts w:ascii="宋体" w:cs="宋体"/>
                <w:color w:val="auto"/>
                <w:kern w:val="0"/>
                <w:szCs w:val="21"/>
                <w:highlight w:val="none"/>
              </w:rPr>
            </w:pPr>
            <w:r>
              <w:rPr>
                <w:rFonts w:hint="eastAsia" w:ascii="宋体" w:hAnsi="宋体" w:cs="宋体"/>
                <w:color w:val="auto"/>
                <w:kern w:val="0"/>
                <w:szCs w:val="21"/>
                <w:highlight w:val="none"/>
              </w:rPr>
              <w:t>多标段投标</w:t>
            </w:r>
          </w:p>
        </w:tc>
        <w:tc>
          <w:tcPr>
            <w:tcW w:w="7997" w:type="dxa"/>
            <w:vAlign w:val="center"/>
          </w:tcPr>
          <w:p w14:paraId="20E522FF">
            <w:pPr>
              <w:widowControl/>
              <w:spacing w:line="400" w:lineRule="exact"/>
              <w:jc w:val="left"/>
              <w:rPr>
                <w:rFonts w:ascii="宋体" w:cs="宋体-18030"/>
                <w:color w:val="auto"/>
                <w:szCs w:val="21"/>
                <w:highlight w:val="none"/>
              </w:rPr>
            </w:pPr>
            <w:r>
              <w:rPr>
                <w:rFonts w:hint="eastAsia" w:ascii="宋体" w:cs="宋体-18030"/>
                <w:color w:val="auto"/>
                <w:szCs w:val="21"/>
                <w:highlight w:val="none"/>
              </w:rPr>
              <w:t>/</w:t>
            </w:r>
          </w:p>
        </w:tc>
      </w:tr>
      <w:tr w14:paraId="6EC9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652EE982">
            <w:pPr>
              <w:widowControl/>
              <w:spacing w:line="400" w:lineRule="exact"/>
              <w:jc w:val="center"/>
              <w:rPr>
                <w:rFonts w:ascii="宋体" w:cs="宋体"/>
                <w:color w:val="auto"/>
                <w:kern w:val="0"/>
                <w:szCs w:val="21"/>
                <w:highlight w:val="none"/>
              </w:rPr>
            </w:pPr>
            <w:r>
              <w:rPr>
                <w:rFonts w:hint="eastAsia" w:ascii="宋体" w:hAnsi="宋体" w:cs="宋体"/>
                <w:color w:val="auto"/>
                <w:kern w:val="0"/>
                <w:szCs w:val="21"/>
                <w:highlight w:val="none"/>
              </w:rPr>
              <w:t>其他要求</w:t>
            </w:r>
          </w:p>
        </w:tc>
        <w:tc>
          <w:tcPr>
            <w:tcW w:w="7997" w:type="dxa"/>
            <w:vAlign w:val="center"/>
          </w:tcPr>
          <w:p w14:paraId="353151D8">
            <w:pPr>
              <w:spacing w:line="400" w:lineRule="exact"/>
              <w:jc w:val="left"/>
              <w:rPr>
                <w:rFonts w:ascii="宋体" w:cs="宋体-18030"/>
                <w:color w:val="auto"/>
                <w:szCs w:val="21"/>
                <w:highlight w:val="none"/>
              </w:rPr>
            </w:pPr>
            <w:r>
              <w:rPr>
                <w:rFonts w:hint="eastAsia" w:ascii="宋体" w:hAnsi="宋体"/>
                <w:color w:val="auto"/>
                <w:szCs w:val="21"/>
                <w:highlight w:val="none"/>
              </w:rPr>
              <w:t>无</w:t>
            </w:r>
          </w:p>
        </w:tc>
      </w:tr>
      <w:tr w14:paraId="7681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49F9FC43">
            <w:pPr>
              <w:widowControl/>
              <w:spacing w:line="400" w:lineRule="exact"/>
              <w:jc w:val="center"/>
              <w:rPr>
                <w:rFonts w:hint="eastAsia" w:ascii="宋体" w:hAnsi="宋体" w:cs="宋体"/>
                <w:color w:val="auto"/>
                <w:kern w:val="0"/>
                <w:szCs w:val="21"/>
                <w:highlight w:val="none"/>
              </w:rPr>
            </w:pPr>
            <w:r>
              <w:rPr>
                <w:rFonts w:hint="eastAsia" w:ascii="Times New Roman" w:hAnsi="Times New Roman"/>
                <w:smallCaps w:val="0"/>
                <w:color w:val="auto"/>
                <w:highlight w:val="none"/>
                <w:lang w:val="en-US" w:eastAsia="zh-CN"/>
              </w:rPr>
              <w:t>落实政府采购政策需满足的资格要求</w:t>
            </w:r>
          </w:p>
        </w:tc>
        <w:tc>
          <w:tcPr>
            <w:tcW w:w="7997" w:type="dxa"/>
            <w:vAlign w:val="center"/>
          </w:tcPr>
          <w:p w14:paraId="4A884C35">
            <w:pPr>
              <w:spacing w:line="400" w:lineRule="exact"/>
              <w:jc w:val="left"/>
              <w:rPr>
                <w:rFonts w:hint="eastAsia" w:ascii="宋体" w:hAnsi="宋体"/>
                <w:color w:val="auto"/>
                <w:szCs w:val="21"/>
                <w:highlight w:val="none"/>
              </w:rPr>
            </w:pPr>
            <w:r>
              <w:rPr>
                <w:rFonts w:hint="eastAsia" w:ascii="宋体" w:hAnsi="宋体"/>
                <w:color w:val="auto"/>
                <w:szCs w:val="21"/>
                <w:highlight w:val="none"/>
              </w:rPr>
              <w:t>无</w:t>
            </w:r>
          </w:p>
        </w:tc>
      </w:tr>
      <w:tr w14:paraId="2999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vAlign w:val="center"/>
          </w:tcPr>
          <w:p w14:paraId="3B5DF30C">
            <w:pPr>
              <w:widowControl/>
              <w:spacing w:line="400" w:lineRule="exact"/>
              <w:jc w:val="center"/>
              <w:rPr>
                <w:b/>
                <w:color w:val="auto"/>
                <w:szCs w:val="21"/>
                <w:highlight w:val="none"/>
              </w:rPr>
            </w:pPr>
            <w:r>
              <w:rPr>
                <w:rFonts w:hint="eastAsia" w:ascii="宋体" w:hAnsi="宋体" w:cs="宋体"/>
                <w:b/>
                <w:color w:val="auto"/>
                <w:kern w:val="0"/>
                <w:sz w:val="24"/>
                <w:highlight w:val="none"/>
              </w:rPr>
              <w:t>招标文件的获取</w:t>
            </w:r>
          </w:p>
        </w:tc>
      </w:tr>
      <w:tr w14:paraId="4AB7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81FE896">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获取时间</w:t>
            </w:r>
          </w:p>
        </w:tc>
        <w:tc>
          <w:tcPr>
            <w:tcW w:w="7997" w:type="dxa"/>
            <w:vAlign w:val="center"/>
          </w:tcPr>
          <w:p w14:paraId="64DB5C50">
            <w:pPr>
              <w:widowControl/>
              <w:spacing w:line="400" w:lineRule="exact"/>
              <w:jc w:val="left"/>
              <w:rPr>
                <w:b/>
                <w:bCs/>
                <w:color w:val="auto"/>
                <w:szCs w:val="21"/>
                <w:highlight w:val="none"/>
              </w:rPr>
            </w:pPr>
            <w:r>
              <w:rPr>
                <w:rFonts w:hint="eastAsia" w:ascii="宋体" w:hAnsi="宋体" w:cs="宋体"/>
                <w:b/>
                <w:bCs/>
                <w:snapToGrid w:val="0"/>
                <w:color w:val="auto"/>
                <w:kern w:val="0"/>
                <w:szCs w:val="21"/>
                <w:highlight w:val="none"/>
                <w:u w:val="single"/>
              </w:rPr>
              <w:t>2026</w:t>
            </w:r>
            <w:r>
              <w:rPr>
                <w:rFonts w:hint="eastAsia" w:ascii="宋体" w:hAnsi="宋体" w:cs="宋体"/>
                <w:b/>
                <w:bCs/>
                <w:snapToGrid w:val="0"/>
                <w:color w:val="auto"/>
                <w:kern w:val="0"/>
                <w:szCs w:val="21"/>
                <w:highlight w:val="none"/>
              </w:rPr>
              <w:t>年</w:t>
            </w:r>
            <w:r>
              <w:rPr>
                <w:rFonts w:hint="eastAsia" w:ascii="宋体" w:hAnsi="宋体" w:cs="宋体"/>
                <w:b/>
                <w:bCs/>
                <w:snapToGrid w:val="0"/>
                <w:color w:val="auto"/>
                <w:kern w:val="0"/>
                <w:szCs w:val="21"/>
                <w:highlight w:val="none"/>
                <w:u w:val="single"/>
              </w:rPr>
              <w:t xml:space="preserve"> </w:t>
            </w:r>
            <w:r>
              <w:rPr>
                <w:rFonts w:hint="eastAsia" w:ascii="宋体" w:hAnsi="宋体" w:cs="宋体"/>
                <w:b/>
                <w:bCs/>
                <w:snapToGrid w:val="0"/>
                <w:color w:val="auto"/>
                <w:kern w:val="0"/>
                <w:szCs w:val="21"/>
                <w:highlight w:val="none"/>
                <w:u w:val="single"/>
                <w:lang w:val="en-US" w:eastAsia="zh-CN"/>
              </w:rPr>
              <w:t>9</w:t>
            </w:r>
            <w:r>
              <w:rPr>
                <w:rFonts w:hint="eastAsia" w:ascii="宋体" w:hAnsi="宋体" w:cs="宋体"/>
                <w:b/>
                <w:bCs/>
                <w:snapToGrid w:val="0"/>
                <w:color w:val="auto"/>
                <w:kern w:val="0"/>
                <w:szCs w:val="21"/>
                <w:highlight w:val="none"/>
                <w:u w:val="single"/>
              </w:rPr>
              <w:t xml:space="preserve"> </w:t>
            </w:r>
            <w:r>
              <w:rPr>
                <w:rFonts w:hint="eastAsia" w:ascii="宋体" w:hAnsi="宋体" w:cs="宋体"/>
                <w:b/>
                <w:bCs/>
                <w:snapToGrid w:val="0"/>
                <w:color w:val="auto"/>
                <w:kern w:val="0"/>
                <w:szCs w:val="21"/>
                <w:highlight w:val="none"/>
              </w:rPr>
              <w:t>月</w:t>
            </w:r>
            <w:r>
              <w:rPr>
                <w:rFonts w:hint="eastAsia" w:ascii="宋体" w:hAnsi="宋体" w:cs="宋体"/>
                <w:b/>
                <w:bCs/>
                <w:snapToGrid w:val="0"/>
                <w:color w:val="auto"/>
                <w:kern w:val="0"/>
                <w:szCs w:val="21"/>
                <w:highlight w:val="none"/>
                <w:u w:val="single"/>
              </w:rPr>
              <w:t xml:space="preserve"> </w:t>
            </w:r>
            <w:r>
              <w:rPr>
                <w:rFonts w:hint="eastAsia" w:ascii="宋体" w:hAnsi="宋体" w:cs="宋体"/>
                <w:b/>
                <w:bCs/>
                <w:snapToGrid w:val="0"/>
                <w:color w:val="auto"/>
                <w:kern w:val="0"/>
                <w:szCs w:val="21"/>
                <w:highlight w:val="none"/>
                <w:u w:val="single"/>
                <w:lang w:val="en-US" w:eastAsia="zh-CN"/>
              </w:rPr>
              <w:t>8</w:t>
            </w:r>
            <w:r>
              <w:rPr>
                <w:rFonts w:hint="eastAsia" w:ascii="宋体" w:hAnsi="宋体" w:cs="宋体"/>
                <w:b/>
                <w:bCs/>
                <w:snapToGrid w:val="0"/>
                <w:color w:val="auto"/>
                <w:kern w:val="0"/>
                <w:szCs w:val="21"/>
                <w:highlight w:val="none"/>
                <w:u w:val="single"/>
              </w:rPr>
              <w:t xml:space="preserve"> </w:t>
            </w:r>
            <w:r>
              <w:rPr>
                <w:rFonts w:hint="eastAsia" w:ascii="宋体" w:hAnsi="宋体" w:cs="宋体"/>
                <w:b/>
                <w:bCs/>
                <w:snapToGrid w:val="0"/>
                <w:color w:val="auto"/>
                <w:kern w:val="0"/>
                <w:szCs w:val="21"/>
                <w:highlight w:val="none"/>
              </w:rPr>
              <w:t>日</w:t>
            </w:r>
            <w:r>
              <w:rPr>
                <w:rFonts w:hint="eastAsia" w:ascii="宋体" w:hAnsi="宋体" w:cs="宋体"/>
                <w:b/>
                <w:bCs/>
                <w:snapToGrid w:val="0"/>
                <w:color w:val="auto"/>
                <w:kern w:val="0"/>
                <w:szCs w:val="21"/>
                <w:highlight w:val="none"/>
                <w:u w:val="single"/>
              </w:rPr>
              <w:t xml:space="preserve"> 17 </w:t>
            </w:r>
            <w:r>
              <w:rPr>
                <w:rFonts w:hint="eastAsia" w:ascii="宋体" w:hAnsi="宋体" w:cs="宋体"/>
                <w:b/>
                <w:bCs/>
                <w:snapToGrid w:val="0"/>
                <w:color w:val="auto"/>
                <w:kern w:val="0"/>
                <w:szCs w:val="21"/>
                <w:highlight w:val="none"/>
              </w:rPr>
              <w:t>时</w:t>
            </w:r>
            <w:r>
              <w:rPr>
                <w:rFonts w:hint="eastAsia" w:ascii="宋体" w:hAnsi="宋体" w:cs="宋体"/>
                <w:b/>
                <w:bCs/>
                <w:snapToGrid w:val="0"/>
                <w:color w:val="auto"/>
                <w:kern w:val="0"/>
                <w:szCs w:val="21"/>
                <w:highlight w:val="none"/>
                <w:u w:val="single"/>
              </w:rPr>
              <w:t xml:space="preserve"> 00 </w:t>
            </w:r>
            <w:r>
              <w:rPr>
                <w:rFonts w:hint="eastAsia" w:ascii="宋体" w:hAnsi="宋体" w:cs="宋体"/>
                <w:b/>
                <w:bCs/>
                <w:snapToGrid w:val="0"/>
                <w:color w:val="auto"/>
                <w:kern w:val="0"/>
                <w:szCs w:val="21"/>
                <w:highlight w:val="none"/>
              </w:rPr>
              <w:t>分至</w:t>
            </w:r>
            <w:r>
              <w:rPr>
                <w:rFonts w:hint="eastAsia" w:ascii="宋体" w:hAnsi="宋体" w:cs="宋体"/>
                <w:b/>
                <w:bCs/>
                <w:snapToGrid w:val="0"/>
                <w:color w:val="auto"/>
                <w:kern w:val="0"/>
                <w:szCs w:val="21"/>
                <w:highlight w:val="none"/>
                <w:u w:val="single"/>
              </w:rPr>
              <w:t xml:space="preserve"> 2026</w:t>
            </w:r>
            <w:r>
              <w:rPr>
                <w:rFonts w:hint="eastAsia" w:ascii="宋体" w:hAnsi="宋体" w:cs="宋体"/>
                <w:b/>
                <w:bCs/>
                <w:snapToGrid w:val="0"/>
                <w:color w:val="auto"/>
                <w:kern w:val="0"/>
                <w:szCs w:val="21"/>
                <w:highlight w:val="none"/>
              </w:rPr>
              <w:t>年</w:t>
            </w:r>
            <w:r>
              <w:rPr>
                <w:rFonts w:hint="eastAsia" w:ascii="宋体" w:hAnsi="宋体" w:cs="宋体"/>
                <w:b/>
                <w:bCs/>
                <w:snapToGrid w:val="0"/>
                <w:color w:val="auto"/>
                <w:kern w:val="0"/>
                <w:szCs w:val="21"/>
                <w:highlight w:val="none"/>
                <w:u w:val="single"/>
              </w:rPr>
              <w:t xml:space="preserve"> </w:t>
            </w:r>
            <w:r>
              <w:rPr>
                <w:rFonts w:hint="eastAsia" w:ascii="宋体" w:hAnsi="宋体" w:cs="宋体"/>
                <w:b/>
                <w:bCs/>
                <w:snapToGrid w:val="0"/>
                <w:color w:val="auto"/>
                <w:kern w:val="0"/>
                <w:szCs w:val="21"/>
                <w:highlight w:val="none"/>
                <w:u w:val="single"/>
                <w:lang w:val="en-US" w:eastAsia="zh-CN"/>
              </w:rPr>
              <w:t xml:space="preserve">10 </w:t>
            </w:r>
            <w:r>
              <w:rPr>
                <w:rFonts w:hint="eastAsia" w:ascii="宋体" w:hAnsi="宋体" w:cs="宋体"/>
                <w:b/>
                <w:bCs/>
                <w:snapToGrid w:val="0"/>
                <w:color w:val="auto"/>
                <w:kern w:val="0"/>
                <w:szCs w:val="21"/>
                <w:highlight w:val="none"/>
              </w:rPr>
              <w:t>月</w:t>
            </w:r>
            <w:r>
              <w:rPr>
                <w:rFonts w:hint="eastAsia" w:ascii="宋体" w:hAnsi="宋体" w:cs="宋体"/>
                <w:b/>
                <w:bCs/>
                <w:snapToGrid w:val="0"/>
                <w:color w:val="auto"/>
                <w:kern w:val="0"/>
                <w:szCs w:val="21"/>
                <w:highlight w:val="none"/>
                <w:u w:val="single"/>
              </w:rPr>
              <w:t xml:space="preserve"> </w:t>
            </w:r>
            <w:r>
              <w:rPr>
                <w:rFonts w:hint="eastAsia" w:ascii="宋体" w:hAnsi="宋体" w:cs="宋体"/>
                <w:b/>
                <w:bCs/>
                <w:snapToGrid w:val="0"/>
                <w:color w:val="auto"/>
                <w:kern w:val="0"/>
                <w:szCs w:val="21"/>
                <w:highlight w:val="none"/>
                <w:u w:val="single"/>
                <w:lang w:val="en-US" w:eastAsia="zh-CN"/>
              </w:rPr>
              <w:t xml:space="preserve">8 </w:t>
            </w:r>
            <w:r>
              <w:rPr>
                <w:rFonts w:hint="eastAsia" w:ascii="宋体" w:hAnsi="宋体" w:cs="宋体"/>
                <w:b/>
                <w:bCs/>
                <w:snapToGrid w:val="0"/>
                <w:color w:val="auto"/>
                <w:kern w:val="0"/>
                <w:szCs w:val="21"/>
                <w:highlight w:val="none"/>
              </w:rPr>
              <w:t>日</w:t>
            </w:r>
            <w:r>
              <w:rPr>
                <w:rFonts w:hint="eastAsia" w:ascii="宋体" w:hAnsi="宋体" w:cs="宋体"/>
                <w:b/>
                <w:bCs/>
                <w:snapToGrid w:val="0"/>
                <w:color w:val="auto"/>
                <w:kern w:val="0"/>
                <w:szCs w:val="21"/>
                <w:highlight w:val="none"/>
                <w:u w:val="single"/>
              </w:rPr>
              <w:t xml:space="preserve"> 8 </w:t>
            </w:r>
            <w:r>
              <w:rPr>
                <w:rFonts w:hint="eastAsia" w:ascii="宋体" w:hAnsi="宋体" w:cs="宋体"/>
                <w:b/>
                <w:bCs/>
                <w:snapToGrid w:val="0"/>
                <w:color w:val="auto"/>
                <w:kern w:val="0"/>
                <w:szCs w:val="21"/>
                <w:highlight w:val="none"/>
              </w:rPr>
              <w:t>时</w:t>
            </w:r>
            <w:r>
              <w:rPr>
                <w:rFonts w:hint="eastAsia" w:ascii="宋体" w:hAnsi="宋体" w:cs="宋体"/>
                <w:b/>
                <w:bCs/>
                <w:snapToGrid w:val="0"/>
                <w:color w:val="auto"/>
                <w:kern w:val="0"/>
                <w:szCs w:val="21"/>
                <w:highlight w:val="none"/>
                <w:u w:val="single"/>
                <w:lang w:val="en-US" w:eastAsia="zh-CN"/>
              </w:rPr>
              <w:t>3</w:t>
            </w:r>
            <w:r>
              <w:rPr>
                <w:rFonts w:hint="eastAsia" w:ascii="宋体" w:hAnsi="宋体" w:cs="宋体"/>
                <w:b/>
                <w:bCs/>
                <w:snapToGrid w:val="0"/>
                <w:color w:val="auto"/>
                <w:kern w:val="0"/>
                <w:szCs w:val="21"/>
                <w:highlight w:val="none"/>
                <w:u w:val="single"/>
              </w:rPr>
              <w:t xml:space="preserve">0 </w:t>
            </w:r>
            <w:r>
              <w:rPr>
                <w:rFonts w:hint="eastAsia" w:ascii="宋体" w:hAnsi="宋体" w:cs="宋体"/>
                <w:b/>
                <w:bCs/>
                <w:snapToGrid w:val="0"/>
                <w:color w:val="auto"/>
                <w:kern w:val="0"/>
                <w:szCs w:val="21"/>
                <w:highlight w:val="none"/>
              </w:rPr>
              <w:t>分。</w:t>
            </w:r>
          </w:p>
        </w:tc>
      </w:tr>
      <w:tr w14:paraId="395E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056449C1">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获取方式</w:t>
            </w:r>
          </w:p>
        </w:tc>
        <w:tc>
          <w:tcPr>
            <w:tcW w:w="7997" w:type="dxa"/>
            <w:vAlign w:val="center"/>
          </w:tcPr>
          <w:p w14:paraId="12251022">
            <w:pPr>
              <w:widowControl/>
              <w:wordWrap w:val="0"/>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潜在投标人须登录滁州市公共资源交易中心网站（http://ggzy.chuzhou.gov.cn/）查阅并下载电子招标文件。</w:t>
            </w:r>
          </w:p>
          <w:p w14:paraId="6404685C">
            <w:pPr>
              <w:widowControl/>
              <w:wordWrap w:val="0"/>
              <w:spacing w:line="400" w:lineRule="exact"/>
              <w:jc w:val="left"/>
              <w:rPr>
                <w:color w:val="auto"/>
                <w:szCs w:val="21"/>
                <w:highlight w:val="none"/>
              </w:rPr>
            </w:pPr>
            <w:r>
              <w:rPr>
                <w:rFonts w:hint="eastAsia" w:ascii="宋体" w:hAnsi="宋体" w:cs="宋体"/>
                <w:color w:val="auto"/>
                <w:kern w:val="0"/>
                <w:szCs w:val="21"/>
                <w:highlight w:val="none"/>
              </w:rPr>
              <w:t>招标文件获取过程中有任何疑问，请在工作时间（工作时间：工作日8:00-12:00,14:30-17:30）拨打0550-3801701。</w:t>
            </w:r>
          </w:p>
        </w:tc>
      </w:tr>
      <w:tr w14:paraId="1D94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F5FB097">
            <w:pPr>
              <w:widowControl/>
              <w:spacing w:line="400" w:lineRule="exact"/>
              <w:jc w:val="center"/>
              <w:rPr>
                <w:rFonts w:ascii="宋体" w:cs="宋体"/>
                <w:b/>
                <w:bCs/>
                <w:color w:val="auto"/>
                <w:kern w:val="0"/>
                <w:szCs w:val="21"/>
                <w:highlight w:val="none"/>
              </w:rPr>
            </w:pPr>
            <w:r>
              <w:rPr>
                <w:rFonts w:hint="eastAsia" w:ascii="宋体" w:hAnsi="宋体" w:cs="宋体"/>
                <w:b/>
                <w:bCs/>
                <w:color w:val="auto"/>
                <w:kern w:val="0"/>
                <w:szCs w:val="21"/>
                <w:highlight w:val="none"/>
              </w:rPr>
              <w:t>招标公告发布时间</w:t>
            </w:r>
          </w:p>
        </w:tc>
        <w:tc>
          <w:tcPr>
            <w:tcW w:w="7997" w:type="dxa"/>
            <w:vAlign w:val="center"/>
          </w:tcPr>
          <w:p w14:paraId="30CCBA2E">
            <w:pPr>
              <w:widowControl/>
              <w:spacing w:line="400" w:lineRule="exact"/>
              <w:jc w:val="left"/>
              <w:rPr>
                <w:rFonts w:hint="eastAsia" w:ascii="宋体" w:eastAsia="宋体" w:cs="宋体"/>
                <w:b/>
                <w:bCs/>
                <w:color w:val="auto"/>
                <w:kern w:val="0"/>
                <w:szCs w:val="21"/>
                <w:highlight w:val="none"/>
                <w:lang w:eastAsia="zh-CN"/>
              </w:rPr>
            </w:pPr>
            <w:r>
              <w:rPr>
                <w:rFonts w:hint="eastAsia"/>
                <w:b/>
                <w:bCs/>
                <w:color w:val="auto"/>
                <w:szCs w:val="21"/>
                <w:highlight w:val="none"/>
                <w:lang w:eastAsia="zh-CN"/>
              </w:rPr>
              <w:t>2026年9月</w:t>
            </w:r>
            <w:r>
              <w:rPr>
                <w:rFonts w:hint="eastAsia"/>
                <w:b/>
                <w:bCs/>
                <w:color w:val="auto"/>
                <w:szCs w:val="21"/>
                <w:highlight w:val="none"/>
                <w:lang w:val="en-US" w:eastAsia="zh-CN"/>
              </w:rPr>
              <w:t>8</w:t>
            </w:r>
            <w:r>
              <w:rPr>
                <w:rFonts w:hint="eastAsia"/>
                <w:b/>
                <w:bCs/>
                <w:color w:val="auto"/>
                <w:szCs w:val="21"/>
                <w:highlight w:val="none"/>
                <w:lang w:eastAsia="zh-CN"/>
              </w:rPr>
              <w:t>日</w:t>
            </w:r>
          </w:p>
        </w:tc>
      </w:tr>
      <w:tr w14:paraId="4672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71404F0">
            <w:pPr>
              <w:widowControl/>
              <w:spacing w:line="400" w:lineRule="exact"/>
              <w:jc w:val="center"/>
              <w:rPr>
                <w:rFonts w:ascii="宋体" w:cs="宋体"/>
                <w:b/>
                <w:bCs/>
                <w:color w:val="auto"/>
                <w:kern w:val="0"/>
                <w:szCs w:val="21"/>
                <w:highlight w:val="none"/>
              </w:rPr>
            </w:pPr>
            <w:r>
              <w:rPr>
                <w:rFonts w:hint="eastAsia" w:ascii="宋体" w:hAnsi="宋体" w:cs="宋体"/>
                <w:b/>
                <w:bCs/>
                <w:color w:val="auto"/>
                <w:szCs w:val="21"/>
                <w:highlight w:val="none"/>
              </w:rPr>
              <w:t>投标文件递交的截止时间</w:t>
            </w:r>
          </w:p>
        </w:tc>
        <w:tc>
          <w:tcPr>
            <w:tcW w:w="7997" w:type="dxa"/>
            <w:vAlign w:val="center"/>
          </w:tcPr>
          <w:p w14:paraId="533E9F8E">
            <w:pPr>
              <w:widowControl/>
              <w:spacing w:line="400" w:lineRule="exact"/>
              <w:jc w:val="left"/>
              <w:rPr>
                <w:rFonts w:ascii="宋体" w:cs="宋体"/>
                <w:b/>
                <w:bCs/>
                <w:color w:val="auto"/>
                <w:kern w:val="0"/>
                <w:szCs w:val="21"/>
                <w:highlight w:val="none"/>
              </w:rPr>
            </w:pPr>
            <w:r>
              <w:rPr>
                <w:rFonts w:hint="eastAsia"/>
                <w:b/>
                <w:bCs/>
                <w:color w:val="auto"/>
                <w:szCs w:val="21"/>
                <w:highlight w:val="none"/>
                <w:lang w:eastAsia="zh-CN"/>
              </w:rPr>
              <w:t>2026年</w:t>
            </w:r>
            <w:r>
              <w:rPr>
                <w:rFonts w:hint="eastAsia"/>
                <w:b/>
                <w:bCs/>
                <w:color w:val="auto"/>
                <w:szCs w:val="21"/>
                <w:highlight w:val="none"/>
                <w:lang w:val="en-US" w:eastAsia="zh-CN"/>
              </w:rPr>
              <w:t>10</w:t>
            </w:r>
            <w:r>
              <w:rPr>
                <w:rFonts w:hint="eastAsia"/>
                <w:b/>
                <w:bCs/>
                <w:color w:val="auto"/>
                <w:szCs w:val="21"/>
                <w:highlight w:val="none"/>
                <w:lang w:eastAsia="zh-CN"/>
              </w:rPr>
              <w:t>月</w:t>
            </w:r>
            <w:r>
              <w:rPr>
                <w:rFonts w:hint="eastAsia"/>
                <w:b/>
                <w:bCs/>
                <w:color w:val="auto"/>
                <w:szCs w:val="21"/>
                <w:highlight w:val="none"/>
                <w:lang w:val="en-US" w:eastAsia="zh-CN"/>
              </w:rPr>
              <w:t>8</w:t>
            </w:r>
            <w:r>
              <w:rPr>
                <w:rFonts w:hint="eastAsia"/>
                <w:b/>
                <w:bCs/>
                <w:color w:val="auto"/>
                <w:szCs w:val="21"/>
                <w:highlight w:val="none"/>
                <w:lang w:eastAsia="zh-CN"/>
              </w:rPr>
              <w:t>日</w:t>
            </w:r>
            <w:r>
              <w:rPr>
                <w:rFonts w:hint="eastAsia"/>
                <w:b/>
                <w:bCs/>
                <w:color w:val="auto"/>
                <w:szCs w:val="21"/>
                <w:highlight w:val="none"/>
              </w:rPr>
              <w:t>8时</w:t>
            </w:r>
            <w:r>
              <w:rPr>
                <w:rFonts w:hint="eastAsia"/>
                <w:b/>
                <w:bCs/>
                <w:color w:val="auto"/>
                <w:szCs w:val="21"/>
                <w:highlight w:val="none"/>
                <w:lang w:val="en-US" w:eastAsia="zh-CN"/>
              </w:rPr>
              <w:t>3</w:t>
            </w:r>
            <w:r>
              <w:rPr>
                <w:rFonts w:hint="eastAsia"/>
                <w:b/>
                <w:bCs/>
                <w:color w:val="auto"/>
                <w:szCs w:val="21"/>
                <w:highlight w:val="none"/>
              </w:rPr>
              <w:t>0分</w:t>
            </w:r>
          </w:p>
        </w:tc>
      </w:tr>
      <w:tr w14:paraId="2DDE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5ED839C5">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投标文件递交的方式</w:t>
            </w:r>
          </w:p>
        </w:tc>
        <w:tc>
          <w:tcPr>
            <w:tcW w:w="7997" w:type="dxa"/>
            <w:vAlign w:val="center"/>
          </w:tcPr>
          <w:p w14:paraId="66527F1C">
            <w:pPr>
              <w:widowControl/>
              <w:spacing w:line="400" w:lineRule="exact"/>
              <w:jc w:val="left"/>
              <w:rPr>
                <w:color w:val="auto"/>
                <w:szCs w:val="21"/>
                <w:highlight w:val="none"/>
              </w:rPr>
            </w:pPr>
            <w:r>
              <w:rPr>
                <w:rFonts w:hint="eastAsia"/>
                <w:color w:val="auto"/>
                <w:szCs w:val="21"/>
                <w:highlight w:val="none"/>
              </w:rPr>
              <w:t>投标人应在投标截止时间前通过滁州市公共资源交易中心交易系统递交电子投标文件。</w:t>
            </w:r>
          </w:p>
        </w:tc>
      </w:tr>
      <w:tr w14:paraId="54DD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933" w:type="dxa"/>
            <w:vAlign w:val="center"/>
          </w:tcPr>
          <w:p w14:paraId="2D4228CB">
            <w:pPr>
              <w:widowControl/>
              <w:spacing w:line="400" w:lineRule="exact"/>
              <w:jc w:val="center"/>
              <w:rPr>
                <w:rFonts w:ascii="宋体" w:cs="宋体"/>
                <w:b/>
                <w:bCs/>
                <w:color w:val="auto"/>
                <w:kern w:val="0"/>
                <w:szCs w:val="21"/>
                <w:highlight w:val="none"/>
              </w:rPr>
            </w:pPr>
            <w:r>
              <w:rPr>
                <w:rFonts w:hint="eastAsia" w:ascii="宋体" w:hAnsi="宋体" w:cs="宋体"/>
                <w:b/>
                <w:bCs/>
                <w:color w:val="auto"/>
                <w:szCs w:val="21"/>
                <w:highlight w:val="none"/>
              </w:rPr>
              <w:t>开标时间</w:t>
            </w:r>
          </w:p>
        </w:tc>
        <w:tc>
          <w:tcPr>
            <w:tcW w:w="7997" w:type="dxa"/>
            <w:vAlign w:val="center"/>
          </w:tcPr>
          <w:p w14:paraId="20F02686">
            <w:pPr>
              <w:widowControl/>
              <w:spacing w:line="400" w:lineRule="exact"/>
              <w:jc w:val="left"/>
              <w:rPr>
                <w:rFonts w:ascii="宋体" w:cs="宋体"/>
                <w:b/>
                <w:bCs/>
                <w:color w:val="auto"/>
                <w:kern w:val="0"/>
                <w:szCs w:val="21"/>
                <w:highlight w:val="none"/>
              </w:rPr>
            </w:pPr>
            <w:r>
              <w:rPr>
                <w:rFonts w:hint="eastAsia"/>
                <w:b/>
                <w:bCs/>
                <w:color w:val="auto"/>
                <w:szCs w:val="21"/>
                <w:highlight w:val="none"/>
                <w:lang w:eastAsia="zh-CN"/>
              </w:rPr>
              <w:t>2026年</w:t>
            </w:r>
            <w:r>
              <w:rPr>
                <w:rFonts w:hint="eastAsia"/>
                <w:b/>
                <w:bCs/>
                <w:color w:val="auto"/>
                <w:szCs w:val="21"/>
                <w:highlight w:val="none"/>
                <w:lang w:val="en-US" w:eastAsia="zh-CN"/>
              </w:rPr>
              <w:t>10</w:t>
            </w:r>
            <w:r>
              <w:rPr>
                <w:rFonts w:hint="eastAsia"/>
                <w:b/>
                <w:bCs/>
                <w:color w:val="auto"/>
                <w:szCs w:val="21"/>
                <w:highlight w:val="none"/>
                <w:lang w:eastAsia="zh-CN"/>
              </w:rPr>
              <w:t>月</w:t>
            </w:r>
            <w:r>
              <w:rPr>
                <w:rFonts w:hint="eastAsia"/>
                <w:b/>
                <w:bCs/>
                <w:color w:val="auto"/>
                <w:szCs w:val="21"/>
                <w:highlight w:val="none"/>
                <w:lang w:val="en-US" w:eastAsia="zh-CN"/>
              </w:rPr>
              <w:t>8</w:t>
            </w:r>
            <w:r>
              <w:rPr>
                <w:rFonts w:hint="eastAsia"/>
                <w:b/>
                <w:bCs/>
                <w:color w:val="auto"/>
                <w:szCs w:val="21"/>
                <w:highlight w:val="none"/>
                <w:lang w:eastAsia="zh-CN"/>
              </w:rPr>
              <w:t>日</w:t>
            </w:r>
            <w:r>
              <w:rPr>
                <w:rFonts w:hint="eastAsia"/>
                <w:b/>
                <w:bCs/>
                <w:color w:val="auto"/>
                <w:szCs w:val="21"/>
                <w:highlight w:val="none"/>
              </w:rPr>
              <w:t>8时</w:t>
            </w:r>
            <w:r>
              <w:rPr>
                <w:rFonts w:hint="eastAsia"/>
                <w:b/>
                <w:bCs/>
                <w:color w:val="auto"/>
                <w:szCs w:val="21"/>
                <w:highlight w:val="none"/>
                <w:lang w:val="en-US" w:eastAsia="zh-CN"/>
              </w:rPr>
              <w:t>3</w:t>
            </w:r>
            <w:r>
              <w:rPr>
                <w:rFonts w:hint="eastAsia"/>
                <w:b/>
                <w:bCs/>
                <w:color w:val="auto"/>
                <w:szCs w:val="21"/>
                <w:highlight w:val="none"/>
              </w:rPr>
              <w:t>0分</w:t>
            </w:r>
          </w:p>
        </w:tc>
      </w:tr>
      <w:tr w14:paraId="3270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33" w:type="dxa"/>
            <w:vAlign w:val="center"/>
          </w:tcPr>
          <w:p w14:paraId="7253886C">
            <w:pPr>
              <w:widowControl/>
              <w:spacing w:line="400" w:lineRule="exact"/>
              <w:jc w:val="center"/>
              <w:rPr>
                <w:rFonts w:ascii="宋体" w:cs="宋体"/>
                <w:color w:val="auto"/>
                <w:kern w:val="0"/>
                <w:szCs w:val="21"/>
                <w:highlight w:val="none"/>
              </w:rPr>
            </w:pPr>
            <w:r>
              <w:rPr>
                <w:rFonts w:hint="eastAsia" w:ascii="宋体" w:hAnsi="宋体" w:cs="宋体"/>
                <w:color w:val="auto"/>
                <w:szCs w:val="21"/>
                <w:highlight w:val="none"/>
              </w:rPr>
              <w:t>开标地点</w:t>
            </w:r>
          </w:p>
        </w:tc>
        <w:tc>
          <w:tcPr>
            <w:tcW w:w="7997" w:type="dxa"/>
            <w:vAlign w:val="center"/>
          </w:tcPr>
          <w:p w14:paraId="6EDD7CBA">
            <w:pPr>
              <w:widowControl/>
              <w:wordWrap w:val="0"/>
              <w:spacing w:line="400" w:lineRule="exact"/>
              <w:jc w:val="left"/>
              <w:rPr>
                <w:rFonts w:ascii="宋体" w:cs="宋体"/>
                <w:color w:val="auto"/>
                <w:kern w:val="0"/>
                <w:szCs w:val="21"/>
                <w:highlight w:val="none"/>
              </w:rPr>
            </w:pPr>
            <w:r>
              <w:rPr>
                <w:rFonts w:hint="eastAsia" w:ascii="宋体" w:hAnsi="宋体" w:cs="宋体"/>
                <w:color w:val="auto"/>
                <w:kern w:val="0"/>
                <w:szCs w:val="21"/>
                <w:highlight w:val="none"/>
              </w:rPr>
              <w:t>网上开标，投标人登录滁州市不见面开标系统参与网上开标（网址：</w:t>
            </w:r>
            <w:r>
              <w:rPr>
                <w:color w:val="auto"/>
                <w:highlight w:val="none"/>
              </w:rPr>
              <w:fldChar w:fldCharType="begin"/>
            </w:r>
            <w:r>
              <w:rPr>
                <w:color w:val="auto"/>
                <w:highlight w:val="none"/>
              </w:rPr>
              <w:instrText xml:space="preserve"> HYPERLINK "https://ggzy.chuzhou.gov.cn/BidOpening/bidopeninghallaction/hall/login）。操作手册见" </w:instrText>
            </w:r>
            <w:r>
              <w:rPr>
                <w:color w:val="auto"/>
                <w:highlight w:val="none"/>
              </w:rPr>
              <w:fldChar w:fldCharType="separate"/>
            </w:r>
            <w:r>
              <w:rPr>
                <w:rStyle w:val="28"/>
                <w:rFonts w:ascii="宋体" w:hAnsi="宋体" w:cs="宋体"/>
                <w:color w:val="auto"/>
                <w:kern w:val="0"/>
                <w:szCs w:val="21"/>
                <w:highlight w:val="none"/>
              </w:rPr>
              <w:t>https://ggzy.chuzhou.gov.cn/BidOpening/bidopeninghallaction/hall/login</w:t>
            </w:r>
            <w:r>
              <w:rPr>
                <w:rStyle w:val="28"/>
                <w:rFonts w:hint="eastAsia" w:ascii="宋体" w:hAnsi="宋体" w:cs="宋体"/>
                <w:color w:val="auto"/>
                <w:kern w:val="0"/>
                <w:szCs w:val="21"/>
                <w:highlight w:val="none"/>
              </w:rPr>
              <w:t>）。操作手册见</w:t>
            </w:r>
            <w:r>
              <w:rPr>
                <w:rStyle w:val="28"/>
                <w:rFonts w:hint="eastAsia" w:ascii="宋体" w:hAnsi="宋体" w:cs="宋体"/>
                <w:color w:val="auto"/>
                <w:kern w:val="0"/>
                <w:szCs w:val="21"/>
                <w:highlight w:val="none"/>
              </w:rPr>
              <w:fldChar w:fldCharType="end"/>
            </w:r>
            <w:r>
              <w:rPr>
                <w:rFonts w:ascii="宋体" w:hAnsi="宋体" w:cs="宋体"/>
                <w:color w:val="auto"/>
                <w:kern w:val="0"/>
                <w:szCs w:val="21"/>
                <w:highlight w:val="none"/>
              </w:rPr>
              <w:t>https://ggzy.chuzhou.gov.cn/fwzn/011006/20240510/f0637388-583d-4c69-8331-05b6adfcf24d.html</w:t>
            </w:r>
            <w:r>
              <w:rPr>
                <w:rFonts w:hint="eastAsia" w:ascii="宋体" w:hAnsi="宋体" w:cs="宋体"/>
                <w:color w:val="auto"/>
                <w:kern w:val="0"/>
                <w:szCs w:val="21"/>
                <w:highlight w:val="none"/>
              </w:rPr>
              <w:t>。</w:t>
            </w:r>
          </w:p>
        </w:tc>
      </w:tr>
      <w:tr w14:paraId="2CFC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483FB815">
            <w:pPr>
              <w:widowControl/>
              <w:spacing w:line="400" w:lineRule="exact"/>
              <w:jc w:val="center"/>
              <w:rPr>
                <w:rFonts w:ascii="宋体" w:cs="宋体"/>
                <w:color w:val="auto"/>
                <w:kern w:val="0"/>
                <w:szCs w:val="21"/>
                <w:highlight w:val="none"/>
              </w:rPr>
            </w:pPr>
            <w:r>
              <w:rPr>
                <w:rFonts w:hint="eastAsia" w:ascii="宋体" w:hAnsi="宋体" w:cs="宋体"/>
                <w:color w:val="auto"/>
                <w:szCs w:val="21"/>
                <w:highlight w:val="none"/>
              </w:rPr>
              <w:t>招标文件价格</w:t>
            </w:r>
          </w:p>
        </w:tc>
        <w:tc>
          <w:tcPr>
            <w:tcW w:w="7997" w:type="dxa"/>
            <w:vAlign w:val="center"/>
          </w:tcPr>
          <w:p w14:paraId="43C82AAB">
            <w:pPr>
              <w:widowControl/>
              <w:spacing w:line="400" w:lineRule="exact"/>
              <w:jc w:val="left"/>
              <w:rPr>
                <w:rFonts w:ascii="宋体" w:cs="宋体"/>
                <w:color w:val="auto"/>
                <w:kern w:val="0"/>
                <w:szCs w:val="21"/>
                <w:highlight w:val="none"/>
              </w:rPr>
            </w:pPr>
            <w:r>
              <w:rPr>
                <w:rFonts w:ascii="宋体" w:cs="宋体"/>
                <w:color w:val="auto"/>
                <w:kern w:val="0"/>
                <w:szCs w:val="21"/>
                <w:highlight w:val="none"/>
              </w:rPr>
              <w:t>0</w:t>
            </w:r>
            <w:r>
              <w:rPr>
                <w:rFonts w:hint="eastAsia" w:ascii="宋体" w:hAnsi="宋体" w:cs="宋体"/>
                <w:color w:val="auto"/>
                <w:kern w:val="0"/>
                <w:szCs w:val="21"/>
                <w:highlight w:val="none"/>
              </w:rPr>
              <w:t>元</w:t>
            </w:r>
          </w:p>
        </w:tc>
      </w:tr>
      <w:tr w14:paraId="17B8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74F7E85A">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发布公告的媒介</w:t>
            </w:r>
          </w:p>
        </w:tc>
        <w:tc>
          <w:tcPr>
            <w:tcW w:w="7997" w:type="dxa"/>
            <w:vAlign w:val="center"/>
          </w:tcPr>
          <w:p w14:paraId="0F12CB4E">
            <w:pPr>
              <w:widowControl/>
              <w:spacing w:line="400" w:lineRule="exact"/>
              <w:jc w:val="left"/>
              <w:rPr>
                <w:rFonts w:ascii="宋体" w:cs="宋体"/>
                <w:color w:val="auto"/>
                <w:kern w:val="0"/>
                <w:szCs w:val="21"/>
                <w:highlight w:val="none"/>
              </w:rPr>
            </w:pPr>
            <w:r>
              <w:rPr>
                <w:rFonts w:hint="eastAsia" w:ascii="宋体" w:cs="宋体"/>
                <w:color w:val="auto"/>
                <w:kern w:val="0"/>
                <w:szCs w:val="21"/>
                <w:highlight w:val="none"/>
              </w:rPr>
              <w:t>本次招标公告同时在滁州市公共资源交易中心、安徽省公共资源交易监管网、安徽省招标投标信息网等网站发布。</w:t>
            </w:r>
          </w:p>
        </w:tc>
      </w:tr>
      <w:tr w14:paraId="23B8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14099F31">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投标人提出异议的截止时间及方式</w:t>
            </w:r>
          </w:p>
        </w:tc>
        <w:tc>
          <w:tcPr>
            <w:tcW w:w="7997" w:type="dxa"/>
            <w:vAlign w:val="center"/>
          </w:tcPr>
          <w:p w14:paraId="10E5DFC9">
            <w:pPr>
              <w:widowControl/>
              <w:spacing w:line="400" w:lineRule="exact"/>
              <w:jc w:val="left"/>
              <w:rPr>
                <w:rFonts w:ascii="宋体" w:cs="宋体"/>
                <w:color w:val="auto"/>
                <w:kern w:val="0"/>
                <w:szCs w:val="21"/>
                <w:highlight w:val="none"/>
              </w:rPr>
            </w:pPr>
            <w:r>
              <w:rPr>
                <w:rFonts w:hint="eastAsia" w:ascii="宋体" w:hAnsi="宋体" w:cs="宋体"/>
                <w:color w:val="auto"/>
                <w:szCs w:val="21"/>
                <w:highlight w:val="none"/>
              </w:rPr>
              <w:t>如投标人对招标文件有异议，请于</w:t>
            </w:r>
            <w:r>
              <w:rPr>
                <w:rFonts w:hint="eastAsia" w:ascii="宋体" w:hAnsi="宋体" w:cs="宋体"/>
                <w:b/>
                <w:bCs/>
                <w:color w:val="auto"/>
                <w:szCs w:val="21"/>
                <w:highlight w:val="none"/>
              </w:rPr>
              <w:t>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日8时</w:t>
            </w:r>
            <w:r>
              <w:rPr>
                <w:rFonts w:hint="eastAsia" w:ascii="宋体" w:hAnsi="宋体" w:cs="宋体"/>
                <w:b/>
                <w:bCs/>
                <w:color w:val="auto"/>
                <w:szCs w:val="21"/>
                <w:highlight w:val="none"/>
                <w:lang w:val="en-US" w:eastAsia="zh-CN"/>
              </w:rPr>
              <w:t>30分</w:t>
            </w:r>
            <w:r>
              <w:rPr>
                <w:rFonts w:hint="eastAsia" w:ascii="宋体" w:hAnsi="宋体" w:cs="宋体"/>
                <w:color w:val="auto"/>
                <w:szCs w:val="21"/>
                <w:highlight w:val="none"/>
              </w:rPr>
              <w:t>（投标截止10日）前在滁州市公共资源交易中心网电子交易系统中进行异议，具体操作步骤和程序请参见服务指南&gt;交易须知&gt;在线异议、质疑和投诉操作手册。</w:t>
            </w:r>
          </w:p>
        </w:tc>
      </w:tr>
      <w:tr w14:paraId="69BB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75F7219A">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受理异议的联系人及联系方式</w:t>
            </w:r>
          </w:p>
        </w:tc>
        <w:tc>
          <w:tcPr>
            <w:tcW w:w="7997" w:type="dxa"/>
            <w:vAlign w:val="center"/>
          </w:tcPr>
          <w:p w14:paraId="0E29FB22">
            <w:pPr>
              <w:pStyle w:val="16"/>
              <w:widowControl/>
              <w:spacing w:line="400" w:lineRule="exact"/>
              <w:rPr>
                <w:rFonts w:ascii="宋体" w:hAnsi="宋体" w:cs="宋体"/>
                <w:color w:val="auto"/>
                <w:sz w:val="21"/>
                <w:szCs w:val="21"/>
                <w:highlight w:val="none"/>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lang w:eastAsia="zh-CN"/>
              </w:rPr>
              <w:t>蒋</w:t>
            </w:r>
            <w:r>
              <w:rPr>
                <w:rFonts w:hint="eastAsia" w:ascii="宋体" w:hAnsi="宋体" w:cs="宋体"/>
                <w:color w:val="auto"/>
                <w:sz w:val="21"/>
                <w:szCs w:val="21"/>
                <w:highlight w:val="none"/>
                <w:lang w:val="en-US" w:eastAsia="zh-CN"/>
              </w:rPr>
              <w:t>工</w:t>
            </w:r>
            <w:r>
              <w:rPr>
                <w:rFonts w:hint="eastAsia" w:ascii="宋体" w:hAnsi="宋体" w:cs="宋体"/>
                <w:color w:val="auto"/>
                <w:sz w:val="21"/>
                <w:szCs w:val="21"/>
                <w:highlight w:val="none"/>
              </w:rPr>
              <w:t>、曹思敏；联系方式：</w:t>
            </w:r>
            <w:r>
              <w:rPr>
                <w:rFonts w:hint="eastAsia" w:ascii="宋体" w:hAnsi="宋体" w:cs="宋体"/>
                <w:color w:val="auto"/>
                <w:sz w:val="21"/>
                <w:szCs w:val="21"/>
                <w:highlight w:val="none"/>
                <w:lang w:eastAsia="zh-CN"/>
              </w:rPr>
              <w:t>0550-3018125</w:t>
            </w:r>
            <w:r>
              <w:rPr>
                <w:rFonts w:hint="eastAsia" w:ascii="宋体" w:hAnsi="宋体" w:cs="宋体"/>
                <w:color w:val="auto"/>
                <w:sz w:val="21"/>
                <w:szCs w:val="21"/>
                <w:highlight w:val="none"/>
              </w:rPr>
              <w:t>、0550-3519516、18712012204。</w:t>
            </w:r>
          </w:p>
        </w:tc>
      </w:tr>
      <w:tr w14:paraId="28E8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5754A4F5">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 xml:space="preserve">投标人提出投诉 </w:t>
            </w:r>
          </w:p>
          <w:p w14:paraId="07D30611">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的方式</w:t>
            </w:r>
          </w:p>
        </w:tc>
        <w:tc>
          <w:tcPr>
            <w:tcW w:w="7997" w:type="dxa"/>
            <w:vAlign w:val="center"/>
          </w:tcPr>
          <w:p w14:paraId="592B444B">
            <w:pPr>
              <w:widowControl/>
              <w:wordWrap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投标人或者其他利害关系人认为招标投标活动违反法律、法规和规章规定的，有权向相关行政监督部门投诉。在线投诉具体步骤和程序请参照服务指南&gt;投诉渠道 https://ggzy.chuzhou.gov.cn/fwzn/011001/serviceGuide.html；投诉书格式等内容参见服务指南&gt;办事指南&gt;投标人服务&gt;投诉受理一次告知书https://ggzy.chuzhou.gov.cn/fwzn/011001/011001001/011001001003/20211022/4b7d87ec-2c58-49b0-b76c-3a6277377930.html。</w:t>
            </w:r>
          </w:p>
        </w:tc>
      </w:tr>
      <w:tr w14:paraId="117A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vAlign w:val="center"/>
          </w:tcPr>
          <w:p w14:paraId="5F0CA7FC">
            <w:pPr>
              <w:widowControl/>
              <w:spacing w:line="400" w:lineRule="exact"/>
              <w:jc w:val="center"/>
              <w:rPr>
                <w:rFonts w:ascii="宋体" w:cs="宋体"/>
                <w:b/>
                <w:color w:val="auto"/>
                <w:kern w:val="0"/>
                <w:szCs w:val="21"/>
                <w:highlight w:val="none"/>
              </w:rPr>
            </w:pPr>
            <w:r>
              <w:rPr>
                <w:rFonts w:hint="eastAsia" w:ascii="宋体" w:hAnsi="宋体" w:cs="宋体"/>
                <w:b/>
                <w:color w:val="auto"/>
                <w:kern w:val="0"/>
                <w:sz w:val="24"/>
                <w:highlight w:val="none"/>
              </w:rPr>
              <w:t>投标保证金收取</w:t>
            </w:r>
          </w:p>
        </w:tc>
      </w:tr>
      <w:tr w14:paraId="7AA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01F57D8D">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投标保证金收取</w:t>
            </w:r>
          </w:p>
        </w:tc>
        <w:tc>
          <w:tcPr>
            <w:tcW w:w="7997" w:type="dxa"/>
            <w:vAlign w:val="center"/>
          </w:tcPr>
          <w:p w14:paraId="3E2CD811">
            <w:pPr>
              <w:widowControl/>
              <w:jc w:val="left"/>
              <w:rPr>
                <w:rFonts w:ascii="宋体" w:hAnsi="宋体"/>
                <w:color w:val="auto"/>
                <w:szCs w:val="21"/>
                <w:highlight w:val="none"/>
              </w:rPr>
            </w:pPr>
            <w:r>
              <w:rPr>
                <w:rFonts w:hint="eastAsia" w:ascii="宋体" w:hAnsi="宋体"/>
                <w:color w:val="auto"/>
                <w:szCs w:val="21"/>
                <w:highlight w:val="none"/>
              </w:rPr>
              <w:t>投标保证金的金额：</w:t>
            </w:r>
            <w:r>
              <w:rPr>
                <w:rFonts w:hint="eastAsia" w:ascii="宋体" w:hAnsi="宋体"/>
                <w:color w:val="auto"/>
                <w:szCs w:val="21"/>
                <w:highlight w:val="none"/>
                <w:lang w:val="en-US" w:eastAsia="zh-CN"/>
              </w:rPr>
              <w:t>26</w:t>
            </w:r>
            <w:r>
              <w:rPr>
                <w:rFonts w:hint="eastAsia" w:ascii="宋体" w:hAnsi="宋体"/>
                <w:color w:val="auto"/>
                <w:szCs w:val="21"/>
                <w:highlight w:val="none"/>
              </w:rPr>
              <w:t>万</w:t>
            </w:r>
            <w:r>
              <w:rPr>
                <w:rFonts w:hint="eastAsia" w:ascii="宋体" w:hAnsi="宋体" w:cs="MS Mincho"/>
                <w:color w:val="auto"/>
                <w:kern w:val="0"/>
                <w:szCs w:val="21"/>
                <w:highlight w:val="none"/>
              </w:rPr>
              <w:t>元，要求投标人提交投标保证金。</w:t>
            </w:r>
          </w:p>
        </w:tc>
      </w:tr>
      <w:tr w14:paraId="1F94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33107CA8">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投标保证金形式</w:t>
            </w:r>
          </w:p>
        </w:tc>
        <w:tc>
          <w:tcPr>
            <w:tcW w:w="7997" w:type="dxa"/>
            <w:vAlign w:val="center"/>
          </w:tcPr>
          <w:p w14:paraId="7F3D2196">
            <w:pPr>
              <w:widowControl/>
              <w:spacing w:line="400" w:lineRule="exact"/>
              <w:jc w:val="left"/>
              <w:rPr>
                <w:rFonts w:ascii="宋体" w:hAnsi="宋体" w:cs="MS Mincho"/>
                <w:color w:val="auto"/>
                <w:kern w:val="0"/>
                <w:szCs w:val="21"/>
                <w:highlight w:val="none"/>
              </w:rPr>
            </w:pPr>
            <w:bookmarkStart w:id="12" w:name="OLE_LINK62"/>
            <w:bookmarkStart w:id="13" w:name="OLE_LINK61"/>
            <w:bookmarkStart w:id="14" w:name="OLE_LINK69"/>
            <w:bookmarkStart w:id="15" w:name="OLE_LINK66"/>
            <w:r>
              <w:rPr>
                <w:rFonts w:hint="eastAsia" w:ascii="宋体" w:hAnsi="宋体" w:cs="MS Mincho"/>
                <w:color w:val="auto"/>
                <w:kern w:val="0"/>
                <w:szCs w:val="21"/>
                <w:highlight w:val="none"/>
              </w:rPr>
              <w:t>支持现金（银行转账、银行电汇等）、非现金形式（支票、银行汇票、本票等）、电子保函、纸质银行保函。</w:t>
            </w:r>
            <w:bookmarkEnd w:id="12"/>
            <w:bookmarkEnd w:id="13"/>
            <w:bookmarkEnd w:id="14"/>
            <w:bookmarkEnd w:id="15"/>
          </w:p>
        </w:tc>
      </w:tr>
      <w:tr w14:paraId="13C6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1E3DD56F">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接收投标保证金的账户信息</w:t>
            </w:r>
          </w:p>
        </w:tc>
        <w:tc>
          <w:tcPr>
            <w:tcW w:w="7997" w:type="dxa"/>
            <w:vAlign w:val="center"/>
          </w:tcPr>
          <w:p w14:paraId="2DCCA300">
            <w:pPr>
              <w:widowControl/>
              <w:spacing w:line="56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1)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选择任何一家银行提交即可）：</w:t>
            </w:r>
          </w:p>
          <w:p w14:paraId="5E7D38CE">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①户名：滁州市公共资源交易中心</w:t>
            </w:r>
          </w:p>
          <w:p w14:paraId="2DD90BD3">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开户行：中国银行滁州分行 </w:t>
            </w:r>
          </w:p>
          <w:p w14:paraId="1194E325">
            <w:pPr>
              <w:widowControl/>
              <w:spacing w:line="560" w:lineRule="exact"/>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账  号：175228936080</w:t>
            </w:r>
            <w:r>
              <w:rPr>
                <w:rFonts w:hint="eastAsia" w:ascii="宋体" w:hAnsi="宋体" w:cs="宋体"/>
                <w:color w:val="auto"/>
                <w:kern w:val="0"/>
                <w:szCs w:val="21"/>
                <w:highlight w:val="none"/>
                <w:lang w:val="en-US" w:eastAsia="zh-CN"/>
              </w:rPr>
              <w:t xml:space="preserve"> </w:t>
            </w:r>
          </w:p>
          <w:p w14:paraId="4DE87A7A">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②户  名：滁州市公共资源交易中心 </w:t>
            </w:r>
          </w:p>
          <w:p w14:paraId="48EAF7A0">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开户行：中国建设银行股份有限公司滁州南谯支行</w:t>
            </w:r>
          </w:p>
          <w:p w14:paraId="15981B96">
            <w:pPr>
              <w:widowControl/>
              <w:spacing w:line="560" w:lineRule="exact"/>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账  号：6232811720000041587</w:t>
            </w:r>
            <w:r>
              <w:rPr>
                <w:rFonts w:hint="eastAsia" w:ascii="宋体" w:hAnsi="宋体" w:cs="宋体"/>
                <w:color w:val="auto"/>
                <w:kern w:val="0"/>
                <w:szCs w:val="21"/>
                <w:highlight w:val="none"/>
                <w:lang w:val="en-US" w:eastAsia="zh-CN"/>
              </w:rPr>
              <w:t xml:space="preserve"> </w:t>
            </w:r>
          </w:p>
          <w:p w14:paraId="471A45E8">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③户  名：滁州市公共资源交易中心 </w:t>
            </w:r>
          </w:p>
          <w:p w14:paraId="2EF69875">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开户行：中国农业银行滁州中都支行</w:t>
            </w:r>
          </w:p>
          <w:p w14:paraId="44303935">
            <w:pPr>
              <w:widowControl/>
              <w:spacing w:line="560" w:lineRule="exact"/>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账  号：123340010400044210000000355</w:t>
            </w:r>
            <w:r>
              <w:rPr>
                <w:rFonts w:hint="eastAsia" w:ascii="宋体" w:hAnsi="宋体" w:cs="宋体"/>
                <w:color w:val="auto"/>
                <w:kern w:val="0"/>
                <w:szCs w:val="21"/>
                <w:highlight w:val="none"/>
                <w:lang w:val="en-US" w:eastAsia="zh-CN"/>
              </w:rPr>
              <w:t xml:space="preserve"> </w:t>
            </w:r>
          </w:p>
          <w:p w14:paraId="399AC725">
            <w:pPr>
              <w:widowControl/>
              <w:spacing w:line="56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采用现金形式缴纳保证金时须在交易附言中注明：“</w:t>
            </w:r>
            <w:r>
              <w:rPr>
                <w:rFonts w:hint="eastAsia"/>
                <w:color w:val="auto"/>
                <w:szCs w:val="21"/>
                <w:highlight w:val="none"/>
                <w:lang w:eastAsia="zh-CN"/>
              </w:rPr>
              <w:t>czsjgc202609-003</w:t>
            </w:r>
            <w:r>
              <w:rPr>
                <w:rFonts w:hint="eastAsia" w:ascii="宋体" w:hAnsi="宋体" w:cs="宋体"/>
                <w:color w:val="auto"/>
                <w:kern w:val="0"/>
                <w:szCs w:val="21"/>
                <w:highlight w:val="none"/>
              </w:rPr>
              <w:t>项目投标保证金”。</w:t>
            </w:r>
          </w:p>
          <w:p w14:paraId="7634AE08">
            <w:pPr>
              <w:widowControl/>
              <w:spacing w:line="56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2）采用支票、银行汇票、本票等非现金形式提交投标保证金时，投标人应在付款人开户行申请书附言处注明“</w:t>
            </w:r>
            <w:r>
              <w:rPr>
                <w:rFonts w:hint="eastAsia"/>
                <w:color w:val="auto"/>
                <w:szCs w:val="21"/>
                <w:highlight w:val="none"/>
                <w:lang w:eastAsia="zh-CN"/>
              </w:rPr>
              <w:t>czsjgc202609-003</w:t>
            </w:r>
            <w:r>
              <w:rPr>
                <w:rFonts w:hint="eastAsia" w:ascii="宋体" w:hAnsi="宋体" w:cs="宋体"/>
                <w:color w:val="auto"/>
                <w:kern w:val="0"/>
                <w:szCs w:val="21"/>
                <w:highlight w:val="none"/>
              </w:rPr>
              <w:t>项目投标保证金”字样，应确保收款人开户行进账单完整反映交易附言内容，由此导致无法识别投标保证金对应的投标项目，其后果由投标人负责。</w:t>
            </w:r>
          </w:p>
          <w:p w14:paraId="6EFB8587">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3)采用电子保函形式具体要求如下：</w:t>
            </w:r>
          </w:p>
          <w:p w14:paraId="518884B1">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①电子保函提交要求：</w:t>
            </w:r>
          </w:p>
          <w:p w14:paraId="6D20C6C4">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a.投标人须在投标文件提交截止时间前提供与滁州市公共资源交易中心金融服务平台对接的电子保函，否则视为投标保证金未按规定要求缴纳。</w:t>
            </w:r>
          </w:p>
          <w:p w14:paraId="61D64120">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b.电子保函生效时间须为所投项目规定的保证金到账截止时间之前，电子保函的有效期截止时间不得短于招标文件约定的投标有效期截止时间，否则视为投标保证金未按规定要求缴纳。</w:t>
            </w:r>
          </w:p>
          <w:p w14:paraId="304503E2">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c.投标有效期内未能确定中标结果，需要延长投标有效期，投标人同意延长投标有效期的，须相应延长电子保函的有效期。</w:t>
            </w:r>
          </w:p>
          <w:p w14:paraId="0A305A27">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d.投标人存在投标保证金不予退还的情形，采用电子保函形式的将予以追缴。</w:t>
            </w:r>
          </w:p>
          <w:p w14:paraId="0A9EA2D8">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4)采用纸质银行保函形式具体要求如下：</w:t>
            </w:r>
          </w:p>
          <w:p w14:paraId="6EB21958">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①应为投标人基本账户开户银行出具的不可撤销、不可转让的见索即付独立保函,所需费用由投标人承担。</w:t>
            </w:r>
          </w:p>
          <w:p w14:paraId="387136FB">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②投标人在投标文件中必须提供基本存款账户证明（如基本存款账户开户许可证或基本存款账户信息），同时将纸质保函扫描件提供在投标文件中。</w:t>
            </w:r>
          </w:p>
          <w:p w14:paraId="1F2225A6">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③投标人在投标文件中必须提供明确有效的查询途径（ 网址链接及查询方式），否则该纸质银行保函无效。</w:t>
            </w:r>
          </w:p>
          <w:p w14:paraId="0CE2F5D2">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④中标候选人须在中标候选人公示期间将其开具至本招标项目的保函原件提交招标人（或招标代理机构），且原件须与投标文件中提供的扫描件一致，如存在未按照规定提交或提交内容不一致的，招标人有权取消其中标候选人资格；发现弄虚作假的，招标人（或招标代理机构）应报公共资源交易监管部门依法处理。</w:t>
            </w:r>
          </w:p>
          <w:p w14:paraId="3E0AB524">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2.保证金电子保函业务应急处置措施。由于自然灾害、事故灾难、突发公共网络安全事件或者系统原因，以及保证金电子保函系统使用过程中出现的以下情况：</w:t>
            </w:r>
          </w:p>
          <w:p w14:paraId="752F598D">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（1）开标时，系统获取明文保函文件异常，无法正常获取保函文件；</w:t>
            </w:r>
          </w:p>
          <w:p w14:paraId="1E7FF04E">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（2）保证金电子保函系统的软件或数据库出现错误，不能进行正常操作；</w:t>
            </w:r>
          </w:p>
          <w:p w14:paraId="38A28D9C">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（3）保证金电子保函系统服务器发生故障等情况，无法访问或无法使用电子保函；</w:t>
            </w:r>
          </w:p>
          <w:p w14:paraId="619464E7">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（4）保证金电子保函系统服务器受到病毒或其他外来的攻击；</w:t>
            </w:r>
          </w:p>
          <w:p w14:paraId="70148DE1">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（5）其他影响电子保函出具的异常情形。</w:t>
            </w:r>
          </w:p>
          <w:p w14:paraId="61CB987C">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由于上述原因导致投标人无法正常参加开评标的，招标人或招标代理机构应及时报告公共资源交易服务平台核实问题原因。投标人确实已购买电子保函，经监管部门同意后，投标人可以继续参加开评标。</w:t>
            </w:r>
          </w:p>
          <w:p w14:paraId="7DF9BB1D">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3.本次招标失败，再次进行招标的，投标人须按照新的账户重新缴纳投标保证金。</w:t>
            </w:r>
          </w:p>
          <w:p w14:paraId="1363BDF3">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4.投标人为联合体投标的，由牵头人基本账户转出投标保证金或由牵头人办理保函。</w:t>
            </w:r>
          </w:p>
          <w:p w14:paraId="68E501E6">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5.是否适用免缴投标保证金政策</w:t>
            </w:r>
          </w:p>
          <w:p w14:paraId="33BB0438">
            <w:pPr>
              <w:widowControl/>
              <w:spacing w:line="560" w:lineRule="exact"/>
              <w:jc w:val="left"/>
              <w:rPr>
                <w:rFonts w:ascii="宋体" w:hAnsi="宋体" w:cs="MS Mincho"/>
                <w:color w:val="auto"/>
                <w:kern w:val="0"/>
                <w:szCs w:val="21"/>
                <w:highlight w:val="none"/>
              </w:rPr>
            </w:pPr>
            <w:r>
              <w:rPr>
                <w:rFonts w:hint="eastAsia" w:ascii="宋体" w:hAnsi="宋体" w:cs="宋体"/>
                <w:color w:val="auto"/>
                <w:kern w:val="0"/>
                <w:szCs w:val="21"/>
                <w:highlight w:val="none"/>
              </w:rPr>
              <w:t>不适用。</w:t>
            </w:r>
          </w:p>
        </w:tc>
      </w:tr>
      <w:tr w14:paraId="74E5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31484D9A">
            <w:pPr>
              <w:widowControl/>
              <w:spacing w:line="400" w:lineRule="exact"/>
              <w:jc w:val="center"/>
              <w:rPr>
                <w:rFonts w:ascii="宋体" w:hAnsi="宋体" w:cs="MS Mincho"/>
                <w:color w:val="auto"/>
                <w:kern w:val="0"/>
                <w:szCs w:val="21"/>
                <w:highlight w:val="none"/>
              </w:rPr>
            </w:pPr>
            <w:r>
              <w:rPr>
                <w:rFonts w:hint="eastAsia" w:ascii="宋体" w:hAnsi="宋体" w:cs="MS Mincho"/>
                <w:color w:val="auto"/>
                <w:kern w:val="0"/>
                <w:szCs w:val="21"/>
                <w:highlight w:val="none"/>
              </w:rPr>
              <w:t>备注</w:t>
            </w:r>
          </w:p>
        </w:tc>
        <w:tc>
          <w:tcPr>
            <w:tcW w:w="7997" w:type="dxa"/>
            <w:shd w:val="clear" w:color="auto" w:fill="auto"/>
            <w:vAlign w:val="center"/>
          </w:tcPr>
          <w:p w14:paraId="5A570B9E">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1、投标人为联合体投标的，保证金由牵头人基本账户转入交易中心账户或由牵头人办理投标担保。</w:t>
            </w:r>
          </w:p>
          <w:p w14:paraId="7AA1FC49">
            <w:pPr>
              <w:widowControl/>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本项目不缴纳投标保证金条款仅针对在投标过程中未违反本招标文件第二章“投标人须知”中第3.4.4项约定的投标人。如在投标过程中投标人存在本招标文件第二章“投标人须知”中第3.4.4项约定情形，则无条件按招标人要求的金额、时间、账号缴纳投标保证金。投标人采用银行保函、担保机构担保、保证保险方式提交投标保证金的，如出现本招标文件“投标人须知”第 3.4.4 项所列情形的，提供担保的银行、担保机构及保险机构将无条件向招标人支付保函所列的全部投标保证金金额，该支付行为视同投标保证金不予退还。</w:t>
            </w:r>
          </w:p>
          <w:p w14:paraId="0C1B8CF3">
            <w:pPr>
              <w:spacing w:line="560" w:lineRule="exact"/>
              <w:rPr>
                <w:rFonts w:ascii="宋体" w:hAnsi="宋体" w:cs="宋体"/>
                <w:b/>
                <w:color w:val="auto"/>
                <w:kern w:val="0"/>
                <w:szCs w:val="21"/>
                <w:highlight w:val="none"/>
              </w:rPr>
            </w:pPr>
            <w:r>
              <w:rPr>
                <w:rFonts w:hint="eastAsia"/>
                <w:color w:val="auto"/>
                <w:highlight w:val="none"/>
              </w:rPr>
              <w:t>3、投标人采用虚假银行保函、担保机构担保、保证保险方式提交投标保证金的，应依法承担弄虚作假、骗取中标的法律责任。</w:t>
            </w:r>
          </w:p>
        </w:tc>
      </w:tr>
      <w:tr w14:paraId="53BE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vAlign w:val="center"/>
          </w:tcPr>
          <w:p w14:paraId="416E1E2D">
            <w:pPr>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 w:val="24"/>
                <w:highlight w:val="none"/>
              </w:rPr>
              <w:t>其他说明</w:t>
            </w:r>
          </w:p>
        </w:tc>
      </w:tr>
      <w:tr w14:paraId="6C43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A648F64">
            <w:pPr>
              <w:widowControl/>
              <w:spacing w:line="400" w:lineRule="exact"/>
              <w:jc w:val="center"/>
              <w:rPr>
                <w:rFonts w:ascii="宋体" w:hAnsi="宋体" w:cs="MS Mincho"/>
                <w:color w:val="auto"/>
                <w:kern w:val="0"/>
                <w:szCs w:val="21"/>
                <w:highlight w:val="none"/>
              </w:rPr>
            </w:pPr>
            <w:r>
              <w:rPr>
                <w:rFonts w:hint="eastAsia" w:ascii="宋体" w:hAnsi="宋体" w:cs="MS Mincho"/>
                <w:color w:val="auto"/>
                <w:kern w:val="0"/>
                <w:szCs w:val="21"/>
                <w:highlight w:val="none"/>
              </w:rPr>
              <w:t>重要说明</w:t>
            </w:r>
          </w:p>
        </w:tc>
        <w:tc>
          <w:tcPr>
            <w:tcW w:w="7997" w:type="dxa"/>
            <w:vAlign w:val="center"/>
          </w:tcPr>
          <w:p w14:paraId="0B21FEEC">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1、本项目只接受在安徽省公共资源交易市场主体库（</w:t>
            </w:r>
            <w:r>
              <w:rPr>
                <w:rFonts w:ascii="宋体" w:hAnsi="宋体" w:cs="宋体"/>
                <w:color w:val="auto"/>
                <w:kern w:val="0"/>
                <w:szCs w:val="21"/>
                <w:highlight w:val="none"/>
              </w:rPr>
              <w:t>http://ggzy.ah.gov.cn/ahggfwpt-zhutiku/dengludenglu</w:t>
            </w:r>
            <w:r>
              <w:rPr>
                <w:rFonts w:hint="eastAsia" w:ascii="宋体" w:hAnsi="宋体" w:cs="宋体"/>
                <w:color w:val="auto"/>
                <w:kern w:val="0"/>
                <w:szCs w:val="21"/>
                <w:highlight w:val="none"/>
              </w:rPr>
              <w:t>）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 CA数字证书有关问题：安徽CA客服</w:t>
            </w:r>
            <w:r>
              <w:rPr>
                <w:rFonts w:hint="eastAsia" w:ascii="宋体" w:hAnsi="宋体" w:cs="宋体"/>
                <w:color w:val="auto"/>
                <w:kern w:val="0"/>
                <w:szCs w:val="21"/>
                <w:highlight w:val="none"/>
                <w:lang w:eastAsia="zh-CN"/>
              </w:rPr>
              <w:t>400-615-8899</w:t>
            </w:r>
            <w:r>
              <w:rPr>
                <w:rFonts w:hint="eastAsia" w:ascii="宋体" w:hAnsi="宋体" w:cs="宋体"/>
                <w:color w:val="auto"/>
                <w:kern w:val="0"/>
                <w:szCs w:val="21"/>
                <w:highlight w:val="none"/>
              </w:rPr>
              <w:t>、0550-3019013（工作日）,CFCA客服025-66085508 、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1C0D400C">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2、请投标人登录滁州市公共资源交易中心网站查看参加本项目的程序（具体操作步骤和程序请参见服务指南&gt;交易须知&gt;投标人填写投标信息、下载文件及网上提问操作手册）。</w:t>
            </w:r>
          </w:p>
          <w:p w14:paraId="63774230">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67C389CE">
            <w:pPr>
              <w:widowControl/>
              <w:wordWrap w:val="0"/>
              <w:spacing w:line="560" w:lineRule="exact"/>
              <w:jc w:val="left"/>
              <w:rPr>
                <w:rFonts w:ascii="宋体" w:hAnsi="宋体" w:cs="MS Mincho"/>
                <w:color w:val="auto"/>
                <w:kern w:val="0"/>
                <w:szCs w:val="21"/>
                <w:highlight w:val="none"/>
              </w:rPr>
            </w:pPr>
            <w:r>
              <w:rPr>
                <w:rFonts w:hint="eastAsia" w:ascii="宋体" w:hAnsi="宋体" w:cs="宋体"/>
                <w:color w:val="auto"/>
                <w:kern w:val="0"/>
                <w:szCs w:val="21"/>
                <w:highlight w:val="none"/>
              </w:rPr>
              <w:t>4、投标文件格式、内容和制作要求以招标文件为准，投标文件制作工具中提供的相关格式及内容仅供参考，投标企业可根据招标文件要求自行调整。</w:t>
            </w:r>
          </w:p>
        </w:tc>
      </w:tr>
      <w:tr w14:paraId="48C6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3BE3481D">
            <w:pPr>
              <w:widowControl/>
              <w:spacing w:line="560" w:lineRule="exact"/>
              <w:jc w:val="center"/>
              <w:rPr>
                <w:bCs/>
                <w:color w:val="auto"/>
                <w:spacing w:val="-6"/>
                <w:szCs w:val="21"/>
                <w:highlight w:val="none"/>
              </w:rPr>
            </w:pPr>
            <w:r>
              <w:rPr>
                <w:rFonts w:hint="eastAsia"/>
                <w:bCs/>
                <w:color w:val="auto"/>
                <w:spacing w:val="-6"/>
                <w:szCs w:val="21"/>
                <w:highlight w:val="none"/>
              </w:rPr>
              <w:t>特别提示</w:t>
            </w:r>
          </w:p>
          <w:p w14:paraId="455FFD94">
            <w:pPr>
              <w:pStyle w:val="18"/>
              <w:rPr>
                <w:rFonts w:ascii="宋体" w:hAnsi="宋体" w:cs="MS Mincho"/>
                <w:color w:val="auto"/>
                <w:kern w:val="0"/>
                <w:szCs w:val="21"/>
                <w:highlight w:val="none"/>
              </w:rPr>
            </w:pPr>
          </w:p>
        </w:tc>
        <w:tc>
          <w:tcPr>
            <w:tcW w:w="7997" w:type="dxa"/>
            <w:vAlign w:val="center"/>
          </w:tcPr>
          <w:p w14:paraId="643E7AA3">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本项目投标保证金、履约保证金、工程质量保证金、农民工工资保证金均支持保函使用。以现金形式提交保证金的，应当同时退还保证金本金和银行同期存款利息。</w:t>
            </w:r>
          </w:p>
          <w:p w14:paraId="3C45E8C8">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2.投标人应填写投标信息并下载招标文件，否则无法上传投标文件。</w:t>
            </w:r>
          </w:p>
          <w:p w14:paraId="44915C44">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注：投标人如为联合体的，牵头人必须完善投标人信息，并在上传投标文件环节添加联合体投标信息。</w:t>
            </w:r>
          </w:p>
          <w:p w14:paraId="0DBE2EA1">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p>
          <w:p w14:paraId="6B89CAC1">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4.如果过程中出现招标文件更改，应以最后发布的招标答疑澄清文件中的模板制作本项目最新投标文件。</w:t>
            </w:r>
          </w:p>
          <w:p w14:paraId="73225CD8">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5.投标人应当用本单位CA数字证书制作投标文件，制作成功后进行投标文件上传。 </w:t>
            </w:r>
          </w:p>
          <w:p w14:paraId="717B7788">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30D20205">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7.请投标人注意加密投标文件CA数字证书的有效期，不在有效期的CA数字证书无法解密投标文件。</w:t>
            </w:r>
          </w:p>
          <w:p w14:paraId="5C18C342">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8.投标人投标MAC地址一致或申请开具电子保函MAC地址一致的，由评标委员会否决其投标。</w:t>
            </w:r>
          </w:p>
          <w:p w14:paraId="410C0DB7">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9.投标人投标文件中单方面出现其他投标人材料的（依法组成联合体投标的除外），由评标委员会否决其投标。</w:t>
            </w:r>
          </w:p>
          <w:p w14:paraId="70F0AFDC">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348CC377">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11.若存在不予退还投标人投标保证金的情形，银行转账的，由公共资源交易中心代为收缴，递交保函的，由招标人予以追缴。</w:t>
            </w:r>
          </w:p>
          <w:p w14:paraId="4F2FF8E5">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12.投标人以联合体名义投标的，其异议投诉应当由联合体全体成员共同提出。联合体成员单独进行异议投诉的，应当书面征得联合体其他成员同意，联合体成员之间投诉的除外。</w:t>
            </w:r>
          </w:p>
          <w:p w14:paraId="5220D46E">
            <w:pPr>
              <w:widowControl/>
              <w:wordWrap w:val="0"/>
              <w:spacing w:line="5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13.投标人联系人或联系电话相同的，由评标委员会否决其投标，并报告监管部门作不良行为处理和进一步调查。</w:t>
            </w:r>
          </w:p>
          <w:p w14:paraId="569EF5FD">
            <w:pPr>
              <w:widowControl/>
              <w:wordWrap w:val="0"/>
              <w:spacing w:line="560" w:lineRule="exact"/>
              <w:jc w:val="left"/>
              <w:rPr>
                <w:rFonts w:ascii="宋体" w:hAnsi="宋体" w:cs="MS Mincho"/>
                <w:color w:val="auto"/>
                <w:kern w:val="0"/>
                <w:szCs w:val="21"/>
                <w:highlight w:val="none"/>
              </w:rPr>
            </w:pPr>
            <w:r>
              <w:rPr>
                <w:rFonts w:hint="eastAsia" w:ascii="宋体" w:hAnsi="宋体" w:cs="宋体"/>
                <w:color w:val="auto"/>
                <w:kern w:val="0"/>
                <w:szCs w:val="21"/>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776E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vAlign w:val="center"/>
          </w:tcPr>
          <w:p w14:paraId="2025C051">
            <w:pPr>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 w:val="24"/>
                <w:highlight w:val="none"/>
              </w:rPr>
              <w:t>联系方式（受理异议的联系人及联系方式）</w:t>
            </w:r>
          </w:p>
        </w:tc>
      </w:tr>
      <w:tr w14:paraId="09FC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75F71075">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招标人名称</w:t>
            </w:r>
          </w:p>
        </w:tc>
        <w:tc>
          <w:tcPr>
            <w:tcW w:w="7997" w:type="dxa"/>
            <w:vAlign w:val="center"/>
          </w:tcPr>
          <w:p w14:paraId="5E97476A">
            <w:pPr>
              <w:widowControl/>
              <w:spacing w:line="4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滁州工投中都科技产业园有限公司</w:t>
            </w:r>
          </w:p>
        </w:tc>
      </w:tr>
      <w:tr w14:paraId="14A6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6A0D4E37">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招标人地址</w:t>
            </w:r>
          </w:p>
        </w:tc>
        <w:tc>
          <w:tcPr>
            <w:tcW w:w="7997" w:type="dxa"/>
            <w:vAlign w:val="center"/>
          </w:tcPr>
          <w:p w14:paraId="2B524C4B">
            <w:pPr>
              <w:widowControl/>
              <w:spacing w:line="4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rPr>
              <w:t>滁州市凤阳县琉璃岗路与凤翔大道交口</w:t>
            </w:r>
          </w:p>
        </w:tc>
      </w:tr>
      <w:tr w14:paraId="27F8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0ECFC79C">
            <w:pPr>
              <w:widowControl/>
              <w:spacing w:line="400" w:lineRule="exact"/>
              <w:jc w:val="center"/>
              <w:rPr>
                <w:bCs/>
                <w:color w:val="auto"/>
                <w:spacing w:val="-6"/>
                <w:szCs w:val="21"/>
                <w:highlight w:val="none"/>
              </w:rPr>
            </w:pPr>
            <w:r>
              <w:rPr>
                <w:rFonts w:hint="eastAsia"/>
                <w:bCs/>
                <w:color w:val="auto"/>
                <w:spacing w:val="-6"/>
                <w:szCs w:val="21"/>
                <w:highlight w:val="none"/>
              </w:rPr>
              <w:t>招标人联系人</w:t>
            </w:r>
          </w:p>
        </w:tc>
        <w:tc>
          <w:tcPr>
            <w:tcW w:w="7997" w:type="dxa"/>
            <w:vAlign w:val="center"/>
          </w:tcPr>
          <w:p w14:paraId="029064ED">
            <w:pPr>
              <w:widowControl/>
              <w:spacing w:line="400" w:lineRule="exact"/>
              <w:jc w:val="left"/>
              <w:rPr>
                <w:rFonts w:hint="default" w:ascii="宋体" w:hAnsi="宋体" w:eastAsia="宋体" w:cs="宋体"/>
                <w:color w:val="auto"/>
                <w:kern w:val="0"/>
                <w:szCs w:val="21"/>
                <w:highlight w:val="none"/>
                <w:lang w:val="en-US" w:eastAsia="zh-CN"/>
              </w:rPr>
            </w:pPr>
            <w:r>
              <w:rPr>
                <w:rFonts w:hint="eastAsia" w:ascii="宋体" w:hAnsi="宋体" w:cs="宋体"/>
                <w:color w:val="auto"/>
                <w:szCs w:val="21"/>
                <w:highlight w:val="none"/>
                <w:lang w:eastAsia="zh-CN"/>
              </w:rPr>
              <w:t>蒋</w:t>
            </w:r>
            <w:r>
              <w:rPr>
                <w:rFonts w:hint="eastAsia" w:ascii="宋体" w:hAnsi="宋体" w:cs="宋体"/>
                <w:color w:val="auto"/>
                <w:szCs w:val="21"/>
                <w:highlight w:val="none"/>
                <w:lang w:val="en-US" w:eastAsia="zh-CN"/>
              </w:rPr>
              <w:t>工、刘工</w:t>
            </w:r>
          </w:p>
        </w:tc>
      </w:tr>
      <w:tr w14:paraId="2D0E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51447BC7">
            <w:pPr>
              <w:widowControl/>
              <w:spacing w:line="400" w:lineRule="exact"/>
              <w:jc w:val="center"/>
              <w:rPr>
                <w:bCs/>
                <w:color w:val="auto"/>
                <w:spacing w:val="-6"/>
                <w:szCs w:val="21"/>
                <w:highlight w:val="none"/>
              </w:rPr>
            </w:pPr>
            <w:r>
              <w:rPr>
                <w:rFonts w:hint="eastAsia"/>
                <w:bCs/>
                <w:color w:val="auto"/>
                <w:spacing w:val="-6"/>
                <w:szCs w:val="21"/>
                <w:highlight w:val="none"/>
              </w:rPr>
              <w:t>招标人电话</w:t>
            </w:r>
          </w:p>
        </w:tc>
        <w:tc>
          <w:tcPr>
            <w:tcW w:w="7997" w:type="dxa"/>
            <w:vAlign w:val="center"/>
          </w:tcPr>
          <w:p w14:paraId="2A7976D5">
            <w:pPr>
              <w:widowControl/>
              <w:spacing w:line="400" w:lineRule="exact"/>
              <w:jc w:val="left"/>
              <w:rPr>
                <w:rFonts w:hint="default" w:ascii="宋体" w:hAnsi="宋体" w:eastAsia="宋体" w:cs="宋体"/>
                <w:color w:val="auto"/>
                <w:kern w:val="0"/>
                <w:szCs w:val="21"/>
                <w:highlight w:val="none"/>
                <w:lang w:val="en-US" w:eastAsia="zh-CN"/>
              </w:rPr>
            </w:pPr>
            <w:r>
              <w:rPr>
                <w:rFonts w:hint="eastAsia" w:ascii="宋体" w:hAnsi="宋体" w:cs="宋体"/>
                <w:color w:val="auto"/>
                <w:szCs w:val="21"/>
                <w:highlight w:val="none"/>
                <w:lang w:eastAsia="zh-CN"/>
              </w:rPr>
              <w:t>0550-3018125、</w:t>
            </w:r>
            <w:r>
              <w:rPr>
                <w:rFonts w:hint="eastAsia" w:ascii="宋体" w:hAnsi="宋体" w:cs="宋体"/>
                <w:color w:val="auto"/>
                <w:szCs w:val="21"/>
                <w:highlight w:val="none"/>
                <w:lang w:val="en-US" w:eastAsia="zh-CN"/>
              </w:rPr>
              <w:t>19355030932</w:t>
            </w:r>
          </w:p>
        </w:tc>
      </w:tr>
      <w:tr w14:paraId="1AB7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2FAD3FC0">
            <w:pPr>
              <w:widowControl/>
              <w:spacing w:line="400" w:lineRule="exact"/>
              <w:jc w:val="center"/>
              <w:rPr>
                <w:bCs/>
                <w:color w:val="auto"/>
                <w:spacing w:val="-6"/>
                <w:szCs w:val="21"/>
                <w:highlight w:val="none"/>
              </w:rPr>
            </w:pPr>
            <w:r>
              <w:rPr>
                <w:rFonts w:hint="eastAsia"/>
                <w:bCs/>
                <w:color w:val="auto"/>
                <w:spacing w:val="-6"/>
                <w:szCs w:val="21"/>
                <w:highlight w:val="none"/>
              </w:rPr>
              <w:t>招标代理机构名称</w:t>
            </w:r>
          </w:p>
        </w:tc>
        <w:tc>
          <w:tcPr>
            <w:tcW w:w="7997" w:type="dxa"/>
            <w:vAlign w:val="center"/>
          </w:tcPr>
          <w:p w14:paraId="3C2B1E0A">
            <w:pPr>
              <w:widowControl/>
              <w:spacing w:line="400" w:lineRule="exact"/>
              <w:jc w:val="left"/>
              <w:rPr>
                <w:rFonts w:ascii="宋体" w:hAnsi="宋体" w:cs="宋体"/>
                <w:color w:val="auto"/>
                <w:kern w:val="0"/>
                <w:szCs w:val="21"/>
                <w:highlight w:val="none"/>
              </w:rPr>
            </w:pPr>
            <w:r>
              <w:rPr>
                <w:rFonts w:hint="eastAsia" w:ascii="宋体" w:hAnsi="宋体" w:cs="宋体"/>
                <w:color w:val="auto"/>
                <w:szCs w:val="21"/>
                <w:highlight w:val="none"/>
              </w:rPr>
              <w:t>滁州市城投工程咨询管理有限公司</w:t>
            </w:r>
          </w:p>
        </w:tc>
      </w:tr>
      <w:tr w14:paraId="1E5F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1085A331">
            <w:pPr>
              <w:widowControl/>
              <w:spacing w:line="400" w:lineRule="exact"/>
              <w:jc w:val="center"/>
              <w:rPr>
                <w:bCs/>
                <w:color w:val="auto"/>
                <w:spacing w:val="-6"/>
                <w:szCs w:val="21"/>
                <w:highlight w:val="none"/>
              </w:rPr>
            </w:pPr>
            <w:r>
              <w:rPr>
                <w:rFonts w:hint="eastAsia"/>
                <w:bCs/>
                <w:color w:val="auto"/>
                <w:spacing w:val="-6"/>
                <w:szCs w:val="21"/>
                <w:highlight w:val="none"/>
              </w:rPr>
              <w:t>招标代理机构地址</w:t>
            </w:r>
          </w:p>
        </w:tc>
        <w:tc>
          <w:tcPr>
            <w:tcW w:w="7997" w:type="dxa"/>
            <w:vAlign w:val="center"/>
          </w:tcPr>
          <w:p w14:paraId="6C620911">
            <w:pPr>
              <w:widowControl/>
              <w:spacing w:line="400" w:lineRule="exact"/>
              <w:jc w:val="left"/>
              <w:rPr>
                <w:rFonts w:ascii="宋体" w:hAnsi="宋体" w:cs="宋体"/>
                <w:color w:val="auto"/>
                <w:kern w:val="0"/>
                <w:szCs w:val="21"/>
                <w:highlight w:val="none"/>
              </w:rPr>
            </w:pPr>
            <w:r>
              <w:rPr>
                <w:rFonts w:hint="eastAsia" w:ascii="宋体" w:hAnsi="宋体" w:cs="宋体"/>
                <w:color w:val="auto"/>
                <w:szCs w:val="21"/>
                <w:highlight w:val="none"/>
              </w:rPr>
              <w:t>滁州市龙蟠大道109号房产大厦6楼</w:t>
            </w:r>
          </w:p>
        </w:tc>
      </w:tr>
      <w:tr w14:paraId="1F28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0EEF4131">
            <w:pPr>
              <w:widowControl/>
              <w:spacing w:line="400" w:lineRule="exact"/>
              <w:jc w:val="center"/>
              <w:rPr>
                <w:bCs/>
                <w:color w:val="auto"/>
                <w:spacing w:val="-6"/>
                <w:szCs w:val="21"/>
                <w:highlight w:val="none"/>
              </w:rPr>
            </w:pPr>
            <w:r>
              <w:rPr>
                <w:rFonts w:hint="eastAsia"/>
                <w:bCs/>
                <w:color w:val="auto"/>
                <w:spacing w:val="-6"/>
                <w:szCs w:val="21"/>
                <w:highlight w:val="none"/>
              </w:rPr>
              <w:t>招标代理机构项目负责人</w:t>
            </w:r>
          </w:p>
        </w:tc>
        <w:tc>
          <w:tcPr>
            <w:tcW w:w="7997" w:type="dxa"/>
            <w:vAlign w:val="center"/>
          </w:tcPr>
          <w:p w14:paraId="02005508">
            <w:pPr>
              <w:widowControl/>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曹思敏</w:t>
            </w:r>
          </w:p>
        </w:tc>
      </w:tr>
      <w:tr w14:paraId="3361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361C973F">
            <w:pPr>
              <w:widowControl/>
              <w:spacing w:line="400" w:lineRule="exact"/>
              <w:jc w:val="center"/>
              <w:rPr>
                <w:bCs/>
                <w:color w:val="auto"/>
                <w:spacing w:val="-6"/>
                <w:szCs w:val="21"/>
                <w:highlight w:val="none"/>
              </w:rPr>
            </w:pPr>
            <w:r>
              <w:rPr>
                <w:rFonts w:hint="eastAsia"/>
                <w:bCs/>
                <w:color w:val="auto"/>
                <w:spacing w:val="-6"/>
                <w:szCs w:val="21"/>
                <w:highlight w:val="none"/>
              </w:rPr>
              <w:t>代理机构电话</w:t>
            </w:r>
          </w:p>
        </w:tc>
        <w:tc>
          <w:tcPr>
            <w:tcW w:w="7997" w:type="dxa"/>
            <w:vAlign w:val="center"/>
          </w:tcPr>
          <w:p w14:paraId="7F4552B2">
            <w:pPr>
              <w:widowControl/>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0550-3519516、18712012204</w:t>
            </w:r>
          </w:p>
        </w:tc>
      </w:tr>
      <w:tr w14:paraId="6B08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vAlign w:val="center"/>
          </w:tcPr>
          <w:p w14:paraId="76FF51DE">
            <w:pPr>
              <w:widowControl/>
              <w:spacing w:line="400" w:lineRule="exact"/>
              <w:jc w:val="center"/>
              <w:rPr>
                <w:bCs/>
                <w:color w:val="auto"/>
                <w:spacing w:val="-6"/>
                <w:szCs w:val="21"/>
                <w:highlight w:val="none"/>
              </w:rPr>
            </w:pPr>
            <w:bookmarkStart w:id="16" w:name="_Toc247085687"/>
            <w:bookmarkStart w:id="17" w:name="_Toc152042303"/>
            <w:bookmarkStart w:id="18" w:name="_Toc60061431"/>
            <w:bookmarkStart w:id="19" w:name="_Toc152045527"/>
            <w:bookmarkStart w:id="20" w:name="_Toc324404813"/>
            <w:bookmarkStart w:id="21" w:name="_Toc246996916"/>
            <w:bookmarkStart w:id="22" w:name="_Toc179632544"/>
            <w:bookmarkStart w:id="23" w:name="_Toc506107267"/>
            <w:bookmarkStart w:id="24" w:name="_Toc95223333"/>
            <w:bookmarkStart w:id="25" w:name="_Toc15058844"/>
            <w:bookmarkStart w:id="26" w:name="_Toc246996173"/>
            <w:bookmarkStart w:id="27" w:name="_Toc30590"/>
            <w:bookmarkStart w:id="28" w:name="_Toc144974495"/>
            <w:r>
              <w:rPr>
                <w:rFonts w:hint="eastAsia"/>
                <w:bCs/>
                <w:color w:val="auto"/>
                <w:spacing w:val="-6"/>
                <w:szCs w:val="21"/>
                <w:highlight w:val="none"/>
              </w:rPr>
              <w:t xml:space="preserve">招标投标行政监督 </w:t>
            </w:r>
          </w:p>
          <w:p w14:paraId="50526FC4">
            <w:pPr>
              <w:widowControl/>
              <w:spacing w:line="400" w:lineRule="exact"/>
              <w:jc w:val="center"/>
              <w:rPr>
                <w:bCs/>
                <w:color w:val="auto"/>
                <w:spacing w:val="-6"/>
                <w:szCs w:val="21"/>
                <w:highlight w:val="none"/>
              </w:rPr>
            </w:pPr>
            <w:r>
              <w:rPr>
                <w:rFonts w:hint="eastAsia"/>
                <w:bCs/>
                <w:color w:val="auto"/>
                <w:spacing w:val="-6"/>
                <w:szCs w:val="21"/>
                <w:highlight w:val="none"/>
              </w:rPr>
              <w:t>部门</w:t>
            </w:r>
          </w:p>
        </w:tc>
        <w:tc>
          <w:tcPr>
            <w:tcW w:w="7997" w:type="dxa"/>
            <w:vAlign w:val="center"/>
          </w:tcPr>
          <w:p w14:paraId="70F99B06">
            <w:pPr>
              <w:widowControl/>
              <w:spacing w:line="400" w:lineRule="exact"/>
              <w:rPr>
                <w:bCs/>
                <w:color w:val="auto"/>
                <w:spacing w:val="-6"/>
                <w:szCs w:val="21"/>
                <w:highlight w:val="none"/>
              </w:rPr>
            </w:pPr>
            <w:r>
              <w:rPr>
                <w:rFonts w:hint="eastAsia"/>
                <w:bCs/>
                <w:color w:val="auto"/>
                <w:spacing w:val="-6"/>
                <w:szCs w:val="21"/>
                <w:highlight w:val="none"/>
              </w:rPr>
              <w:t>滁州市公共资源交易监督管理局</w:t>
            </w:r>
          </w:p>
        </w:tc>
      </w:tr>
      <w:tr w14:paraId="170A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933" w:type="dxa"/>
            <w:shd w:val="clear" w:color="auto" w:fill="auto"/>
            <w:vAlign w:val="center"/>
          </w:tcPr>
          <w:p w14:paraId="6B5E0B2B">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招标投标行政监督部门</w:t>
            </w:r>
            <w:r>
              <w:rPr>
                <w:rFonts w:hint="eastAsia"/>
                <w:bCs/>
                <w:color w:val="auto"/>
                <w:spacing w:val="-6"/>
                <w:szCs w:val="21"/>
                <w:highlight w:val="none"/>
                <w:lang w:eastAsia="zh-CN"/>
              </w:rPr>
              <w:t>地址</w:t>
            </w:r>
          </w:p>
        </w:tc>
        <w:tc>
          <w:tcPr>
            <w:tcW w:w="7997" w:type="dxa"/>
            <w:vAlign w:val="center"/>
          </w:tcPr>
          <w:p w14:paraId="7ECB74CF">
            <w:pPr>
              <w:widowControl/>
              <w:spacing w:line="440" w:lineRule="exact"/>
              <w:jc w:val="left"/>
              <w:rPr>
                <w:rFonts w:hint="eastAsia"/>
                <w:bCs/>
                <w:color w:val="auto"/>
                <w:spacing w:val="-6"/>
                <w:szCs w:val="21"/>
                <w:highlight w:val="none"/>
              </w:rPr>
            </w:pPr>
            <w:r>
              <w:rPr>
                <w:rFonts w:hint="eastAsia" w:ascii="宋体" w:hAnsi="宋体" w:cs="宋体"/>
                <w:color w:val="auto"/>
                <w:szCs w:val="21"/>
                <w:highlight w:val="none"/>
              </w:rPr>
              <w:t>滁州市龙蟠大道房产</w:t>
            </w:r>
            <w:r>
              <w:rPr>
                <w:rFonts w:hint="eastAsia" w:ascii="宋体" w:hAnsi="宋体" w:cs="宋体"/>
                <w:color w:val="auto"/>
                <w:szCs w:val="21"/>
                <w:highlight w:val="none"/>
                <w:lang w:val="en-US" w:eastAsia="zh-CN"/>
              </w:rPr>
              <w:t>商务</w:t>
            </w:r>
            <w:r>
              <w:rPr>
                <w:rFonts w:hint="eastAsia" w:ascii="宋体" w:hAnsi="宋体" w:cs="宋体"/>
                <w:color w:val="auto"/>
                <w:szCs w:val="21"/>
                <w:highlight w:val="none"/>
              </w:rPr>
              <w:t>大厦</w:t>
            </w:r>
            <w:r>
              <w:rPr>
                <w:rFonts w:hint="eastAsia" w:ascii="宋体" w:hAnsi="宋体" w:cs="宋体"/>
                <w:color w:val="auto"/>
                <w:szCs w:val="21"/>
                <w:highlight w:val="none"/>
                <w:lang w:val="en-US" w:eastAsia="zh-CN"/>
              </w:rPr>
              <w:t>三楼316室、322室</w:t>
            </w:r>
          </w:p>
        </w:tc>
      </w:tr>
      <w:tr w14:paraId="7E74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shd w:val="clear" w:color="auto" w:fill="auto"/>
            <w:vAlign w:val="center"/>
          </w:tcPr>
          <w:p w14:paraId="12EAFF14">
            <w:pPr>
              <w:widowControl/>
              <w:spacing w:line="440" w:lineRule="exact"/>
              <w:jc w:val="center"/>
              <w:rPr>
                <w:rFonts w:hint="eastAsia" w:ascii="Times New Roman" w:hAnsi="Times New Roman" w:eastAsia="宋体" w:cs="Times New Roman"/>
                <w:bCs/>
                <w:color w:val="auto"/>
                <w:spacing w:val="-6"/>
                <w:kern w:val="2"/>
                <w:sz w:val="21"/>
                <w:szCs w:val="21"/>
                <w:highlight w:val="none"/>
                <w:lang w:val="en-US" w:eastAsia="zh-CN" w:bidi="ar-SA"/>
              </w:rPr>
            </w:pPr>
            <w:r>
              <w:rPr>
                <w:rFonts w:hint="eastAsia"/>
                <w:bCs/>
                <w:color w:val="auto"/>
                <w:spacing w:val="-6"/>
                <w:szCs w:val="21"/>
                <w:highlight w:val="none"/>
              </w:rPr>
              <w:t>招标投标行政监督部门</w:t>
            </w:r>
            <w:r>
              <w:rPr>
                <w:rFonts w:hint="eastAsia"/>
                <w:bCs/>
                <w:color w:val="auto"/>
                <w:spacing w:val="-6"/>
                <w:szCs w:val="21"/>
                <w:highlight w:val="none"/>
                <w:lang w:eastAsia="zh-CN"/>
              </w:rPr>
              <w:t>地址联系方式</w:t>
            </w:r>
          </w:p>
        </w:tc>
        <w:tc>
          <w:tcPr>
            <w:tcW w:w="7997" w:type="dxa"/>
            <w:vAlign w:val="center"/>
          </w:tcPr>
          <w:p w14:paraId="00B1A140">
            <w:pPr>
              <w:widowControl/>
              <w:spacing w:line="440" w:lineRule="exact"/>
              <w:jc w:val="left"/>
              <w:rPr>
                <w:rFonts w:hint="eastAsia"/>
                <w:bCs/>
                <w:color w:val="auto"/>
                <w:spacing w:val="-6"/>
                <w:szCs w:val="21"/>
                <w:highlight w:val="none"/>
              </w:rPr>
            </w:pPr>
            <w:r>
              <w:rPr>
                <w:rFonts w:hint="eastAsia" w:ascii="宋体" w:hAnsi="宋体" w:cs="宋体"/>
                <w:color w:val="auto"/>
                <w:kern w:val="0"/>
                <w:szCs w:val="21"/>
                <w:highlight w:val="none"/>
                <w:lang w:val="en-US" w:eastAsia="zh-CN"/>
              </w:rPr>
              <w:t>0550-3801631、0550-3801656</w:t>
            </w:r>
          </w:p>
        </w:tc>
      </w:tr>
      <w:bookmarkEnd w:id="0"/>
      <w:bookmarkEnd w:id="1"/>
      <w:bookmarkEnd w:id="2"/>
      <w:bookmarkEnd w:id="3"/>
    </w:tbl>
    <w:p w14:paraId="775ED07F">
      <w:pPr>
        <w:pStyle w:val="2"/>
        <w:pageBreakBefore/>
        <w:adjustRightInd w:val="0"/>
        <w:snapToGrid w:val="0"/>
        <w:spacing w:line="560" w:lineRule="exact"/>
        <w:jc w:val="center"/>
        <w:rPr>
          <w:color w:val="auto"/>
          <w:highlight w:val="none"/>
        </w:rPr>
      </w:pPr>
      <w:bookmarkStart w:id="29" w:name="_Toc19518"/>
      <w:r>
        <w:rPr>
          <w:rFonts w:hint="eastAsia"/>
          <w:color w:val="auto"/>
          <w:highlight w:val="none"/>
        </w:rPr>
        <w:t>第二章 投标人须知</w:t>
      </w:r>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670E73A">
      <w:pPr>
        <w:pStyle w:val="3"/>
        <w:adjustRightInd w:val="0"/>
        <w:snapToGrid w:val="0"/>
        <w:spacing w:line="560" w:lineRule="exact"/>
        <w:jc w:val="center"/>
        <w:rPr>
          <w:color w:val="auto"/>
          <w:highlight w:val="none"/>
        </w:rPr>
      </w:pPr>
      <w:bookmarkStart w:id="30" w:name="_Toc179632545"/>
      <w:bookmarkStart w:id="31" w:name="_Toc246996174"/>
      <w:bookmarkStart w:id="32" w:name="_Toc95223334"/>
      <w:bookmarkStart w:id="33" w:name="_Toc24878"/>
      <w:bookmarkStart w:id="34" w:name="_Toc506107268"/>
      <w:bookmarkStart w:id="35" w:name="_Toc152042304"/>
      <w:bookmarkStart w:id="36" w:name="_Toc15058845"/>
      <w:bookmarkStart w:id="37" w:name="_Toc60061432"/>
      <w:bookmarkStart w:id="38" w:name="_Toc144974496"/>
      <w:bookmarkStart w:id="39" w:name="_Toc83301687"/>
      <w:bookmarkStart w:id="40" w:name="_Toc247085688"/>
      <w:bookmarkStart w:id="41" w:name="_Toc324404814"/>
      <w:bookmarkStart w:id="42" w:name="_Toc152045528"/>
      <w:bookmarkStart w:id="43" w:name="_Toc246996917"/>
      <w:bookmarkStart w:id="44" w:name="_Toc246996918"/>
      <w:bookmarkStart w:id="45" w:name="_Toc144974497"/>
      <w:bookmarkStart w:id="46" w:name="_Toc324404815"/>
      <w:bookmarkStart w:id="47" w:name="_Toc247085689"/>
      <w:bookmarkStart w:id="48" w:name="_Toc152045529"/>
      <w:bookmarkStart w:id="49" w:name="_Toc152042305"/>
      <w:bookmarkStart w:id="50" w:name="_Toc15058846"/>
      <w:bookmarkStart w:id="51" w:name="_Toc246996175"/>
      <w:bookmarkStart w:id="52" w:name="_Toc179632546"/>
      <w:bookmarkStart w:id="53" w:name="_Toc506107269"/>
      <w:r>
        <w:rPr>
          <w:rFonts w:hint="eastAsia"/>
          <w:color w:val="auto"/>
          <w:highlight w:val="none"/>
        </w:rPr>
        <w:t>投标人须知前附表</w:t>
      </w:r>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19"/>
        <w:tblW w:w="9959" w:type="dxa"/>
        <w:jc w:val="center"/>
        <w:tblLayout w:type="fixed"/>
        <w:tblCellMar>
          <w:top w:w="0" w:type="dxa"/>
          <w:left w:w="108" w:type="dxa"/>
          <w:bottom w:w="0" w:type="dxa"/>
          <w:right w:w="108" w:type="dxa"/>
        </w:tblCellMar>
      </w:tblPr>
      <w:tblGrid>
        <w:gridCol w:w="1015"/>
        <w:gridCol w:w="1984"/>
        <w:gridCol w:w="6960"/>
      </w:tblGrid>
      <w:tr w14:paraId="6C321446">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7D15EE57">
            <w:pPr>
              <w:adjustRightInd w:val="0"/>
              <w:snapToGrid w:val="0"/>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4375DC21">
            <w:pPr>
              <w:adjustRightInd w:val="0"/>
              <w:snapToGrid w:val="0"/>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条  款  名  称</w:t>
            </w:r>
          </w:p>
        </w:tc>
        <w:tc>
          <w:tcPr>
            <w:tcW w:w="6960" w:type="dxa"/>
            <w:tcBorders>
              <w:top w:val="single" w:color="auto" w:sz="4" w:space="0"/>
              <w:left w:val="single" w:color="auto" w:sz="4" w:space="0"/>
              <w:bottom w:val="single" w:color="auto" w:sz="4" w:space="0"/>
              <w:right w:val="single" w:color="auto" w:sz="4" w:space="0"/>
            </w:tcBorders>
            <w:vAlign w:val="center"/>
          </w:tcPr>
          <w:p w14:paraId="6DD81B85">
            <w:pPr>
              <w:adjustRightInd w:val="0"/>
              <w:snapToGrid w:val="0"/>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编  列  内  容</w:t>
            </w:r>
          </w:p>
        </w:tc>
      </w:tr>
      <w:tr w14:paraId="56E6E876">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61E08319">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1.1.2</w:t>
            </w:r>
          </w:p>
        </w:tc>
        <w:tc>
          <w:tcPr>
            <w:tcW w:w="1984" w:type="dxa"/>
            <w:tcBorders>
              <w:top w:val="single" w:color="auto" w:sz="4" w:space="0"/>
              <w:left w:val="single" w:color="auto" w:sz="4" w:space="0"/>
              <w:bottom w:val="single" w:color="auto" w:sz="4" w:space="0"/>
              <w:right w:val="single" w:color="auto" w:sz="4" w:space="0"/>
            </w:tcBorders>
            <w:vAlign w:val="center"/>
          </w:tcPr>
          <w:p w14:paraId="1BF9BF3B">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招标人</w:t>
            </w:r>
          </w:p>
        </w:tc>
        <w:tc>
          <w:tcPr>
            <w:tcW w:w="6960" w:type="dxa"/>
            <w:tcBorders>
              <w:top w:val="single" w:color="auto" w:sz="4" w:space="0"/>
              <w:left w:val="single" w:color="auto" w:sz="4" w:space="0"/>
              <w:bottom w:val="single" w:color="auto" w:sz="4" w:space="0"/>
              <w:right w:val="single" w:color="auto" w:sz="4" w:space="0"/>
            </w:tcBorders>
            <w:vAlign w:val="center"/>
          </w:tcPr>
          <w:p w14:paraId="42A537E1">
            <w:pPr>
              <w:pStyle w:val="35"/>
              <w:adjustRightInd w:val="0"/>
              <w:snapToGrid w:val="0"/>
              <w:spacing w:line="400" w:lineRule="exact"/>
              <w:jc w:val="left"/>
              <w:rPr>
                <w:rFonts w:ascii="宋体" w:hAnsi="宋体" w:cs="宋体"/>
                <w:color w:val="auto"/>
                <w:kern w:val="2"/>
                <w:highlight w:val="none"/>
              </w:rPr>
            </w:pPr>
            <w:r>
              <w:rPr>
                <w:rFonts w:hint="eastAsia" w:ascii="宋体" w:hAnsi="宋体" w:cs="宋体"/>
                <w:color w:val="auto"/>
                <w:highlight w:val="none"/>
              </w:rPr>
              <w:t>见招标公告</w:t>
            </w:r>
          </w:p>
        </w:tc>
      </w:tr>
      <w:tr w14:paraId="2EDC3B7F">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2976FD3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1.1.3</w:t>
            </w:r>
          </w:p>
        </w:tc>
        <w:tc>
          <w:tcPr>
            <w:tcW w:w="1984" w:type="dxa"/>
            <w:tcBorders>
              <w:top w:val="single" w:color="auto" w:sz="4" w:space="0"/>
              <w:left w:val="single" w:color="auto" w:sz="4" w:space="0"/>
              <w:bottom w:val="single" w:color="auto" w:sz="4" w:space="0"/>
              <w:right w:val="single" w:color="auto" w:sz="4" w:space="0"/>
            </w:tcBorders>
            <w:vAlign w:val="center"/>
          </w:tcPr>
          <w:p w14:paraId="4896EC79">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招标代理机构</w:t>
            </w:r>
          </w:p>
        </w:tc>
        <w:tc>
          <w:tcPr>
            <w:tcW w:w="6960" w:type="dxa"/>
            <w:tcBorders>
              <w:top w:val="single" w:color="auto" w:sz="4" w:space="0"/>
              <w:left w:val="single" w:color="auto" w:sz="4" w:space="0"/>
              <w:bottom w:val="single" w:color="auto" w:sz="4" w:space="0"/>
              <w:right w:val="single" w:color="auto" w:sz="4" w:space="0"/>
            </w:tcBorders>
            <w:vAlign w:val="center"/>
          </w:tcPr>
          <w:p w14:paraId="4A8BE661">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见招标公告</w:t>
            </w:r>
          </w:p>
        </w:tc>
      </w:tr>
      <w:tr w14:paraId="3FBDBEAC">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5020DE39">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1.1.4</w:t>
            </w:r>
          </w:p>
        </w:tc>
        <w:tc>
          <w:tcPr>
            <w:tcW w:w="1984" w:type="dxa"/>
            <w:tcBorders>
              <w:top w:val="single" w:color="auto" w:sz="4" w:space="0"/>
              <w:left w:val="single" w:color="auto" w:sz="4" w:space="0"/>
              <w:bottom w:val="single" w:color="auto" w:sz="4" w:space="0"/>
              <w:right w:val="single" w:color="auto" w:sz="4" w:space="0"/>
            </w:tcBorders>
            <w:vAlign w:val="center"/>
          </w:tcPr>
          <w:p w14:paraId="54E51471">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招标项目名称</w:t>
            </w:r>
          </w:p>
        </w:tc>
        <w:tc>
          <w:tcPr>
            <w:tcW w:w="6960" w:type="dxa"/>
            <w:tcBorders>
              <w:top w:val="single" w:color="auto" w:sz="4" w:space="0"/>
              <w:left w:val="single" w:color="auto" w:sz="4" w:space="0"/>
              <w:bottom w:val="single" w:color="auto" w:sz="4" w:space="0"/>
              <w:right w:val="single" w:color="auto" w:sz="4" w:space="0"/>
            </w:tcBorders>
            <w:vAlign w:val="center"/>
          </w:tcPr>
          <w:p w14:paraId="4B6CC7FB">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见招标公告</w:t>
            </w:r>
          </w:p>
        </w:tc>
      </w:tr>
      <w:tr w14:paraId="418B6DC5">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0E5841E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1.1.5</w:t>
            </w:r>
          </w:p>
        </w:tc>
        <w:tc>
          <w:tcPr>
            <w:tcW w:w="1984" w:type="dxa"/>
            <w:tcBorders>
              <w:top w:val="single" w:color="auto" w:sz="4" w:space="0"/>
              <w:left w:val="single" w:color="auto" w:sz="4" w:space="0"/>
              <w:bottom w:val="single" w:color="auto" w:sz="4" w:space="0"/>
              <w:right w:val="single" w:color="auto" w:sz="4" w:space="0"/>
            </w:tcBorders>
            <w:vAlign w:val="center"/>
          </w:tcPr>
          <w:p w14:paraId="432B9E3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建设地点</w:t>
            </w:r>
          </w:p>
        </w:tc>
        <w:tc>
          <w:tcPr>
            <w:tcW w:w="6960" w:type="dxa"/>
            <w:tcBorders>
              <w:top w:val="single" w:color="auto" w:sz="4" w:space="0"/>
              <w:left w:val="single" w:color="auto" w:sz="4" w:space="0"/>
              <w:bottom w:val="single" w:color="auto" w:sz="4" w:space="0"/>
              <w:right w:val="single" w:color="auto" w:sz="4" w:space="0"/>
            </w:tcBorders>
            <w:vAlign w:val="center"/>
          </w:tcPr>
          <w:p w14:paraId="611ABD05">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见招标公告</w:t>
            </w:r>
          </w:p>
        </w:tc>
      </w:tr>
      <w:tr w14:paraId="564E907C">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11743BCA">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1.2.1</w:t>
            </w:r>
          </w:p>
        </w:tc>
        <w:tc>
          <w:tcPr>
            <w:tcW w:w="1984" w:type="dxa"/>
            <w:tcBorders>
              <w:top w:val="single" w:color="auto" w:sz="4" w:space="0"/>
              <w:left w:val="single" w:color="auto" w:sz="4" w:space="0"/>
              <w:bottom w:val="single" w:color="auto" w:sz="4" w:space="0"/>
              <w:right w:val="single" w:color="auto" w:sz="4" w:space="0"/>
            </w:tcBorders>
            <w:vAlign w:val="center"/>
          </w:tcPr>
          <w:p w14:paraId="27090D91">
            <w:pPr>
              <w:adjustRightInd w:val="0"/>
              <w:snapToGrid w:val="0"/>
              <w:spacing w:line="400" w:lineRule="exact"/>
              <w:ind w:left="-99" w:leftChars="-47" w:right="-109" w:rightChars="-52"/>
              <w:jc w:val="center"/>
              <w:rPr>
                <w:rFonts w:ascii="宋体" w:hAnsi="宋体" w:cs="宋体"/>
                <w:color w:val="auto"/>
                <w:szCs w:val="21"/>
                <w:highlight w:val="none"/>
              </w:rPr>
            </w:pPr>
            <w:r>
              <w:rPr>
                <w:rFonts w:hint="eastAsia" w:ascii="宋体" w:hAnsi="宋体" w:cs="宋体"/>
                <w:color w:val="auto"/>
                <w:szCs w:val="21"/>
                <w:highlight w:val="none"/>
              </w:rPr>
              <w:t>资金来源及出资比例</w:t>
            </w:r>
          </w:p>
        </w:tc>
        <w:tc>
          <w:tcPr>
            <w:tcW w:w="6960" w:type="dxa"/>
            <w:tcBorders>
              <w:top w:val="single" w:color="auto" w:sz="4" w:space="0"/>
              <w:left w:val="single" w:color="auto" w:sz="4" w:space="0"/>
              <w:bottom w:val="single" w:color="auto" w:sz="4" w:space="0"/>
              <w:right w:val="single" w:color="auto" w:sz="4" w:space="0"/>
            </w:tcBorders>
            <w:vAlign w:val="center"/>
          </w:tcPr>
          <w:p w14:paraId="795CD323">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见招标公告</w:t>
            </w:r>
          </w:p>
        </w:tc>
      </w:tr>
      <w:tr w14:paraId="4A194AA1">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4471B784">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1.2.2</w:t>
            </w:r>
          </w:p>
        </w:tc>
        <w:tc>
          <w:tcPr>
            <w:tcW w:w="1984" w:type="dxa"/>
            <w:tcBorders>
              <w:top w:val="single" w:color="auto" w:sz="4" w:space="0"/>
              <w:left w:val="single" w:color="auto" w:sz="4" w:space="0"/>
              <w:bottom w:val="single" w:color="auto" w:sz="4" w:space="0"/>
              <w:right w:val="single" w:color="auto" w:sz="4" w:space="0"/>
            </w:tcBorders>
            <w:vAlign w:val="center"/>
          </w:tcPr>
          <w:p w14:paraId="349D5F0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资金落实情况</w:t>
            </w:r>
          </w:p>
        </w:tc>
        <w:tc>
          <w:tcPr>
            <w:tcW w:w="6960" w:type="dxa"/>
            <w:tcBorders>
              <w:top w:val="single" w:color="auto" w:sz="4" w:space="0"/>
              <w:left w:val="single" w:color="auto" w:sz="4" w:space="0"/>
              <w:bottom w:val="single" w:color="auto" w:sz="4" w:space="0"/>
              <w:right w:val="single" w:color="auto" w:sz="4" w:space="0"/>
            </w:tcBorders>
            <w:vAlign w:val="center"/>
          </w:tcPr>
          <w:p w14:paraId="4D65FEC9">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已落实</w:t>
            </w:r>
          </w:p>
        </w:tc>
      </w:tr>
      <w:tr w14:paraId="73781137">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2D00B33A">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1.3.1</w:t>
            </w:r>
          </w:p>
        </w:tc>
        <w:tc>
          <w:tcPr>
            <w:tcW w:w="1984" w:type="dxa"/>
            <w:tcBorders>
              <w:top w:val="single" w:color="auto" w:sz="4" w:space="0"/>
              <w:left w:val="single" w:color="auto" w:sz="4" w:space="0"/>
              <w:bottom w:val="single" w:color="auto" w:sz="4" w:space="0"/>
              <w:right w:val="single" w:color="auto" w:sz="4" w:space="0"/>
            </w:tcBorders>
            <w:vAlign w:val="center"/>
          </w:tcPr>
          <w:p w14:paraId="21B700D6">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招标范围</w:t>
            </w:r>
          </w:p>
        </w:tc>
        <w:tc>
          <w:tcPr>
            <w:tcW w:w="6960" w:type="dxa"/>
            <w:tcBorders>
              <w:top w:val="single" w:color="auto" w:sz="4" w:space="0"/>
              <w:left w:val="single" w:color="auto" w:sz="4" w:space="0"/>
              <w:bottom w:val="single" w:color="auto" w:sz="4" w:space="0"/>
              <w:right w:val="single" w:color="auto" w:sz="4" w:space="0"/>
            </w:tcBorders>
            <w:vAlign w:val="center"/>
          </w:tcPr>
          <w:p w14:paraId="3C418E4B">
            <w:pPr>
              <w:spacing w:line="440" w:lineRule="exact"/>
              <w:rPr>
                <w:rFonts w:ascii="宋体" w:hAnsi="宋体" w:cs="宋体"/>
                <w:color w:val="auto"/>
                <w:szCs w:val="21"/>
                <w:highlight w:val="none"/>
              </w:rPr>
            </w:pPr>
            <w:r>
              <w:rPr>
                <w:rFonts w:hint="eastAsia" w:ascii="宋体" w:hAnsi="宋体" w:cs="宋体"/>
                <w:color w:val="auto"/>
                <w:szCs w:val="21"/>
                <w:highlight w:val="none"/>
              </w:rPr>
              <w:t>见招标公告</w:t>
            </w:r>
          </w:p>
        </w:tc>
      </w:tr>
      <w:tr w14:paraId="031BE299">
        <w:tblPrEx>
          <w:tblCellMar>
            <w:top w:w="0" w:type="dxa"/>
            <w:left w:w="108" w:type="dxa"/>
            <w:bottom w:w="0" w:type="dxa"/>
            <w:right w:w="108" w:type="dxa"/>
          </w:tblCellMar>
        </w:tblPrEx>
        <w:trPr>
          <w:trHeight w:val="65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528AF21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1.3.2</w:t>
            </w:r>
          </w:p>
        </w:tc>
        <w:tc>
          <w:tcPr>
            <w:tcW w:w="1984" w:type="dxa"/>
            <w:tcBorders>
              <w:top w:val="single" w:color="auto" w:sz="4" w:space="0"/>
              <w:left w:val="single" w:color="auto" w:sz="4" w:space="0"/>
              <w:bottom w:val="single" w:color="auto" w:sz="4" w:space="0"/>
              <w:right w:val="single" w:color="auto" w:sz="4" w:space="0"/>
            </w:tcBorders>
            <w:vAlign w:val="center"/>
          </w:tcPr>
          <w:p w14:paraId="71D83B9F">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计划工期</w:t>
            </w:r>
          </w:p>
        </w:tc>
        <w:tc>
          <w:tcPr>
            <w:tcW w:w="6960" w:type="dxa"/>
            <w:tcBorders>
              <w:top w:val="single" w:color="auto" w:sz="4" w:space="0"/>
              <w:left w:val="single" w:color="auto" w:sz="4" w:space="0"/>
              <w:bottom w:val="single" w:color="auto" w:sz="4" w:space="0"/>
              <w:right w:val="single" w:color="auto" w:sz="4" w:space="0"/>
            </w:tcBorders>
            <w:vAlign w:val="center"/>
          </w:tcPr>
          <w:p w14:paraId="4BD70062">
            <w:pPr>
              <w:spacing w:line="440" w:lineRule="exact"/>
              <w:rPr>
                <w:rFonts w:ascii="宋体" w:hAnsi="宋体" w:cs="宋体"/>
                <w:color w:val="auto"/>
                <w:szCs w:val="21"/>
                <w:highlight w:val="none"/>
              </w:rPr>
            </w:pPr>
            <w:r>
              <w:rPr>
                <w:rFonts w:hint="eastAsia" w:ascii="宋体" w:hAnsi="宋体" w:cs="宋体"/>
                <w:color w:val="auto"/>
                <w:szCs w:val="21"/>
                <w:highlight w:val="none"/>
              </w:rPr>
              <w:t>见招标公告</w:t>
            </w:r>
          </w:p>
        </w:tc>
      </w:tr>
      <w:tr w14:paraId="1139EA8D">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0B638B6D">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1.3.3</w:t>
            </w:r>
          </w:p>
        </w:tc>
        <w:tc>
          <w:tcPr>
            <w:tcW w:w="1984" w:type="dxa"/>
            <w:tcBorders>
              <w:top w:val="single" w:color="auto" w:sz="4" w:space="0"/>
              <w:left w:val="single" w:color="auto" w:sz="4" w:space="0"/>
              <w:bottom w:val="single" w:color="auto" w:sz="4" w:space="0"/>
              <w:right w:val="single" w:color="auto" w:sz="4" w:space="0"/>
            </w:tcBorders>
            <w:vAlign w:val="center"/>
          </w:tcPr>
          <w:p w14:paraId="001D4972">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6960" w:type="dxa"/>
            <w:tcBorders>
              <w:top w:val="single" w:color="auto" w:sz="4" w:space="0"/>
              <w:left w:val="single" w:color="auto" w:sz="4" w:space="0"/>
              <w:bottom w:val="single" w:color="auto" w:sz="4" w:space="0"/>
              <w:right w:val="single" w:color="auto" w:sz="4" w:space="0"/>
            </w:tcBorders>
            <w:vAlign w:val="center"/>
          </w:tcPr>
          <w:p w14:paraId="156BC7ED">
            <w:pPr>
              <w:widowControl/>
              <w:spacing w:line="440" w:lineRule="exact"/>
              <w:rPr>
                <w:color w:val="auto"/>
                <w:highlight w:val="none"/>
              </w:rPr>
            </w:pPr>
            <w:r>
              <w:rPr>
                <w:rFonts w:hint="eastAsia"/>
                <w:color w:val="auto"/>
                <w:highlight w:val="none"/>
              </w:rPr>
              <w:t>设计：合格。满足招标人需求，符合现行相应行业最新的设计规范，施工图及预算通过业主和相关部门审查，施工图达到施工深度要求。</w:t>
            </w:r>
          </w:p>
          <w:p w14:paraId="659160B7">
            <w:pPr>
              <w:widowControl/>
              <w:spacing w:line="440" w:lineRule="exact"/>
              <w:rPr>
                <w:color w:val="auto"/>
                <w:highlight w:val="none"/>
              </w:rPr>
            </w:pPr>
            <w:r>
              <w:rPr>
                <w:rFonts w:hint="eastAsia"/>
                <w:color w:val="auto"/>
                <w:highlight w:val="none"/>
              </w:rPr>
              <w:t>设备材料：合格。满足设计要求、招标人要求，符合约定的参数、品牌（或相当于）要求。</w:t>
            </w:r>
          </w:p>
          <w:p w14:paraId="3EAB817A">
            <w:pPr>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建设质量要求：合格，质量符合 GB/T 50796-2012《光伏发电工程验收规范》，确保通过供电公司验收、并网。 </w:t>
            </w:r>
          </w:p>
          <w:p w14:paraId="193D0EAE">
            <w:pPr>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运维质量要求：合格，符合招标人的日常考核。 </w:t>
            </w:r>
          </w:p>
        </w:tc>
      </w:tr>
      <w:tr w14:paraId="1DB07FB9">
        <w:tblPrEx>
          <w:tblCellMar>
            <w:top w:w="0" w:type="dxa"/>
            <w:left w:w="108" w:type="dxa"/>
            <w:bottom w:w="0" w:type="dxa"/>
            <w:right w:w="108" w:type="dxa"/>
          </w:tblCellMar>
        </w:tblPrEx>
        <w:trPr>
          <w:trHeight w:val="1027" w:hRule="atLeast"/>
          <w:jc w:val="center"/>
        </w:trPr>
        <w:tc>
          <w:tcPr>
            <w:tcW w:w="1015" w:type="dxa"/>
            <w:tcBorders>
              <w:top w:val="single" w:color="auto" w:sz="4" w:space="0"/>
              <w:left w:val="single" w:color="auto" w:sz="4" w:space="0"/>
              <w:right w:val="single" w:color="auto" w:sz="4" w:space="0"/>
            </w:tcBorders>
            <w:vAlign w:val="center"/>
          </w:tcPr>
          <w:p w14:paraId="3E454110">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1.4.1</w:t>
            </w:r>
          </w:p>
        </w:tc>
        <w:tc>
          <w:tcPr>
            <w:tcW w:w="1984" w:type="dxa"/>
            <w:tcBorders>
              <w:top w:val="single" w:color="auto" w:sz="4" w:space="0"/>
              <w:left w:val="single" w:color="auto" w:sz="4" w:space="0"/>
              <w:bottom w:val="single" w:color="auto" w:sz="4" w:space="0"/>
              <w:right w:val="single" w:color="auto" w:sz="4" w:space="0"/>
            </w:tcBorders>
            <w:vAlign w:val="center"/>
          </w:tcPr>
          <w:p w14:paraId="3E1D01C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投标人资质条件、能力和信誉</w:t>
            </w:r>
          </w:p>
        </w:tc>
        <w:tc>
          <w:tcPr>
            <w:tcW w:w="6960" w:type="dxa"/>
            <w:tcBorders>
              <w:top w:val="single" w:color="auto" w:sz="4" w:space="0"/>
              <w:left w:val="single" w:color="auto" w:sz="4" w:space="0"/>
              <w:bottom w:val="single" w:color="auto" w:sz="4" w:space="0"/>
              <w:right w:val="single" w:color="auto" w:sz="4" w:space="0"/>
            </w:tcBorders>
            <w:vAlign w:val="center"/>
          </w:tcPr>
          <w:p w14:paraId="5E7B8C39">
            <w:pPr>
              <w:widowControl/>
              <w:adjustRightInd w:val="0"/>
              <w:snapToGrid w:val="0"/>
              <w:spacing w:line="400" w:lineRule="exact"/>
              <w:jc w:val="left"/>
              <w:rPr>
                <w:rFonts w:ascii="宋体" w:hAnsi="宋体" w:cs="宋体"/>
                <w:color w:val="auto"/>
                <w:szCs w:val="21"/>
                <w:highlight w:val="none"/>
                <w:u w:val="single"/>
              </w:rPr>
            </w:pPr>
            <w:r>
              <w:rPr>
                <w:rFonts w:hint="eastAsia" w:ascii="宋体" w:hAnsi="宋体" w:cs="宋体"/>
                <w:color w:val="auto"/>
                <w:szCs w:val="21"/>
                <w:highlight w:val="none"/>
                <w:u w:val="single"/>
              </w:rPr>
              <w:t>详见招标公告</w:t>
            </w:r>
          </w:p>
        </w:tc>
      </w:tr>
      <w:tr w14:paraId="0799873D">
        <w:tblPrEx>
          <w:tblCellMar>
            <w:top w:w="0" w:type="dxa"/>
            <w:left w:w="108" w:type="dxa"/>
            <w:bottom w:w="0" w:type="dxa"/>
            <w:right w:w="108" w:type="dxa"/>
          </w:tblCellMar>
        </w:tblPrEx>
        <w:trPr>
          <w:trHeight w:val="805"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271E2BF4">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1.4.2</w:t>
            </w:r>
          </w:p>
        </w:tc>
        <w:tc>
          <w:tcPr>
            <w:tcW w:w="1984" w:type="dxa"/>
            <w:tcBorders>
              <w:top w:val="single" w:color="auto" w:sz="4" w:space="0"/>
              <w:left w:val="single" w:color="auto" w:sz="4" w:space="0"/>
              <w:bottom w:val="single" w:color="auto" w:sz="4" w:space="0"/>
              <w:right w:val="single" w:color="auto" w:sz="4" w:space="0"/>
            </w:tcBorders>
            <w:vAlign w:val="center"/>
          </w:tcPr>
          <w:p w14:paraId="305A8C5C">
            <w:pPr>
              <w:adjustRightInd w:val="0"/>
              <w:snapToGrid w:val="0"/>
              <w:spacing w:line="400" w:lineRule="exact"/>
              <w:ind w:left="-59" w:leftChars="-28" w:right="-69" w:rightChars="-33"/>
              <w:jc w:val="center"/>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是否接受联合体投标</w:t>
            </w:r>
          </w:p>
        </w:tc>
        <w:tc>
          <w:tcPr>
            <w:tcW w:w="6960" w:type="dxa"/>
            <w:tcBorders>
              <w:top w:val="single" w:color="auto" w:sz="4" w:space="0"/>
              <w:left w:val="single" w:color="auto" w:sz="4" w:space="0"/>
              <w:bottom w:val="single" w:color="auto" w:sz="4" w:space="0"/>
              <w:right w:val="single" w:color="auto" w:sz="4" w:space="0"/>
            </w:tcBorders>
            <w:vAlign w:val="center"/>
          </w:tcPr>
          <w:p w14:paraId="43555541">
            <w:pPr>
              <w:pStyle w:val="7"/>
              <w:topLinePunct/>
              <w:adjustRightInd w:val="0"/>
              <w:snapToGrid w:val="0"/>
              <w:spacing w:line="400" w:lineRule="exact"/>
              <w:rPr>
                <w:rFonts w:hAnsi="宋体" w:cs="宋体"/>
                <w:color w:val="auto"/>
                <w:sz w:val="21"/>
                <w:szCs w:val="21"/>
                <w:highlight w:val="none"/>
              </w:rPr>
            </w:pPr>
            <w:r>
              <w:rPr>
                <w:rFonts w:hint="eastAsia" w:hAnsi="宋体" w:cs="宋体"/>
                <w:color w:val="auto"/>
                <w:sz w:val="21"/>
                <w:szCs w:val="21"/>
                <w:highlight w:val="none"/>
                <w:u w:val="single"/>
              </w:rPr>
              <w:t>详见招标公告</w:t>
            </w:r>
          </w:p>
        </w:tc>
      </w:tr>
      <w:tr w14:paraId="1D163498">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1DAA9A06">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1.4.3</w:t>
            </w:r>
          </w:p>
        </w:tc>
        <w:tc>
          <w:tcPr>
            <w:tcW w:w="1984" w:type="dxa"/>
            <w:tcBorders>
              <w:top w:val="single" w:color="auto" w:sz="4" w:space="0"/>
              <w:left w:val="single" w:color="auto" w:sz="4" w:space="0"/>
              <w:bottom w:val="single" w:color="auto" w:sz="4" w:space="0"/>
              <w:right w:val="single" w:color="auto" w:sz="4" w:space="0"/>
            </w:tcBorders>
            <w:vAlign w:val="center"/>
          </w:tcPr>
          <w:p w14:paraId="169CA412">
            <w:pPr>
              <w:adjustRightInd w:val="0"/>
              <w:snapToGrid w:val="0"/>
              <w:spacing w:line="400" w:lineRule="exact"/>
              <w:jc w:val="center"/>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投标人不得存在的其他关联情形</w:t>
            </w:r>
          </w:p>
        </w:tc>
        <w:tc>
          <w:tcPr>
            <w:tcW w:w="6960" w:type="dxa"/>
            <w:tcBorders>
              <w:top w:val="single" w:color="auto" w:sz="4" w:space="0"/>
              <w:left w:val="single" w:color="auto" w:sz="4" w:space="0"/>
              <w:bottom w:val="single" w:color="auto" w:sz="4" w:space="0"/>
              <w:right w:val="single" w:color="auto" w:sz="4" w:space="0"/>
            </w:tcBorders>
            <w:vAlign w:val="center"/>
          </w:tcPr>
          <w:p w14:paraId="74CF0679">
            <w:pPr>
              <w:pStyle w:val="7"/>
              <w:topLinePunct/>
              <w:adjustRightInd w:val="0"/>
              <w:snapToGrid w:val="0"/>
              <w:spacing w:line="400" w:lineRule="exact"/>
              <w:rPr>
                <w:rFonts w:hAnsi="宋体" w:cs="宋体"/>
                <w:color w:val="auto"/>
                <w:sz w:val="21"/>
                <w:szCs w:val="21"/>
                <w:highlight w:val="none"/>
              </w:rPr>
            </w:pPr>
            <w:r>
              <w:rPr>
                <w:rFonts w:hint="eastAsia" w:hAnsi="宋体" w:cs="宋体"/>
                <w:color w:val="auto"/>
                <w:sz w:val="21"/>
                <w:szCs w:val="21"/>
                <w:highlight w:val="none"/>
                <w:u w:val="single"/>
              </w:rPr>
              <w:t>详见招标公告</w:t>
            </w:r>
          </w:p>
        </w:tc>
      </w:tr>
      <w:tr w14:paraId="6F95D6F6">
        <w:tblPrEx>
          <w:tblCellMar>
            <w:top w:w="0" w:type="dxa"/>
            <w:left w:w="108" w:type="dxa"/>
            <w:bottom w:w="0" w:type="dxa"/>
            <w:right w:w="108" w:type="dxa"/>
          </w:tblCellMar>
        </w:tblPrEx>
        <w:trPr>
          <w:trHeight w:val="140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254A93A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1984" w:type="dxa"/>
            <w:tcBorders>
              <w:top w:val="single" w:color="auto" w:sz="4" w:space="0"/>
              <w:left w:val="single" w:color="auto" w:sz="4" w:space="0"/>
              <w:bottom w:val="single" w:color="auto" w:sz="4" w:space="0"/>
              <w:right w:val="single" w:color="auto" w:sz="4" w:space="0"/>
            </w:tcBorders>
            <w:vAlign w:val="center"/>
          </w:tcPr>
          <w:p w14:paraId="45F642DE">
            <w:pPr>
              <w:adjustRightInd w:val="0"/>
              <w:snapToGrid w:val="0"/>
              <w:spacing w:line="400" w:lineRule="exact"/>
              <w:jc w:val="center"/>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踏勘现场</w:t>
            </w:r>
          </w:p>
        </w:tc>
        <w:tc>
          <w:tcPr>
            <w:tcW w:w="6960" w:type="dxa"/>
            <w:tcBorders>
              <w:top w:val="single" w:color="auto" w:sz="4" w:space="0"/>
              <w:left w:val="single" w:color="auto" w:sz="4" w:space="0"/>
              <w:bottom w:val="single" w:color="auto" w:sz="4" w:space="0"/>
              <w:right w:val="single" w:color="auto" w:sz="4" w:space="0"/>
            </w:tcBorders>
            <w:vAlign w:val="center"/>
          </w:tcPr>
          <w:p w14:paraId="6DF75D6C">
            <w:pPr>
              <w:pStyle w:val="7"/>
              <w:topLinePunct/>
              <w:adjustRightInd w:val="0"/>
              <w:snapToGrid w:val="0"/>
              <w:spacing w:line="400" w:lineRule="exact"/>
              <w:rPr>
                <w:rFonts w:hAnsi="宋体" w:cs="宋体"/>
                <w:color w:val="auto"/>
                <w:sz w:val="21"/>
                <w:szCs w:val="21"/>
                <w:highlight w:val="none"/>
              </w:rPr>
            </w:pPr>
            <w:r>
              <w:rPr>
                <w:rFonts w:hint="eastAsia" w:hAnsi="宋体" w:cs="宋体"/>
                <w:color w:val="auto"/>
                <w:spacing w:val="-4"/>
                <w:kern w:val="0"/>
                <w:sz w:val="21"/>
                <w:szCs w:val="21"/>
                <w:highlight w:val="none"/>
              </w:rPr>
              <w:t>不组织，投标人自行组织踏勘</w:t>
            </w:r>
            <w:r>
              <w:rPr>
                <w:rFonts w:hint="eastAsia" w:hAnsi="宋体" w:cs="宋体"/>
                <w:color w:val="auto"/>
                <w:sz w:val="21"/>
                <w:szCs w:val="21"/>
                <w:highlight w:val="none"/>
              </w:rPr>
              <w:t>；</w:t>
            </w:r>
          </w:p>
          <w:p w14:paraId="5A8CD6FA">
            <w:pPr>
              <w:pStyle w:val="7"/>
              <w:topLinePunct/>
              <w:adjustRightInd w:val="0"/>
              <w:snapToGrid w:val="0"/>
              <w:spacing w:line="400" w:lineRule="exact"/>
              <w:rPr>
                <w:rFonts w:hAnsi="宋体" w:cs="宋体"/>
                <w:color w:val="auto"/>
                <w:sz w:val="21"/>
                <w:szCs w:val="21"/>
                <w:highlight w:val="none"/>
              </w:rPr>
            </w:pPr>
            <w:r>
              <w:rPr>
                <w:rFonts w:hint="eastAsia" w:hAnsi="宋体" w:cs="宋体"/>
                <w:color w:val="auto"/>
                <w:sz w:val="21"/>
                <w:szCs w:val="21"/>
                <w:highlight w:val="none"/>
              </w:rPr>
              <w:t>组织，踏勘时间：/</w:t>
            </w:r>
          </w:p>
          <w:p w14:paraId="157DF5D1">
            <w:pPr>
              <w:pStyle w:val="7"/>
              <w:topLinePunct/>
              <w:adjustRightInd w:val="0"/>
              <w:snapToGrid w:val="0"/>
              <w:spacing w:line="400" w:lineRule="exact"/>
              <w:rPr>
                <w:rFonts w:hAnsi="宋体" w:cs="宋体"/>
                <w:color w:val="auto"/>
                <w:sz w:val="21"/>
                <w:szCs w:val="21"/>
                <w:highlight w:val="none"/>
              </w:rPr>
            </w:pPr>
            <w:r>
              <w:rPr>
                <w:rFonts w:hint="eastAsia" w:hAnsi="宋体" w:cs="宋体"/>
                <w:color w:val="auto"/>
                <w:sz w:val="21"/>
                <w:szCs w:val="21"/>
                <w:highlight w:val="none"/>
              </w:rPr>
              <w:t xml:space="preserve">      踏勘集中地点：/</w:t>
            </w:r>
          </w:p>
        </w:tc>
      </w:tr>
      <w:tr w14:paraId="3B422B68">
        <w:tblPrEx>
          <w:tblCellMar>
            <w:top w:w="0" w:type="dxa"/>
            <w:left w:w="108" w:type="dxa"/>
            <w:bottom w:w="0" w:type="dxa"/>
            <w:right w:w="108" w:type="dxa"/>
          </w:tblCellMar>
        </w:tblPrEx>
        <w:trPr>
          <w:trHeight w:val="913"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2FCC9EDA">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1.10.1</w:t>
            </w:r>
          </w:p>
        </w:tc>
        <w:tc>
          <w:tcPr>
            <w:tcW w:w="1984" w:type="dxa"/>
            <w:tcBorders>
              <w:top w:val="single" w:color="auto" w:sz="4" w:space="0"/>
              <w:left w:val="single" w:color="auto" w:sz="4" w:space="0"/>
              <w:bottom w:val="single" w:color="auto" w:sz="4" w:space="0"/>
              <w:right w:val="single" w:color="auto" w:sz="4" w:space="0"/>
            </w:tcBorders>
            <w:vAlign w:val="center"/>
          </w:tcPr>
          <w:p w14:paraId="7ECB3CEA">
            <w:pPr>
              <w:adjustRightInd w:val="0"/>
              <w:snapToGrid w:val="0"/>
              <w:spacing w:line="400" w:lineRule="exact"/>
              <w:jc w:val="center"/>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投标预备会</w:t>
            </w:r>
          </w:p>
        </w:tc>
        <w:tc>
          <w:tcPr>
            <w:tcW w:w="6960" w:type="dxa"/>
            <w:tcBorders>
              <w:top w:val="single" w:color="auto" w:sz="4" w:space="0"/>
              <w:left w:val="single" w:color="auto" w:sz="4" w:space="0"/>
              <w:bottom w:val="single" w:color="auto" w:sz="4" w:space="0"/>
              <w:right w:val="single" w:color="auto" w:sz="4" w:space="0"/>
            </w:tcBorders>
            <w:vAlign w:val="center"/>
          </w:tcPr>
          <w:p w14:paraId="6F850CE5">
            <w:pPr>
              <w:pStyle w:val="7"/>
              <w:topLinePunct/>
              <w:adjustRightInd w:val="0"/>
              <w:snapToGrid w:val="0"/>
              <w:spacing w:line="400" w:lineRule="exact"/>
              <w:rPr>
                <w:rFonts w:hAnsi="宋体" w:cs="宋体"/>
                <w:color w:val="auto"/>
                <w:sz w:val="21"/>
                <w:szCs w:val="21"/>
                <w:highlight w:val="none"/>
              </w:rPr>
            </w:pPr>
            <w:r>
              <w:rPr>
                <w:rFonts w:hint="eastAsia" w:hAnsi="宋体" w:cs="宋体"/>
                <w:color w:val="auto"/>
                <w:spacing w:val="-4"/>
                <w:kern w:val="0"/>
                <w:sz w:val="21"/>
                <w:szCs w:val="21"/>
                <w:highlight w:val="none"/>
              </w:rPr>
              <w:t>不召开</w:t>
            </w:r>
            <w:r>
              <w:rPr>
                <w:rFonts w:hint="eastAsia" w:hAnsi="宋体" w:cs="宋体"/>
                <w:color w:val="auto"/>
                <w:sz w:val="21"/>
                <w:szCs w:val="21"/>
                <w:highlight w:val="none"/>
              </w:rPr>
              <w:t xml:space="preserve">。  </w:t>
            </w:r>
          </w:p>
        </w:tc>
      </w:tr>
      <w:tr w14:paraId="54941AC6">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77C1A4FC">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1.10.2</w:t>
            </w:r>
          </w:p>
        </w:tc>
        <w:tc>
          <w:tcPr>
            <w:tcW w:w="1984" w:type="dxa"/>
            <w:tcBorders>
              <w:top w:val="single" w:color="auto" w:sz="4" w:space="0"/>
              <w:left w:val="single" w:color="auto" w:sz="4" w:space="0"/>
              <w:bottom w:val="single" w:color="auto" w:sz="4" w:space="0"/>
              <w:right w:val="single" w:color="auto" w:sz="4" w:space="0"/>
            </w:tcBorders>
            <w:vAlign w:val="center"/>
          </w:tcPr>
          <w:p w14:paraId="5AAF3DD0">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投标人在投标预备会前提出问题</w:t>
            </w:r>
          </w:p>
        </w:tc>
        <w:tc>
          <w:tcPr>
            <w:tcW w:w="6960" w:type="dxa"/>
            <w:tcBorders>
              <w:top w:val="single" w:color="auto" w:sz="4" w:space="0"/>
              <w:left w:val="single" w:color="auto" w:sz="4" w:space="0"/>
              <w:bottom w:val="single" w:color="auto" w:sz="4" w:space="0"/>
              <w:right w:val="single" w:color="auto" w:sz="4" w:space="0"/>
            </w:tcBorders>
            <w:vAlign w:val="center"/>
          </w:tcPr>
          <w:p w14:paraId="795C7129">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时间：详见本须知2.2条  </w:t>
            </w:r>
          </w:p>
          <w:p w14:paraId="30A1FB9A">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形式：详见本须知2.2条    </w:t>
            </w:r>
          </w:p>
        </w:tc>
      </w:tr>
      <w:tr w14:paraId="509522FF">
        <w:tblPrEx>
          <w:tblCellMar>
            <w:top w:w="0" w:type="dxa"/>
            <w:left w:w="108" w:type="dxa"/>
            <w:bottom w:w="0" w:type="dxa"/>
            <w:right w:w="108" w:type="dxa"/>
          </w:tblCellMar>
        </w:tblPrEx>
        <w:trPr>
          <w:trHeight w:val="653"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48832F32">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1.11</w:t>
            </w:r>
          </w:p>
        </w:tc>
        <w:tc>
          <w:tcPr>
            <w:tcW w:w="1984" w:type="dxa"/>
            <w:tcBorders>
              <w:top w:val="single" w:color="auto" w:sz="4" w:space="0"/>
              <w:left w:val="single" w:color="auto" w:sz="4" w:space="0"/>
              <w:bottom w:val="single" w:color="auto" w:sz="4" w:space="0"/>
              <w:right w:val="single" w:color="auto" w:sz="4" w:space="0"/>
            </w:tcBorders>
            <w:vAlign w:val="center"/>
          </w:tcPr>
          <w:p w14:paraId="4C595DFD">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分包</w:t>
            </w:r>
          </w:p>
        </w:tc>
        <w:tc>
          <w:tcPr>
            <w:tcW w:w="6960" w:type="dxa"/>
            <w:tcBorders>
              <w:top w:val="single" w:color="auto" w:sz="4" w:space="0"/>
              <w:left w:val="single" w:color="auto" w:sz="4" w:space="0"/>
              <w:bottom w:val="single" w:color="auto" w:sz="4" w:space="0"/>
              <w:right w:val="single" w:color="auto" w:sz="4" w:space="0"/>
            </w:tcBorders>
            <w:vAlign w:val="center"/>
          </w:tcPr>
          <w:p w14:paraId="0229ED6F">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不允许。</w:t>
            </w:r>
          </w:p>
        </w:tc>
      </w:tr>
      <w:tr w14:paraId="49C64A40">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5D52C2EB">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2.1</w:t>
            </w:r>
          </w:p>
        </w:tc>
        <w:tc>
          <w:tcPr>
            <w:tcW w:w="1984" w:type="dxa"/>
            <w:tcBorders>
              <w:top w:val="single" w:color="auto" w:sz="4" w:space="0"/>
              <w:left w:val="single" w:color="auto" w:sz="4" w:space="0"/>
              <w:bottom w:val="single" w:color="auto" w:sz="4" w:space="0"/>
              <w:right w:val="single" w:color="auto" w:sz="4" w:space="0"/>
            </w:tcBorders>
            <w:vAlign w:val="center"/>
          </w:tcPr>
          <w:p w14:paraId="6C7A533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构成招标文件的其他资料</w:t>
            </w:r>
          </w:p>
        </w:tc>
        <w:tc>
          <w:tcPr>
            <w:tcW w:w="6960" w:type="dxa"/>
            <w:tcBorders>
              <w:top w:val="single" w:color="auto" w:sz="4" w:space="0"/>
              <w:left w:val="single" w:color="auto" w:sz="4" w:space="0"/>
              <w:bottom w:val="single" w:color="auto" w:sz="4" w:space="0"/>
              <w:right w:val="single" w:color="auto" w:sz="4" w:space="0"/>
            </w:tcBorders>
            <w:vAlign w:val="center"/>
          </w:tcPr>
          <w:p w14:paraId="5813681D">
            <w:pPr>
              <w:spacing w:line="400" w:lineRule="exact"/>
              <w:rPr>
                <w:rFonts w:ascii="宋体" w:hAnsi="宋体" w:cs="宋体"/>
                <w:color w:val="auto"/>
                <w:szCs w:val="21"/>
                <w:highlight w:val="none"/>
              </w:rPr>
            </w:pPr>
            <w:r>
              <w:rPr>
                <w:rFonts w:hint="eastAsia" w:ascii="宋体" w:hAnsi="宋体" w:cs="宋体"/>
                <w:color w:val="auto"/>
                <w:szCs w:val="21"/>
                <w:highlight w:val="none"/>
              </w:rPr>
              <w:t>本工程招标澄清答疑文件。</w:t>
            </w:r>
          </w:p>
        </w:tc>
      </w:tr>
      <w:tr w14:paraId="763EB9C1">
        <w:tblPrEx>
          <w:tblCellMar>
            <w:top w:w="0" w:type="dxa"/>
            <w:left w:w="108" w:type="dxa"/>
            <w:bottom w:w="0" w:type="dxa"/>
            <w:right w:w="108" w:type="dxa"/>
          </w:tblCellMar>
        </w:tblPrEx>
        <w:trPr>
          <w:trHeight w:val="140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35AFBEF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2.2</w:t>
            </w:r>
          </w:p>
        </w:tc>
        <w:tc>
          <w:tcPr>
            <w:tcW w:w="1984" w:type="dxa"/>
            <w:tcBorders>
              <w:top w:val="single" w:color="auto" w:sz="4" w:space="0"/>
              <w:left w:val="single" w:color="auto" w:sz="4" w:space="0"/>
              <w:bottom w:val="single" w:color="auto" w:sz="4" w:space="0"/>
              <w:right w:val="single" w:color="auto" w:sz="4" w:space="0"/>
            </w:tcBorders>
            <w:vAlign w:val="center"/>
          </w:tcPr>
          <w:p w14:paraId="0FC48116">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投标人提出异议的截止时间及方式</w:t>
            </w:r>
          </w:p>
        </w:tc>
        <w:tc>
          <w:tcPr>
            <w:tcW w:w="6960" w:type="dxa"/>
            <w:tcBorders>
              <w:top w:val="single" w:color="auto" w:sz="4" w:space="0"/>
              <w:left w:val="single" w:color="auto" w:sz="4" w:space="0"/>
              <w:bottom w:val="single" w:color="auto" w:sz="4" w:space="0"/>
              <w:right w:val="single" w:color="auto" w:sz="4" w:space="0"/>
            </w:tcBorders>
            <w:vAlign w:val="center"/>
          </w:tcPr>
          <w:p w14:paraId="6D46EB00">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kern w:val="0"/>
                <w:szCs w:val="21"/>
                <w:highlight w:val="none"/>
              </w:rPr>
              <w:t>如投标人对招标文件有异议，请于</w:t>
            </w:r>
            <w:r>
              <w:rPr>
                <w:rFonts w:hint="eastAsia" w:ascii="宋体" w:hAnsi="宋体" w:cs="宋体"/>
                <w:b/>
                <w:bCs/>
                <w:color w:val="auto"/>
                <w:kern w:val="0"/>
                <w:szCs w:val="21"/>
                <w:highlight w:val="none"/>
              </w:rPr>
              <w:t>2026年</w:t>
            </w:r>
            <w:r>
              <w:rPr>
                <w:rFonts w:hint="eastAsia" w:ascii="宋体" w:hAnsi="宋体" w:cs="宋体"/>
                <w:b/>
                <w:bCs/>
                <w:color w:val="auto"/>
                <w:kern w:val="0"/>
                <w:szCs w:val="21"/>
                <w:highlight w:val="none"/>
                <w:lang w:val="en-US" w:eastAsia="zh-CN"/>
              </w:rPr>
              <w:t>9</w:t>
            </w:r>
            <w:r>
              <w:rPr>
                <w:rFonts w:hint="eastAsia" w:ascii="宋体" w:hAnsi="宋体" w:cs="宋体"/>
                <w:b/>
                <w:bCs/>
                <w:color w:val="auto"/>
                <w:kern w:val="0"/>
                <w:szCs w:val="21"/>
                <w:highlight w:val="none"/>
              </w:rPr>
              <w:t>月</w:t>
            </w:r>
            <w:r>
              <w:rPr>
                <w:rFonts w:hint="eastAsia" w:ascii="宋体" w:hAnsi="宋体" w:cs="宋体"/>
                <w:b/>
                <w:bCs/>
                <w:color w:val="auto"/>
                <w:kern w:val="0"/>
                <w:szCs w:val="21"/>
                <w:highlight w:val="none"/>
                <w:lang w:val="en-US" w:eastAsia="zh-CN"/>
              </w:rPr>
              <w:t>28</w:t>
            </w:r>
            <w:r>
              <w:rPr>
                <w:rFonts w:hint="eastAsia" w:ascii="宋体" w:hAnsi="宋体" w:cs="宋体"/>
                <w:b/>
                <w:bCs/>
                <w:color w:val="auto"/>
                <w:kern w:val="0"/>
                <w:szCs w:val="21"/>
                <w:highlight w:val="none"/>
              </w:rPr>
              <w:t>日8时</w:t>
            </w:r>
            <w:r>
              <w:rPr>
                <w:rFonts w:hint="eastAsia" w:ascii="宋体" w:hAnsi="宋体" w:cs="宋体"/>
                <w:b/>
                <w:bCs/>
                <w:color w:val="auto"/>
                <w:kern w:val="0"/>
                <w:szCs w:val="21"/>
                <w:highlight w:val="none"/>
                <w:lang w:val="en-US" w:eastAsia="zh-CN"/>
              </w:rPr>
              <w:t>30分</w:t>
            </w:r>
            <w:r>
              <w:rPr>
                <w:rFonts w:hint="eastAsia" w:ascii="宋体" w:hAnsi="宋体" w:cs="宋体"/>
                <w:color w:val="auto"/>
                <w:kern w:val="0"/>
                <w:szCs w:val="21"/>
                <w:highlight w:val="none"/>
              </w:rPr>
              <w:t>（投标截止10日）前在滁州市公共资源交易中心网电子交易系统中进行异议，具体操作步骤和程序请参见服务指南&gt;交易须知&gt;在线异议、质疑和投诉操作手册。</w:t>
            </w:r>
          </w:p>
        </w:tc>
      </w:tr>
      <w:tr w14:paraId="062CD171">
        <w:tblPrEx>
          <w:tblCellMar>
            <w:top w:w="0" w:type="dxa"/>
            <w:left w:w="108" w:type="dxa"/>
            <w:bottom w:w="0" w:type="dxa"/>
            <w:right w:w="108" w:type="dxa"/>
          </w:tblCellMar>
        </w:tblPrEx>
        <w:trPr>
          <w:trHeight w:val="1402"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6428540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2.3</w:t>
            </w:r>
          </w:p>
        </w:tc>
        <w:tc>
          <w:tcPr>
            <w:tcW w:w="1984" w:type="dxa"/>
            <w:tcBorders>
              <w:top w:val="single" w:color="auto" w:sz="4" w:space="0"/>
              <w:left w:val="single" w:color="auto" w:sz="4" w:space="0"/>
              <w:bottom w:val="single" w:color="auto" w:sz="4" w:space="0"/>
              <w:right w:val="single" w:color="auto" w:sz="4" w:space="0"/>
            </w:tcBorders>
            <w:vAlign w:val="center"/>
          </w:tcPr>
          <w:p w14:paraId="63E9BAED">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招标人澄清的时间及方式</w:t>
            </w:r>
          </w:p>
        </w:tc>
        <w:tc>
          <w:tcPr>
            <w:tcW w:w="6960" w:type="dxa"/>
            <w:tcBorders>
              <w:top w:val="single" w:color="auto" w:sz="4" w:space="0"/>
              <w:left w:val="single" w:color="auto" w:sz="4" w:space="0"/>
              <w:bottom w:val="single" w:color="auto" w:sz="4" w:space="0"/>
              <w:right w:val="single" w:color="auto" w:sz="4" w:space="0"/>
            </w:tcBorders>
            <w:vAlign w:val="center"/>
          </w:tcPr>
          <w:p w14:paraId="5D246F26">
            <w:pPr>
              <w:adjustRightInd w:val="0"/>
              <w:snapToGrid w:val="0"/>
              <w:spacing w:line="400" w:lineRule="exact"/>
              <w:rPr>
                <w:rFonts w:ascii="宋体" w:hAnsi="宋体" w:cs="宋体"/>
                <w:color w:val="auto"/>
                <w:szCs w:val="21"/>
                <w:highlight w:val="none"/>
              </w:rPr>
            </w:pPr>
            <w:r>
              <w:rPr>
                <w:rFonts w:hint="eastAsia" w:ascii="宋体" w:hAnsi="宋体" w:cs="宋体"/>
                <w:b/>
                <w:bCs/>
                <w:color w:val="auto"/>
                <w:szCs w:val="21"/>
                <w:highlight w:val="none"/>
                <w:u w:val="single"/>
              </w:rPr>
              <w:t xml:space="preserve"> 2026 </w:t>
            </w:r>
            <w:r>
              <w:rPr>
                <w:rFonts w:hint="eastAsia" w:ascii="宋体" w:hAnsi="宋体" w:cs="宋体"/>
                <w:b/>
                <w:bCs/>
                <w:color w:val="auto"/>
                <w:szCs w:val="21"/>
                <w:highlight w:val="none"/>
              </w:rPr>
              <w:t>年</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30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日</w:t>
            </w:r>
            <w:r>
              <w:rPr>
                <w:rFonts w:hint="eastAsia" w:ascii="宋体" w:hAnsi="宋体" w:cs="宋体"/>
                <w:b/>
                <w:bCs/>
                <w:color w:val="auto"/>
                <w:szCs w:val="21"/>
                <w:highlight w:val="none"/>
                <w:u w:val="single"/>
              </w:rPr>
              <w:t>17</w:t>
            </w:r>
            <w:r>
              <w:rPr>
                <w:rFonts w:hint="eastAsia" w:ascii="宋体" w:hAnsi="宋体" w:cs="宋体"/>
                <w:b/>
                <w:bCs/>
                <w:color w:val="auto"/>
                <w:szCs w:val="21"/>
                <w:highlight w:val="none"/>
              </w:rPr>
              <w:t>时</w:t>
            </w:r>
            <w:r>
              <w:rPr>
                <w:rFonts w:hint="eastAsia" w:ascii="宋体" w:hAnsi="宋体" w:cs="宋体"/>
                <w:color w:val="auto"/>
                <w:szCs w:val="21"/>
                <w:highlight w:val="none"/>
              </w:rPr>
              <w:t>前</w:t>
            </w:r>
            <w:r>
              <w:rPr>
                <w:rFonts w:hint="eastAsia" w:ascii="宋体" w:hAnsi="宋体" w:cs="宋体"/>
                <w:color w:val="auto"/>
                <w:kern w:val="0"/>
                <w:szCs w:val="21"/>
                <w:highlight w:val="none"/>
              </w:rPr>
              <w:t>在滁州市公共资源交易中心网站</w:t>
            </w:r>
            <w:r>
              <w:rPr>
                <w:rFonts w:hint="eastAsia" w:ascii="宋体" w:hAnsi="宋体" w:cs="宋体"/>
                <w:color w:val="auto"/>
                <w:szCs w:val="21"/>
                <w:highlight w:val="none"/>
              </w:rPr>
              <w:t xml:space="preserve"> “答疑澄清文件”栏目予以公告</w:t>
            </w:r>
            <w:r>
              <w:rPr>
                <w:rFonts w:hint="eastAsia" w:ascii="宋体" w:hAnsi="宋体" w:cs="宋体"/>
                <w:color w:val="auto"/>
                <w:kern w:val="0"/>
                <w:szCs w:val="21"/>
                <w:highlight w:val="none"/>
              </w:rPr>
              <w:t>。</w:t>
            </w:r>
          </w:p>
        </w:tc>
      </w:tr>
      <w:tr w14:paraId="5CF856D4">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78C32E7D">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3.2.1</w:t>
            </w:r>
          </w:p>
        </w:tc>
        <w:tc>
          <w:tcPr>
            <w:tcW w:w="1984" w:type="dxa"/>
            <w:tcBorders>
              <w:top w:val="single" w:color="auto" w:sz="4" w:space="0"/>
              <w:left w:val="single" w:color="auto" w:sz="4" w:space="0"/>
              <w:bottom w:val="single" w:color="auto" w:sz="4" w:space="0"/>
              <w:right w:val="single" w:color="auto" w:sz="4" w:space="0"/>
            </w:tcBorders>
            <w:vAlign w:val="center"/>
          </w:tcPr>
          <w:p w14:paraId="4F87ED11">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增值税税金</w:t>
            </w:r>
          </w:p>
        </w:tc>
        <w:tc>
          <w:tcPr>
            <w:tcW w:w="6960" w:type="dxa"/>
            <w:tcBorders>
              <w:top w:val="single" w:color="auto" w:sz="4" w:space="0"/>
              <w:left w:val="single" w:color="auto" w:sz="4" w:space="0"/>
              <w:bottom w:val="single" w:color="auto" w:sz="4" w:space="0"/>
              <w:right w:val="single" w:color="auto" w:sz="4" w:space="0"/>
            </w:tcBorders>
          </w:tcPr>
          <w:p w14:paraId="041D8F5E">
            <w:pPr>
              <w:adjustRightInd w:val="0"/>
              <w:snapToGrid w:val="0"/>
              <w:spacing w:line="400" w:lineRule="exact"/>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（1）计税方法：一般计税方法</w:t>
            </w:r>
          </w:p>
          <w:p w14:paraId="49561FDC">
            <w:pPr>
              <w:adjustRightInd w:val="0"/>
              <w:snapToGrid w:val="0"/>
              <w:spacing w:line="400" w:lineRule="exact"/>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（2）发票类型：增值税专用发票</w:t>
            </w:r>
          </w:p>
          <w:p w14:paraId="4EEF1CB3">
            <w:pPr>
              <w:numPr>
                <w:ilvl w:val="0"/>
                <w:numId w:val="1"/>
              </w:numPr>
              <w:adjustRightInd w:val="0"/>
              <w:snapToGrid w:val="0"/>
              <w:spacing w:line="400" w:lineRule="exact"/>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增值税税率按照国家有关规定执行。</w:t>
            </w:r>
          </w:p>
          <w:p w14:paraId="34ACE2DB">
            <w:pPr>
              <w:pStyle w:val="7"/>
              <w:topLinePunct/>
              <w:adjustRightInd w:val="0"/>
              <w:snapToGrid w:val="0"/>
              <w:spacing w:line="400" w:lineRule="exact"/>
              <w:ind w:firstLine="525" w:firstLineChars="250"/>
              <w:rPr>
                <w:rFonts w:hAnsi="宋体" w:cs="宋体"/>
                <w:color w:val="auto"/>
                <w:kern w:val="0"/>
                <w:sz w:val="21"/>
                <w:szCs w:val="21"/>
                <w:highlight w:val="none"/>
              </w:rPr>
            </w:pPr>
            <w:r>
              <w:rPr>
                <w:rFonts w:hint="eastAsia" w:hAnsi="宋体" w:cs="宋体"/>
                <w:bCs/>
                <w:snapToGrid w:val="0"/>
                <w:color w:val="auto"/>
                <w:kern w:val="0"/>
                <w:sz w:val="21"/>
                <w:szCs w:val="21"/>
                <w:highlight w:val="none"/>
              </w:rPr>
              <w:t>其它：</w:t>
            </w:r>
            <w:r>
              <w:rPr>
                <w:rFonts w:hint="eastAsia" w:hAnsi="宋体" w:cs="宋体"/>
                <w:bCs/>
                <w:snapToGrid w:val="0"/>
                <w:color w:val="auto"/>
                <w:kern w:val="0"/>
                <w:sz w:val="21"/>
                <w:szCs w:val="21"/>
                <w:highlight w:val="none"/>
                <w:u w:val="single"/>
              </w:rPr>
              <w:t xml:space="preserve">    /   </w:t>
            </w:r>
            <w:r>
              <w:rPr>
                <w:rFonts w:hint="eastAsia" w:hAnsi="宋体" w:cs="宋体"/>
                <w:bCs/>
                <w:snapToGrid w:val="0"/>
                <w:color w:val="auto"/>
                <w:kern w:val="0"/>
                <w:sz w:val="21"/>
                <w:szCs w:val="21"/>
                <w:highlight w:val="none"/>
              </w:rPr>
              <w:t xml:space="preserve"> 。</w:t>
            </w:r>
          </w:p>
        </w:tc>
      </w:tr>
      <w:tr w14:paraId="275D52E6">
        <w:tblPrEx>
          <w:tblCellMar>
            <w:top w:w="0" w:type="dxa"/>
            <w:left w:w="108" w:type="dxa"/>
            <w:bottom w:w="0" w:type="dxa"/>
            <w:right w:w="108" w:type="dxa"/>
          </w:tblCellMar>
        </w:tblPrEx>
        <w:trPr>
          <w:trHeight w:val="90"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41AFD4B5">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3.2.4</w:t>
            </w:r>
          </w:p>
        </w:tc>
        <w:tc>
          <w:tcPr>
            <w:tcW w:w="1984" w:type="dxa"/>
            <w:tcBorders>
              <w:top w:val="single" w:color="auto" w:sz="4" w:space="0"/>
              <w:left w:val="single" w:color="auto" w:sz="4" w:space="0"/>
              <w:bottom w:val="single" w:color="auto" w:sz="4" w:space="0"/>
              <w:right w:val="single" w:color="auto" w:sz="4" w:space="0"/>
            </w:tcBorders>
            <w:vAlign w:val="center"/>
          </w:tcPr>
          <w:p w14:paraId="6B2194A5">
            <w:pPr>
              <w:adjustRightInd w:val="0"/>
              <w:snapToGrid w:val="0"/>
              <w:spacing w:line="400" w:lineRule="exact"/>
              <w:jc w:val="center"/>
              <w:rPr>
                <w:rFonts w:ascii="宋体" w:hAnsi="宋体" w:cs="宋体"/>
                <w:color w:val="auto"/>
                <w:szCs w:val="21"/>
                <w:highlight w:val="none"/>
              </w:rPr>
            </w:pPr>
            <w:r>
              <w:rPr>
                <w:rFonts w:hint="eastAsia" w:ascii="宋体" w:hAnsi="宋体" w:cs="宋体"/>
                <w:b/>
                <w:bCs/>
                <w:color w:val="auto"/>
                <w:szCs w:val="21"/>
                <w:highlight w:val="none"/>
              </w:rPr>
              <w:t>最高投标限价</w:t>
            </w:r>
          </w:p>
        </w:tc>
        <w:tc>
          <w:tcPr>
            <w:tcW w:w="6960" w:type="dxa"/>
            <w:tcBorders>
              <w:top w:val="single" w:color="auto" w:sz="4" w:space="0"/>
              <w:left w:val="single" w:color="auto" w:sz="4" w:space="0"/>
              <w:bottom w:val="single" w:color="auto" w:sz="4" w:space="0"/>
              <w:right w:val="single" w:color="auto" w:sz="4" w:space="0"/>
            </w:tcBorders>
            <w:vAlign w:val="center"/>
          </w:tcPr>
          <w:p w14:paraId="7073AD68">
            <w:pPr>
              <w:widowControl/>
              <w:wordWrap w:val="0"/>
              <w:spacing w:line="4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有，</w:t>
            </w:r>
          </w:p>
          <w:p w14:paraId="748701A4">
            <w:pPr>
              <w:widowControl/>
              <w:wordWrap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最高投标限价：按并网装机容量单价报价，最高投标限价为2.5元/Wp（</w:t>
            </w:r>
            <w:r>
              <w:rPr>
                <w:rFonts w:hint="eastAsia" w:ascii="宋体" w:hAnsi="宋体" w:cs="宋体"/>
                <w:color w:val="auto"/>
                <w:szCs w:val="21"/>
                <w:highlight w:val="none"/>
              </w:rPr>
              <w:t>投标报价均须精确到小数点后第二位，如填报多位小数的，按小数点后第3位四舍五入修正投标报价，</w:t>
            </w:r>
            <w:r>
              <w:rPr>
                <w:rFonts w:hint="eastAsia" w:ascii="宋体" w:hAnsi="宋体" w:cs="宋体"/>
                <w:color w:val="auto"/>
                <w:kern w:val="0"/>
                <w:szCs w:val="21"/>
                <w:highlight w:val="none"/>
              </w:rPr>
              <w:t xml:space="preserve">投标报价高于或等于最高限价的，按无效投标处理），方案深化设计费、建筑物荷载测试费、运维及质保均考虑在综合单价报价中。 </w:t>
            </w:r>
          </w:p>
          <w:p w14:paraId="1E7A2CF3">
            <w:pPr>
              <w:widowControl/>
              <w:wordWrap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注：投标系统中报价按下述方式计算填入（仅作为开标唱标数据）：</w:t>
            </w:r>
          </w:p>
          <w:p w14:paraId="606EE1D0">
            <w:pPr>
              <w:widowControl/>
              <w:wordWrap w:val="0"/>
              <w:spacing w:line="440" w:lineRule="exact"/>
              <w:jc w:val="left"/>
              <w:rPr>
                <w:rFonts w:ascii="宋体" w:hAnsi="宋体" w:cs="宋体"/>
                <w:color w:val="auto"/>
                <w:szCs w:val="21"/>
                <w:highlight w:val="none"/>
              </w:rPr>
            </w:pPr>
            <w:r>
              <w:rPr>
                <w:rFonts w:hint="eastAsia" w:ascii="宋体" w:hAnsi="宋体" w:cs="宋体"/>
                <w:color w:val="auto"/>
                <w:kern w:val="0"/>
                <w:szCs w:val="21"/>
                <w:highlight w:val="none"/>
              </w:rPr>
              <w:t>投标报价= 投标单价*直流侧5.5MW</w:t>
            </w:r>
            <w:r>
              <w:rPr>
                <w:rFonts w:hint="eastAsia" w:ascii="宋体" w:hAnsi="宋体" w:cs="宋体"/>
                <w:color w:val="auto"/>
                <w:kern w:val="0"/>
                <w:szCs w:val="21"/>
                <w:highlight w:val="none"/>
                <w:lang w:val="en-US" w:eastAsia="zh-CN"/>
              </w:rPr>
              <w:t>p</w:t>
            </w:r>
            <w:r>
              <w:rPr>
                <w:rFonts w:hint="eastAsia" w:ascii="宋体" w:hAnsi="宋体" w:cs="宋体"/>
                <w:color w:val="auto"/>
                <w:kern w:val="0"/>
                <w:szCs w:val="21"/>
                <w:highlight w:val="none"/>
              </w:rPr>
              <w:t>（具体以实际装机容量为准）</w:t>
            </w:r>
          </w:p>
          <w:p w14:paraId="3634847F">
            <w:pPr>
              <w:widowControl/>
              <w:wordWrap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最终投标价格以投标函中投标单价为准。 </w:t>
            </w:r>
          </w:p>
          <w:p w14:paraId="739B1893">
            <w:pPr>
              <w:widowControl/>
              <w:wordWrap w:val="0"/>
              <w:spacing w:line="440" w:lineRule="exact"/>
              <w:rPr>
                <w:rFonts w:ascii="宋体" w:hAnsi="宋体" w:cs="宋体"/>
                <w:color w:val="auto"/>
                <w:kern w:val="0"/>
                <w:szCs w:val="21"/>
                <w:highlight w:val="none"/>
              </w:rPr>
            </w:pPr>
            <w:r>
              <w:rPr>
                <w:rFonts w:hint="eastAsia" w:ascii="宋体" w:hAnsi="宋体" w:cs="宋体"/>
                <w:color w:val="auto"/>
                <w:kern w:val="0"/>
                <w:szCs w:val="21"/>
                <w:highlight w:val="none"/>
              </w:rPr>
              <w:t>注：组件价格投标后不予调整，请投标人自行考虑有关风险</w:t>
            </w:r>
          </w:p>
        </w:tc>
      </w:tr>
      <w:tr w14:paraId="25851037">
        <w:tblPrEx>
          <w:tblCellMar>
            <w:top w:w="0" w:type="dxa"/>
            <w:left w:w="108" w:type="dxa"/>
            <w:bottom w:w="0" w:type="dxa"/>
            <w:right w:w="108" w:type="dxa"/>
          </w:tblCellMar>
        </w:tblPrEx>
        <w:trPr>
          <w:trHeight w:val="344"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6BA54E8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3.2.5</w:t>
            </w:r>
          </w:p>
        </w:tc>
        <w:tc>
          <w:tcPr>
            <w:tcW w:w="1984" w:type="dxa"/>
            <w:tcBorders>
              <w:top w:val="single" w:color="auto" w:sz="4" w:space="0"/>
              <w:left w:val="single" w:color="auto" w:sz="4" w:space="0"/>
              <w:bottom w:val="single" w:color="auto" w:sz="4" w:space="0"/>
              <w:right w:val="single" w:color="auto" w:sz="4" w:space="0"/>
            </w:tcBorders>
            <w:vAlign w:val="center"/>
          </w:tcPr>
          <w:p w14:paraId="4F85F9BB">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投标报价的</w:t>
            </w:r>
          </w:p>
          <w:p w14:paraId="735AE2E6">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6960" w:type="dxa"/>
            <w:tcBorders>
              <w:top w:val="single" w:color="auto" w:sz="4" w:space="0"/>
              <w:left w:val="single" w:color="auto" w:sz="4" w:space="0"/>
              <w:bottom w:val="single" w:color="auto" w:sz="4" w:space="0"/>
              <w:right w:val="single" w:color="auto" w:sz="4" w:space="0"/>
            </w:tcBorders>
            <w:vAlign w:val="center"/>
          </w:tcPr>
          <w:p w14:paraId="5DE1C679">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合同价格形式为固定单价合同（含税）。包含但不限于调查、可研报告、测量、设计方案和施工图设计、材料采购、设备采购、施工、调试、验收、档案移交、运维、缺陷责任期内的缺陷修复、保修及施工期间的指导和配合服务等所发生的一切费用（包含但不限于自行收集相关规划资料、设备维护更新、办公费用及人员工资、交通、保险、税费等）、并网验收所涉及全部手续办理费用、临时设施费等以及招标文件规定的与本次招标相关的等所有费用。</w:t>
            </w:r>
          </w:p>
          <w:p w14:paraId="75B97115">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2、项目实施过程中须充分考虑与相关企业的沟通、协调，由此发生的费用均包含在投标报价中。 </w:t>
            </w:r>
          </w:p>
          <w:p w14:paraId="62BA440A">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3、本项目须确保通过供电公司的接入方案、验收、并网，投标人须充分考虑并网方案以及与供电部门的沟通、协调，由此发生的费用均包含在投标报价中。 </w:t>
            </w:r>
          </w:p>
          <w:p w14:paraId="732831E0">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招标人有权根据规划调整及项目的实际情况在招标过程中或合同执行过程中部分调整项目实施内容、总承包方直接施工的工程范围、专业分包范围、暂估材料设备，均不视为招标人违约，中标人不得对此有异议、不得由此要求招标人承担违约责任。招标人应在投资估算金额范围内调整项目实施内容。在项目实施过程中，如出现上述调整，中标人须无条件配合完成满足本项目实际需求的设计任务，并审查合格。</w:t>
            </w:r>
          </w:p>
          <w:p w14:paraId="0C268444">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5、因中标人在勘察设计、采购、施工等过程中出现遗漏或错误等自身原因造成的损失，所有费用不予增加。如因此给招标人带来损失，则按实际金额支付违约金（以不超过合同金额为限），并承担法律责任。</w:t>
            </w:r>
          </w:p>
          <w:p w14:paraId="07DD26E1">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6、本项目招标范围内的所有内容及完成本项目所需的全部费用均包含在投标报价中。</w:t>
            </w:r>
          </w:p>
          <w:p w14:paraId="1804C65C">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7、中标人结合项目实际情况编制运维方案，递交招标人审核确认。项目运维期间涉及的应由中标人购买的保险（财产综合险</w:t>
            </w:r>
            <w:r>
              <w:rPr>
                <w:rFonts w:hint="eastAsia" w:ascii="宋体" w:hAnsi="宋体" w:cs="宋体"/>
                <w:color w:val="auto"/>
                <w:kern w:val="0"/>
                <w:sz w:val="21"/>
                <w:szCs w:val="21"/>
                <w:highlight w:val="none"/>
                <w:lang w:val="en-US" w:eastAsia="zh-CN"/>
              </w:rPr>
              <w:t>按资产原值投保</w:t>
            </w:r>
            <w:r>
              <w:rPr>
                <w:rFonts w:hint="eastAsia" w:ascii="宋体" w:hAnsi="宋体" w:eastAsia="宋体" w:cs="宋体"/>
                <w:color w:val="auto"/>
                <w:kern w:val="0"/>
                <w:sz w:val="21"/>
                <w:szCs w:val="21"/>
                <w:highlight w:val="none"/>
                <w:lang w:val="en-US" w:eastAsia="zh-CN"/>
              </w:rPr>
              <w:t>、公共责任险</w:t>
            </w:r>
            <w:r>
              <w:rPr>
                <w:rFonts w:hint="eastAsia" w:ascii="宋体" w:hAnsi="宋体" w:cs="宋体"/>
                <w:color w:val="auto"/>
                <w:kern w:val="0"/>
                <w:sz w:val="21"/>
                <w:szCs w:val="21"/>
                <w:highlight w:val="none"/>
                <w:lang w:val="en-US" w:eastAsia="zh-CN"/>
              </w:rPr>
              <w:t>保额不低于500万</w:t>
            </w:r>
            <w:r>
              <w:rPr>
                <w:rFonts w:hint="eastAsia" w:ascii="宋体" w:hAnsi="宋体" w:eastAsia="宋体" w:cs="宋体"/>
                <w:color w:val="auto"/>
                <w:kern w:val="0"/>
                <w:sz w:val="21"/>
                <w:szCs w:val="21"/>
                <w:highlight w:val="none"/>
                <w:lang w:val="en-US" w:eastAsia="zh-CN"/>
              </w:rPr>
              <w:t>等）已包含在投标报价中，统一由中标人购买并支付相关费用，且保险期限应包含整个运维期。</w:t>
            </w:r>
          </w:p>
          <w:p w14:paraId="482D5937">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8、本项目图审、围挡、所有应由投标人缴纳的税费等一切费用均由中标人承担，在报价时综合考虑，招标人不支付费用。</w:t>
            </w:r>
          </w:p>
          <w:p w14:paraId="648E3ED0">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9、本项目的具体实施地点、安装方式及规模以招标人确定为准，由于项目存在上述不确定因素，由此产生的风险由投标人在投标报价中综合考虑。</w:t>
            </w:r>
          </w:p>
          <w:p w14:paraId="779844F6">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10、本项目中标人负责免费运维</w:t>
            </w:r>
            <w:r>
              <w:rPr>
                <w:rFonts w:hint="default"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年。本项目具体实施地点、安装规模以招标人确定为准，存在不确定因素。</w:t>
            </w:r>
          </w:p>
          <w:p w14:paraId="69BFF0A2">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11、合同签订前，中标人须</w:t>
            </w:r>
            <w:r>
              <w:rPr>
                <w:rFonts w:hint="eastAsia" w:ascii="宋体" w:hAnsi="宋体" w:eastAsia="宋体" w:cs="宋体"/>
                <w:color w:val="auto"/>
                <w:spacing w:val="-6"/>
                <w:sz w:val="21"/>
                <w:szCs w:val="21"/>
                <w:highlight w:val="none"/>
                <w:lang w:val="en-US" w:eastAsia="zh-CN"/>
              </w:rPr>
              <w:t>提供光伏组件产品的样册、线性质保书和检测报告等以及逆变器的样册、谐波测试报告、逆变器低电压零电压穿越测试报告、逆变器效率认证报告等材料，且满足相关要求，</w:t>
            </w:r>
            <w:r>
              <w:rPr>
                <w:rFonts w:hint="eastAsia" w:ascii="宋体" w:hAnsi="宋体" w:eastAsia="宋体" w:cs="宋体"/>
                <w:color w:val="auto"/>
                <w:kern w:val="0"/>
                <w:sz w:val="21"/>
                <w:szCs w:val="21"/>
                <w:highlight w:val="none"/>
                <w:lang w:val="en-US" w:eastAsia="zh-CN"/>
              </w:rPr>
              <w:t>并接受招标人抽检。</w:t>
            </w:r>
          </w:p>
          <w:p w14:paraId="143A24CD">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12、本项目设计费不单独报价，含在投标报价中，投标人自行考虑设计费。</w:t>
            </w:r>
          </w:p>
          <w:p w14:paraId="0934EC7E">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00" w:lineRule="exact"/>
              <w:ind w:left="0" w:leftChars="0" w:right="0" w:rightChars="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1"/>
                <w:szCs w:val="21"/>
                <w:highlight w:val="none"/>
                <w:lang w:val="en-US" w:eastAsia="zh-CN"/>
              </w:rPr>
              <w:t>13、光伏系统设计及安装过程中需考虑光伏电能无功功率波动，本次招标项目中标单位所建设完成的光伏电站</w:t>
            </w:r>
            <w:r>
              <w:rPr>
                <w:rFonts w:hint="eastAsia" w:ascii="宋体" w:hAnsi="宋体" w:cs="宋体"/>
                <w:color w:val="auto"/>
                <w:kern w:val="0"/>
                <w:sz w:val="21"/>
                <w:szCs w:val="21"/>
                <w:highlight w:val="none"/>
                <w:lang w:val="en-US" w:eastAsia="zh-CN"/>
              </w:rPr>
              <w:t>需加装相关补偿装置</w:t>
            </w:r>
            <w:r>
              <w:rPr>
                <w:rFonts w:hint="eastAsia" w:ascii="宋体" w:hAnsi="宋体" w:eastAsia="宋体" w:cs="宋体"/>
                <w:color w:val="auto"/>
                <w:kern w:val="0"/>
                <w:sz w:val="21"/>
                <w:szCs w:val="21"/>
                <w:highlight w:val="none"/>
                <w:lang w:val="en-US" w:eastAsia="zh-CN"/>
              </w:rPr>
              <w:t>，不得对电网功率因数造成影响。</w:t>
            </w:r>
            <w:r>
              <w:rPr>
                <w:rFonts w:hint="default"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年运维期内，若因光伏电站功率因数波动造成罚款，由中标单位全额承担。</w:t>
            </w:r>
          </w:p>
        </w:tc>
      </w:tr>
      <w:tr w14:paraId="14D7E603">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678FBD31">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3.3.1</w:t>
            </w:r>
          </w:p>
        </w:tc>
        <w:tc>
          <w:tcPr>
            <w:tcW w:w="1984" w:type="dxa"/>
            <w:tcBorders>
              <w:top w:val="single" w:color="auto" w:sz="4" w:space="0"/>
              <w:left w:val="single" w:color="auto" w:sz="4" w:space="0"/>
              <w:bottom w:val="single" w:color="auto" w:sz="4" w:space="0"/>
              <w:right w:val="single" w:color="auto" w:sz="4" w:space="0"/>
            </w:tcBorders>
            <w:vAlign w:val="center"/>
          </w:tcPr>
          <w:p w14:paraId="262F469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6960" w:type="dxa"/>
            <w:tcBorders>
              <w:top w:val="single" w:color="auto" w:sz="4" w:space="0"/>
              <w:left w:val="single" w:color="auto" w:sz="4" w:space="0"/>
              <w:bottom w:val="single" w:color="auto" w:sz="4" w:space="0"/>
              <w:right w:val="single" w:color="auto" w:sz="4" w:space="0"/>
            </w:tcBorders>
            <w:vAlign w:val="center"/>
          </w:tcPr>
          <w:p w14:paraId="5F9F7E72">
            <w:pPr>
              <w:pStyle w:val="7"/>
              <w:topLinePunct/>
              <w:adjustRightInd w:val="0"/>
              <w:snapToGrid w:val="0"/>
              <w:spacing w:line="400" w:lineRule="exact"/>
              <w:rPr>
                <w:rFonts w:hAnsi="宋体" w:cs="宋体"/>
                <w:color w:val="auto"/>
                <w:kern w:val="0"/>
                <w:sz w:val="21"/>
                <w:szCs w:val="21"/>
                <w:highlight w:val="none"/>
              </w:rPr>
            </w:pPr>
            <w:r>
              <w:rPr>
                <w:rFonts w:hint="eastAsia" w:hAnsi="宋体" w:cs="宋体"/>
                <w:color w:val="auto"/>
                <w:kern w:val="0"/>
                <w:sz w:val="21"/>
                <w:szCs w:val="21"/>
                <w:highlight w:val="none"/>
              </w:rPr>
              <w:t>自投标人递交投标文件截止之日起计算90日历天。在此期限内，凡符合本招标文件要求的投标文件均保持有效。</w:t>
            </w:r>
          </w:p>
        </w:tc>
      </w:tr>
      <w:tr w14:paraId="74E7B176">
        <w:tblPrEx>
          <w:tblCellMar>
            <w:top w:w="0" w:type="dxa"/>
            <w:left w:w="108" w:type="dxa"/>
            <w:bottom w:w="0" w:type="dxa"/>
            <w:right w:w="108" w:type="dxa"/>
          </w:tblCellMar>
        </w:tblPrEx>
        <w:trPr>
          <w:trHeight w:val="763"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500861B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3.4.1</w:t>
            </w:r>
          </w:p>
        </w:tc>
        <w:tc>
          <w:tcPr>
            <w:tcW w:w="1984" w:type="dxa"/>
            <w:tcBorders>
              <w:top w:val="single" w:color="auto" w:sz="4" w:space="0"/>
              <w:left w:val="single" w:color="auto" w:sz="4" w:space="0"/>
              <w:bottom w:val="single" w:color="auto" w:sz="4" w:space="0"/>
              <w:right w:val="single" w:color="auto" w:sz="4" w:space="0"/>
            </w:tcBorders>
            <w:vAlign w:val="center"/>
          </w:tcPr>
          <w:p w14:paraId="2C2D3D92">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投标保证金</w:t>
            </w:r>
          </w:p>
        </w:tc>
        <w:tc>
          <w:tcPr>
            <w:tcW w:w="6960" w:type="dxa"/>
            <w:tcBorders>
              <w:top w:val="single" w:color="auto" w:sz="4" w:space="0"/>
              <w:left w:val="single" w:color="auto" w:sz="4" w:space="0"/>
              <w:bottom w:val="single" w:color="auto" w:sz="4" w:space="0"/>
              <w:right w:val="single" w:color="auto" w:sz="4" w:space="0"/>
            </w:tcBorders>
            <w:vAlign w:val="center"/>
          </w:tcPr>
          <w:p w14:paraId="7C63A0AC">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详见招标公告。</w:t>
            </w:r>
          </w:p>
        </w:tc>
      </w:tr>
      <w:tr w14:paraId="27B78E29">
        <w:tblPrEx>
          <w:tblCellMar>
            <w:top w:w="0" w:type="dxa"/>
            <w:left w:w="108" w:type="dxa"/>
            <w:bottom w:w="0" w:type="dxa"/>
            <w:right w:w="108" w:type="dxa"/>
          </w:tblCellMar>
        </w:tblPrEx>
        <w:trPr>
          <w:trHeight w:val="90"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61F2919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3.5.1</w:t>
            </w:r>
          </w:p>
        </w:tc>
        <w:tc>
          <w:tcPr>
            <w:tcW w:w="1984" w:type="dxa"/>
            <w:tcBorders>
              <w:top w:val="single" w:color="auto" w:sz="4" w:space="0"/>
              <w:left w:val="single" w:color="auto" w:sz="4" w:space="0"/>
              <w:bottom w:val="single" w:color="auto" w:sz="4" w:space="0"/>
              <w:right w:val="single" w:color="auto" w:sz="4" w:space="0"/>
            </w:tcBorders>
            <w:vAlign w:val="center"/>
          </w:tcPr>
          <w:p w14:paraId="64ECC88A">
            <w:pPr>
              <w:adjustRightInd w:val="0"/>
              <w:snapToGrid w:val="0"/>
              <w:spacing w:line="400" w:lineRule="exact"/>
              <w:jc w:val="center"/>
              <w:rPr>
                <w:rFonts w:ascii="宋体" w:hAnsi="宋体" w:cs="宋体"/>
                <w:color w:val="auto"/>
                <w:szCs w:val="21"/>
                <w:highlight w:val="none"/>
              </w:rPr>
            </w:pPr>
            <w:r>
              <w:rPr>
                <w:rFonts w:hint="eastAsia" w:ascii="宋体" w:hAnsi="宋体" w:cs="宋体"/>
                <w:snapToGrid w:val="0"/>
                <w:color w:val="auto"/>
                <w:kern w:val="0"/>
                <w:szCs w:val="21"/>
                <w:highlight w:val="none"/>
                <w:shd w:val="clear" w:color="auto" w:fill="FFFFFF"/>
              </w:rPr>
              <w:t>施工组织设计编制的特殊要求</w:t>
            </w:r>
          </w:p>
        </w:tc>
        <w:tc>
          <w:tcPr>
            <w:tcW w:w="6960" w:type="dxa"/>
            <w:tcBorders>
              <w:top w:val="single" w:color="auto" w:sz="4" w:space="0"/>
              <w:left w:val="single" w:color="auto" w:sz="4" w:space="0"/>
              <w:bottom w:val="single" w:color="auto" w:sz="4" w:space="0"/>
              <w:right w:val="single" w:color="auto" w:sz="4" w:space="0"/>
            </w:tcBorders>
            <w:vAlign w:val="center"/>
          </w:tcPr>
          <w:p w14:paraId="259B66A4">
            <w:pPr>
              <w:adjustRightInd w:val="0"/>
              <w:snapToGrid w:val="0"/>
              <w:spacing w:line="400" w:lineRule="exact"/>
              <w:rPr>
                <w:rFonts w:ascii="宋体" w:hAnsi="宋体" w:cs="宋体"/>
                <w:snapToGrid w:val="0"/>
                <w:color w:val="auto"/>
                <w:kern w:val="0"/>
                <w:szCs w:val="21"/>
                <w:highlight w:val="none"/>
                <w:shd w:val="clear" w:color="auto" w:fill="FFFFFF"/>
              </w:rPr>
            </w:pPr>
            <w:r>
              <w:rPr>
                <w:rFonts w:hint="eastAsia" w:ascii="宋体" w:hAnsi="宋体" w:cs="宋体"/>
                <w:b/>
                <w:snapToGrid w:val="0"/>
                <w:color w:val="auto"/>
                <w:kern w:val="0"/>
                <w:szCs w:val="21"/>
                <w:highlight w:val="none"/>
                <w:shd w:val="clear" w:color="auto" w:fill="FFFFFF"/>
              </w:rPr>
              <w:t>（1）本招标项目重点难点：</w:t>
            </w:r>
            <w:r>
              <w:rPr>
                <w:rFonts w:hint="eastAsia" w:ascii="宋体" w:hAnsi="宋体" w:cs="宋体"/>
                <w:b/>
                <w:snapToGrid w:val="0"/>
                <w:color w:val="auto"/>
                <w:kern w:val="0"/>
                <w:szCs w:val="21"/>
                <w:highlight w:val="none"/>
                <w:u w:val="single"/>
                <w:shd w:val="clear" w:color="auto" w:fill="FFFFFF"/>
              </w:rPr>
              <w:t>光伏系统设计及安装过程中需考虑光伏电能无功功率波动</w:t>
            </w:r>
            <w:r>
              <w:rPr>
                <w:rFonts w:hint="eastAsia" w:ascii="宋体" w:hAnsi="宋体" w:cs="宋体"/>
                <w:b/>
                <w:snapToGrid w:val="0"/>
                <w:color w:val="auto"/>
                <w:kern w:val="0"/>
                <w:szCs w:val="21"/>
                <w:highlight w:val="none"/>
                <w:u w:val="single"/>
                <w:shd w:val="clear" w:color="auto" w:fill="FFFFFF"/>
                <w:lang w:eastAsia="zh-CN"/>
              </w:rPr>
              <w:t>、</w:t>
            </w:r>
            <w:r>
              <w:rPr>
                <w:rFonts w:hint="eastAsia" w:ascii="宋体" w:hAnsi="宋体" w:cs="宋体"/>
                <w:snapToGrid w:val="0"/>
                <w:color w:val="auto"/>
                <w:kern w:val="0"/>
                <w:szCs w:val="21"/>
                <w:highlight w:val="none"/>
                <w:shd w:val="clear" w:color="auto" w:fill="FFFFFF"/>
              </w:rPr>
              <w:t>光伏组件等，由投标人结合现场实际情况等自行编制相关施工组织设计方案</w:t>
            </w:r>
          </w:p>
          <w:p w14:paraId="37EF6D3E">
            <w:pPr>
              <w:adjustRightInd w:val="0"/>
              <w:snapToGrid w:val="0"/>
              <w:spacing w:line="400" w:lineRule="exact"/>
              <w:rPr>
                <w:rFonts w:ascii="宋体" w:hAnsi="宋体" w:cs="宋体"/>
                <w:snapToGrid w:val="0"/>
                <w:color w:val="auto"/>
                <w:kern w:val="0"/>
                <w:szCs w:val="21"/>
                <w:highlight w:val="none"/>
                <w:shd w:val="clear" w:color="auto" w:fill="FFFFFF"/>
              </w:rPr>
            </w:pPr>
            <w:r>
              <w:rPr>
                <w:rFonts w:hint="eastAsia" w:ascii="宋体" w:hAnsi="宋体" w:cs="宋体"/>
                <w:snapToGrid w:val="0"/>
                <w:color w:val="auto"/>
                <w:kern w:val="0"/>
                <w:szCs w:val="21"/>
                <w:highlight w:val="none"/>
                <w:shd w:val="clear" w:color="auto" w:fill="FFFFFF"/>
              </w:rPr>
              <w:t>（注：本项内容与施工组织设计重难点评审相对应，投标人必须在施工组织设计中全面重点阐述）</w:t>
            </w:r>
          </w:p>
          <w:p w14:paraId="359E2C08">
            <w:pPr>
              <w:widowControl/>
              <w:spacing w:line="400" w:lineRule="exact"/>
              <w:jc w:val="left"/>
              <w:rPr>
                <w:rFonts w:ascii="宋体" w:hAnsi="宋体" w:cs="宋体"/>
                <w:snapToGrid w:val="0"/>
                <w:color w:val="auto"/>
                <w:kern w:val="0"/>
                <w:szCs w:val="21"/>
                <w:highlight w:val="none"/>
                <w:shd w:val="clear" w:color="auto" w:fill="FFFFFF"/>
              </w:rPr>
            </w:pPr>
            <w:r>
              <w:rPr>
                <w:rFonts w:hint="eastAsia" w:ascii="宋体" w:hAnsi="宋体" w:cs="宋体"/>
                <w:b/>
                <w:snapToGrid w:val="0"/>
                <w:color w:val="auto"/>
                <w:kern w:val="0"/>
                <w:szCs w:val="21"/>
                <w:highlight w:val="none"/>
                <w:shd w:val="clear" w:color="auto" w:fill="FFFFFF"/>
              </w:rPr>
              <w:t>（2）本招标项目危险性较大的分部分项工程清单：</w:t>
            </w:r>
            <w:r>
              <w:rPr>
                <w:rFonts w:hint="eastAsia" w:ascii="宋体" w:hAnsi="宋体" w:cs="宋体"/>
                <w:b/>
                <w:snapToGrid w:val="0"/>
                <w:color w:val="auto"/>
                <w:kern w:val="0"/>
                <w:szCs w:val="21"/>
                <w:highlight w:val="none"/>
                <w:u w:val="single"/>
                <w:shd w:val="clear" w:color="auto" w:fill="FFFFFF"/>
              </w:rPr>
              <w:t>/。</w:t>
            </w:r>
          </w:p>
        </w:tc>
      </w:tr>
      <w:tr w14:paraId="546C915A">
        <w:tblPrEx>
          <w:tblCellMar>
            <w:top w:w="0" w:type="dxa"/>
            <w:left w:w="108" w:type="dxa"/>
            <w:bottom w:w="0" w:type="dxa"/>
            <w:right w:w="108" w:type="dxa"/>
          </w:tblCellMar>
        </w:tblPrEx>
        <w:trPr>
          <w:trHeight w:val="187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04E545D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3.5.8</w:t>
            </w:r>
          </w:p>
        </w:tc>
        <w:tc>
          <w:tcPr>
            <w:tcW w:w="1984" w:type="dxa"/>
            <w:tcBorders>
              <w:top w:val="single" w:color="auto" w:sz="4" w:space="0"/>
              <w:left w:val="single" w:color="auto" w:sz="4" w:space="0"/>
              <w:bottom w:val="single" w:color="auto" w:sz="4" w:space="0"/>
              <w:right w:val="single" w:color="auto" w:sz="4" w:space="0"/>
            </w:tcBorders>
            <w:vAlign w:val="center"/>
          </w:tcPr>
          <w:p w14:paraId="3684A704">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投标文件份数</w:t>
            </w:r>
          </w:p>
        </w:tc>
        <w:tc>
          <w:tcPr>
            <w:tcW w:w="6960" w:type="dxa"/>
            <w:tcBorders>
              <w:top w:val="single" w:color="auto" w:sz="4" w:space="0"/>
              <w:left w:val="single" w:color="auto" w:sz="4" w:space="0"/>
              <w:bottom w:val="single" w:color="auto" w:sz="4" w:space="0"/>
              <w:right w:val="single" w:color="auto" w:sz="4" w:space="0"/>
            </w:tcBorders>
            <w:vAlign w:val="center"/>
          </w:tcPr>
          <w:p w14:paraId="276D093B">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加密电子投标文件应在投标截止时间前通过交易中心电子交易系统上传。</w:t>
            </w:r>
          </w:p>
          <w:p w14:paraId="71707514">
            <w:pPr>
              <w:adjustRightInd w:val="0"/>
              <w:snapToGrid w:val="0"/>
              <w:spacing w:line="400" w:lineRule="exact"/>
              <w:rPr>
                <w:rFonts w:ascii="宋体" w:hAnsi="宋体" w:cs="宋体"/>
                <w:color w:val="auto"/>
                <w:szCs w:val="21"/>
                <w:highlight w:val="none"/>
              </w:rPr>
            </w:pPr>
            <w:r>
              <w:rPr>
                <w:rFonts w:hint="eastAsia" w:ascii="宋体" w:hAnsi="宋体" w:cs="宋体"/>
                <w:b/>
                <w:color w:val="auto"/>
                <w:kern w:val="0"/>
                <w:szCs w:val="21"/>
                <w:highlight w:val="none"/>
              </w:rPr>
              <w:t>（投标人中标后须递交与网上电子投标文件完全一致的纸质版投标文件，并按要求加盖单位章；份数：正本</w:t>
            </w:r>
            <w:r>
              <w:rPr>
                <w:rFonts w:hint="eastAsia" w:ascii="宋体" w:hAnsi="宋体" w:cs="宋体"/>
                <w:b/>
                <w:color w:val="auto"/>
                <w:kern w:val="0"/>
                <w:szCs w:val="21"/>
                <w:highlight w:val="none"/>
                <w:u w:val="single"/>
              </w:rPr>
              <w:t>1</w:t>
            </w:r>
            <w:r>
              <w:rPr>
                <w:rFonts w:hint="eastAsia" w:ascii="宋体" w:hAnsi="宋体" w:cs="宋体"/>
                <w:b/>
                <w:color w:val="auto"/>
                <w:kern w:val="0"/>
                <w:szCs w:val="21"/>
                <w:highlight w:val="none"/>
              </w:rPr>
              <w:t>份，副本</w:t>
            </w:r>
            <w:r>
              <w:rPr>
                <w:rFonts w:hint="eastAsia" w:ascii="宋体" w:hAnsi="宋体" w:cs="宋体"/>
                <w:b/>
                <w:color w:val="auto"/>
                <w:kern w:val="0"/>
                <w:szCs w:val="21"/>
                <w:highlight w:val="none"/>
                <w:u w:val="single"/>
              </w:rPr>
              <w:t>1</w:t>
            </w:r>
            <w:r>
              <w:rPr>
                <w:rFonts w:hint="eastAsia" w:ascii="宋体" w:hAnsi="宋体" w:cs="宋体"/>
                <w:b/>
                <w:color w:val="auto"/>
                <w:kern w:val="0"/>
                <w:szCs w:val="21"/>
                <w:highlight w:val="none"/>
              </w:rPr>
              <w:t>份；中标人领取中标通知书时，一并递交给招标代理机构）。</w:t>
            </w:r>
          </w:p>
        </w:tc>
      </w:tr>
      <w:tr w14:paraId="0A7ABC8E">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3255FB0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3.6.1</w:t>
            </w:r>
          </w:p>
        </w:tc>
        <w:tc>
          <w:tcPr>
            <w:tcW w:w="1984" w:type="dxa"/>
            <w:tcBorders>
              <w:top w:val="single" w:color="auto" w:sz="4" w:space="0"/>
              <w:left w:val="single" w:color="auto" w:sz="4" w:space="0"/>
              <w:bottom w:val="single" w:color="auto" w:sz="4" w:space="0"/>
              <w:right w:val="single" w:color="auto" w:sz="4" w:space="0"/>
            </w:tcBorders>
            <w:vAlign w:val="center"/>
          </w:tcPr>
          <w:p w14:paraId="508631FD">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是否允许递交备选投标方案</w:t>
            </w:r>
          </w:p>
        </w:tc>
        <w:tc>
          <w:tcPr>
            <w:tcW w:w="6960" w:type="dxa"/>
            <w:tcBorders>
              <w:top w:val="single" w:color="auto" w:sz="4" w:space="0"/>
              <w:left w:val="single" w:color="auto" w:sz="4" w:space="0"/>
              <w:bottom w:val="single" w:color="auto" w:sz="4" w:space="0"/>
              <w:right w:val="single" w:color="auto" w:sz="4" w:space="0"/>
            </w:tcBorders>
            <w:vAlign w:val="center"/>
          </w:tcPr>
          <w:p w14:paraId="318C15D0">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不允许。</w:t>
            </w:r>
          </w:p>
        </w:tc>
      </w:tr>
      <w:tr w14:paraId="0FD3E32A">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4B8027E5">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4.3.2</w:t>
            </w:r>
          </w:p>
        </w:tc>
        <w:tc>
          <w:tcPr>
            <w:tcW w:w="1984" w:type="dxa"/>
            <w:tcBorders>
              <w:top w:val="single" w:color="auto" w:sz="4" w:space="0"/>
              <w:left w:val="single" w:color="auto" w:sz="4" w:space="0"/>
              <w:bottom w:val="single" w:color="auto" w:sz="4" w:space="0"/>
              <w:right w:val="single" w:color="auto" w:sz="4" w:space="0"/>
            </w:tcBorders>
            <w:vAlign w:val="center"/>
          </w:tcPr>
          <w:p w14:paraId="7B4A933B">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是否退还投标文件</w:t>
            </w:r>
          </w:p>
        </w:tc>
        <w:tc>
          <w:tcPr>
            <w:tcW w:w="6960" w:type="dxa"/>
            <w:tcBorders>
              <w:top w:val="single" w:color="auto" w:sz="4" w:space="0"/>
              <w:left w:val="single" w:color="auto" w:sz="4" w:space="0"/>
              <w:bottom w:val="single" w:color="auto" w:sz="4" w:space="0"/>
              <w:right w:val="single" w:color="auto" w:sz="4" w:space="0"/>
            </w:tcBorders>
            <w:vAlign w:val="center"/>
          </w:tcPr>
          <w:p w14:paraId="30A65FD3">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否。</w:t>
            </w:r>
          </w:p>
        </w:tc>
      </w:tr>
      <w:tr w14:paraId="1B439D63">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5950DE1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5.1</w:t>
            </w:r>
          </w:p>
        </w:tc>
        <w:tc>
          <w:tcPr>
            <w:tcW w:w="1984" w:type="dxa"/>
            <w:tcBorders>
              <w:top w:val="single" w:color="auto" w:sz="4" w:space="0"/>
              <w:left w:val="single" w:color="auto" w:sz="4" w:space="0"/>
              <w:bottom w:val="single" w:color="auto" w:sz="4" w:space="0"/>
              <w:right w:val="single" w:color="auto" w:sz="4" w:space="0"/>
            </w:tcBorders>
            <w:vAlign w:val="center"/>
          </w:tcPr>
          <w:p w14:paraId="7482D6A8">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开标时间和地点</w:t>
            </w:r>
          </w:p>
        </w:tc>
        <w:tc>
          <w:tcPr>
            <w:tcW w:w="6960" w:type="dxa"/>
            <w:tcBorders>
              <w:top w:val="single" w:color="auto" w:sz="4" w:space="0"/>
              <w:left w:val="single" w:color="auto" w:sz="4" w:space="0"/>
              <w:bottom w:val="single" w:color="auto" w:sz="4" w:space="0"/>
              <w:right w:val="single" w:color="auto" w:sz="4" w:space="0"/>
            </w:tcBorders>
            <w:vAlign w:val="center"/>
          </w:tcPr>
          <w:p w14:paraId="30D68CDB">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开标时间：同投标截止时间</w:t>
            </w:r>
          </w:p>
          <w:p w14:paraId="08A377D2">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开标地点：见招标公告</w:t>
            </w:r>
          </w:p>
        </w:tc>
      </w:tr>
      <w:tr w14:paraId="697585A7">
        <w:tblPrEx>
          <w:tblCellMar>
            <w:top w:w="0" w:type="dxa"/>
            <w:left w:w="108" w:type="dxa"/>
            <w:bottom w:w="0" w:type="dxa"/>
            <w:right w:w="108" w:type="dxa"/>
          </w:tblCellMar>
        </w:tblPrEx>
        <w:trPr>
          <w:trHeight w:val="90"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67871DB0">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5.2</w:t>
            </w:r>
          </w:p>
        </w:tc>
        <w:tc>
          <w:tcPr>
            <w:tcW w:w="1984" w:type="dxa"/>
            <w:tcBorders>
              <w:top w:val="single" w:color="auto" w:sz="4" w:space="0"/>
              <w:left w:val="single" w:color="auto" w:sz="4" w:space="0"/>
              <w:bottom w:val="single" w:color="auto" w:sz="4" w:space="0"/>
              <w:right w:val="single" w:color="auto" w:sz="4" w:space="0"/>
            </w:tcBorders>
            <w:vAlign w:val="center"/>
          </w:tcPr>
          <w:p w14:paraId="320215E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开标程序</w:t>
            </w:r>
          </w:p>
        </w:tc>
        <w:tc>
          <w:tcPr>
            <w:tcW w:w="6960" w:type="dxa"/>
            <w:tcBorders>
              <w:top w:val="single" w:color="auto" w:sz="4" w:space="0"/>
              <w:left w:val="single" w:color="auto" w:sz="4" w:space="0"/>
              <w:bottom w:val="single" w:color="auto" w:sz="4" w:space="0"/>
              <w:right w:val="single" w:color="auto" w:sz="4" w:space="0"/>
            </w:tcBorders>
            <w:vAlign w:val="center"/>
          </w:tcPr>
          <w:p w14:paraId="28E6D1F2">
            <w:pPr>
              <w:adjustRightInd w:val="0"/>
              <w:snapToGrid w:val="0"/>
              <w:spacing w:line="400" w:lineRule="exact"/>
              <w:rPr>
                <w:rFonts w:ascii="宋体" w:hAnsi="宋体" w:cs="宋体"/>
                <w:b/>
                <w:bCs/>
                <w:snapToGrid w:val="0"/>
                <w:color w:val="auto"/>
                <w:kern w:val="0"/>
                <w:szCs w:val="21"/>
                <w:highlight w:val="none"/>
              </w:rPr>
            </w:pPr>
            <w:r>
              <w:rPr>
                <w:rFonts w:hint="eastAsia" w:ascii="宋体" w:hAnsi="宋体" w:cs="宋体"/>
                <w:color w:val="auto"/>
                <w:szCs w:val="21"/>
                <w:highlight w:val="none"/>
              </w:rPr>
              <w:t>（1）解密时间：解密程序开始后</w:t>
            </w:r>
            <w:r>
              <w:rPr>
                <w:rFonts w:hint="eastAsia" w:ascii="宋体" w:hAnsi="宋体" w:cs="宋体"/>
                <w:color w:val="auto"/>
                <w:szCs w:val="21"/>
                <w:highlight w:val="none"/>
                <w:u w:val="single"/>
              </w:rPr>
              <w:t>60</w:t>
            </w:r>
            <w:r>
              <w:rPr>
                <w:rFonts w:hint="eastAsia" w:ascii="宋体" w:hAnsi="宋体" w:cs="宋体"/>
                <w:color w:val="auto"/>
                <w:szCs w:val="21"/>
                <w:highlight w:val="none"/>
              </w:rPr>
              <w:t>分钟内</w:t>
            </w:r>
            <w:r>
              <w:rPr>
                <w:rFonts w:hint="eastAsia" w:ascii="宋体" w:hAnsi="宋体" w:cs="宋体"/>
                <w:bCs/>
                <w:snapToGrid w:val="0"/>
                <w:color w:val="auto"/>
                <w:kern w:val="0"/>
                <w:szCs w:val="21"/>
                <w:highlight w:val="none"/>
              </w:rPr>
              <w:t>（以电子交易系统解密倒计时为准）</w:t>
            </w:r>
            <w:r>
              <w:rPr>
                <w:rFonts w:hint="eastAsia" w:ascii="宋体" w:hAnsi="宋体" w:cs="宋体"/>
                <w:b/>
                <w:bCs/>
                <w:color w:val="auto"/>
                <w:szCs w:val="21"/>
                <w:highlight w:val="none"/>
              </w:rPr>
              <w:t>。</w:t>
            </w:r>
          </w:p>
          <w:p w14:paraId="562B568A">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（2）公布在投标截止时间前通过电子交易系统完成投标文件递交的投标人名称；</w:t>
            </w:r>
          </w:p>
          <w:p w14:paraId="6BA3A8C8">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（3）投标人在投标截止时间后在投标人须知前附表规定的解密时间内完成投标文件的解密工作；</w:t>
            </w:r>
          </w:p>
          <w:p w14:paraId="722100B2">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（4）招标人或招标代理机构完成解密工作，导入并读取所有成功解密的投标文件；</w:t>
            </w:r>
          </w:p>
          <w:p w14:paraId="0A5EB7B9">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（5）按投标人须知前附表规定公布投标人名称、标段名称、投标报价、质量目标、工期及其他内容；</w:t>
            </w:r>
          </w:p>
          <w:p w14:paraId="7A558AFB">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（6）开标结束。</w:t>
            </w:r>
          </w:p>
          <w:p w14:paraId="6558BC72">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多标段开标顺序：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tc>
      </w:tr>
      <w:tr w14:paraId="73FBB572">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7F21AAF6">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6.1.1</w:t>
            </w:r>
          </w:p>
        </w:tc>
        <w:tc>
          <w:tcPr>
            <w:tcW w:w="1984" w:type="dxa"/>
            <w:tcBorders>
              <w:top w:val="single" w:color="auto" w:sz="4" w:space="0"/>
              <w:left w:val="single" w:color="auto" w:sz="4" w:space="0"/>
              <w:bottom w:val="single" w:color="auto" w:sz="4" w:space="0"/>
              <w:right w:val="single" w:color="auto" w:sz="4" w:space="0"/>
            </w:tcBorders>
            <w:vAlign w:val="center"/>
          </w:tcPr>
          <w:p w14:paraId="0951F7C8">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评标委员会的</w:t>
            </w:r>
          </w:p>
          <w:p w14:paraId="08A8B334">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组建</w:t>
            </w:r>
          </w:p>
        </w:tc>
        <w:tc>
          <w:tcPr>
            <w:tcW w:w="6960" w:type="dxa"/>
            <w:tcBorders>
              <w:top w:val="single" w:color="auto" w:sz="4" w:space="0"/>
              <w:left w:val="single" w:color="auto" w:sz="4" w:space="0"/>
              <w:bottom w:val="single" w:color="auto" w:sz="4" w:space="0"/>
              <w:right w:val="single" w:color="auto" w:sz="4" w:space="0"/>
            </w:tcBorders>
            <w:vAlign w:val="center"/>
          </w:tcPr>
          <w:p w14:paraId="314B63AE">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评标委员会构成：</w:t>
            </w:r>
            <w:r>
              <w:rPr>
                <w:rFonts w:hint="eastAsia" w:ascii="宋体" w:hAnsi="宋体" w:cs="宋体"/>
                <w:color w:val="auto"/>
                <w:szCs w:val="21"/>
                <w:highlight w:val="none"/>
                <w:u w:val="single"/>
              </w:rPr>
              <w:t>5</w:t>
            </w:r>
            <w:r>
              <w:rPr>
                <w:rFonts w:hint="eastAsia" w:ascii="宋体" w:hAnsi="宋体" w:cs="宋体"/>
                <w:color w:val="auto"/>
                <w:szCs w:val="21"/>
                <w:highlight w:val="none"/>
              </w:rPr>
              <w:t>人，其中招标人代表</w:t>
            </w:r>
            <w:r>
              <w:rPr>
                <w:rFonts w:hint="eastAsia" w:ascii="宋体" w:hAnsi="宋体" w:cs="宋体"/>
                <w:color w:val="auto"/>
                <w:szCs w:val="21"/>
                <w:highlight w:val="none"/>
                <w:u w:val="single"/>
              </w:rPr>
              <w:t>0</w:t>
            </w:r>
            <w:r>
              <w:rPr>
                <w:rFonts w:hint="eastAsia" w:ascii="宋体" w:hAnsi="宋体" w:cs="宋体"/>
                <w:color w:val="auto"/>
                <w:szCs w:val="21"/>
                <w:highlight w:val="none"/>
              </w:rPr>
              <w:t>人，评标专家</w:t>
            </w:r>
            <w:r>
              <w:rPr>
                <w:rFonts w:hint="eastAsia" w:ascii="宋体" w:hAnsi="宋体" w:cs="宋体"/>
                <w:color w:val="auto"/>
                <w:szCs w:val="21"/>
                <w:highlight w:val="none"/>
                <w:u w:val="single"/>
              </w:rPr>
              <w:t>5</w:t>
            </w:r>
            <w:r>
              <w:rPr>
                <w:rFonts w:hint="eastAsia" w:ascii="宋体" w:hAnsi="宋体" w:cs="宋体"/>
                <w:color w:val="auto"/>
                <w:szCs w:val="21"/>
                <w:highlight w:val="none"/>
              </w:rPr>
              <w:t>人。</w:t>
            </w:r>
          </w:p>
          <w:p w14:paraId="208D2BA5">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评标专家确定方式：评标专家由招标人在评标活动开始前24小时内，通过抽取终端从专家库中随机抽取。</w:t>
            </w:r>
          </w:p>
        </w:tc>
      </w:tr>
      <w:tr w14:paraId="599F4688">
        <w:tblPrEx>
          <w:tblCellMar>
            <w:top w:w="0" w:type="dxa"/>
            <w:left w:w="108" w:type="dxa"/>
            <w:bottom w:w="0" w:type="dxa"/>
            <w:right w:w="108" w:type="dxa"/>
          </w:tblCellMar>
        </w:tblPrEx>
        <w:trPr>
          <w:trHeight w:val="1034"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0F07861A">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6.3.2</w:t>
            </w:r>
          </w:p>
        </w:tc>
        <w:tc>
          <w:tcPr>
            <w:tcW w:w="1984" w:type="dxa"/>
            <w:tcBorders>
              <w:top w:val="single" w:color="auto" w:sz="4" w:space="0"/>
              <w:left w:val="single" w:color="auto" w:sz="4" w:space="0"/>
              <w:bottom w:val="single" w:color="auto" w:sz="4" w:space="0"/>
              <w:right w:val="single" w:color="auto" w:sz="4" w:space="0"/>
            </w:tcBorders>
            <w:vAlign w:val="center"/>
          </w:tcPr>
          <w:p w14:paraId="5FCB57D0">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评标委员会确定</w:t>
            </w:r>
          </w:p>
          <w:p w14:paraId="2FB8BF1A">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中标候选人的人数</w:t>
            </w:r>
          </w:p>
        </w:tc>
        <w:tc>
          <w:tcPr>
            <w:tcW w:w="6960" w:type="dxa"/>
            <w:tcBorders>
              <w:top w:val="single" w:color="auto" w:sz="4" w:space="0"/>
              <w:left w:val="single" w:color="auto" w:sz="4" w:space="0"/>
              <w:bottom w:val="single" w:color="auto" w:sz="4" w:space="0"/>
              <w:right w:val="single" w:color="auto" w:sz="4" w:space="0"/>
            </w:tcBorders>
            <w:vAlign w:val="center"/>
          </w:tcPr>
          <w:p w14:paraId="34A4AF7A">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名，并标明排序。</w:t>
            </w:r>
          </w:p>
        </w:tc>
      </w:tr>
      <w:tr w14:paraId="706ED33D">
        <w:tblPrEx>
          <w:tblCellMar>
            <w:top w:w="0" w:type="dxa"/>
            <w:left w:w="108" w:type="dxa"/>
            <w:bottom w:w="0" w:type="dxa"/>
            <w:right w:w="108" w:type="dxa"/>
          </w:tblCellMar>
        </w:tblPrEx>
        <w:trPr>
          <w:trHeight w:val="140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4AC31E1F">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7.1</w:t>
            </w:r>
          </w:p>
        </w:tc>
        <w:tc>
          <w:tcPr>
            <w:tcW w:w="1984" w:type="dxa"/>
            <w:tcBorders>
              <w:top w:val="single" w:color="auto" w:sz="4" w:space="0"/>
              <w:left w:val="single" w:color="auto" w:sz="4" w:space="0"/>
              <w:bottom w:val="single" w:color="auto" w:sz="4" w:space="0"/>
              <w:right w:val="single" w:color="auto" w:sz="4" w:space="0"/>
            </w:tcBorders>
            <w:vAlign w:val="center"/>
          </w:tcPr>
          <w:p w14:paraId="3EBE5A3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中标候选人公示媒介及期限</w:t>
            </w:r>
          </w:p>
        </w:tc>
        <w:tc>
          <w:tcPr>
            <w:tcW w:w="6960" w:type="dxa"/>
            <w:tcBorders>
              <w:top w:val="single" w:color="auto" w:sz="4" w:space="0"/>
              <w:left w:val="single" w:color="auto" w:sz="4" w:space="0"/>
              <w:bottom w:val="single" w:color="auto" w:sz="4" w:space="0"/>
              <w:right w:val="single" w:color="auto" w:sz="4" w:space="0"/>
            </w:tcBorders>
            <w:vAlign w:val="center"/>
          </w:tcPr>
          <w:p w14:paraId="48800509">
            <w:pPr>
              <w:widowControl/>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公示媒介：同招标公告发布媒介</w:t>
            </w:r>
          </w:p>
          <w:p w14:paraId="672A4DD2">
            <w:pPr>
              <w:widowControl/>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公示期限：公示发布次日起3日（如公示第三日为休息日或节假日，则顺延至休息日或节假日后第一个工作日）</w:t>
            </w:r>
          </w:p>
        </w:tc>
      </w:tr>
      <w:tr w14:paraId="142A40BA">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477E1842">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7.5</w:t>
            </w:r>
          </w:p>
        </w:tc>
        <w:tc>
          <w:tcPr>
            <w:tcW w:w="1984" w:type="dxa"/>
            <w:tcBorders>
              <w:top w:val="single" w:color="auto" w:sz="4" w:space="0"/>
              <w:left w:val="single" w:color="auto" w:sz="4" w:space="0"/>
              <w:bottom w:val="single" w:color="auto" w:sz="4" w:space="0"/>
              <w:right w:val="single" w:color="auto" w:sz="4" w:space="0"/>
            </w:tcBorders>
            <w:vAlign w:val="center"/>
          </w:tcPr>
          <w:p w14:paraId="0240EAD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是否授权评标委员会确定中标人</w:t>
            </w:r>
          </w:p>
        </w:tc>
        <w:tc>
          <w:tcPr>
            <w:tcW w:w="6960" w:type="dxa"/>
            <w:tcBorders>
              <w:top w:val="single" w:color="auto" w:sz="4" w:space="0"/>
              <w:left w:val="single" w:color="auto" w:sz="4" w:space="0"/>
              <w:bottom w:val="single" w:color="auto" w:sz="4" w:space="0"/>
              <w:right w:val="single" w:color="auto" w:sz="4" w:space="0"/>
            </w:tcBorders>
            <w:vAlign w:val="center"/>
          </w:tcPr>
          <w:p w14:paraId="1093DC27">
            <w:pPr>
              <w:widowControl/>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否</w:t>
            </w:r>
          </w:p>
        </w:tc>
      </w:tr>
      <w:tr w14:paraId="78CF7FEF">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right w:val="single" w:color="auto" w:sz="4" w:space="0"/>
            </w:tcBorders>
            <w:vAlign w:val="center"/>
          </w:tcPr>
          <w:p w14:paraId="42CC0E51">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7.6</w:t>
            </w:r>
          </w:p>
        </w:tc>
        <w:tc>
          <w:tcPr>
            <w:tcW w:w="1984" w:type="dxa"/>
            <w:tcBorders>
              <w:top w:val="single" w:color="auto" w:sz="4" w:space="0"/>
              <w:left w:val="single" w:color="auto" w:sz="4" w:space="0"/>
              <w:right w:val="single" w:color="auto" w:sz="4" w:space="0"/>
            </w:tcBorders>
            <w:vAlign w:val="center"/>
          </w:tcPr>
          <w:p w14:paraId="6624C561">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中标通知书发出形式</w:t>
            </w:r>
          </w:p>
        </w:tc>
        <w:tc>
          <w:tcPr>
            <w:tcW w:w="6960" w:type="dxa"/>
            <w:tcBorders>
              <w:top w:val="single" w:color="auto" w:sz="4" w:space="0"/>
              <w:left w:val="single" w:color="auto" w:sz="4" w:space="0"/>
              <w:right w:val="single" w:color="auto" w:sz="4" w:space="0"/>
            </w:tcBorders>
            <w:vAlign w:val="center"/>
          </w:tcPr>
          <w:p w14:paraId="0973E534">
            <w:pPr>
              <w:widowControl/>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数据电文</w:t>
            </w:r>
          </w:p>
        </w:tc>
      </w:tr>
      <w:tr w14:paraId="52CE1F43">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right w:val="single" w:color="auto" w:sz="4" w:space="0"/>
            </w:tcBorders>
            <w:vAlign w:val="center"/>
          </w:tcPr>
          <w:p w14:paraId="0999AC58">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7.7</w:t>
            </w:r>
          </w:p>
        </w:tc>
        <w:tc>
          <w:tcPr>
            <w:tcW w:w="1984" w:type="dxa"/>
            <w:tcBorders>
              <w:top w:val="single" w:color="auto" w:sz="4" w:space="0"/>
              <w:left w:val="single" w:color="auto" w:sz="4" w:space="0"/>
              <w:right w:val="single" w:color="auto" w:sz="4" w:space="0"/>
            </w:tcBorders>
            <w:vAlign w:val="center"/>
          </w:tcPr>
          <w:p w14:paraId="792B1A12">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中标结果公示媒介</w:t>
            </w:r>
          </w:p>
        </w:tc>
        <w:tc>
          <w:tcPr>
            <w:tcW w:w="6960" w:type="dxa"/>
            <w:tcBorders>
              <w:top w:val="single" w:color="auto" w:sz="4" w:space="0"/>
              <w:left w:val="single" w:color="auto" w:sz="4" w:space="0"/>
              <w:right w:val="single" w:color="auto" w:sz="4" w:space="0"/>
            </w:tcBorders>
            <w:vAlign w:val="center"/>
          </w:tcPr>
          <w:p w14:paraId="572684E3">
            <w:pPr>
              <w:widowControl/>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公示媒介：同招标公告发布媒介；</w:t>
            </w:r>
          </w:p>
          <w:p w14:paraId="22769D56">
            <w:pPr>
              <w:widowControl/>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公示期限：1 日。</w:t>
            </w:r>
          </w:p>
        </w:tc>
      </w:tr>
      <w:tr w14:paraId="596FCD27">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5F94CD8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7.8</w:t>
            </w:r>
          </w:p>
        </w:tc>
        <w:tc>
          <w:tcPr>
            <w:tcW w:w="1984" w:type="dxa"/>
            <w:tcBorders>
              <w:top w:val="single" w:color="auto" w:sz="4" w:space="0"/>
              <w:left w:val="single" w:color="auto" w:sz="4" w:space="0"/>
              <w:bottom w:val="single" w:color="auto" w:sz="4" w:space="0"/>
              <w:right w:val="single" w:color="auto" w:sz="4" w:space="0"/>
            </w:tcBorders>
            <w:vAlign w:val="center"/>
          </w:tcPr>
          <w:p w14:paraId="4902CE92">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履约担保</w:t>
            </w:r>
          </w:p>
        </w:tc>
        <w:tc>
          <w:tcPr>
            <w:tcW w:w="6960" w:type="dxa"/>
            <w:tcBorders>
              <w:top w:val="single" w:color="auto" w:sz="4" w:space="0"/>
              <w:left w:val="single" w:color="auto" w:sz="4" w:space="0"/>
              <w:bottom w:val="single" w:color="auto" w:sz="4" w:space="0"/>
              <w:right w:val="single" w:color="auto" w:sz="4" w:space="0"/>
            </w:tcBorders>
            <w:vAlign w:val="center"/>
          </w:tcPr>
          <w:p w14:paraId="7D0A22B6">
            <w:pPr>
              <w:spacing w:line="400" w:lineRule="exact"/>
              <w:rPr>
                <w:rFonts w:ascii="宋体" w:hAnsi="宋体" w:cs="宋体"/>
                <w:color w:val="auto"/>
                <w:szCs w:val="21"/>
                <w:highlight w:val="none"/>
              </w:rPr>
            </w:pPr>
            <w:r>
              <w:rPr>
                <w:rFonts w:hint="eastAsia" w:ascii="宋体" w:hAnsi="宋体" w:cs="宋体"/>
                <w:color w:val="auto"/>
                <w:szCs w:val="21"/>
                <w:highlight w:val="none"/>
              </w:rPr>
              <w:t>要求中标人提交履约保证金</w:t>
            </w:r>
          </w:p>
          <w:p w14:paraId="29FAA7B0">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履约担保的形式：支持银行转账、银行电汇、银行保函、担保机构担保、保证保险使用  </w:t>
            </w:r>
          </w:p>
          <w:p w14:paraId="672F63BE">
            <w:pPr>
              <w:spacing w:line="400" w:lineRule="exact"/>
              <w:rPr>
                <w:rFonts w:ascii="宋体" w:hAnsi="宋体" w:cs="宋体"/>
                <w:color w:val="auto"/>
                <w:szCs w:val="21"/>
                <w:highlight w:val="none"/>
              </w:rPr>
            </w:pPr>
            <w:r>
              <w:rPr>
                <w:rFonts w:hint="eastAsia" w:ascii="宋体" w:hAnsi="宋体" w:cs="宋体"/>
                <w:color w:val="auto"/>
                <w:szCs w:val="21"/>
                <w:highlight w:val="none"/>
              </w:rPr>
              <w:t>履约担保的金额：中标单价×</w:t>
            </w:r>
            <w:r>
              <w:rPr>
                <w:rFonts w:hint="eastAsia" w:ascii="宋体" w:hAnsi="宋体" w:cs="宋体"/>
                <w:color w:val="auto"/>
                <w:szCs w:val="21"/>
                <w:highlight w:val="none"/>
                <w:lang w:val="en-US" w:eastAsia="zh-CN"/>
              </w:rPr>
              <w:t>5.5</w:t>
            </w:r>
            <w:r>
              <w:rPr>
                <w:rFonts w:hint="eastAsia" w:ascii="宋体" w:hAnsi="宋体" w:cs="宋体"/>
                <w:color w:val="auto"/>
                <w:szCs w:val="21"/>
                <w:highlight w:val="none"/>
              </w:rPr>
              <w:t>MW×2%</w:t>
            </w:r>
          </w:p>
          <w:p w14:paraId="1E7260D3">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收款单位：中标后另行通知                  </w:t>
            </w:r>
          </w:p>
          <w:p w14:paraId="0658C35B">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开户银行：中标后另行通知                  </w:t>
            </w:r>
          </w:p>
          <w:p w14:paraId="740F8529">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银行账号：中标后另行通知                  </w:t>
            </w:r>
          </w:p>
          <w:p w14:paraId="159B6B72">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缴纳时限：中标后另行通知 </w:t>
            </w:r>
          </w:p>
          <w:p w14:paraId="48B02268">
            <w:pPr>
              <w:spacing w:line="400" w:lineRule="exact"/>
              <w:rPr>
                <w:rFonts w:ascii="宋体" w:hAnsi="宋体" w:cs="宋体"/>
                <w:color w:val="auto"/>
                <w:szCs w:val="21"/>
                <w:highlight w:val="none"/>
              </w:rPr>
            </w:pPr>
            <w:r>
              <w:rPr>
                <w:rFonts w:hint="eastAsia" w:ascii="宋体" w:hAnsi="宋体" w:cs="宋体"/>
                <w:color w:val="auto"/>
                <w:szCs w:val="21"/>
                <w:highlight w:val="none"/>
              </w:rPr>
              <w:t>履约保证金退还时限：履约保证金有效期满7日内。</w:t>
            </w:r>
          </w:p>
          <w:p w14:paraId="169600FB">
            <w:pPr>
              <w:spacing w:line="400" w:lineRule="exact"/>
              <w:rPr>
                <w:rFonts w:ascii="宋体" w:hAnsi="宋体" w:cs="宋体"/>
                <w:color w:val="auto"/>
                <w:szCs w:val="21"/>
                <w:highlight w:val="none"/>
              </w:rPr>
            </w:pPr>
            <w:r>
              <w:rPr>
                <w:rFonts w:hint="eastAsia" w:ascii="宋体" w:hAnsi="宋体" w:cs="宋体"/>
                <w:b/>
                <w:bCs/>
                <w:color w:val="auto"/>
                <w:szCs w:val="21"/>
                <w:highlight w:val="none"/>
              </w:rPr>
              <w:t>注：汇款务必注明缴款人名称及用途。</w:t>
            </w:r>
          </w:p>
          <w:p w14:paraId="30C6686E">
            <w:pPr>
              <w:spacing w:line="400" w:lineRule="exact"/>
              <w:rPr>
                <w:rFonts w:ascii="宋体" w:hAnsi="宋体" w:cs="宋体"/>
                <w:color w:val="auto"/>
                <w:szCs w:val="21"/>
                <w:highlight w:val="none"/>
              </w:rPr>
            </w:pPr>
            <w:r>
              <w:rPr>
                <w:rFonts w:hint="eastAsia" w:ascii="宋体" w:hAnsi="宋体" w:cs="宋体"/>
                <w:bCs/>
                <w:color w:val="auto"/>
                <w:szCs w:val="21"/>
                <w:highlight w:val="none"/>
              </w:rPr>
              <w:t>公示期结束后，发出中标通知书之日起30个日历天内足额交纳履约保证金并签订合同，如未按期交齐履约保证金或未按期签订合同的，视同放弃中标资格，招标人将扣除投标保证金。</w:t>
            </w:r>
          </w:p>
          <w:p w14:paraId="1251298C">
            <w:pPr>
              <w:spacing w:line="400" w:lineRule="exact"/>
              <w:rPr>
                <w:rFonts w:ascii="宋体" w:hAnsi="宋体" w:cs="宋体"/>
                <w:color w:val="auto"/>
                <w:szCs w:val="21"/>
                <w:highlight w:val="none"/>
              </w:rPr>
            </w:pPr>
            <w:r>
              <w:rPr>
                <w:rFonts w:hint="eastAsia" w:ascii="宋体" w:hAnsi="宋体" w:cs="宋体"/>
                <w:color w:val="auto"/>
                <w:szCs w:val="21"/>
                <w:highlight w:val="none"/>
              </w:rPr>
              <w:t>其他相关要求：须经招标人认可。</w:t>
            </w:r>
          </w:p>
          <w:p w14:paraId="16C3B193">
            <w:pPr>
              <w:spacing w:line="400" w:lineRule="exact"/>
              <w:rPr>
                <w:rFonts w:ascii="宋体" w:hAnsi="宋体" w:cs="宋体"/>
                <w:color w:val="auto"/>
                <w:szCs w:val="21"/>
                <w:highlight w:val="none"/>
              </w:rPr>
            </w:pPr>
            <w:r>
              <w:rPr>
                <w:rFonts w:hint="eastAsia" w:ascii="宋体" w:hAnsi="宋体" w:cs="宋体"/>
                <w:color w:val="auto"/>
                <w:szCs w:val="21"/>
                <w:highlight w:val="none"/>
              </w:rPr>
              <w:t>联合体参加投标且中标的，以联合体牵头人的名义按上述要求缴纳履约担保。</w:t>
            </w:r>
          </w:p>
        </w:tc>
      </w:tr>
      <w:tr w14:paraId="6005724F">
        <w:tblPrEx>
          <w:tblCellMar>
            <w:top w:w="0" w:type="dxa"/>
            <w:left w:w="108" w:type="dxa"/>
            <w:bottom w:w="0" w:type="dxa"/>
            <w:right w:w="108" w:type="dxa"/>
          </w:tblCellMar>
        </w:tblPrEx>
        <w:trPr>
          <w:trHeight w:val="40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599176C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7.9</w:t>
            </w:r>
          </w:p>
        </w:tc>
        <w:tc>
          <w:tcPr>
            <w:tcW w:w="1984" w:type="dxa"/>
            <w:tcBorders>
              <w:top w:val="single" w:color="auto" w:sz="4" w:space="0"/>
              <w:left w:val="single" w:color="auto" w:sz="4" w:space="0"/>
              <w:bottom w:val="single" w:color="auto" w:sz="4" w:space="0"/>
              <w:right w:val="single" w:color="auto" w:sz="4" w:space="0"/>
            </w:tcBorders>
            <w:vAlign w:val="center"/>
          </w:tcPr>
          <w:p w14:paraId="2F321E9C">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签订合同</w:t>
            </w:r>
          </w:p>
        </w:tc>
        <w:tc>
          <w:tcPr>
            <w:tcW w:w="6960" w:type="dxa"/>
            <w:tcBorders>
              <w:top w:val="single" w:color="auto" w:sz="4" w:space="0"/>
              <w:left w:val="single" w:color="auto" w:sz="4" w:space="0"/>
              <w:bottom w:val="single" w:color="auto" w:sz="4" w:space="0"/>
              <w:right w:val="single" w:color="auto" w:sz="4" w:space="0"/>
            </w:tcBorders>
          </w:tcPr>
          <w:p w14:paraId="7ED43EC8">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中标通知书发出之日起7日内，应委派代表与招标人联系并商讨书面合同签订事宜。中标人和招标人应在投标有效期内以及中标通知书发出之日起30日内，根据招标文件和中标人的投标文件订立书面合同。</w:t>
            </w:r>
          </w:p>
        </w:tc>
      </w:tr>
      <w:tr w14:paraId="4BBB076B">
        <w:tblPrEx>
          <w:tblCellMar>
            <w:top w:w="0" w:type="dxa"/>
            <w:left w:w="108" w:type="dxa"/>
            <w:bottom w:w="0" w:type="dxa"/>
            <w:right w:w="108" w:type="dxa"/>
          </w:tblCellMar>
        </w:tblPrEx>
        <w:trPr>
          <w:trHeight w:val="476" w:hRule="atLeast"/>
          <w:jc w:val="center"/>
        </w:trPr>
        <w:tc>
          <w:tcPr>
            <w:tcW w:w="9959" w:type="dxa"/>
            <w:gridSpan w:val="3"/>
            <w:tcBorders>
              <w:top w:val="single" w:color="auto" w:sz="4" w:space="0"/>
              <w:left w:val="single" w:color="auto" w:sz="4" w:space="0"/>
              <w:bottom w:val="single" w:color="auto" w:sz="4" w:space="0"/>
              <w:right w:val="single" w:color="auto" w:sz="4" w:space="0"/>
            </w:tcBorders>
            <w:vAlign w:val="center"/>
          </w:tcPr>
          <w:p w14:paraId="727A0D9C">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10.需要补充的其他内容</w:t>
            </w:r>
          </w:p>
        </w:tc>
      </w:tr>
      <w:tr w14:paraId="662DE291">
        <w:tblPrEx>
          <w:tblCellMar>
            <w:top w:w="0" w:type="dxa"/>
            <w:left w:w="108" w:type="dxa"/>
            <w:bottom w:w="0" w:type="dxa"/>
            <w:right w:w="108" w:type="dxa"/>
          </w:tblCellMar>
        </w:tblPrEx>
        <w:trPr>
          <w:trHeight w:val="476" w:hRule="atLeast"/>
          <w:jc w:val="center"/>
        </w:trPr>
        <w:tc>
          <w:tcPr>
            <w:tcW w:w="9959" w:type="dxa"/>
            <w:gridSpan w:val="3"/>
            <w:tcBorders>
              <w:top w:val="single" w:color="auto" w:sz="4" w:space="0"/>
              <w:left w:val="single" w:color="auto" w:sz="4" w:space="0"/>
              <w:bottom w:val="single" w:color="auto" w:sz="4" w:space="0"/>
              <w:right w:val="single" w:color="auto" w:sz="4" w:space="0"/>
            </w:tcBorders>
            <w:vAlign w:val="center"/>
          </w:tcPr>
          <w:p w14:paraId="5BC89253">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10.1招标代理服务费和专家评审劳务费</w:t>
            </w:r>
          </w:p>
        </w:tc>
      </w:tr>
      <w:tr w14:paraId="7325A466">
        <w:tblPrEx>
          <w:tblCellMar>
            <w:top w:w="0" w:type="dxa"/>
            <w:left w:w="108" w:type="dxa"/>
            <w:bottom w:w="0" w:type="dxa"/>
            <w:right w:w="108" w:type="dxa"/>
          </w:tblCellMar>
        </w:tblPrEx>
        <w:trPr>
          <w:trHeight w:val="1713"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32ACD19A">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10.1.1</w:t>
            </w:r>
          </w:p>
        </w:tc>
        <w:tc>
          <w:tcPr>
            <w:tcW w:w="1984" w:type="dxa"/>
            <w:tcBorders>
              <w:top w:val="single" w:color="auto" w:sz="4" w:space="0"/>
              <w:left w:val="single" w:color="auto" w:sz="4" w:space="0"/>
              <w:bottom w:val="single" w:color="auto" w:sz="4" w:space="0"/>
              <w:right w:val="single" w:color="auto" w:sz="4" w:space="0"/>
            </w:tcBorders>
            <w:vAlign w:val="center"/>
          </w:tcPr>
          <w:p w14:paraId="48C5DA9F">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招标代理服务费</w:t>
            </w:r>
          </w:p>
        </w:tc>
        <w:tc>
          <w:tcPr>
            <w:tcW w:w="6960" w:type="dxa"/>
            <w:tcBorders>
              <w:top w:val="single" w:color="auto" w:sz="4" w:space="0"/>
              <w:left w:val="single" w:color="auto" w:sz="4" w:space="0"/>
              <w:bottom w:val="single" w:color="auto" w:sz="4" w:space="0"/>
              <w:right w:val="single" w:color="auto" w:sz="4" w:space="0"/>
            </w:tcBorders>
            <w:vAlign w:val="center"/>
          </w:tcPr>
          <w:p w14:paraId="37F8FF53">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代理服务费具体金额及参考标准：</w:t>
            </w:r>
            <w:r>
              <w:rPr>
                <w:rFonts w:hint="eastAsia" w:ascii="宋体" w:hAnsi="宋体" w:cs="宋体"/>
                <w:color w:val="auto"/>
                <w:szCs w:val="21"/>
                <w:highlight w:val="none"/>
                <w:lang w:val="en-US" w:eastAsia="zh-CN"/>
              </w:rPr>
              <w:t>62900</w:t>
            </w:r>
            <w:r>
              <w:rPr>
                <w:rFonts w:hint="eastAsia" w:ascii="宋体" w:hAnsi="宋体" w:cs="宋体"/>
                <w:color w:val="auto"/>
                <w:szCs w:val="21"/>
                <w:highlight w:val="none"/>
              </w:rPr>
              <w:t>元，参考《国家计委关于印发&lt;招标代理服务收费管理暂行办法&gt;的通知》（计价格【2002】1980号）</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0%收费标准收取；</w:t>
            </w:r>
          </w:p>
          <w:p w14:paraId="2653ADF5">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代理服务费支付主体：中标人。本项目因故未将此费用列入最高投标限价中，此项费用由中标人支付，投标人投标报价时充分考虑并谨慎报价；</w:t>
            </w:r>
          </w:p>
          <w:p w14:paraId="51CEAA5C">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代理服务费收取方式：中标人在获取中标通知书时一次性支付给代理机构 。</w:t>
            </w:r>
          </w:p>
        </w:tc>
      </w:tr>
      <w:tr w14:paraId="3DFEA282">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51141AD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10.1.2</w:t>
            </w:r>
          </w:p>
        </w:tc>
        <w:tc>
          <w:tcPr>
            <w:tcW w:w="1984" w:type="dxa"/>
            <w:tcBorders>
              <w:top w:val="single" w:color="auto" w:sz="4" w:space="0"/>
              <w:left w:val="single" w:color="auto" w:sz="4" w:space="0"/>
              <w:bottom w:val="single" w:color="auto" w:sz="4" w:space="0"/>
              <w:right w:val="single" w:color="auto" w:sz="4" w:space="0"/>
            </w:tcBorders>
            <w:vAlign w:val="center"/>
          </w:tcPr>
          <w:p w14:paraId="2738638D">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专家评审劳务费</w:t>
            </w:r>
          </w:p>
        </w:tc>
        <w:tc>
          <w:tcPr>
            <w:tcW w:w="6960" w:type="dxa"/>
            <w:tcBorders>
              <w:top w:val="single" w:color="auto" w:sz="4" w:space="0"/>
              <w:left w:val="single" w:color="auto" w:sz="4" w:space="0"/>
              <w:bottom w:val="single" w:color="auto" w:sz="4" w:space="0"/>
              <w:right w:val="single" w:color="auto" w:sz="4" w:space="0"/>
            </w:tcBorders>
            <w:vAlign w:val="center"/>
          </w:tcPr>
          <w:p w14:paraId="6306B743">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费用或支付标准：以实际发生为准；</w:t>
            </w:r>
          </w:p>
          <w:p w14:paraId="3CB1D050">
            <w:pPr>
              <w:pStyle w:val="18"/>
              <w:spacing w:line="400" w:lineRule="exact"/>
              <w:ind w:left="0" w:leftChars="0" w:firstLine="0" w:firstLineChars="0"/>
              <w:rPr>
                <w:rFonts w:ascii="宋体" w:hAnsi="宋体" w:cs="宋体"/>
                <w:color w:val="auto"/>
                <w:szCs w:val="21"/>
                <w:highlight w:val="none"/>
              </w:rPr>
            </w:pPr>
            <w:r>
              <w:rPr>
                <w:rFonts w:hint="eastAsia" w:ascii="宋体" w:hAnsi="宋体" w:cs="宋体"/>
                <w:color w:val="auto"/>
                <w:szCs w:val="21"/>
                <w:highlight w:val="none"/>
              </w:rPr>
              <w:t>支付主体：招标</w:t>
            </w:r>
            <w:r>
              <w:rPr>
                <w:rFonts w:hint="eastAsia" w:ascii="宋体" w:hAnsi="宋体" w:cs="宋体"/>
                <w:color w:val="auto"/>
                <w:szCs w:val="21"/>
                <w:highlight w:val="none"/>
                <w:lang w:val="en-US" w:eastAsia="zh-CN"/>
              </w:rPr>
              <w:t>代理机构</w:t>
            </w:r>
            <w:r>
              <w:rPr>
                <w:rFonts w:hint="eastAsia" w:ascii="宋体" w:hAnsi="宋体" w:cs="宋体"/>
                <w:color w:val="auto"/>
                <w:szCs w:val="21"/>
                <w:highlight w:val="none"/>
              </w:rPr>
              <w:t>。</w:t>
            </w:r>
          </w:p>
        </w:tc>
      </w:tr>
      <w:tr w14:paraId="160E644D">
        <w:tblPrEx>
          <w:tblCellMar>
            <w:top w:w="0" w:type="dxa"/>
            <w:left w:w="108" w:type="dxa"/>
            <w:bottom w:w="0" w:type="dxa"/>
            <w:right w:w="108" w:type="dxa"/>
          </w:tblCellMar>
        </w:tblPrEx>
        <w:trPr>
          <w:trHeight w:val="476" w:hRule="atLeast"/>
          <w:jc w:val="center"/>
        </w:trPr>
        <w:tc>
          <w:tcPr>
            <w:tcW w:w="9959" w:type="dxa"/>
            <w:gridSpan w:val="3"/>
            <w:tcBorders>
              <w:top w:val="single" w:color="auto" w:sz="4" w:space="0"/>
              <w:left w:val="single" w:color="auto" w:sz="4" w:space="0"/>
              <w:bottom w:val="single" w:color="auto" w:sz="4" w:space="0"/>
              <w:right w:val="single" w:color="auto" w:sz="4" w:space="0"/>
            </w:tcBorders>
            <w:vAlign w:val="center"/>
          </w:tcPr>
          <w:p w14:paraId="7EEF0484">
            <w:pPr>
              <w:adjustRightInd w:val="0"/>
              <w:snapToGrid w:val="0"/>
              <w:spacing w:line="400" w:lineRule="exact"/>
              <w:rPr>
                <w:rFonts w:ascii="宋体" w:hAnsi="宋体" w:cs="宋体"/>
                <w:bCs/>
                <w:snapToGrid w:val="0"/>
                <w:color w:val="auto"/>
                <w:kern w:val="0"/>
                <w:szCs w:val="21"/>
                <w:highlight w:val="none"/>
              </w:rPr>
            </w:pPr>
            <w:r>
              <w:rPr>
                <w:rFonts w:hint="eastAsia" w:ascii="宋体" w:hAnsi="宋体" w:cs="宋体"/>
                <w:color w:val="auto"/>
                <w:szCs w:val="21"/>
                <w:highlight w:val="none"/>
              </w:rPr>
              <w:t>10.2 招标文件获取与通知</w:t>
            </w:r>
          </w:p>
        </w:tc>
      </w:tr>
      <w:tr w14:paraId="32D4B8AE">
        <w:tblPrEx>
          <w:tblCellMar>
            <w:top w:w="0" w:type="dxa"/>
            <w:left w:w="108" w:type="dxa"/>
            <w:bottom w:w="0" w:type="dxa"/>
            <w:right w:w="108" w:type="dxa"/>
          </w:tblCellMar>
        </w:tblPrEx>
        <w:trPr>
          <w:trHeight w:val="47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762B6FB7">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10.2.1</w:t>
            </w:r>
          </w:p>
        </w:tc>
        <w:tc>
          <w:tcPr>
            <w:tcW w:w="1984" w:type="dxa"/>
            <w:tcBorders>
              <w:top w:val="single" w:color="auto" w:sz="4" w:space="0"/>
              <w:left w:val="single" w:color="auto" w:sz="4" w:space="0"/>
              <w:bottom w:val="single" w:color="auto" w:sz="4" w:space="0"/>
              <w:right w:val="single" w:color="auto" w:sz="4" w:space="0"/>
            </w:tcBorders>
            <w:vAlign w:val="center"/>
          </w:tcPr>
          <w:p w14:paraId="6129F993">
            <w:pPr>
              <w:adjustRightInd w:val="0"/>
              <w:snapToGrid w:val="0"/>
              <w:spacing w:line="400" w:lineRule="exact"/>
              <w:jc w:val="center"/>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电子招投标</w:t>
            </w:r>
          </w:p>
        </w:tc>
        <w:tc>
          <w:tcPr>
            <w:tcW w:w="6960" w:type="dxa"/>
            <w:tcBorders>
              <w:top w:val="single" w:color="auto" w:sz="4" w:space="0"/>
              <w:left w:val="single" w:color="auto" w:sz="4" w:space="0"/>
              <w:bottom w:val="single" w:color="auto" w:sz="4" w:space="0"/>
              <w:right w:val="single" w:color="auto" w:sz="4" w:space="0"/>
            </w:tcBorders>
            <w:vAlign w:val="center"/>
          </w:tcPr>
          <w:p w14:paraId="6E5CCE96">
            <w:pPr>
              <w:adjustRightInd w:val="0"/>
              <w:snapToGrid w:val="0"/>
              <w:spacing w:line="400" w:lineRule="exact"/>
              <w:rPr>
                <w:rFonts w:ascii="宋体" w:hAnsi="宋体" w:cs="宋体"/>
                <w:color w:val="auto"/>
                <w:szCs w:val="21"/>
                <w:highlight w:val="none"/>
              </w:rPr>
            </w:pPr>
            <w:r>
              <w:rPr>
                <w:rFonts w:hint="eastAsia" w:ascii="宋体" w:hAnsi="宋体" w:cs="宋体"/>
                <w:bCs/>
                <w:snapToGrid w:val="0"/>
                <w:color w:val="auto"/>
                <w:kern w:val="0"/>
                <w:szCs w:val="21"/>
                <w:highlight w:val="none"/>
              </w:rPr>
              <w:t>本项目采用电子招标投标方式。</w:t>
            </w:r>
          </w:p>
        </w:tc>
      </w:tr>
      <w:tr w14:paraId="0CA8499C">
        <w:tblPrEx>
          <w:tblCellMar>
            <w:top w:w="0" w:type="dxa"/>
            <w:left w:w="108" w:type="dxa"/>
            <w:bottom w:w="0" w:type="dxa"/>
            <w:right w:w="108" w:type="dxa"/>
          </w:tblCellMar>
        </w:tblPrEx>
        <w:trPr>
          <w:trHeight w:val="9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41EC8B4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10.2.2</w:t>
            </w:r>
          </w:p>
        </w:tc>
        <w:tc>
          <w:tcPr>
            <w:tcW w:w="1984" w:type="dxa"/>
            <w:tcBorders>
              <w:top w:val="single" w:color="auto" w:sz="4" w:space="0"/>
              <w:left w:val="single" w:color="auto" w:sz="4" w:space="0"/>
              <w:bottom w:val="single" w:color="auto" w:sz="4" w:space="0"/>
              <w:right w:val="single" w:color="auto" w:sz="4" w:space="0"/>
            </w:tcBorders>
            <w:vAlign w:val="center"/>
          </w:tcPr>
          <w:p w14:paraId="0657A9D5">
            <w:pPr>
              <w:adjustRightInd w:val="0"/>
              <w:snapToGrid w:val="0"/>
              <w:spacing w:line="400" w:lineRule="exact"/>
              <w:jc w:val="center"/>
              <w:rPr>
                <w:rFonts w:ascii="宋体" w:hAnsi="宋体" w:cs="宋体"/>
                <w:color w:val="auto"/>
                <w:szCs w:val="21"/>
                <w:highlight w:val="none"/>
              </w:rPr>
            </w:pPr>
            <w:r>
              <w:rPr>
                <w:rFonts w:hint="eastAsia" w:ascii="宋体" w:hAnsi="宋体" w:cs="宋体"/>
                <w:bCs/>
                <w:snapToGrid w:val="0"/>
                <w:color w:val="auto"/>
                <w:kern w:val="0"/>
                <w:szCs w:val="21"/>
                <w:highlight w:val="none"/>
              </w:rPr>
              <w:t>图纸获取说明</w:t>
            </w:r>
          </w:p>
        </w:tc>
        <w:tc>
          <w:tcPr>
            <w:tcW w:w="6960" w:type="dxa"/>
            <w:tcBorders>
              <w:top w:val="single" w:color="auto" w:sz="4" w:space="0"/>
              <w:left w:val="single" w:color="auto" w:sz="4" w:space="0"/>
              <w:bottom w:val="single" w:color="auto" w:sz="4" w:space="0"/>
              <w:right w:val="single" w:color="auto" w:sz="4" w:space="0"/>
            </w:tcBorders>
            <w:vAlign w:val="center"/>
          </w:tcPr>
          <w:p w14:paraId="0817A421">
            <w:pPr>
              <w:adjustRightInd w:val="0"/>
              <w:snapToGrid w:val="0"/>
              <w:spacing w:line="400" w:lineRule="exact"/>
              <w:rPr>
                <w:rFonts w:ascii="宋体" w:hAnsi="宋体" w:cs="宋体"/>
                <w:color w:val="auto"/>
                <w:szCs w:val="21"/>
                <w:highlight w:val="none"/>
              </w:rPr>
            </w:pPr>
            <w:r>
              <w:rPr>
                <w:rFonts w:hint="eastAsia" w:ascii="宋体" w:hAnsi="宋体" w:cs="宋体"/>
                <w:bCs/>
                <w:snapToGrid w:val="0"/>
                <w:color w:val="auto"/>
                <w:kern w:val="0"/>
                <w:szCs w:val="21"/>
                <w:highlight w:val="none"/>
              </w:rPr>
              <w:t>通过</w:t>
            </w:r>
            <w:r>
              <w:rPr>
                <w:rFonts w:hint="eastAsia" w:ascii="宋体" w:hAnsi="宋体" w:cs="宋体"/>
                <w:bCs/>
                <w:snapToGrid w:val="0"/>
                <w:color w:val="auto"/>
                <w:kern w:val="0"/>
                <w:szCs w:val="21"/>
                <w:highlight w:val="none"/>
                <w:u w:val="single"/>
              </w:rPr>
              <w:t>滁州市公共资源交易中心网站</w:t>
            </w:r>
            <w:r>
              <w:rPr>
                <w:rFonts w:hint="eastAsia" w:ascii="宋体" w:hAnsi="宋体" w:cs="宋体"/>
                <w:bCs/>
                <w:snapToGrid w:val="0"/>
                <w:color w:val="auto"/>
                <w:kern w:val="0"/>
                <w:szCs w:val="21"/>
                <w:highlight w:val="none"/>
              </w:rPr>
              <w:t>发布，投标人应自行下载。投标人应当及时登录</w:t>
            </w:r>
            <w:r>
              <w:rPr>
                <w:rFonts w:hint="eastAsia" w:ascii="宋体" w:hAnsi="宋体" w:cs="宋体"/>
                <w:bCs/>
                <w:snapToGrid w:val="0"/>
                <w:color w:val="auto"/>
                <w:kern w:val="0"/>
                <w:szCs w:val="21"/>
                <w:highlight w:val="none"/>
                <w:u w:val="single"/>
              </w:rPr>
              <w:t>滁州市公共资源交易中心交易</w:t>
            </w:r>
            <w:r>
              <w:rPr>
                <w:rFonts w:hint="eastAsia" w:ascii="宋体" w:hAnsi="宋体" w:cs="宋体"/>
                <w:bCs/>
                <w:snapToGrid w:val="0"/>
                <w:color w:val="auto"/>
                <w:kern w:val="0"/>
                <w:szCs w:val="21"/>
                <w:highlight w:val="none"/>
              </w:rPr>
              <w:t>系统查看。</w:t>
            </w:r>
          </w:p>
        </w:tc>
      </w:tr>
      <w:tr w14:paraId="3A71A69A">
        <w:tblPrEx>
          <w:tblCellMar>
            <w:top w:w="0" w:type="dxa"/>
            <w:left w:w="108" w:type="dxa"/>
            <w:bottom w:w="0" w:type="dxa"/>
            <w:right w:w="108" w:type="dxa"/>
          </w:tblCellMar>
        </w:tblPrEx>
        <w:trPr>
          <w:trHeight w:val="1406"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14:paraId="31D74DD1">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10.2.3</w:t>
            </w:r>
          </w:p>
        </w:tc>
        <w:tc>
          <w:tcPr>
            <w:tcW w:w="1984" w:type="dxa"/>
            <w:tcBorders>
              <w:top w:val="single" w:color="auto" w:sz="4" w:space="0"/>
              <w:left w:val="single" w:color="auto" w:sz="4" w:space="0"/>
              <w:bottom w:val="single" w:color="auto" w:sz="4" w:space="0"/>
              <w:right w:val="single" w:color="auto" w:sz="4" w:space="0"/>
            </w:tcBorders>
            <w:vAlign w:val="center"/>
          </w:tcPr>
          <w:p w14:paraId="61735CAC">
            <w:pPr>
              <w:adjustRightInd w:val="0"/>
              <w:snapToGrid w:val="0"/>
              <w:spacing w:line="400" w:lineRule="exact"/>
              <w:jc w:val="center"/>
              <w:rPr>
                <w:rFonts w:ascii="宋体" w:hAnsi="宋体" w:cs="宋体"/>
                <w:color w:val="auto"/>
                <w:szCs w:val="21"/>
                <w:highlight w:val="none"/>
              </w:rPr>
            </w:pPr>
            <w:r>
              <w:rPr>
                <w:rFonts w:hint="eastAsia" w:ascii="宋体" w:hAnsi="宋体" w:cs="宋体"/>
                <w:bCs/>
                <w:snapToGrid w:val="0"/>
                <w:color w:val="auto"/>
                <w:kern w:val="0"/>
                <w:szCs w:val="21"/>
                <w:highlight w:val="none"/>
              </w:rPr>
              <w:t>获取与查看通知</w:t>
            </w:r>
          </w:p>
        </w:tc>
        <w:tc>
          <w:tcPr>
            <w:tcW w:w="6960" w:type="dxa"/>
            <w:tcBorders>
              <w:top w:val="single" w:color="auto" w:sz="4" w:space="0"/>
              <w:left w:val="single" w:color="auto" w:sz="4" w:space="0"/>
              <w:bottom w:val="single" w:color="auto" w:sz="4" w:space="0"/>
              <w:right w:val="single" w:color="auto" w:sz="4" w:space="0"/>
            </w:tcBorders>
            <w:vAlign w:val="center"/>
          </w:tcPr>
          <w:p w14:paraId="08A520DA">
            <w:pPr>
              <w:adjustRightInd w:val="0"/>
              <w:snapToGrid w:val="0"/>
              <w:spacing w:line="400" w:lineRule="exact"/>
              <w:rPr>
                <w:rFonts w:ascii="宋体" w:hAnsi="宋体" w:cs="宋体"/>
                <w:color w:val="auto"/>
                <w:szCs w:val="21"/>
                <w:highlight w:val="none"/>
              </w:rPr>
            </w:pPr>
            <w:r>
              <w:rPr>
                <w:rFonts w:hint="eastAsia" w:ascii="宋体" w:hAnsi="宋体" w:cs="宋体"/>
                <w:bCs/>
                <w:snapToGrid w:val="0"/>
                <w:color w:val="auto"/>
                <w:kern w:val="0"/>
                <w:szCs w:val="21"/>
                <w:highlight w:val="none"/>
              </w:rPr>
              <w:t>本项目的招标文件、最高投标限价、澄清及修改等相关资料均通过</w:t>
            </w:r>
            <w:r>
              <w:rPr>
                <w:rFonts w:hint="eastAsia" w:ascii="宋体" w:hAnsi="宋体" w:cs="宋体"/>
                <w:bCs/>
                <w:snapToGrid w:val="0"/>
                <w:color w:val="auto"/>
                <w:kern w:val="0"/>
                <w:szCs w:val="21"/>
                <w:highlight w:val="none"/>
                <w:u w:val="single"/>
              </w:rPr>
              <w:t>滁州市公共资源交易中心网站</w:t>
            </w:r>
            <w:r>
              <w:rPr>
                <w:rFonts w:hint="eastAsia" w:ascii="宋体" w:hAnsi="宋体" w:cs="宋体"/>
                <w:bCs/>
                <w:snapToGrid w:val="0"/>
                <w:color w:val="auto"/>
                <w:kern w:val="0"/>
                <w:szCs w:val="21"/>
                <w:highlight w:val="none"/>
              </w:rPr>
              <w:t>发布，投标人应自行下载。投标人应当及时登录</w:t>
            </w:r>
            <w:r>
              <w:rPr>
                <w:rFonts w:hint="eastAsia" w:ascii="宋体" w:hAnsi="宋体" w:cs="宋体"/>
                <w:bCs/>
                <w:snapToGrid w:val="0"/>
                <w:color w:val="auto"/>
                <w:kern w:val="0"/>
                <w:szCs w:val="21"/>
                <w:highlight w:val="none"/>
                <w:u w:val="single"/>
              </w:rPr>
              <w:t>滁州市公共资源交易中心交易</w:t>
            </w:r>
            <w:r>
              <w:rPr>
                <w:rFonts w:hint="eastAsia" w:ascii="宋体" w:hAnsi="宋体" w:cs="宋体"/>
                <w:bCs/>
                <w:snapToGrid w:val="0"/>
                <w:color w:val="auto"/>
                <w:kern w:val="0"/>
                <w:szCs w:val="21"/>
                <w:highlight w:val="none"/>
              </w:rPr>
              <w:t>系统查看。</w:t>
            </w:r>
          </w:p>
        </w:tc>
      </w:tr>
      <w:tr w14:paraId="71D0583D">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51DE7E2B">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10.3</w:t>
            </w:r>
          </w:p>
        </w:tc>
        <w:tc>
          <w:tcPr>
            <w:tcW w:w="1984" w:type="dxa"/>
            <w:tcBorders>
              <w:top w:val="single" w:color="auto" w:sz="4" w:space="0"/>
              <w:left w:val="single" w:color="auto" w:sz="4" w:space="0"/>
              <w:bottom w:val="single" w:color="auto" w:sz="4" w:space="0"/>
              <w:right w:val="single" w:color="auto" w:sz="4" w:space="0"/>
            </w:tcBorders>
            <w:vAlign w:val="center"/>
          </w:tcPr>
          <w:p w14:paraId="4039DCB3">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主要材料要求</w:t>
            </w:r>
          </w:p>
        </w:tc>
        <w:tc>
          <w:tcPr>
            <w:tcW w:w="6960" w:type="dxa"/>
            <w:tcBorders>
              <w:top w:val="single" w:color="auto" w:sz="4" w:space="0"/>
              <w:left w:val="single" w:color="auto" w:sz="4" w:space="0"/>
              <w:bottom w:val="single" w:color="auto" w:sz="4" w:space="0"/>
              <w:right w:val="single" w:color="auto" w:sz="4" w:space="0"/>
            </w:tcBorders>
            <w:vAlign w:val="center"/>
          </w:tcPr>
          <w:p w14:paraId="719D2E8C">
            <w:pPr>
              <w:adjustRightInd w:val="0"/>
              <w:snapToGrid w:val="0"/>
              <w:spacing w:line="400" w:lineRule="exact"/>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主要材料由中标人自行采购</w:t>
            </w:r>
          </w:p>
          <w:p w14:paraId="58123F80">
            <w:pPr>
              <w:adjustRightInd w:val="0"/>
              <w:snapToGrid w:val="0"/>
              <w:spacing w:line="400" w:lineRule="exact"/>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如招标人对主要材料、设备的技术性能指标有特殊要求，应在招标文件第八章“技术标准和要求”品牌推荐表中推荐不少于三个品牌。对于招标人推荐品牌的材料、设备，投标人可选用推荐品牌或不低于推荐品牌技术性能指标的其他品牌；采用其他品牌的应在报价文件《招标人推荐的材料品牌响应表》中注明并提供相关技术性能指标、业绩等供评标委员会评审，未在《招标人推荐的材料品牌响应表》中注明且未提供相关技术性能指标、业绩，或经评标委员会评审未通过的，中标后只能从招标人推荐品牌中进行选择，合同价格不予调整。</w:t>
            </w:r>
          </w:p>
          <w:p w14:paraId="3B7E8FFB">
            <w:pPr>
              <w:adjustRightInd w:val="0"/>
              <w:snapToGrid w:val="0"/>
              <w:spacing w:line="400" w:lineRule="exact"/>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1、本工程采用商品砼。</w:t>
            </w:r>
          </w:p>
          <w:p w14:paraId="0EBFFF49">
            <w:pPr>
              <w:adjustRightInd w:val="0"/>
              <w:snapToGrid w:val="0"/>
              <w:spacing w:line="400" w:lineRule="exact"/>
              <w:rPr>
                <w:rFonts w:ascii="宋体" w:hAnsi="宋体" w:cs="宋体"/>
                <w:color w:val="auto"/>
                <w:szCs w:val="21"/>
                <w:highlight w:val="none"/>
              </w:rPr>
            </w:pPr>
            <w:r>
              <w:rPr>
                <w:rFonts w:hint="eastAsia" w:ascii="宋体" w:hAnsi="宋体" w:cs="宋体"/>
                <w:bCs/>
                <w:snapToGrid w:val="0"/>
                <w:color w:val="auto"/>
                <w:kern w:val="0"/>
                <w:szCs w:val="21"/>
                <w:highlight w:val="none"/>
              </w:rPr>
              <w:t>2、本项目采用预拌砂浆。</w:t>
            </w:r>
          </w:p>
        </w:tc>
      </w:tr>
      <w:tr w14:paraId="5F92C924">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1C600A9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10.4</w:t>
            </w:r>
          </w:p>
        </w:tc>
        <w:tc>
          <w:tcPr>
            <w:tcW w:w="1984" w:type="dxa"/>
            <w:tcBorders>
              <w:top w:val="single" w:color="auto" w:sz="4" w:space="0"/>
              <w:left w:val="single" w:color="auto" w:sz="4" w:space="0"/>
              <w:bottom w:val="single" w:color="auto" w:sz="4" w:space="0"/>
              <w:right w:val="single" w:color="auto" w:sz="4" w:space="0"/>
            </w:tcBorders>
            <w:vAlign w:val="center"/>
          </w:tcPr>
          <w:p w14:paraId="6B5180A1">
            <w:pPr>
              <w:pStyle w:val="36"/>
              <w:adjustRightInd w:val="0"/>
              <w:snapToGrid w:val="0"/>
              <w:spacing w:line="400" w:lineRule="exact"/>
              <w:jc w:val="center"/>
              <w:rPr>
                <w:color w:val="auto"/>
                <w:szCs w:val="21"/>
                <w:highlight w:val="none"/>
                <w:lang w:val="en-US"/>
              </w:rPr>
            </w:pPr>
            <w:r>
              <w:rPr>
                <w:rFonts w:hint="eastAsia"/>
                <w:color w:val="auto"/>
                <w:szCs w:val="21"/>
                <w:highlight w:val="none"/>
                <w:lang w:val="en-US"/>
              </w:rPr>
              <w:t>相关要求</w:t>
            </w:r>
          </w:p>
        </w:tc>
        <w:tc>
          <w:tcPr>
            <w:tcW w:w="6960" w:type="dxa"/>
            <w:tcBorders>
              <w:top w:val="single" w:color="auto" w:sz="4" w:space="0"/>
              <w:left w:val="single" w:color="auto" w:sz="4" w:space="0"/>
              <w:bottom w:val="single" w:color="auto" w:sz="4" w:space="0"/>
              <w:right w:val="single" w:color="auto" w:sz="4" w:space="0"/>
            </w:tcBorders>
            <w:vAlign w:val="center"/>
          </w:tcPr>
          <w:p w14:paraId="12BB5F04">
            <w:pPr>
              <w:adjustRightInd w:val="0"/>
              <w:snapToGrid w:val="0"/>
              <w:spacing w:line="560" w:lineRule="exact"/>
              <w:rPr>
                <w:rFonts w:ascii="宋体" w:hAnsi="宋体" w:cs="宋体"/>
                <w:b/>
                <w:bCs/>
                <w:color w:val="auto"/>
                <w:szCs w:val="21"/>
                <w:highlight w:val="none"/>
              </w:rPr>
            </w:pPr>
            <w:r>
              <w:rPr>
                <w:rFonts w:hint="eastAsia" w:ascii="宋体" w:hAnsi="宋体" w:cs="宋体"/>
                <w:b/>
                <w:bCs/>
                <w:color w:val="auto"/>
                <w:szCs w:val="21"/>
                <w:highlight w:val="none"/>
              </w:rPr>
              <w:t>1、本项目投标保证金、履约保证金、工程质量保证金、农民工工资保证金均支持保函使用。以现金形式提交保证金的，应当同时退还保证金本金和银行同期存款利息。</w:t>
            </w:r>
          </w:p>
          <w:p w14:paraId="75A0F2DA">
            <w:pPr>
              <w:adjustRightInd w:val="0"/>
              <w:snapToGrid w:val="0"/>
              <w:spacing w:line="560" w:lineRule="exact"/>
              <w:rPr>
                <w:rFonts w:ascii="宋体" w:hAnsi="宋体" w:cs="宋体"/>
                <w:bCs/>
                <w:color w:val="auto"/>
                <w:szCs w:val="21"/>
                <w:highlight w:val="none"/>
              </w:rPr>
            </w:pPr>
            <w:r>
              <w:rPr>
                <w:rFonts w:hint="eastAsia" w:ascii="宋体" w:hAnsi="宋体" w:cs="宋体"/>
                <w:bCs/>
                <w:color w:val="auto"/>
                <w:szCs w:val="21"/>
                <w:highlight w:val="none"/>
              </w:rPr>
              <w:t>2、承包人在工程实施过程中的用工行为，必须严格按照《保障农民工工资支付条例》（国务院令 第724号）、《安徽省人民政府办公厅关于全面治理拖欠农民工工资问题的实施意见》（皖政办〔2016〕22号）以及《贯彻落实&lt;工程建设领域农民工工资专用账户管理暂行办法&gt;的通知》（皖人社发〔2022〕5号）、《安徽省工程建设领域农民工工资保证金实施办法》（皖人社发〔2022〕8号）等文件精神的有关规定，依法与招用的农民工签订劳动合同，并按规定及时足额支付工资。</w:t>
            </w:r>
          </w:p>
          <w:p w14:paraId="16B2D2D7">
            <w:pPr>
              <w:adjustRightInd w:val="0"/>
              <w:snapToGrid w:val="0"/>
              <w:spacing w:line="560" w:lineRule="exact"/>
              <w:rPr>
                <w:rFonts w:ascii="宋体" w:hAnsi="宋体" w:cs="宋体"/>
                <w:bCs/>
                <w:color w:val="auto"/>
                <w:szCs w:val="21"/>
                <w:highlight w:val="none"/>
              </w:rPr>
            </w:pPr>
            <w:r>
              <w:rPr>
                <w:rFonts w:hint="eastAsia" w:ascii="宋体" w:hAnsi="宋体" w:cs="宋体"/>
                <w:bCs/>
                <w:color w:val="auto"/>
                <w:szCs w:val="21"/>
                <w:highlight w:val="none"/>
              </w:rPr>
              <w:t>为切实保障建筑行业农民工工资支付、加快培育新时代建筑产业工人队伍、有效破解拖欠工程款问题，承包人应严格落实安徽省住建厅《关于建立长效机制切实保障建筑行业农民工工资支付工作的通知》（建市函〔2022〕490号），《关于加快培育和壮大我省建筑产业工人队伍的意见》（建市规〔2023〕1号）以及《关于印发〈安徽省房屋建筑和市政基础设施工程施工过程结算管理办法〉 的通知》（建市规〔2023〕2号）等文件要求。</w:t>
            </w:r>
          </w:p>
          <w:p w14:paraId="4D449E6B">
            <w:pPr>
              <w:pStyle w:val="18"/>
              <w:spacing w:line="560" w:lineRule="exact"/>
              <w:ind w:left="0" w:leftChars="0" w:firstLine="0" w:firstLineChars="0"/>
              <w:rPr>
                <w:rFonts w:ascii="宋体" w:hAnsi="宋体" w:cs="宋体"/>
                <w:bCs/>
                <w:color w:val="auto"/>
                <w:szCs w:val="21"/>
                <w:highlight w:val="none"/>
              </w:rPr>
            </w:pPr>
            <w:r>
              <w:rPr>
                <w:rFonts w:hint="eastAsia" w:ascii="宋体" w:hAnsi="宋体" w:cs="宋体"/>
                <w:bCs/>
                <w:color w:val="auto"/>
                <w:szCs w:val="21"/>
                <w:highlight w:val="none"/>
              </w:rPr>
              <w:t>执行《贯彻落实&lt;工程建设领域农民工工资专用账户管理暂行办法&gt;的通知》（皖人社发〔2022〕5号）、，其中工资保证金和工资专户由工程建设项目的施工总承包企业（包括直接承包建设单位发包工程的专业承包企业）缴存和开设。若为联合体中标，由联合体中牵头人缴存和开设专户。</w:t>
            </w:r>
          </w:p>
          <w:p w14:paraId="0601A16B">
            <w:pPr>
              <w:adjustRightInd w:val="0"/>
              <w:snapToGrid w:val="0"/>
              <w:spacing w:line="560" w:lineRule="exact"/>
              <w:rPr>
                <w:rFonts w:ascii="宋体" w:hAnsi="宋体" w:cs="宋体"/>
                <w:bCs/>
                <w:color w:val="auto"/>
                <w:szCs w:val="21"/>
                <w:highlight w:val="none"/>
              </w:rPr>
            </w:pPr>
            <w:r>
              <w:rPr>
                <w:rFonts w:hint="eastAsia" w:ascii="宋体" w:hAnsi="宋体" w:cs="宋体"/>
                <w:bCs/>
                <w:color w:val="auto"/>
                <w:szCs w:val="21"/>
                <w:highlight w:val="none"/>
              </w:rPr>
              <w:t xml:space="preserve">3、省外建设工程企业按照《关于优化进皖建设工程企业信息登记服务和管理有关工作的通知》（建市函〔2022〕580号）进行相关信息登记。 </w:t>
            </w:r>
          </w:p>
          <w:p w14:paraId="1EEA36EF">
            <w:pPr>
              <w:adjustRightInd w:val="0"/>
              <w:snapToGrid w:val="0"/>
              <w:spacing w:line="560" w:lineRule="exact"/>
              <w:rPr>
                <w:rFonts w:ascii="宋体" w:hAnsi="宋体" w:cs="宋体"/>
                <w:bCs/>
                <w:color w:val="auto"/>
                <w:szCs w:val="21"/>
                <w:highlight w:val="none"/>
              </w:rPr>
            </w:pPr>
            <w:r>
              <w:rPr>
                <w:rFonts w:hint="eastAsia" w:ascii="宋体" w:hAnsi="宋体" w:cs="宋体"/>
                <w:bCs/>
                <w:color w:val="auto"/>
                <w:szCs w:val="21"/>
                <w:highlight w:val="none"/>
              </w:rPr>
              <w:t>4、保证保险产品应按《中国银保监会办公厅关于进一步加强和改进财产保险公司产品监管有关问题的通知》执行。</w:t>
            </w:r>
          </w:p>
          <w:p w14:paraId="277BEE5F">
            <w:pPr>
              <w:adjustRightInd w:val="0"/>
              <w:snapToGrid w:val="0"/>
              <w:spacing w:line="560" w:lineRule="exact"/>
              <w:rPr>
                <w:rFonts w:ascii="宋体" w:hAnsi="宋体" w:cs="宋体"/>
                <w:color w:val="auto"/>
                <w:szCs w:val="21"/>
                <w:highlight w:val="none"/>
                <w:lang w:bidi="zh-CN"/>
              </w:rPr>
            </w:pPr>
            <w:r>
              <w:rPr>
                <w:rFonts w:hint="eastAsia" w:ascii="宋体" w:hAnsi="宋体" w:cs="宋体"/>
                <w:bCs/>
                <w:color w:val="auto"/>
                <w:szCs w:val="21"/>
                <w:highlight w:val="none"/>
              </w:rPr>
              <w:t>5、我省行政区域内按照规定应办理建筑工程施工许可证的房屋建筑和市政工程建设项目，均应办理工程款支付担保。具体金额、担保方式等按《安徽省住房和城乡建设厅关于加强房屋建筑和市政基础设施工程建设领域工程款支付担保管理工作的通知》（建市〔2022〕54号）执行。</w:t>
            </w:r>
          </w:p>
        </w:tc>
      </w:tr>
      <w:tr w14:paraId="6275106A">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72C03CD5">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10.5</w:t>
            </w:r>
          </w:p>
        </w:tc>
        <w:tc>
          <w:tcPr>
            <w:tcW w:w="1984" w:type="dxa"/>
            <w:tcBorders>
              <w:top w:val="single" w:color="auto" w:sz="4" w:space="0"/>
              <w:left w:val="single" w:color="auto" w:sz="4" w:space="0"/>
              <w:bottom w:val="single" w:color="auto" w:sz="4" w:space="0"/>
              <w:right w:val="single" w:color="auto" w:sz="4" w:space="0"/>
            </w:tcBorders>
            <w:vAlign w:val="center"/>
          </w:tcPr>
          <w:p w14:paraId="3CFD1F8D">
            <w:pPr>
              <w:pStyle w:val="36"/>
              <w:adjustRightInd w:val="0"/>
              <w:snapToGrid w:val="0"/>
              <w:spacing w:line="400" w:lineRule="exact"/>
              <w:jc w:val="center"/>
              <w:rPr>
                <w:color w:val="auto"/>
                <w:szCs w:val="21"/>
                <w:highlight w:val="none"/>
                <w:lang w:val="en-US"/>
              </w:rPr>
            </w:pPr>
            <w:r>
              <w:rPr>
                <w:rFonts w:hint="eastAsia"/>
                <w:color w:val="auto"/>
                <w:szCs w:val="21"/>
                <w:highlight w:val="none"/>
                <w:lang w:val="en-US"/>
              </w:rPr>
              <w:t>评标过程中的澄清、说明或补正</w:t>
            </w:r>
          </w:p>
        </w:tc>
        <w:tc>
          <w:tcPr>
            <w:tcW w:w="6960" w:type="dxa"/>
            <w:tcBorders>
              <w:top w:val="single" w:color="auto" w:sz="4" w:space="0"/>
              <w:left w:val="single" w:color="auto" w:sz="4" w:space="0"/>
              <w:bottom w:val="single" w:color="auto" w:sz="4" w:space="0"/>
              <w:right w:val="single" w:color="auto" w:sz="4" w:space="0"/>
            </w:tcBorders>
            <w:vAlign w:val="center"/>
          </w:tcPr>
          <w:p w14:paraId="0BDD99B7">
            <w:pPr>
              <w:pStyle w:val="36"/>
              <w:adjustRightInd w:val="0"/>
              <w:snapToGrid w:val="0"/>
              <w:spacing w:line="400" w:lineRule="exact"/>
              <w:jc w:val="left"/>
              <w:rPr>
                <w:color w:val="auto"/>
                <w:szCs w:val="21"/>
                <w:highlight w:val="none"/>
                <w:lang w:val="en-US"/>
              </w:rPr>
            </w:pPr>
            <w:r>
              <w:rPr>
                <w:rFonts w:hint="eastAsia"/>
                <w:color w:val="auto"/>
                <w:szCs w:val="21"/>
                <w:highlight w:val="none"/>
                <w:lang w:val="en-US"/>
              </w:rPr>
              <w:t>1、评标委员会通过网上招投标系统将需要澄清、说明或补正的内容以询标函的形式发送给投标人，投标人应安排专人登录网上招投标系统并保持在线状态，并确保联系方式有效，以便及时接收评标委员会可能发出的询标函。</w:t>
            </w:r>
          </w:p>
          <w:p w14:paraId="65340DD5">
            <w:pPr>
              <w:pStyle w:val="36"/>
              <w:adjustRightInd w:val="0"/>
              <w:snapToGrid w:val="0"/>
              <w:spacing w:line="400" w:lineRule="exact"/>
              <w:jc w:val="left"/>
              <w:rPr>
                <w:color w:val="auto"/>
                <w:szCs w:val="21"/>
                <w:highlight w:val="none"/>
                <w:lang w:val="en-US"/>
              </w:rPr>
            </w:pPr>
            <w:r>
              <w:rPr>
                <w:rFonts w:hint="eastAsia"/>
                <w:color w:val="auto"/>
                <w:szCs w:val="21"/>
                <w:highlight w:val="none"/>
                <w:lang w:val="en-US"/>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78B041D4">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56478A04">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10.6</w:t>
            </w:r>
          </w:p>
        </w:tc>
        <w:tc>
          <w:tcPr>
            <w:tcW w:w="1984" w:type="dxa"/>
            <w:tcBorders>
              <w:top w:val="single" w:color="auto" w:sz="4" w:space="0"/>
              <w:left w:val="single" w:color="auto" w:sz="4" w:space="0"/>
              <w:bottom w:val="single" w:color="auto" w:sz="4" w:space="0"/>
              <w:right w:val="single" w:color="auto" w:sz="4" w:space="0"/>
            </w:tcBorders>
            <w:vAlign w:val="center"/>
          </w:tcPr>
          <w:p w14:paraId="48B45C7E">
            <w:pPr>
              <w:pStyle w:val="36"/>
              <w:adjustRightInd w:val="0"/>
              <w:snapToGrid w:val="0"/>
              <w:spacing w:line="400" w:lineRule="exact"/>
              <w:jc w:val="center"/>
              <w:rPr>
                <w:color w:val="auto"/>
                <w:szCs w:val="21"/>
                <w:highlight w:val="none"/>
                <w:lang w:val="en-US"/>
              </w:rPr>
            </w:pPr>
            <w:r>
              <w:rPr>
                <w:rFonts w:hint="eastAsia"/>
                <w:color w:val="auto"/>
                <w:szCs w:val="21"/>
                <w:highlight w:val="none"/>
                <w:lang w:val="en-US"/>
              </w:rPr>
              <w:t>解释权</w:t>
            </w:r>
          </w:p>
        </w:tc>
        <w:tc>
          <w:tcPr>
            <w:tcW w:w="6960" w:type="dxa"/>
            <w:tcBorders>
              <w:top w:val="single" w:color="auto" w:sz="4" w:space="0"/>
              <w:left w:val="single" w:color="auto" w:sz="4" w:space="0"/>
              <w:bottom w:val="single" w:color="auto" w:sz="4" w:space="0"/>
              <w:right w:val="single" w:color="auto" w:sz="4" w:space="0"/>
            </w:tcBorders>
            <w:vAlign w:val="center"/>
          </w:tcPr>
          <w:p w14:paraId="4AB4949D">
            <w:pPr>
              <w:pStyle w:val="36"/>
              <w:adjustRightInd w:val="0"/>
              <w:snapToGrid w:val="0"/>
              <w:spacing w:line="400" w:lineRule="exact"/>
              <w:jc w:val="left"/>
              <w:rPr>
                <w:color w:val="auto"/>
                <w:szCs w:val="21"/>
                <w:highlight w:val="none"/>
                <w:lang w:val="en-US"/>
              </w:rPr>
            </w:pPr>
            <w:r>
              <w:rPr>
                <w:rFonts w:hint="eastAsia"/>
                <w:color w:val="auto"/>
                <w:szCs w:val="21"/>
                <w:highlight w:val="none"/>
                <w:lang w:val="en-US"/>
              </w:rPr>
              <w:t>1、构成本招标文件的各个组成文件应互为解释，互为说明；</w:t>
            </w:r>
          </w:p>
          <w:p w14:paraId="0F37B289">
            <w:pPr>
              <w:pStyle w:val="36"/>
              <w:adjustRightInd w:val="0"/>
              <w:snapToGrid w:val="0"/>
              <w:spacing w:line="400" w:lineRule="exact"/>
              <w:jc w:val="left"/>
              <w:rPr>
                <w:color w:val="auto"/>
                <w:szCs w:val="21"/>
                <w:highlight w:val="none"/>
                <w:lang w:val="en-US"/>
              </w:rPr>
            </w:pPr>
            <w:r>
              <w:rPr>
                <w:rFonts w:hint="eastAsia"/>
                <w:color w:val="auto"/>
                <w:szCs w:val="21"/>
                <w:highlight w:val="none"/>
                <w:lang w:val="en-US"/>
              </w:rPr>
              <w:t>2、同一组成文件中就同一事项的规定或约定不一致的，以编排顺序在后者为准；</w:t>
            </w:r>
          </w:p>
          <w:p w14:paraId="7637DD06">
            <w:pPr>
              <w:pStyle w:val="36"/>
              <w:adjustRightInd w:val="0"/>
              <w:snapToGrid w:val="0"/>
              <w:spacing w:line="400" w:lineRule="exact"/>
              <w:jc w:val="left"/>
              <w:rPr>
                <w:color w:val="auto"/>
                <w:szCs w:val="21"/>
                <w:highlight w:val="none"/>
                <w:lang w:val="en-US"/>
              </w:rPr>
            </w:pPr>
            <w:r>
              <w:rPr>
                <w:rFonts w:hint="eastAsia"/>
                <w:color w:val="auto"/>
                <w:szCs w:val="21"/>
                <w:highlight w:val="none"/>
                <w:lang w:val="en-US"/>
              </w:rPr>
              <w:t>3、如有不明确或不一致，构成合同文件组成内容的，以合同文件约定内容为准，且以专用合同条款约定的合同文件优先顺序解释；</w:t>
            </w:r>
          </w:p>
          <w:p w14:paraId="25C05BDD">
            <w:pPr>
              <w:pStyle w:val="36"/>
              <w:adjustRightInd w:val="0"/>
              <w:snapToGrid w:val="0"/>
              <w:spacing w:line="400" w:lineRule="exact"/>
              <w:jc w:val="left"/>
              <w:rPr>
                <w:color w:val="auto"/>
                <w:szCs w:val="21"/>
                <w:highlight w:val="none"/>
                <w:lang w:val="en-US"/>
              </w:rPr>
            </w:pPr>
            <w:r>
              <w:rPr>
                <w:rFonts w:hint="eastAsia"/>
                <w:color w:val="auto"/>
                <w:szCs w:val="21"/>
                <w:highlight w:val="none"/>
                <w:lang w:val="en-US"/>
              </w:rPr>
              <w:t>4、系统中提供的表格（或格式文件）与招标文件中不一致时，以招标文件中提供的为准；</w:t>
            </w:r>
          </w:p>
          <w:p w14:paraId="0BB7B306">
            <w:pPr>
              <w:pStyle w:val="36"/>
              <w:adjustRightInd w:val="0"/>
              <w:snapToGrid w:val="0"/>
              <w:spacing w:line="400" w:lineRule="exact"/>
              <w:jc w:val="left"/>
              <w:rPr>
                <w:color w:val="auto"/>
                <w:szCs w:val="21"/>
                <w:highlight w:val="none"/>
              </w:rPr>
            </w:pPr>
            <w:r>
              <w:rPr>
                <w:rFonts w:hint="eastAsia"/>
                <w:color w:val="auto"/>
                <w:szCs w:val="21"/>
                <w:highlight w:val="none"/>
                <w:lang w:val="en-US"/>
              </w:rPr>
              <w:t>5、按本款前述规定仍不能形成结论的，由招标人负责解释。</w:t>
            </w:r>
          </w:p>
        </w:tc>
      </w:tr>
      <w:tr w14:paraId="2B26350E">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75FEE67E">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10.7</w:t>
            </w:r>
          </w:p>
        </w:tc>
        <w:tc>
          <w:tcPr>
            <w:tcW w:w="1984" w:type="dxa"/>
            <w:tcBorders>
              <w:top w:val="single" w:color="auto" w:sz="4" w:space="0"/>
              <w:left w:val="single" w:color="auto" w:sz="4" w:space="0"/>
              <w:bottom w:val="single" w:color="auto" w:sz="4" w:space="0"/>
              <w:right w:val="single" w:color="auto" w:sz="4" w:space="0"/>
            </w:tcBorders>
            <w:vAlign w:val="center"/>
          </w:tcPr>
          <w:p w14:paraId="1218EF81">
            <w:pPr>
              <w:adjustRightInd w:val="0"/>
              <w:snapToGrid w:val="0"/>
              <w:spacing w:line="400" w:lineRule="exact"/>
              <w:jc w:val="center"/>
              <w:rPr>
                <w:rFonts w:ascii="宋体" w:hAnsi="宋体" w:cs="宋体"/>
                <w:color w:val="auto"/>
                <w:spacing w:val="-9"/>
                <w:szCs w:val="21"/>
                <w:highlight w:val="none"/>
              </w:rPr>
            </w:pPr>
            <w:r>
              <w:rPr>
                <w:rFonts w:hint="eastAsia" w:ascii="宋体" w:hAnsi="宋体" w:cs="宋体"/>
                <w:color w:val="auto"/>
                <w:spacing w:val="-9"/>
                <w:szCs w:val="21"/>
                <w:highlight w:val="none"/>
              </w:rPr>
              <w:t>同义词语</w:t>
            </w:r>
          </w:p>
        </w:tc>
        <w:tc>
          <w:tcPr>
            <w:tcW w:w="6960" w:type="dxa"/>
            <w:tcBorders>
              <w:top w:val="single" w:color="auto" w:sz="4" w:space="0"/>
              <w:left w:val="single" w:color="auto" w:sz="4" w:space="0"/>
              <w:bottom w:val="single" w:color="auto" w:sz="4" w:space="0"/>
              <w:right w:val="single" w:color="auto" w:sz="4" w:space="0"/>
            </w:tcBorders>
            <w:vAlign w:val="center"/>
          </w:tcPr>
          <w:p w14:paraId="29E735FD">
            <w:pPr>
              <w:adjustRightInd w:val="0"/>
              <w:snapToGrid w:val="0"/>
              <w:spacing w:line="400" w:lineRule="exact"/>
              <w:rPr>
                <w:rFonts w:ascii="宋体" w:hAnsi="宋体" w:cs="宋体"/>
                <w:color w:val="auto"/>
                <w:spacing w:val="-9"/>
                <w:szCs w:val="21"/>
                <w:highlight w:val="none"/>
                <w:lang w:val="zh-CN"/>
              </w:rPr>
            </w:pPr>
            <w:r>
              <w:rPr>
                <w:rFonts w:hint="eastAsia" w:ascii="宋体" w:hAnsi="宋体" w:cs="宋体"/>
                <w:color w:val="auto"/>
                <w:spacing w:val="-9"/>
                <w:szCs w:val="21"/>
                <w:highlight w:val="none"/>
              </w:rPr>
              <w:t>构成招标文件组成部分的“通用合同条款”、“专用合同条款”、“技术标准和要求”和“工程量清单”等章节中 “发包人”和“承包人”，等同于招标投标阶段的“招标人”和“投标人/中标人”。</w:t>
            </w:r>
          </w:p>
        </w:tc>
      </w:tr>
      <w:tr w14:paraId="696888F6">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5CF44E98">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10.8</w:t>
            </w:r>
          </w:p>
        </w:tc>
        <w:tc>
          <w:tcPr>
            <w:tcW w:w="1984" w:type="dxa"/>
            <w:tcBorders>
              <w:top w:val="single" w:color="auto" w:sz="4" w:space="0"/>
              <w:left w:val="single" w:color="auto" w:sz="4" w:space="0"/>
              <w:bottom w:val="single" w:color="auto" w:sz="4" w:space="0"/>
              <w:right w:val="single" w:color="auto" w:sz="4" w:space="0"/>
            </w:tcBorders>
            <w:vAlign w:val="center"/>
          </w:tcPr>
          <w:p w14:paraId="764D60B8">
            <w:pPr>
              <w:adjustRightInd w:val="0"/>
              <w:snapToGrid w:val="0"/>
              <w:spacing w:line="440" w:lineRule="exact"/>
              <w:jc w:val="center"/>
              <w:rPr>
                <w:rFonts w:ascii="宋体" w:hAnsi="宋体" w:cs="宋体"/>
                <w:color w:val="auto"/>
                <w:spacing w:val="-9"/>
                <w:szCs w:val="21"/>
                <w:highlight w:val="none"/>
              </w:rPr>
            </w:pPr>
            <w:r>
              <w:rPr>
                <w:rFonts w:hint="eastAsia" w:ascii="宋体" w:hAnsi="宋体" w:cs="宋体"/>
                <w:color w:val="auto"/>
                <w:szCs w:val="21"/>
                <w:highlight w:val="none"/>
              </w:rPr>
              <w:t>关于招标最高投标限价及投标报价编制特别说明</w:t>
            </w:r>
          </w:p>
        </w:tc>
        <w:tc>
          <w:tcPr>
            <w:tcW w:w="6960" w:type="dxa"/>
            <w:tcBorders>
              <w:top w:val="single" w:color="auto" w:sz="4" w:space="0"/>
              <w:left w:val="single" w:color="auto" w:sz="4" w:space="0"/>
              <w:bottom w:val="single" w:color="auto" w:sz="4" w:space="0"/>
              <w:right w:val="single" w:color="auto" w:sz="4" w:space="0"/>
            </w:tcBorders>
            <w:vAlign w:val="center"/>
          </w:tcPr>
          <w:p w14:paraId="75B23834">
            <w:pPr>
              <w:pStyle w:val="36"/>
              <w:adjustRightInd w:val="0"/>
              <w:snapToGrid w:val="0"/>
              <w:spacing w:line="440" w:lineRule="exact"/>
              <w:rPr>
                <w:color w:val="auto"/>
                <w:spacing w:val="-9"/>
                <w:szCs w:val="21"/>
                <w:highlight w:val="none"/>
                <w:lang w:val="en-US"/>
              </w:rPr>
            </w:pPr>
            <w:r>
              <w:rPr>
                <w:rFonts w:hint="eastAsia"/>
                <w:color w:val="auto"/>
                <w:szCs w:val="21"/>
                <w:highlight w:val="none"/>
              </w:rPr>
              <w:t>本项目最高投标限价材料、设备价格结合市场实际价格综合考虑编制，投标人应根据补遗，并结合企业自身实力</w:t>
            </w:r>
            <w:r>
              <w:rPr>
                <w:rFonts w:hint="eastAsia"/>
                <w:color w:val="auto"/>
                <w:szCs w:val="21"/>
                <w:highlight w:val="none"/>
                <w:lang w:val="en-US"/>
              </w:rPr>
              <w:t>及所投方案</w:t>
            </w:r>
            <w:r>
              <w:rPr>
                <w:rFonts w:hint="eastAsia"/>
                <w:color w:val="auto"/>
                <w:szCs w:val="21"/>
                <w:highlight w:val="none"/>
              </w:rPr>
              <w:t>理性报价。</w:t>
            </w:r>
          </w:p>
        </w:tc>
      </w:tr>
      <w:tr w14:paraId="54F8343C">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4CA0FFC8">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10.9</w:t>
            </w:r>
          </w:p>
        </w:tc>
        <w:tc>
          <w:tcPr>
            <w:tcW w:w="1984" w:type="dxa"/>
            <w:tcBorders>
              <w:top w:val="single" w:color="auto" w:sz="4" w:space="0"/>
              <w:left w:val="single" w:color="auto" w:sz="4" w:space="0"/>
              <w:bottom w:val="single" w:color="auto" w:sz="4" w:space="0"/>
              <w:right w:val="single" w:color="auto" w:sz="4" w:space="0"/>
            </w:tcBorders>
            <w:vAlign w:val="center"/>
          </w:tcPr>
          <w:p w14:paraId="0BCB2649">
            <w:pPr>
              <w:adjustRightInd w:val="0"/>
              <w:snapToGrid w:val="0"/>
              <w:spacing w:line="400" w:lineRule="exact"/>
              <w:jc w:val="center"/>
              <w:rPr>
                <w:rFonts w:ascii="宋体" w:hAnsi="宋体" w:cs="宋体"/>
                <w:color w:val="auto"/>
                <w:spacing w:val="-9"/>
                <w:szCs w:val="21"/>
                <w:highlight w:val="none"/>
              </w:rPr>
            </w:pPr>
            <w:r>
              <w:rPr>
                <w:rFonts w:hint="eastAsia" w:ascii="宋体" w:hAnsi="宋体" w:cs="宋体"/>
                <w:color w:val="auto"/>
                <w:szCs w:val="21"/>
                <w:highlight w:val="none"/>
              </w:rPr>
              <w:t>其他</w:t>
            </w:r>
          </w:p>
        </w:tc>
        <w:tc>
          <w:tcPr>
            <w:tcW w:w="6960" w:type="dxa"/>
            <w:tcBorders>
              <w:top w:val="single" w:color="auto" w:sz="4" w:space="0"/>
              <w:left w:val="single" w:color="auto" w:sz="4" w:space="0"/>
              <w:bottom w:val="single" w:color="auto" w:sz="4" w:space="0"/>
              <w:right w:val="single" w:color="auto" w:sz="4" w:space="0"/>
            </w:tcBorders>
            <w:vAlign w:val="center"/>
          </w:tcPr>
          <w:p w14:paraId="40FE8CA9">
            <w:pPr>
              <w:pStyle w:val="36"/>
              <w:adjustRightInd w:val="0"/>
              <w:snapToGrid w:val="0"/>
              <w:spacing w:line="400" w:lineRule="exact"/>
              <w:jc w:val="left"/>
              <w:rPr>
                <w:color w:val="auto"/>
                <w:szCs w:val="21"/>
                <w:highlight w:val="none"/>
                <w:lang w:val="en-US"/>
              </w:rPr>
            </w:pPr>
            <w:r>
              <w:rPr>
                <w:rFonts w:hint="eastAsia"/>
                <w:color w:val="auto"/>
                <w:szCs w:val="21"/>
                <w:highlight w:val="none"/>
                <w:lang w:val="en-US"/>
              </w:rPr>
              <w:t>1、</w:t>
            </w:r>
            <w:r>
              <w:rPr>
                <w:rFonts w:hint="eastAsia"/>
                <w:color w:val="auto"/>
                <w:szCs w:val="21"/>
                <w:highlight w:val="none"/>
              </w:rPr>
              <w:t>如本项目招标文件中出现特定性、唯一性品牌的表述，该品牌仅作为参考，施工过程中不具有限定性。</w:t>
            </w:r>
          </w:p>
          <w:p w14:paraId="60E02905">
            <w:pPr>
              <w:pStyle w:val="36"/>
              <w:adjustRightInd w:val="0"/>
              <w:snapToGrid w:val="0"/>
              <w:spacing w:line="400" w:lineRule="exact"/>
              <w:jc w:val="left"/>
              <w:rPr>
                <w:color w:val="auto"/>
                <w:szCs w:val="21"/>
                <w:highlight w:val="none"/>
              </w:rPr>
            </w:pPr>
            <w:r>
              <w:rPr>
                <w:rFonts w:hint="eastAsia"/>
                <w:color w:val="auto"/>
                <w:szCs w:val="21"/>
                <w:highlight w:val="none"/>
                <w:lang w:val="en-US"/>
              </w:rPr>
              <w:t>2、项目经理必须是投标人本单位工作人员，提供虚假资料谋取中标将被依法处罚。</w:t>
            </w:r>
            <w:r>
              <w:rPr>
                <w:rFonts w:hint="eastAsia"/>
                <w:color w:val="auto"/>
                <w:szCs w:val="21"/>
                <w:highlight w:val="none"/>
              </w:rPr>
              <w:t>投标人对所提交的投标人或拟派项目经理业绩、投标人资质等证明资料承担缔约过失责任和法律责任。若投诉人或举报人对前述资料或证明资料存在争议，进行有效投诉或举报， 被投诉人、被举报人应当主动配合执法机关调查，并在规定的期限内举证，提供有关证明资料的原件；拒不配合执法机构调查，且未在规定期限内举证、提供证明资料原件的，执法机构（</w:t>
            </w:r>
            <w:r>
              <w:rPr>
                <w:rFonts w:hint="eastAsia"/>
                <w:color w:val="auto"/>
                <w:szCs w:val="21"/>
                <w:highlight w:val="none"/>
                <w:lang w:val="en-US"/>
              </w:rPr>
              <w:t>滁州市</w:t>
            </w:r>
            <w:r>
              <w:rPr>
                <w:rFonts w:hint="eastAsia"/>
                <w:color w:val="auto"/>
                <w:szCs w:val="21"/>
                <w:highlight w:val="none"/>
              </w:rPr>
              <w:t>公共资源交易监督管理局）依法处理。</w:t>
            </w:r>
          </w:p>
          <w:p w14:paraId="584D8615">
            <w:pPr>
              <w:pStyle w:val="36"/>
              <w:tabs>
                <w:tab w:val="left" w:pos="636"/>
              </w:tabs>
              <w:adjustRightInd w:val="0"/>
              <w:snapToGrid w:val="0"/>
              <w:spacing w:line="400" w:lineRule="exact"/>
              <w:jc w:val="left"/>
              <w:rPr>
                <w:color w:val="auto"/>
                <w:szCs w:val="21"/>
                <w:highlight w:val="none"/>
              </w:rPr>
            </w:pPr>
            <w:r>
              <w:rPr>
                <w:rFonts w:hint="eastAsia"/>
                <w:color w:val="auto"/>
                <w:szCs w:val="21"/>
                <w:highlight w:val="none"/>
                <w:lang w:val="en-US"/>
              </w:rPr>
              <w:t>3、</w:t>
            </w:r>
            <w:r>
              <w:rPr>
                <w:rFonts w:hint="eastAsia"/>
                <w:color w:val="auto"/>
                <w:szCs w:val="21"/>
                <w:highlight w:val="none"/>
              </w:rPr>
              <w:t>中标人未履行下述义务的，</w:t>
            </w:r>
            <w:r>
              <w:rPr>
                <w:rFonts w:hint="eastAsia"/>
                <w:color w:val="auto"/>
                <w:szCs w:val="21"/>
                <w:highlight w:val="none"/>
                <w:lang w:val="en-US"/>
              </w:rPr>
              <w:t>滁州市</w:t>
            </w:r>
            <w:r>
              <w:rPr>
                <w:rFonts w:hint="eastAsia"/>
                <w:color w:val="auto"/>
                <w:szCs w:val="21"/>
                <w:highlight w:val="none"/>
              </w:rPr>
              <w:t>公共资源交易监督管理局将依法对中标人进行处理，追究相关责任：</w:t>
            </w:r>
          </w:p>
          <w:p w14:paraId="5A2EBA93">
            <w:pPr>
              <w:pStyle w:val="36"/>
              <w:adjustRightInd w:val="0"/>
              <w:snapToGrid w:val="0"/>
              <w:spacing w:line="400" w:lineRule="exact"/>
              <w:jc w:val="left"/>
              <w:rPr>
                <w:color w:val="auto"/>
                <w:szCs w:val="21"/>
                <w:highlight w:val="none"/>
              </w:rPr>
            </w:pPr>
            <w:r>
              <w:rPr>
                <w:rFonts w:hint="eastAsia"/>
                <w:color w:val="auto"/>
                <w:szCs w:val="21"/>
                <w:highlight w:val="none"/>
              </w:rPr>
              <w:t>①招标文件载明在规定期限内中标人应领取《中标通知书》，若中标人未在规定期限内领取《中标通知书》，招标人有权取消中标人中标资格，并将相关违约行为报送监管部门，实施信用惩戒；</w:t>
            </w:r>
          </w:p>
          <w:p w14:paraId="3658CB04">
            <w:pPr>
              <w:pStyle w:val="36"/>
              <w:adjustRightInd w:val="0"/>
              <w:snapToGrid w:val="0"/>
              <w:spacing w:line="400" w:lineRule="exact"/>
              <w:jc w:val="left"/>
              <w:rPr>
                <w:color w:val="auto"/>
                <w:szCs w:val="21"/>
                <w:highlight w:val="none"/>
              </w:rPr>
            </w:pPr>
            <w:r>
              <w:rPr>
                <w:rFonts w:hint="eastAsia"/>
                <w:color w:val="auto"/>
                <w:szCs w:val="21"/>
                <w:highlight w:val="none"/>
              </w:rPr>
              <w:t>②中标人应在规定期限内提交履约担保并与招标人签订合同， 若中标人未能在规定期限内提交履约担保或签订合同，招标人有权取消中标人中标资格，并将相关违约行为报送监管部门，记不良行为记录，实施信用惩戒；</w:t>
            </w:r>
          </w:p>
          <w:p w14:paraId="5F97BCEC">
            <w:pPr>
              <w:pStyle w:val="36"/>
              <w:adjustRightInd w:val="0"/>
              <w:snapToGrid w:val="0"/>
              <w:spacing w:line="400" w:lineRule="exact"/>
              <w:jc w:val="left"/>
              <w:rPr>
                <w:color w:val="auto"/>
                <w:szCs w:val="21"/>
                <w:highlight w:val="none"/>
              </w:rPr>
            </w:pPr>
            <w:r>
              <w:rPr>
                <w:rFonts w:hint="eastAsia"/>
                <w:color w:val="auto"/>
                <w:szCs w:val="21"/>
                <w:highlight w:val="none"/>
              </w:rPr>
              <w:t>③合同签订后，中标人存在规定时间内不组织人员进场开工、不履行供货安装义务等情况，招标人有权解除合同，并追究违约责任，同时将相关违约行为报送监管部门，记不良行为记录， 实施信用惩戒；</w:t>
            </w:r>
          </w:p>
          <w:p w14:paraId="492118B6">
            <w:pPr>
              <w:pStyle w:val="36"/>
              <w:adjustRightInd w:val="0"/>
              <w:snapToGrid w:val="0"/>
              <w:spacing w:line="400" w:lineRule="exact"/>
              <w:jc w:val="left"/>
              <w:rPr>
                <w:color w:val="auto"/>
                <w:szCs w:val="21"/>
                <w:highlight w:val="none"/>
              </w:rPr>
            </w:pPr>
            <w:r>
              <w:rPr>
                <w:rFonts w:hint="eastAsia"/>
                <w:color w:val="auto"/>
                <w:szCs w:val="21"/>
                <w:highlight w:val="none"/>
              </w:rPr>
              <w:t>④中标人中标后被监管部门查实存在违法行为，不满足中标条件的，中标无效，并做好项目后续工作；</w:t>
            </w:r>
          </w:p>
          <w:p w14:paraId="13D6DCD9">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⑤中标人在中标项目发生投诉、信访举报案件、履约存在争议时，拒绝协助配合执法部门调查案件的，招标人可以取消其中标资格或解除合同。</w:t>
            </w:r>
          </w:p>
          <w:p w14:paraId="63184E2A">
            <w:pPr>
              <w:adjustRightInd w:val="0"/>
              <w:snapToGrid w:val="0"/>
              <w:spacing w:line="360" w:lineRule="exact"/>
              <w:rPr>
                <w:rFonts w:ascii="宋体" w:hAnsi="宋体" w:cs="宋体"/>
                <w:color w:val="auto"/>
                <w:szCs w:val="21"/>
                <w:highlight w:val="none"/>
                <w:lang w:bidi="zh-CN"/>
              </w:rPr>
            </w:pPr>
            <w:r>
              <w:rPr>
                <w:rFonts w:hint="eastAsia" w:ascii="宋体" w:hAnsi="宋体" w:cs="宋体"/>
                <w:color w:val="auto"/>
                <w:szCs w:val="21"/>
                <w:highlight w:val="none"/>
                <w:lang w:bidi="zh-CN"/>
              </w:rPr>
              <w:t xml:space="preserve">4、项目经理（建造师）变更按照《关于进一步加强建筑施工现场项目经理（建造师）变更行为管理的通知》（滁公管〔2020〕1 号）规定，需经发包人以及公管、住建部门同意。技术负责人变更需经发包人同意。 </w:t>
            </w:r>
          </w:p>
          <w:p w14:paraId="355D4061">
            <w:pPr>
              <w:adjustRightInd w:val="0"/>
              <w:snapToGrid w:val="0"/>
              <w:spacing w:line="360" w:lineRule="exact"/>
              <w:rPr>
                <w:rFonts w:ascii="宋体" w:hAnsi="宋体" w:cs="宋体"/>
                <w:color w:val="auto"/>
                <w:szCs w:val="21"/>
                <w:highlight w:val="none"/>
                <w:lang w:bidi="zh-CN"/>
              </w:rPr>
            </w:pPr>
            <w:r>
              <w:rPr>
                <w:rFonts w:hint="eastAsia" w:ascii="宋体" w:hAnsi="宋体" w:cs="宋体"/>
                <w:color w:val="auto"/>
                <w:szCs w:val="21"/>
                <w:highlight w:val="none"/>
                <w:lang w:bidi="zh-CN"/>
              </w:rPr>
              <w:t xml:space="preserve">中标人因下列原因变更项目经理（建造师），须缴纳违约金50万元/人·次: </w:t>
            </w:r>
          </w:p>
          <w:p w14:paraId="292402C8">
            <w:pPr>
              <w:adjustRightInd w:val="0"/>
              <w:snapToGrid w:val="0"/>
              <w:spacing w:line="360" w:lineRule="exact"/>
              <w:rPr>
                <w:rFonts w:ascii="宋体" w:hAnsi="宋体" w:cs="宋体"/>
                <w:color w:val="auto"/>
                <w:szCs w:val="21"/>
                <w:highlight w:val="none"/>
                <w:lang w:bidi="zh-CN"/>
              </w:rPr>
            </w:pPr>
            <w:r>
              <w:rPr>
                <w:rFonts w:hint="eastAsia" w:ascii="宋体" w:hAnsi="宋体" w:cs="宋体"/>
                <w:color w:val="auto"/>
                <w:szCs w:val="21"/>
                <w:highlight w:val="none"/>
                <w:lang w:bidi="zh-CN"/>
              </w:rPr>
              <w:t>①患重病、发生意外等身体原因不能在施工现场进行管理的；②离职的； ③违法违规行为不能继续从事施工现场管理工作的；④无能力履行合同责任义务被建设行政主管部门或建设单位责令更换的。</w:t>
            </w:r>
          </w:p>
          <w:p w14:paraId="2032DF9D">
            <w:pPr>
              <w:adjustRightInd w:val="0"/>
              <w:snapToGrid w:val="0"/>
              <w:spacing w:line="360" w:lineRule="exact"/>
              <w:rPr>
                <w:rFonts w:ascii="宋体" w:hAnsi="宋体" w:cs="宋体"/>
                <w:color w:val="auto"/>
                <w:spacing w:val="-9"/>
                <w:szCs w:val="21"/>
                <w:highlight w:val="none"/>
                <w:lang w:val="zh-CN"/>
              </w:rPr>
            </w:pPr>
            <w:r>
              <w:rPr>
                <w:rFonts w:hint="eastAsia" w:ascii="宋体" w:hAnsi="宋体" w:cs="宋体"/>
                <w:color w:val="auto"/>
                <w:szCs w:val="21"/>
                <w:highlight w:val="none"/>
                <w:lang w:bidi="zh-CN"/>
              </w:rPr>
              <w:t xml:space="preserve">中标人因下列原因变更技术负责人，须缴纳违约金5万元/人·次: ①患重病、发生意外等身体原因不能在施工现场进行管理的；②离职的；③ 违法违规行为不能继续从事施工现场管理工作的；④无能力履行合同责任义务被建设行政主管部门或建设单位责令更换的。 </w:t>
            </w:r>
          </w:p>
        </w:tc>
      </w:tr>
      <w:tr w14:paraId="7BD3374B">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3C35E376">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10.10</w:t>
            </w:r>
          </w:p>
        </w:tc>
        <w:tc>
          <w:tcPr>
            <w:tcW w:w="1984" w:type="dxa"/>
            <w:tcBorders>
              <w:top w:val="single" w:color="auto" w:sz="4" w:space="0"/>
              <w:left w:val="single" w:color="auto" w:sz="4" w:space="0"/>
              <w:bottom w:val="single" w:color="auto" w:sz="4" w:space="0"/>
              <w:right w:val="single" w:color="auto" w:sz="4" w:space="0"/>
            </w:tcBorders>
            <w:vAlign w:val="center"/>
          </w:tcPr>
          <w:p w14:paraId="732E7C00">
            <w:pPr>
              <w:pStyle w:val="36"/>
              <w:adjustRightInd w:val="0"/>
              <w:snapToGrid w:val="0"/>
              <w:spacing w:line="400" w:lineRule="exact"/>
              <w:jc w:val="center"/>
              <w:rPr>
                <w:color w:val="auto"/>
                <w:szCs w:val="21"/>
                <w:highlight w:val="none"/>
                <w:lang w:val="en-US"/>
              </w:rPr>
            </w:pPr>
            <w:r>
              <w:rPr>
                <w:rFonts w:hint="eastAsia"/>
                <w:color w:val="auto"/>
                <w:szCs w:val="21"/>
                <w:highlight w:val="none"/>
              </w:rPr>
              <w:t>重点项目约谈</w:t>
            </w:r>
          </w:p>
        </w:tc>
        <w:tc>
          <w:tcPr>
            <w:tcW w:w="6960" w:type="dxa"/>
            <w:tcBorders>
              <w:top w:val="single" w:color="auto" w:sz="4" w:space="0"/>
              <w:left w:val="single" w:color="auto" w:sz="4" w:space="0"/>
              <w:bottom w:val="single" w:color="auto" w:sz="4" w:space="0"/>
              <w:right w:val="single" w:color="auto" w:sz="4" w:space="0"/>
            </w:tcBorders>
            <w:vAlign w:val="center"/>
          </w:tcPr>
          <w:p w14:paraId="1D75603C">
            <w:pPr>
              <w:pStyle w:val="36"/>
              <w:adjustRightInd w:val="0"/>
              <w:snapToGrid w:val="0"/>
              <w:spacing w:line="400" w:lineRule="exact"/>
              <w:jc w:val="left"/>
              <w:rPr>
                <w:color w:val="auto"/>
                <w:szCs w:val="21"/>
                <w:highlight w:val="none"/>
                <w:lang w:val="en-US"/>
              </w:rPr>
            </w:pPr>
            <w:r>
              <w:rPr>
                <w:rFonts w:hint="eastAsia"/>
                <w:color w:val="auto"/>
                <w:szCs w:val="21"/>
                <w:highlight w:val="none"/>
              </w:rPr>
              <w:t>实行重点工程项目考察约谈机制。项目单位牵头负责，公管等部门参与对预中标单位进行考察约谈、警醒提示，防止非法转包、违法分包、挂靠及出借资质的情况发生。</w:t>
            </w:r>
          </w:p>
        </w:tc>
      </w:tr>
      <w:tr w14:paraId="1F2C6F28">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686728F8">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10.11</w:t>
            </w:r>
          </w:p>
        </w:tc>
        <w:tc>
          <w:tcPr>
            <w:tcW w:w="1984" w:type="dxa"/>
            <w:tcBorders>
              <w:top w:val="single" w:color="auto" w:sz="4" w:space="0"/>
              <w:left w:val="single" w:color="auto" w:sz="4" w:space="0"/>
              <w:bottom w:val="single" w:color="auto" w:sz="4" w:space="0"/>
              <w:right w:val="single" w:color="auto" w:sz="4" w:space="0"/>
            </w:tcBorders>
            <w:vAlign w:val="center"/>
          </w:tcPr>
          <w:p w14:paraId="7BE6A0AD">
            <w:pPr>
              <w:pStyle w:val="36"/>
              <w:adjustRightInd w:val="0"/>
              <w:snapToGrid w:val="0"/>
              <w:spacing w:line="400" w:lineRule="exact"/>
              <w:jc w:val="center"/>
              <w:rPr>
                <w:color w:val="auto"/>
                <w:szCs w:val="21"/>
                <w:highlight w:val="none"/>
                <w:lang w:val="en-US"/>
              </w:rPr>
            </w:pPr>
            <w:r>
              <w:rPr>
                <w:rFonts w:hint="eastAsia"/>
                <w:color w:val="auto"/>
                <w:szCs w:val="21"/>
                <w:highlight w:val="none"/>
              </w:rPr>
              <w:t>变更招标方式</w:t>
            </w:r>
          </w:p>
        </w:tc>
        <w:tc>
          <w:tcPr>
            <w:tcW w:w="6960" w:type="dxa"/>
            <w:tcBorders>
              <w:top w:val="single" w:color="auto" w:sz="4" w:space="0"/>
              <w:left w:val="single" w:color="auto" w:sz="4" w:space="0"/>
              <w:bottom w:val="single" w:color="auto" w:sz="4" w:space="0"/>
              <w:right w:val="single" w:color="auto" w:sz="4" w:space="0"/>
            </w:tcBorders>
            <w:vAlign w:val="center"/>
          </w:tcPr>
          <w:p w14:paraId="735E69E4">
            <w:pPr>
              <w:pStyle w:val="36"/>
              <w:adjustRightInd w:val="0"/>
              <w:snapToGrid w:val="0"/>
              <w:spacing w:line="400" w:lineRule="exact"/>
              <w:jc w:val="left"/>
              <w:rPr>
                <w:color w:val="auto"/>
                <w:szCs w:val="21"/>
                <w:highlight w:val="none"/>
                <w:lang w:val="en-US"/>
              </w:rPr>
            </w:pPr>
            <w:r>
              <w:rPr>
                <w:rFonts w:hint="eastAsia"/>
                <w:color w:val="auto"/>
                <w:szCs w:val="21"/>
                <w:highlight w:val="none"/>
              </w:rPr>
              <w:t>按照滁州市公共资源交易监督管理局现行规定执行。</w:t>
            </w:r>
          </w:p>
        </w:tc>
      </w:tr>
      <w:tr w14:paraId="3117BDCF">
        <w:tblPrEx>
          <w:tblCellMar>
            <w:top w:w="0" w:type="dxa"/>
            <w:left w:w="108" w:type="dxa"/>
            <w:bottom w:w="0" w:type="dxa"/>
            <w:right w:w="108" w:type="dxa"/>
          </w:tblCellMar>
        </w:tblPrEx>
        <w:trPr>
          <w:jc w:val="center"/>
        </w:trPr>
        <w:tc>
          <w:tcPr>
            <w:tcW w:w="1015" w:type="dxa"/>
            <w:tcBorders>
              <w:top w:val="single" w:color="auto" w:sz="4" w:space="0"/>
              <w:left w:val="single" w:color="auto" w:sz="4" w:space="0"/>
              <w:bottom w:val="single" w:color="auto" w:sz="4" w:space="0"/>
              <w:right w:val="single" w:color="auto" w:sz="4" w:space="0"/>
            </w:tcBorders>
            <w:vAlign w:val="center"/>
          </w:tcPr>
          <w:p w14:paraId="57BCDBC6">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10.12</w:t>
            </w:r>
          </w:p>
        </w:tc>
        <w:tc>
          <w:tcPr>
            <w:tcW w:w="1984" w:type="dxa"/>
            <w:tcBorders>
              <w:top w:val="single" w:color="auto" w:sz="4" w:space="0"/>
              <w:left w:val="single" w:color="auto" w:sz="4" w:space="0"/>
              <w:bottom w:val="single" w:color="auto" w:sz="4" w:space="0"/>
              <w:right w:val="single" w:color="auto" w:sz="4" w:space="0"/>
            </w:tcBorders>
            <w:vAlign w:val="center"/>
          </w:tcPr>
          <w:p w14:paraId="50A548B8">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招标人补充的</w:t>
            </w:r>
          </w:p>
          <w:p w14:paraId="106DD10A">
            <w:pPr>
              <w:adjustRightInd w:val="0"/>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其他内容</w:t>
            </w:r>
          </w:p>
        </w:tc>
        <w:tc>
          <w:tcPr>
            <w:tcW w:w="6960" w:type="dxa"/>
            <w:tcBorders>
              <w:top w:val="single" w:color="auto" w:sz="4" w:space="0"/>
              <w:left w:val="single" w:color="auto" w:sz="4" w:space="0"/>
              <w:bottom w:val="single" w:color="auto" w:sz="4" w:space="0"/>
              <w:right w:val="single" w:color="auto" w:sz="4" w:space="0"/>
            </w:tcBorders>
            <w:vAlign w:val="center"/>
          </w:tcPr>
          <w:p w14:paraId="1EC2812B">
            <w:pPr>
              <w:adjustRightInd w:val="0"/>
              <w:snapToGrid w:val="0"/>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（1）创建优质工程</w:t>
            </w:r>
          </w:p>
          <w:p w14:paraId="59894A8D">
            <w:pPr>
              <w:adjustRightInd w:val="0"/>
              <w:snapToGrid w:val="0"/>
              <w:spacing w:line="4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不要求。</w:t>
            </w:r>
          </w:p>
          <w:p w14:paraId="5B04BCD3">
            <w:pPr>
              <w:keepNext/>
              <w:keepLines/>
              <w:adjustRightInd w:val="0"/>
              <w:snapToGrid w:val="0"/>
              <w:spacing w:line="400" w:lineRule="exact"/>
              <w:outlineLvl w:val="3"/>
              <w:rPr>
                <w:rFonts w:ascii="宋体" w:hAnsi="宋体" w:cs="宋体"/>
                <w:b/>
                <w:color w:val="auto"/>
                <w:szCs w:val="21"/>
                <w:highlight w:val="none"/>
              </w:rPr>
            </w:pPr>
            <w:r>
              <w:rPr>
                <w:rFonts w:hint="eastAsia" w:ascii="宋体" w:hAnsi="宋体" w:cs="宋体"/>
                <w:b/>
                <w:color w:val="auto"/>
                <w:szCs w:val="21"/>
                <w:highlight w:val="none"/>
              </w:rPr>
              <w:t>（2）暂估价</w:t>
            </w:r>
          </w:p>
          <w:p w14:paraId="7B1EA8B9">
            <w:pPr>
              <w:adjustRightInd w:val="0"/>
              <w:snapToGrid w:val="0"/>
              <w:spacing w:line="400" w:lineRule="exact"/>
              <w:rPr>
                <w:rFonts w:ascii="宋体" w:hAnsi="宋体" w:cs="宋体"/>
                <w:color w:val="auto"/>
                <w:szCs w:val="21"/>
                <w:highlight w:val="none"/>
                <w:u w:val="single"/>
              </w:rPr>
            </w:pPr>
            <w:r>
              <w:rPr>
                <w:rFonts w:hint="eastAsia" w:ascii="宋体" w:hAnsi="宋体" w:cs="宋体"/>
                <w:color w:val="auto"/>
                <w:kern w:val="0"/>
                <w:szCs w:val="21"/>
                <w:highlight w:val="none"/>
              </w:rPr>
              <w:t xml:space="preserve">暂估价材料、工程设备及专业工程约定： </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1C32BB0">
            <w:pPr>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（3）安全生产</w:t>
            </w:r>
          </w:p>
          <w:p w14:paraId="6446DC9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①须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4E7886A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②坚持“安全第一、预防为主、综合治理”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合同的各项规定，做到生产与安全工作同时计划、布置、检查、总结和评比。</w:t>
            </w:r>
          </w:p>
        </w:tc>
      </w:tr>
      <w:tr w14:paraId="2778BAE3">
        <w:tblPrEx>
          <w:tblCellMar>
            <w:top w:w="0" w:type="dxa"/>
            <w:left w:w="108" w:type="dxa"/>
            <w:bottom w:w="0" w:type="dxa"/>
            <w:right w:w="108" w:type="dxa"/>
          </w:tblCellMar>
        </w:tblPrEx>
        <w:trPr>
          <w:jc w:val="center"/>
        </w:trPr>
        <w:tc>
          <w:tcPr>
            <w:tcW w:w="9959" w:type="dxa"/>
            <w:gridSpan w:val="3"/>
            <w:tcBorders>
              <w:top w:val="single" w:color="auto" w:sz="4" w:space="0"/>
              <w:left w:val="single" w:color="auto" w:sz="4" w:space="0"/>
              <w:bottom w:val="single" w:color="auto" w:sz="4" w:space="0"/>
              <w:right w:val="single" w:color="auto" w:sz="4" w:space="0"/>
            </w:tcBorders>
            <w:vAlign w:val="center"/>
          </w:tcPr>
          <w:p w14:paraId="6A044346">
            <w:pPr>
              <w:spacing w:line="400" w:lineRule="exact"/>
              <w:jc w:val="center"/>
              <w:rPr>
                <w:rFonts w:ascii="宋体" w:hAnsi="宋体" w:cs="宋体"/>
                <w:color w:val="auto"/>
                <w:szCs w:val="21"/>
                <w:highlight w:val="none"/>
              </w:rPr>
            </w:pPr>
            <w:r>
              <w:rPr>
                <w:rFonts w:hint="eastAsia"/>
                <w:b/>
                <w:bCs/>
                <w:color w:val="auto"/>
                <w:szCs w:val="21"/>
                <w:highlight w:val="none"/>
              </w:rPr>
              <w:t>投标人须知前附表增加内容</w:t>
            </w:r>
          </w:p>
        </w:tc>
      </w:tr>
      <w:tr w14:paraId="23A6CFEE">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0EA69199">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人员到岗及履约要求</w:t>
            </w:r>
          </w:p>
        </w:tc>
        <w:tc>
          <w:tcPr>
            <w:tcW w:w="6960" w:type="dxa"/>
            <w:tcBorders>
              <w:top w:val="single" w:color="auto" w:sz="4" w:space="0"/>
              <w:left w:val="single" w:color="auto" w:sz="4" w:space="0"/>
              <w:bottom w:val="single" w:color="auto" w:sz="4" w:space="0"/>
              <w:right w:val="single" w:color="auto" w:sz="4" w:space="0"/>
            </w:tcBorders>
            <w:vAlign w:val="center"/>
          </w:tcPr>
          <w:p w14:paraId="7D968D5A">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1、人员考核：工程开工进场后，中标人必须按招标文件要求和投标承诺配备项目经理（建造师）、技术负责人、质量员、安全员等项目部关键岗位人员。未经招标人同意，不得更换上述人员。招标人将组织对上述人员进行业务能力考核，对未按投标文件配备或经考核不合格要求更换人员的，中标人7日内必须整改调整到位。否则，对于项目经理和技术负责人，按照2000元/人</w:t>
            </w:r>
            <w:r>
              <w:rPr>
                <w:rFonts w:hint="eastAsia" w:ascii="仿宋" w:hAnsi="仿宋" w:eastAsia="仿宋" w:cs="仿宋"/>
                <w:color w:val="auto"/>
                <w:szCs w:val="21"/>
                <w:highlight w:val="none"/>
              </w:rPr>
              <w:t>˙</w:t>
            </w:r>
            <w:r>
              <w:rPr>
                <w:rFonts w:hint="eastAsia" w:ascii="宋体" w:hAnsi="宋体" w:cs="宋体"/>
                <w:color w:val="auto"/>
                <w:szCs w:val="21"/>
                <w:highlight w:val="none"/>
              </w:rPr>
              <w:t>天处以违约金，对于施工现场其他管理人员按照1000元/人·天处以违约金。28日内未整改调整到位的，招标人有权终止合同，并提请相关行政主管部门对企业和人员进行处罚。</w:t>
            </w:r>
          </w:p>
          <w:p w14:paraId="5926CC44">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2、人员考勤：①项目部所有管理人员上下班实行人脸识别电子考勤，人脸识别电子考勤系统设备必须与招标人现行使用的监管平台无缝对接。②监管平台设备及人脸识别电子考勤系统设备，中标人可以租赁或购买，但租赁或购买费用由中标人自行承担，含在投标报价中。③监管平台考勤范围为本项目监理部和项目部所有管理人员，监管平台信息及数据录入（包括质量、进度、安全、施工许可办理等）均由监理单位负责。④项目经理、技术负责人每月在岗时间不得少于20个工作日，施工现场其他管理人员每月在岗时间不得少于22个工作日。未按规定在岗履责的，对项目经理和技术负责人按2000元/人</w:t>
            </w:r>
            <w:r>
              <w:rPr>
                <w:rFonts w:hint="eastAsia" w:ascii="仿宋" w:hAnsi="仿宋" w:eastAsia="仿宋" w:cs="仿宋"/>
                <w:color w:val="auto"/>
                <w:szCs w:val="21"/>
                <w:highlight w:val="none"/>
              </w:rPr>
              <w:t>˙</w:t>
            </w:r>
            <w:r>
              <w:rPr>
                <w:rFonts w:hint="eastAsia" w:ascii="宋体" w:hAnsi="宋体" w:cs="宋体"/>
                <w:color w:val="auto"/>
                <w:szCs w:val="21"/>
                <w:highlight w:val="none"/>
              </w:rPr>
              <w:t>天处以违约金，对施工现场其他管理人员按1000元/人</w:t>
            </w:r>
            <w:r>
              <w:rPr>
                <w:rFonts w:hint="eastAsia" w:ascii="仿宋" w:hAnsi="仿宋" w:eastAsia="仿宋" w:cs="仿宋"/>
                <w:color w:val="auto"/>
                <w:szCs w:val="21"/>
                <w:highlight w:val="none"/>
              </w:rPr>
              <w:t>˙</w:t>
            </w:r>
            <w:r>
              <w:rPr>
                <w:rFonts w:hint="eastAsia" w:ascii="宋体" w:hAnsi="宋体" w:cs="宋体"/>
                <w:color w:val="auto"/>
                <w:szCs w:val="21"/>
                <w:highlight w:val="none"/>
              </w:rPr>
              <w:t>天处以违约金。项目部关键岗位人员离岗必须向招标人履行请假手续，若被招标人和相关部门日常检查和随机抽查中发现不在岗的，又未履行请假手续的，按5000元/人·次处以违约金。</w:t>
            </w:r>
          </w:p>
        </w:tc>
      </w:tr>
      <w:tr w14:paraId="46D64B92">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0AC2CCB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人员变更</w:t>
            </w:r>
          </w:p>
        </w:tc>
        <w:tc>
          <w:tcPr>
            <w:tcW w:w="6960" w:type="dxa"/>
            <w:tcBorders>
              <w:top w:val="single" w:color="auto" w:sz="4" w:space="0"/>
              <w:left w:val="single" w:color="auto" w:sz="4" w:space="0"/>
              <w:bottom w:val="single" w:color="auto" w:sz="4" w:space="0"/>
              <w:right w:val="single" w:color="auto" w:sz="4" w:space="0"/>
            </w:tcBorders>
            <w:vAlign w:val="center"/>
          </w:tcPr>
          <w:p w14:paraId="7CD1BD03">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质量员、安全员等项目部关键岗位人员变更必须经发包人批准，除亡故、重大疾病、出国、辞职等原因外，原则上不得变更。其中，亡故的需提供公安部门开具的死亡证明；重大疾病的需提供三甲及以上医院证明；出国、辞职等原因提出变更的，除需提供相关证明外，须缴50000元违约金，否则不得变更。变更后的质量员、安全员等项目部关键岗位人员必须符合本项目招标文件和投标承诺配备的同等条件人员。</w:t>
            </w:r>
          </w:p>
        </w:tc>
      </w:tr>
      <w:tr w14:paraId="675891FF">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250F6A5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前期手续办理</w:t>
            </w:r>
          </w:p>
        </w:tc>
        <w:tc>
          <w:tcPr>
            <w:tcW w:w="6960" w:type="dxa"/>
            <w:tcBorders>
              <w:top w:val="single" w:color="auto" w:sz="4" w:space="0"/>
              <w:left w:val="single" w:color="auto" w:sz="4" w:space="0"/>
              <w:bottom w:val="single" w:color="auto" w:sz="4" w:space="0"/>
              <w:right w:val="single" w:color="auto" w:sz="4" w:space="0"/>
            </w:tcBorders>
            <w:vAlign w:val="center"/>
          </w:tcPr>
          <w:p w14:paraId="73798357">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中标人在领取中标通知书后必须配合办理相关报建手续、施工许可证，此项工作必须在中标通知书发放30日内完成（若因招标人原因造成的延期除外），否则，每拖延一天处以2000元违约金，提前不奖励。</w:t>
            </w:r>
          </w:p>
        </w:tc>
      </w:tr>
      <w:tr w14:paraId="3A36080B">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1C01465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工程进度管理</w:t>
            </w:r>
          </w:p>
        </w:tc>
        <w:tc>
          <w:tcPr>
            <w:tcW w:w="6960" w:type="dxa"/>
            <w:tcBorders>
              <w:top w:val="single" w:color="auto" w:sz="4" w:space="0"/>
              <w:left w:val="single" w:color="auto" w:sz="4" w:space="0"/>
              <w:bottom w:val="single" w:color="auto" w:sz="4" w:space="0"/>
              <w:right w:val="single" w:color="auto" w:sz="4" w:space="0"/>
            </w:tcBorders>
            <w:vAlign w:val="center"/>
          </w:tcPr>
          <w:p w14:paraId="369F03B5">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一、合同工期管理： </w:t>
            </w:r>
          </w:p>
          <w:p w14:paraId="1616CCC0">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（一）工程有下列原因影响合同工期的, 由承包人提出，经发包人批准可顺延合同工期:1、土地和房屋征收进度不符合施工要求,涉铁路、涉部队、涉供电等影响施工；2、因地震、洪涝灾害、突发重大事件等不可抗力影响施工；3、因规划设计调整或重大变更,对工期造成影响的；4、其他非承包人原因影响工期的。承包人未提出工期顺延的申请或申请未经批准的,工期不予顺延。</w:t>
            </w:r>
          </w:p>
          <w:p w14:paraId="6B9C9BDE">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（二)因承包人原因造成合同工期延误,每延误一天,按5000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元/天处以违约金。月工程量未按计划完成的当期不得请款,当月未完成的工程量纳入下月一并完成,完不成的仍不予请款,依次类推。连续两个月工程量未完成的,终止合同。</w:t>
            </w:r>
          </w:p>
          <w:p w14:paraId="5AC37D40">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三)对严重拖延工期（超期30天及其以上），经发包人督促，承包人拒不执行的，发包人可单方面终止合同，并扣除50%履约保证金，承包人在接到发包人终止合同通知7天内无条件退出施工现场。同时承包人须无条件配合交接工作（含变更施工许可证、前期资料手续对接、分部分项验收等），不得以任何借口阻挠另选的施工队伍进场施工，不得向发包人提出任何索赔要求。如承包人拒不配合则按已完合格工程量的80%进行结算并扣除50%履约保证金。</w:t>
            </w:r>
          </w:p>
          <w:p w14:paraId="47497E80">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二、施工计划管理： </w:t>
            </w:r>
          </w:p>
          <w:p w14:paraId="3E49CDB7">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承包人应按发包人的要求,每月、周将施工内容、施工应开作业面、每个工作面应上施工人员和机械数量编报,经项目经理、总监审核后报发包人。发包人不定期检查,检查中出现下列情形的给予施工企业按2000-5000元/次处以违约金。（一）未按期报送进度计划；（二）计划作业面、施工人员和机械安排不足的；（三）未按计划开齐作业面、上足施工人员和机械。 </w:t>
            </w:r>
          </w:p>
        </w:tc>
      </w:tr>
      <w:tr w14:paraId="2C7EBAD3">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73D93E0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工程质量管理</w:t>
            </w:r>
          </w:p>
        </w:tc>
        <w:tc>
          <w:tcPr>
            <w:tcW w:w="6960" w:type="dxa"/>
            <w:tcBorders>
              <w:top w:val="single" w:color="auto" w:sz="4" w:space="0"/>
              <w:left w:val="single" w:color="auto" w:sz="4" w:space="0"/>
              <w:bottom w:val="single" w:color="auto" w:sz="4" w:space="0"/>
              <w:right w:val="single" w:color="auto" w:sz="4" w:space="0"/>
            </w:tcBorders>
            <w:vAlign w:val="center"/>
          </w:tcPr>
          <w:p w14:paraId="604BD801">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1）发包人及相关行业主管部门在日常检查、专项检查、巡查过程中发现承包人未按设计文件和相关规范施工，存在质量隐患的，必须按要求在规定时限内整改到位，同时每次处以10000元的违约金。对拒不执行或整改不力的，违约金翻倍。同时，发包人有权解除合同，并追偿经济损失。</w:t>
            </w:r>
          </w:p>
          <w:p w14:paraId="5E9E9C70">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（2）缺陷责任期内出现质量问题，发包人书面通知承包人限期整改。在规定时间内不及时处理的，发包人有权直接委托其他单位进行维修，相关费用直接从工程质保金中支付。</w:t>
            </w:r>
          </w:p>
        </w:tc>
      </w:tr>
      <w:tr w14:paraId="06A0425B">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1002C28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安全文明管理</w:t>
            </w:r>
          </w:p>
        </w:tc>
        <w:tc>
          <w:tcPr>
            <w:tcW w:w="6960" w:type="dxa"/>
            <w:tcBorders>
              <w:top w:val="single" w:color="auto" w:sz="4" w:space="0"/>
              <w:left w:val="single" w:color="auto" w:sz="4" w:space="0"/>
              <w:bottom w:val="single" w:color="auto" w:sz="4" w:space="0"/>
              <w:right w:val="single" w:color="auto" w:sz="4" w:space="0"/>
            </w:tcBorders>
            <w:vAlign w:val="center"/>
          </w:tcPr>
          <w:p w14:paraId="22836097">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1）承包人必须确保安全文明施工，严格执行国家、安徽省、滁州市的相关规定，同时遵守建设单位对安全文明施工的相关要求。经检查，达不到相关规定和要求的，由发包人及时下发整改通知书，拒不整改或限期整改不到位的，按2000元/项/次对承包人处以违约金。施工现场卫生保洁自开工之日起至工程竣工移交结束，切实做好项目管理人员和工人宿舍安全、卫生工作。</w:t>
            </w:r>
          </w:p>
          <w:p w14:paraId="241DB264">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（2）执行按关于印发《滁州市建筑工地围挡提档升级标准》的通知（建质﹝2022﹞34号文）执行。</w:t>
            </w:r>
          </w:p>
        </w:tc>
      </w:tr>
      <w:tr w14:paraId="1890B76A">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59489163">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扬尘管理</w:t>
            </w:r>
          </w:p>
        </w:tc>
        <w:tc>
          <w:tcPr>
            <w:tcW w:w="6960" w:type="dxa"/>
            <w:tcBorders>
              <w:top w:val="single" w:color="auto" w:sz="4" w:space="0"/>
              <w:left w:val="single" w:color="auto" w:sz="4" w:space="0"/>
              <w:bottom w:val="single" w:color="auto" w:sz="4" w:space="0"/>
              <w:right w:val="single" w:color="auto" w:sz="4" w:space="0"/>
            </w:tcBorders>
            <w:vAlign w:val="center"/>
          </w:tcPr>
          <w:p w14:paraId="50CA7E52">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严格执行《安徽省建筑工程施工扬尘污染防治规定》、《滁州市城市扬尘管理办法》和《滁州市建筑工程施工扬尘污染防治实施细则》等相关规定。对违反规定或经检查达不到规定和要求，被相关部门批评、曝光、通报的，对承包人按照3万元/次处以违约金。</w:t>
            </w:r>
          </w:p>
        </w:tc>
      </w:tr>
      <w:tr w14:paraId="721C7490">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2A6F571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施工现场管理</w:t>
            </w:r>
          </w:p>
        </w:tc>
        <w:tc>
          <w:tcPr>
            <w:tcW w:w="6960" w:type="dxa"/>
            <w:tcBorders>
              <w:top w:val="single" w:color="auto" w:sz="4" w:space="0"/>
              <w:left w:val="single" w:color="auto" w:sz="4" w:space="0"/>
              <w:bottom w:val="single" w:color="auto" w:sz="4" w:space="0"/>
              <w:right w:val="single" w:color="auto" w:sz="4" w:space="0"/>
            </w:tcBorders>
            <w:vAlign w:val="center"/>
          </w:tcPr>
          <w:p w14:paraId="2021CEC6">
            <w:pPr>
              <w:spacing w:line="312" w:lineRule="auto"/>
              <w:jc w:val="left"/>
              <w:rPr>
                <w:rFonts w:ascii="宋体" w:hAnsi="宋体" w:cs="宋体"/>
                <w:color w:val="auto"/>
                <w:szCs w:val="21"/>
                <w:highlight w:val="none"/>
              </w:rPr>
            </w:pPr>
            <w:r>
              <w:rPr>
                <w:rFonts w:hint="eastAsia" w:ascii="宋体" w:hAnsi="宋体" w:cs="宋体"/>
                <w:color w:val="auto"/>
                <w:szCs w:val="21"/>
                <w:highlight w:val="none"/>
              </w:rPr>
              <w:t>1、施工过程中，项目管理及施工人员以外的无关人员一律不得留宿施工现场，项目负责人负责管理及清理出场；</w:t>
            </w:r>
          </w:p>
          <w:p w14:paraId="3C75B720">
            <w:pPr>
              <w:spacing w:line="312" w:lineRule="auto"/>
              <w:jc w:val="left"/>
              <w:rPr>
                <w:rFonts w:ascii="宋体" w:hAnsi="宋体" w:cs="宋体"/>
                <w:color w:val="auto"/>
                <w:szCs w:val="21"/>
                <w:highlight w:val="none"/>
              </w:rPr>
            </w:pPr>
            <w:r>
              <w:rPr>
                <w:rFonts w:hint="eastAsia" w:ascii="宋体" w:hAnsi="宋体" w:cs="宋体"/>
                <w:color w:val="auto"/>
                <w:szCs w:val="21"/>
                <w:highlight w:val="none"/>
              </w:rPr>
              <w:t>2、施工过程中，严格执行国家及地方针对环保、禁噪、防尘、防护等措施，必须满足当地行政主管部门相关规定及要求。</w:t>
            </w:r>
          </w:p>
          <w:p w14:paraId="5DCAECD3">
            <w:pPr>
              <w:spacing w:line="312" w:lineRule="auto"/>
              <w:jc w:val="left"/>
              <w:rPr>
                <w:rFonts w:ascii="宋体" w:hAnsi="宋体" w:cs="宋体"/>
                <w:color w:val="auto"/>
                <w:szCs w:val="21"/>
                <w:highlight w:val="none"/>
              </w:rPr>
            </w:pPr>
            <w:r>
              <w:rPr>
                <w:rFonts w:hint="eastAsia" w:ascii="宋体" w:hAnsi="宋体" w:cs="宋体"/>
                <w:color w:val="auto"/>
                <w:szCs w:val="21"/>
                <w:highlight w:val="none"/>
              </w:rPr>
              <w:t>3、施工场地及周边场地、道路、绿化、管线、围墙等，若被施工方损坏，施工方必须无偿按照原貌恢复。</w:t>
            </w:r>
          </w:p>
          <w:p w14:paraId="1B1EC988">
            <w:pPr>
              <w:spacing w:line="312" w:lineRule="auto"/>
              <w:jc w:val="left"/>
              <w:rPr>
                <w:rFonts w:ascii="宋体" w:hAnsi="宋体" w:cs="宋体"/>
                <w:color w:val="auto"/>
                <w:szCs w:val="21"/>
                <w:highlight w:val="none"/>
              </w:rPr>
            </w:pPr>
            <w:r>
              <w:rPr>
                <w:rFonts w:hint="eastAsia" w:ascii="宋体" w:hAnsi="宋体" w:cs="宋体"/>
                <w:color w:val="auto"/>
                <w:szCs w:val="21"/>
                <w:highlight w:val="none"/>
              </w:rPr>
              <w:t>4、在工程建设过程中，出现质量、安全、进度、文明施工、扬尘污染、人员不在岗履职等违约行为的，发包人将给予违约处罚；如承包人拒不缴纳违约金的，发包人有权从履约保证金或工程款中直接扣除。</w:t>
            </w:r>
          </w:p>
          <w:p w14:paraId="7A8EEC74">
            <w:pPr>
              <w:spacing w:line="312" w:lineRule="auto"/>
              <w:jc w:val="left"/>
              <w:rPr>
                <w:rFonts w:ascii="宋体" w:hAnsi="宋体" w:cs="宋体"/>
                <w:color w:val="auto"/>
                <w:szCs w:val="21"/>
                <w:highlight w:val="none"/>
              </w:rPr>
            </w:pPr>
            <w:r>
              <w:rPr>
                <w:rFonts w:hint="eastAsia" w:ascii="宋体" w:hAnsi="宋体" w:cs="宋体"/>
                <w:color w:val="auto"/>
                <w:szCs w:val="21"/>
                <w:highlight w:val="none"/>
              </w:rPr>
              <w:t>5、项目经理部需在醒目位置公示经监理、业主审定批准的月进度计划表，否则，当月不支付当月工程进度款。</w:t>
            </w:r>
          </w:p>
          <w:p w14:paraId="12298D10">
            <w:pPr>
              <w:spacing w:line="312" w:lineRule="auto"/>
              <w:jc w:val="left"/>
              <w:rPr>
                <w:rFonts w:ascii="宋体" w:hAnsi="宋体" w:cs="宋体"/>
                <w:color w:val="auto"/>
                <w:szCs w:val="21"/>
                <w:highlight w:val="none"/>
              </w:rPr>
            </w:pPr>
            <w:r>
              <w:rPr>
                <w:rFonts w:hint="eastAsia" w:ascii="宋体" w:hAnsi="宋体" w:cs="宋体"/>
                <w:color w:val="auto"/>
                <w:szCs w:val="21"/>
                <w:highlight w:val="none"/>
              </w:rPr>
              <w:t>6、本项目施工难度较大，投标人在标前应自行踏勘现场，充分考虑难度系数和不可预见因素。施工期间的协调工作由承包人自行解决，此部分费用包含在投标报价中。</w:t>
            </w:r>
          </w:p>
        </w:tc>
      </w:tr>
      <w:tr w14:paraId="5223BF80">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0707CEE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竣工验收、竣工结算</w:t>
            </w:r>
          </w:p>
        </w:tc>
        <w:tc>
          <w:tcPr>
            <w:tcW w:w="6960" w:type="dxa"/>
            <w:tcBorders>
              <w:top w:val="single" w:color="auto" w:sz="4" w:space="0"/>
              <w:left w:val="single" w:color="auto" w:sz="4" w:space="0"/>
              <w:bottom w:val="single" w:color="auto" w:sz="4" w:space="0"/>
              <w:right w:val="single" w:color="auto" w:sz="4" w:space="0"/>
            </w:tcBorders>
            <w:vAlign w:val="center"/>
          </w:tcPr>
          <w:p w14:paraId="3AEC9CC4">
            <w:pPr>
              <w:widowControl/>
              <w:spacing w:line="440" w:lineRule="exact"/>
              <w:rPr>
                <w:rFonts w:ascii="宋体" w:hAnsi="宋体" w:cs="宋体"/>
                <w:color w:val="auto"/>
                <w:szCs w:val="21"/>
                <w:highlight w:val="none"/>
                <w:lang w:val="zh-CN"/>
              </w:rPr>
            </w:pPr>
            <w:r>
              <w:rPr>
                <w:rFonts w:hint="eastAsia" w:ascii="宋体" w:hAnsi="宋体" w:cs="宋体"/>
                <w:color w:val="auto"/>
                <w:szCs w:val="21"/>
                <w:highlight w:val="none"/>
              </w:rPr>
              <w:t>1、</w:t>
            </w:r>
            <w:r>
              <w:rPr>
                <w:rFonts w:hint="eastAsia" w:ascii="宋体" w:hAnsi="宋体" w:cs="宋体"/>
                <w:color w:val="auto"/>
                <w:szCs w:val="21"/>
                <w:highlight w:val="none"/>
                <w:lang w:val="zh-CN"/>
              </w:rPr>
              <w:t>竣工验收时间：</w:t>
            </w:r>
          </w:p>
          <w:p w14:paraId="293BF6F6">
            <w:pPr>
              <w:widowControl/>
              <w:spacing w:line="440" w:lineRule="exact"/>
              <w:rPr>
                <w:rFonts w:ascii="宋体" w:hAnsi="宋体" w:cs="宋体"/>
                <w:color w:val="auto"/>
                <w:szCs w:val="21"/>
                <w:highlight w:val="none"/>
                <w:lang w:val="zh-CN"/>
              </w:rPr>
            </w:pPr>
            <w:r>
              <w:rPr>
                <w:rFonts w:hint="eastAsia" w:ascii="宋体" w:hAnsi="宋体" w:cs="宋体"/>
                <w:color w:val="auto"/>
                <w:szCs w:val="21"/>
                <w:highlight w:val="none"/>
                <w:lang w:val="zh-CN"/>
              </w:rPr>
              <w:t>在材料手续齐全，具备竣工验收条件的情况下，从工程完工到竣工验收原则上不得超过30天，特殊情况经分管领导批准的可以延长。整体工程完工后组织竣工验收，验收合格之日作为竣工日期。</w:t>
            </w:r>
          </w:p>
          <w:p w14:paraId="30C3896E">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2、竣工结算申请：</w:t>
            </w:r>
          </w:p>
          <w:p w14:paraId="2561200A">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承包人须于竣工验收合格后60日内完成竣工结算报告和完整结算资料上报,特殊情况,经发包人批准的可以延长。凡因承包人原因,未能在规定时间内上报竣工结算的,处以10万元/月的违约金。在发包人下达书面通知后承包人拒不配合的,发包人有权按已有资料或按已付款委托跟踪审计单位办理结算。</w:t>
            </w:r>
          </w:p>
        </w:tc>
      </w:tr>
      <w:tr w14:paraId="2E63D29C">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08DF483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文明施工要求</w:t>
            </w:r>
          </w:p>
        </w:tc>
        <w:tc>
          <w:tcPr>
            <w:tcW w:w="6960" w:type="dxa"/>
            <w:tcBorders>
              <w:top w:val="single" w:color="auto" w:sz="4" w:space="0"/>
              <w:left w:val="single" w:color="auto" w:sz="4" w:space="0"/>
              <w:bottom w:val="single" w:color="auto" w:sz="4" w:space="0"/>
              <w:right w:val="single" w:color="auto" w:sz="4" w:space="0"/>
            </w:tcBorders>
            <w:vAlign w:val="center"/>
          </w:tcPr>
          <w:p w14:paraId="6EF9C633">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1)公共环境</w:t>
            </w:r>
          </w:p>
          <w:p w14:paraId="26A4EE89">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①建筑工地采用砌体、钢结构或彩钢夹芯板等，不得使用彩钢板封闭管理，高度不低于3米；储备用地、路面施工应一律设置建筑围墙进行遮挡。环境卫生干净整洁，围墙内外无乱堆放现象，无生活垃圾；施工现场标识明显，四周设置围墙、围挡，并符合标准；施工车辆有硬化的进出通道和冲洗设备，无抛洒和污染路面现象。</w:t>
            </w:r>
          </w:p>
          <w:p w14:paraId="517626AF">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②场内设有不少于15米硬化面，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w:t>
            </w:r>
          </w:p>
          <w:p w14:paraId="3C5FE58E">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2)公益宣传</w:t>
            </w:r>
          </w:p>
          <w:p w14:paraId="091F4A41">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①运用建筑围挡宣传展示社会主义核心价值观12个主题词、市民文明行为规范，及时更新中宣部、中央文明办发布的“讲文明树新风”、“图说我们的价值观”通稿作品以及本市自创的公益广告（建筑围挡无破墙开洞现象，公益广告无污染、破旧现象）。</w:t>
            </w:r>
          </w:p>
          <w:p w14:paraId="480422EF">
            <w:pPr>
              <w:widowControl/>
              <w:spacing w:line="440" w:lineRule="exact"/>
              <w:rPr>
                <w:rFonts w:ascii="宋体" w:hAnsi="宋体" w:cs="宋体"/>
                <w:color w:val="auto"/>
                <w:szCs w:val="21"/>
                <w:highlight w:val="none"/>
              </w:rPr>
            </w:pPr>
            <w:r>
              <w:rPr>
                <w:rFonts w:hint="eastAsia" w:ascii="宋体" w:hAnsi="宋体" w:cs="宋体"/>
                <w:color w:val="auto"/>
                <w:szCs w:val="21"/>
                <w:highlight w:val="none"/>
              </w:rPr>
              <w:t>②公益广告展示面积占围挡总面积的比例不少于50%，且公益广告要与商业广告穿插展示（每3块广告中必须要有1块公益广告），且单面围挡墙体均能看到公益宣传。步行30米，达到50%面积比例。</w:t>
            </w:r>
          </w:p>
        </w:tc>
      </w:tr>
      <w:tr w14:paraId="21D0BF61">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6B7E203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工程档案</w:t>
            </w:r>
          </w:p>
        </w:tc>
        <w:tc>
          <w:tcPr>
            <w:tcW w:w="6960" w:type="dxa"/>
            <w:tcBorders>
              <w:top w:val="single" w:color="auto" w:sz="4" w:space="0"/>
              <w:left w:val="single" w:color="auto" w:sz="4" w:space="0"/>
              <w:bottom w:val="single" w:color="auto" w:sz="4" w:space="0"/>
              <w:right w:val="single" w:color="auto" w:sz="4" w:space="0"/>
            </w:tcBorders>
            <w:vAlign w:val="center"/>
          </w:tcPr>
          <w:p w14:paraId="2A0E2B68">
            <w:pPr>
              <w:widowControl/>
              <w:spacing w:line="440" w:lineRule="exact"/>
              <w:rPr>
                <w:color w:val="auto"/>
                <w:highlight w:val="none"/>
              </w:rPr>
            </w:pPr>
            <w:r>
              <w:rPr>
                <w:rFonts w:hint="eastAsia"/>
                <w:color w:val="auto"/>
                <w:highlight w:val="none"/>
              </w:rPr>
              <w:t xml:space="preserve">1、本工程施工单位必须将工程准备阶段、施工阶段、竣工验收阶段等所形成的各种形式的信息资料、材料及文件进行收集和整理，最终形成工程档案。 </w:t>
            </w:r>
          </w:p>
          <w:p w14:paraId="0E1760AD">
            <w:pPr>
              <w:widowControl/>
              <w:spacing w:line="440" w:lineRule="exact"/>
              <w:rPr>
                <w:color w:val="auto"/>
                <w:highlight w:val="none"/>
              </w:rPr>
            </w:pPr>
            <w:r>
              <w:rPr>
                <w:rFonts w:hint="eastAsia"/>
                <w:color w:val="auto"/>
                <w:highlight w:val="none"/>
              </w:rPr>
              <w:t xml:space="preserve">2、收集和整理标准必须按照中华人民共和国国家标准GB／T50328-2014《建设工程文件归档规范》标准执行。 </w:t>
            </w:r>
          </w:p>
          <w:p w14:paraId="421C44C4">
            <w:pPr>
              <w:widowControl/>
              <w:spacing w:line="440" w:lineRule="exact"/>
              <w:rPr>
                <w:color w:val="auto"/>
                <w:highlight w:val="none"/>
              </w:rPr>
            </w:pPr>
            <w:r>
              <w:rPr>
                <w:rFonts w:hint="eastAsia"/>
                <w:color w:val="auto"/>
                <w:highlight w:val="none"/>
              </w:rPr>
              <w:t xml:space="preserve">3、建设工程项目在组织竣工验收前，要进行工程档案进行预验收，未取得工程资料验收认可文件的，竣工验收不予通过；最终验收合格的工程档案必须在工程竣工验收合格后1个月内移交给建设单位。 </w:t>
            </w:r>
          </w:p>
          <w:p w14:paraId="2BD18D07">
            <w:pPr>
              <w:widowControl/>
              <w:spacing w:line="440" w:lineRule="exact"/>
              <w:rPr>
                <w:rFonts w:ascii="宋体" w:hAnsi="宋体" w:cs="宋体"/>
                <w:color w:val="auto"/>
                <w:szCs w:val="21"/>
                <w:highlight w:val="none"/>
              </w:rPr>
            </w:pPr>
            <w:r>
              <w:rPr>
                <w:rFonts w:hint="eastAsia"/>
                <w:color w:val="auto"/>
                <w:highlight w:val="none"/>
              </w:rPr>
              <w:t xml:space="preserve">4、档案需要按市城建档案馆要求执行。 </w:t>
            </w:r>
          </w:p>
        </w:tc>
      </w:tr>
      <w:tr w14:paraId="6AE38FAD">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322363F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招标人补充的其他内容</w:t>
            </w:r>
          </w:p>
        </w:tc>
        <w:tc>
          <w:tcPr>
            <w:tcW w:w="6960" w:type="dxa"/>
            <w:tcBorders>
              <w:top w:val="single" w:color="auto" w:sz="4" w:space="0"/>
              <w:left w:val="single" w:color="auto" w:sz="4" w:space="0"/>
              <w:bottom w:val="single" w:color="auto" w:sz="4" w:space="0"/>
              <w:right w:val="single" w:color="auto" w:sz="4" w:space="0"/>
            </w:tcBorders>
          </w:tcPr>
          <w:p w14:paraId="7697AC77">
            <w:pPr>
              <w:spacing w:line="440" w:lineRule="exact"/>
              <w:rPr>
                <w:rFonts w:ascii="宋体" w:hAnsi="宋体" w:cs="宋体"/>
                <w:color w:val="auto"/>
                <w:szCs w:val="21"/>
                <w:highlight w:val="none"/>
              </w:rPr>
            </w:pPr>
            <w:r>
              <w:rPr>
                <w:rFonts w:hint="eastAsia" w:ascii="宋体" w:hAnsi="宋体" w:cs="宋体"/>
                <w:color w:val="auto"/>
                <w:szCs w:val="21"/>
                <w:highlight w:val="none"/>
              </w:rPr>
              <w:t>中标后配备的相关人员最低要求(投标时不要求)：</w:t>
            </w:r>
          </w:p>
          <w:p w14:paraId="3ED694FA">
            <w:pPr>
              <w:spacing w:line="440" w:lineRule="exact"/>
              <w:rPr>
                <w:rFonts w:ascii="宋体" w:hAnsi="宋体" w:cs="宋体"/>
                <w:color w:val="auto"/>
                <w:szCs w:val="21"/>
                <w:highlight w:val="none"/>
              </w:rPr>
            </w:pPr>
            <w:r>
              <w:rPr>
                <w:rFonts w:hint="eastAsia" w:ascii="宋体" w:hAnsi="宋体" w:cs="宋体"/>
                <w:color w:val="auto"/>
                <w:szCs w:val="21"/>
                <w:highlight w:val="none"/>
              </w:rPr>
              <w:t>施工项目现场关键岗位人员：工程实施前，承包人应明确并配备满足要求的施工项目现场关键岗位人员配备，参照《安徽省住房城乡建设厅关于进一步明确建设工程施工现场关键岗位人员配备标准和岗位职责的通知》(建市〔2014〕186 号) 规定配置人员，施工项目现场关键岗位人员符合《施工现场关键岗位人员在岗考核管理工作的通知》文件规定。</w:t>
            </w:r>
          </w:p>
        </w:tc>
      </w:tr>
      <w:tr w14:paraId="0888A96A">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458BC788">
            <w:pPr>
              <w:spacing w:line="440" w:lineRule="exact"/>
              <w:jc w:val="center"/>
              <w:rPr>
                <w:rFonts w:ascii="宋体" w:hAnsi="宋体" w:cs="宋体"/>
                <w:bCs/>
                <w:color w:val="auto"/>
                <w:szCs w:val="21"/>
                <w:highlight w:val="none"/>
              </w:rPr>
            </w:pPr>
            <w:r>
              <w:rPr>
                <w:rFonts w:hint="eastAsia" w:ascii="宋体" w:hAnsi="宋体"/>
                <w:bCs/>
                <w:color w:val="auto"/>
                <w:szCs w:val="21"/>
                <w:highlight w:val="none"/>
              </w:rPr>
              <w:t>其他注意事项</w:t>
            </w:r>
          </w:p>
        </w:tc>
        <w:tc>
          <w:tcPr>
            <w:tcW w:w="6960" w:type="dxa"/>
            <w:tcBorders>
              <w:top w:val="single" w:color="auto" w:sz="4" w:space="0"/>
              <w:left w:val="single" w:color="auto" w:sz="4" w:space="0"/>
              <w:bottom w:val="single" w:color="auto" w:sz="4" w:space="0"/>
              <w:right w:val="single" w:color="auto" w:sz="4" w:space="0"/>
            </w:tcBorders>
            <w:vAlign w:val="center"/>
          </w:tcPr>
          <w:p w14:paraId="60EDEC21">
            <w:pPr>
              <w:widowControl/>
              <w:spacing w:line="440" w:lineRule="exact"/>
              <w:rPr>
                <w:bCs/>
                <w:color w:val="auto"/>
                <w:highlight w:val="none"/>
              </w:rPr>
            </w:pPr>
            <w:r>
              <w:rPr>
                <w:rFonts w:hint="eastAsia"/>
                <w:bCs/>
                <w:color w:val="auto"/>
                <w:highlight w:val="none"/>
              </w:rPr>
              <w:t xml:space="preserve">1、构成本招标文件各个组成部分的文件，未经招标人书面同意， 投标人不得擅自复印和用于非本招标项目所需的其他目的。招标人有权全部或者部分使用未中标人投标文件中的技术成果或技术方案，并不需征得其书面同意。 </w:t>
            </w:r>
          </w:p>
          <w:p w14:paraId="71200DAD">
            <w:pPr>
              <w:widowControl/>
              <w:spacing w:line="440" w:lineRule="exact"/>
              <w:rPr>
                <w:bCs/>
                <w:color w:val="auto"/>
                <w:highlight w:val="none"/>
              </w:rPr>
            </w:pPr>
            <w:r>
              <w:rPr>
                <w:rFonts w:hint="eastAsia"/>
                <w:bCs/>
                <w:color w:val="auto"/>
                <w:highlight w:val="none"/>
              </w:rPr>
              <w:t>2、分包合同在分包项目施工前必须到招标人处备案；没有备案的，其施工分包费用，不予认可。</w:t>
            </w:r>
          </w:p>
          <w:p w14:paraId="6B6F60BC">
            <w:pPr>
              <w:widowControl/>
              <w:spacing w:line="440" w:lineRule="exact"/>
              <w:rPr>
                <w:bCs/>
                <w:color w:val="auto"/>
                <w:highlight w:val="none"/>
              </w:rPr>
            </w:pPr>
            <w:r>
              <w:rPr>
                <w:rFonts w:hint="eastAsia"/>
                <w:bCs/>
                <w:color w:val="auto"/>
                <w:highlight w:val="none"/>
              </w:rPr>
              <w:t>3、中标人在建设期内的各项资金筹措、建设活动必须严格遵守法律法规、招标人及相关部门的规定，以合法、自愿、合作共赢为原则和前提，否则招标人有权要求中标人及时整改或提取其履约保证金，直至终止合同并依法追究其全部责任；</w:t>
            </w:r>
          </w:p>
          <w:p w14:paraId="6BBC8C10">
            <w:pPr>
              <w:widowControl/>
              <w:spacing w:line="440" w:lineRule="exact"/>
              <w:rPr>
                <w:rFonts w:ascii="宋体" w:hAnsi="宋体" w:cs="宋体"/>
                <w:bCs/>
                <w:color w:val="auto"/>
                <w:szCs w:val="21"/>
                <w:highlight w:val="none"/>
              </w:rPr>
            </w:pPr>
            <w:r>
              <w:rPr>
                <w:rFonts w:hint="eastAsia"/>
                <w:bCs/>
                <w:color w:val="auto"/>
                <w:highlight w:val="none"/>
              </w:rPr>
              <w:t>4、如本项目中标单位在中标后及合同履约中存在违法合同条款或者其他违约违规行为（转包、 违法分包等），由此造成损失的，将依法向中标人进行追偿。</w:t>
            </w:r>
          </w:p>
        </w:tc>
      </w:tr>
      <w:tr w14:paraId="16FA5552">
        <w:tblPrEx>
          <w:tblCellMar>
            <w:top w:w="0" w:type="dxa"/>
            <w:left w:w="108" w:type="dxa"/>
            <w:bottom w:w="0" w:type="dxa"/>
            <w:right w:w="108" w:type="dxa"/>
          </w:tblCellMar>
        </w:tblPrEx>
        <w:trPr>
          <w:jc w:val="center"/>
        </w:trPr>
        <w:tc>
          <w:tcPr>
            <w:tcW w:w="2999" w:type="dxa"/>
            <w:gridSpan w:val="2"/>
            <w:tcBorders>
              <w:top w:val="single" w:color="auto" w:sz="4" w:space="0"/>
              <w:left w:val="single" w:color="auto" w:sz="4" w:space="0"/>
              <w:bottom w:val="single" w:color="auto" w:sz="4" w:space="0"/>
              <w:right w:val="single" w:color="auto" w:sz="4" w:space="0"/>
            </w:tcBorders>
            <w:vAlign w:val="center"/>
          </w:tcPr>
          <w:p w14:paraId="05B2F082">
            <w:pPr>
              <w:adjustRightInd w:val="0"/>
              <w:snapToGrid w:val="0"/>
              <w:spacing w:line="560" w:lineRule="exact"/>
              <w:jc w:val="center"/>
              <w:rPr>
                <w:rFonts w:ascii="宋体" w:hAnsi="宋体" w:cs="宋体"/>
                <w:bCs/>
                <w:color w:val="auto"/>
                <w:szCs w:val="21"/>
                <w:highlight w:val="none"/>
              </w:rPr>
            </w:pPr>
            <w:r>
              <w:rPr>
                <w:rFonts w:hint="eastAsia" w:ascii="宋体" w:hAnsi="宋体" w:cs="宋体"/>
                <w:color w:val="auto"/>
                <w:szCs w:val="21"/>
                <w:highlight w:val="none"/>
              </w:rPr>
              <w:t>采用“实名认证”投标</w:t>
            </w:r>
          </w:p>
        </w:tc>
        <w:tc>
          <w:tcPr>
            <w:tcW w:w="6960" w:type="dxa"/>
            <w:tcBorders>
              <w:top w:val="single" w:color="auto" w:sz="4" w:space="0"/>
              <w:left w:val="single" w:color="auto" w:sz="4" w:space="0"/>
              <w:bottom w:val="single" w:color="auto" w:sz="4" w:space="0"/>
              <w:right w:val="single" w:color="auto" w:sz="4" w:space="0"/>
            </w:tcBorders>
            <w:vAlign w:val="center"/>
          </w:tcPr>
          <w:p w14:paraId="2C1FDEAF">
            <w:pPr>
              <w:adjustRightInd w:val="0"/>
              <w:snapToGrid w:val="0"/>
              <w:spacing w:line="520" w:lineRule="exact"/>
              <w:rPr>
                <w:rFonts w:ascii="宋体" w:hAnsi="宋体" w:cs="宋体"/>
                <w:color w:val="auto"/>
                <w:szCs w:val="21"/>
                <w:highlight w:val="none"/>
              </w:rPr>
            </w:pPr>
            <w:r>
              <w:rPr>
                <w:rFonts w:hint="eastAsia" w:ascii="宋体" w:hAnsi="宋体" w:cs="宋体"/>
                <w:color w:val="auto"/>
                <w:szCs w:val="21"/>
                <w:highlight w:val="none"/>
              </w:rPr>
              <w:t>是，本项目采用“实名认证”投标，相关要求如下：</w:t>
            </w:r>
          </w:p>
          <w:p w14:paraId="0C3CA0D6">
            <w:pPr>
              <w:adjustRightInd w:val="0"/>
              <w:snapToGrid w:val="0"/>
              <w:spacing w:line="520" w:lineRule="exact"/>
              <w:rPr>
                <w:rFonts w:ascii="宋体" w:hAnsi="宋体" w:cs="宋体"/>
                <w:color w:val="auto"/>
                <w:szCs w:val="21"/>
                <w:highlight w:val="none"/>
              </w:rPr>
            </w:pPr>
            <w:r>
              <w:rPr>
                <w:rFonts w:hint="eastAsia" w:ascii="宋体" w:hAnsi="宋体" w:cs="宋体"/>
                <w:color w:val="auto"/>
                <w:szCs w:val="21"/>
                <w:highlight w:val="none"/>
              </w:rPr>
              <w:t>1、“实名认证”投标是指应用“人脸识别”技术，对法定代表人或对投标联系人身份进行实名验证的投标活动。投标联系人或法定代表人在下载招标文件、上传投标文件前，在电子交易系统中完成实名认证比对。</w:t>
            </w:r>
          </w:p>
          <w:p w14:paraId="67EC095A">
            <w:pPr>
              <w:adjustRightInd w:val="0"/>
              <w:snapToGrid w:val="0"/>
              <w:spacing w:line="520" w:lineRule="exact"/>
              <w:rPr>
                <w:rFonts w:ascii="宋体" w:hAnsi="宋体" w:cs="宋体"/>
                <w:color w:val="auto"/>
                <w:szCs w:val="21"/>
                <w:highlight w:val="none"/>
              </w:rPr>
            </w:pPr>
            <w:r>
              <w:rPr>
                <w:rFonts w:hint="eastAsia" w:ascii="宋体" w:hAnsi="宋体" w:cs="宋体"/>
                <w:color w:val="auto"/>
                <w:szCs w:val="21"/>
                <w:highlight w:val="none"/>
              </w:rPr>
              <w:t>2、“实名认证”投标基于“皖企通”APP完成，各投标人提前在手机上下载、安装、调试好“皖企通”APP（具体操作详见滁州市公共资源交易中心网/网上课堂/全部课程/《滁州市公共资源交易系统操作手册（投标人）》）。</w:t>
            </w:r>
          </w:p>
          <w:p w14:paraId="006A88A5">
            <w:pPr>
              <w:adjustRightInd w:val="0"/>
              <w:snapToGrid w:val="0"/>
              <w:spacing w:line="520" w:lineRule="exact"/>
              <w:rPr>
                <w:rFonts w:ascii="宋体" w:hAnsi="宋体" w:cs="宋体"/>
                <w:color w:val="auto"/>
                <w:szCs w:val="21"/>
                <w:highlight w:val="none"/>
              </w:rPr>
            </w:pPr>
            <w:r>
              <w:rPr>
                <w:rFonts w:hint="eastAsia" w:ascii="宋体" w:hAnsi="宋体" w:cs="宋体"/>
                <w:color w:val="auto"/>
                <w:szCs w:val="21"/>
                <w:highlight w:val="none"/>
              </w:rPr>
              <w:t>3、“人脸识别”身份认证出现异常情况的，作如下处理：</w:t>
            </w:r>
          </w:p>
          <w:p w14:paraId="5FC4A11A">
            <w:pPr>
              <w:adjustRightInd w:val="0"/>
              <w:snapToGrid w:val="0"/>
              <w:spacing w:line="520" w:lineRule="exact"/>
              <w:rPr>
                <w:rFonts w:ascii="宋体" w:hAnsi="宋体" w:cs="宋体"/>
                <w:color w:val="auto"/>
                <w:szCs w:val="21"/>
                <w:highlight w:val="none"/>
              </w:rPr>
            </w:pPr>
            <w:r>
              <w:rPr>
                <w:rFonts w:hint="eastAsia" w:ascii="宋体" w:hAnsi="宋体" w:cs="宋体"/>
                <w:color w:val="auto"/>
                <w:szCs w:val="21"/>
                <w:highlight w:val="none"/>
              </w:rPr>
              <w:t>（1）下载招标文件人脸比对：未参与“人脸识别”身份认证或“人脸识别”身份认证失败的，将无法下载招标文件。</w:t>
            </w:r>
          </w:p>
          <w:p w14:paraId="1B6EB711">
            <w:pPr>
              <w:adjustRightInd w:val="0"/>
              <w:snapToGrid w:val="0"/>
              <w:spacing w:line="520" w:lineRule="exact"/>
              <w:rPr>
                <w:rFonts w:ascii="宋体" w:hAnsi="宋体" w:cs="宋体"/>
                <w:color w:val="auto"/>
                <w:szCs w:val="21"/>
                <w:highlight w:val="none"/>
              </w:rPr>
            </w:pPr>
            <w:r>
              <w:rPr>
                <w:rFonts w:hint="eastAsia" w:ascii="宋体" w:hAnsi="宋体" w:cs="宋体"/>
                <w:color w:val="auto"/>
                <w:szCs w:val="21"/>
                <w:highlight w:val="none"/>
              </w:rPr>
              <w:t>（2）上传投标文件人脸比对：未参与“人脸识别”身份认证或“人脸识别”身份认证失败的，将无法上传投标文件。</w:t>
            </w:r>
          </w:p>
          <w:p w14:paraId="5C557C5A">
            <w:pPr>
              <w:adjustRightInd w:val="0"/>
              <w:snapToGrid w:val="0"/>
              <w:spacing w:line="520" w:lineRule="exact"/>
              <w:rPr>
                <w:rFonts w:ascii="宋体" w:hAnsi="宋体" w:cs="宋体"/>
                <w:bCs/>
                <w:color w:val="auto"/>
                <w:szCs w:val="21"/>
                <w:highlight w:val="none"/>
              </w:rPr>
            </w:pPr>
            <w:r>
              <w:rPr>
                <w:rFonts w:hint="eastAsia" w:ascii="宋体" w:hAnsi="宋体" w:cs="宋体"/>
                <w:color w:val="auto"/>
                <w:szCs w:val="21"/>
                <w:highlight w:val="none"/>
              </w:rPr>
              <w:t>注：投标联系人是指下载招标文件、上传投标文件等参与投标活动的经办人。在投标活动中，投标联系人可以不为同一人。</w:t>
            </w:r>
          </w:p>
        </w:tc>
      </w:tr>
    </w:tbl>
    <w:p w14:paraId="69C6F54F">
      <w:pPr>
        <w:pStyle w:val="8"/>
        <w:adjustRightInd w:val="0"/>
        <w:snapToGrid w:val="0"/>
        <w:spacing w:line="400" w:lineRule="exact"/>
        <w:rPr>
          <w:color w:val="auto"/>
          <w:sz w:val="22"/>
          <w:highlight w:val="none"/>
        </w:rPr>
      </w:pPr>
    </w:p>
    <w:p w14:paraId="4535316F">
      <w:pPr>
        <w:pStyle w:val="8"/>
        <w:adjustRightInd w:val="0"/>
        <w:snapToGrid w:val="0"/>
        <w:spacing w:line="400" w:lineRule="exact"/>
        <w:rPr>
          <w:color w:val="auto"/>
          <w:sz w:val="22"/>
          <w:highlight w:val="none"/>
        </w:rPr>
      </w:pPr>
    </w:p>
    <w:bookmarkEnd w:id="44"/>
    <w:bookmarkEnd w:id="45"/>
    <w:bookmarkEnd w:id="46"/>
    <w:bookmarkEnd w:id="47"/>
    <w:bookmarkEnd w:id="48"/>
    <w:bookmarkEnd w:id="49"/>
    <w:bookmarkEnd w:id="50"/>
    <w:bookmarkEnd w:id="51"/>
    <w:bookmarkEnd w:id="52"/>
    <w:bookmarkEnd w:id="53"/>
    <w:p w14:paraId="2CE3DA0D">
      <w:pPr>
        <w:pStyle w:val="3"/>
        <w:pageBreakBefore/>
        <w:adjustRightInd w:val="0"/>
        <w:snapToGrid w:val="0"/>
        <w:spacing w:line="560" w:lineRule="exact"/>
        <w:ind w:firstLine="422" w:firstLineChars="200"/>
        <w:rPr>
          <w:rFonts w:ascii="黑体" w:hAnsi="黑体" w:cs="黑体"/>
          <w:color w:val="auto"/>
          <w:sz w:val="21"/>
          <w:szCs w:val="21"/>
          <w:highlight w:val="none"/>
        </w:rPr>
      </w:pPr>
      <w:bookmarkStart w:id="54" w:name="_Toc83301688"/>
      <w:bookmarkStart w:id="55" w:name="_Toc3414"/>
      <w:bookmarkStart w:id="56" w:name="_Toc60061433"/>
      <w:bookmarkStart w:id="57" w:name="_Toc95223336"/>
      <w:bookmarkStart w:id="58" w:name="_Toc324404864"/>
      <w:bookmarkStart w:id="59" w:name="_Toc97"/>
      <w:bookmarkStart w:id="60" w:name="_Toc60061489"/>
      <w:bookmarkStart w:id="61" w:name="_Toc506107317"/>
      <w:bookmarkStart w:id="62" w:name="_Toc15058902"/>
      <w:bookmarkStart w:id="63" w:name="_Toc95223391"/>
      <w:bookmarkStart w:id="64" w:name="_Toc296602475"/>
      <w:r>
        <w:rPr>
          <w:rFonts w:hint="eastAsia" w:ascii="黑体" w:hAnsi="黑体" w:cs="黑体"/>
          <w:color w:val="auto"/>
          <w:sz w:val="21"/>
          <w:szCs w:val="21"/>
          <w:highlight w:val="none"/>
        </w:rPr>
        <w:t>1. 总则</w:t>
      </w:r>
      <w:bookmarkEnd w:id="54"/>
      <w:bookmarkEnd w:id="55"/>
      <w:bookmarkEnd w:id="56"/>
      <w:bookmarkEnd w:id="57"/>
    </w:p>
    <w:p w14:paraId="329ABC68">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65" w:name="_Toc15058847"/>
      <w:bookmarkStart w:id="66" w:name="_Toc506107270"/>
      <w:bookmarkStart w:id="67" w:name="_Toc83301689"/>
      <w:bookmarkStart w:id="68" w:name="_Toc247085690"/>
      <w:bookmarkStart w:id="69" w:name="_Toc324404816"/>
      <w:bookmarkStart w:id="70" w:name="_Toc246996176"/>
      <w:bookmarkStart w:id="71" w:name="_Toc25579"/>
      <w:bookmarkStart w:id="72" w:name="_Toc179632547"/>
      <w:bookmarkStart w:id="73" w:name="_Toc60061434"/>
      <w:bookmarkStart w:id="74" w:name="_Toc152042306"/>
      <w:bookmarkStart w:id="75" w:name="_Toc144974498"/>
      <w:bookmarkStart w:id="76" w:name="_Toc296602421"/>
      <w:bookmarkStart w:id="77" w:name="_Toc152045530"/>
      <w:bookmarkStart w:id="78" w:name="_Toc95223337"/>
      <w:bookmarkStart w:id="79" w:name="_Toc246996919"/>
      <w:r>
        <w:rPr>
          <w:rFonts w:hint="eastAsia" w:ascii="黑体" w:hAnsi="黑体" w:eastAsia="黑体" w:cs="黑体"/>
          <w:color w:val="auto"/>
          <w:sz w:val="21"/>
          <w:szCs w:val="21"/>
          <w:highlight w:val="none"/>
        </w:rPr>
        <w:t>1.1 项目概况</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5DA38BB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1.1.1根据《中华人民共和国招标投标法》《中华人民共和国招标投标法实施条例》等有关法律、法规和规章的规定，本招标项目已具备招标条件，现对本项目进行招标。</w:t>
      </w:r>
    </w:p>
    <w:p w14:paraId="7DB1CC2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 本招标项目招标人：见投标人须知前附表。</w:t>
      </w:r>
    </w:p>
    <w:p w14:paraId="1F96FE7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本招标项目招标代理机构：见投标人须知前附表。</w:t>
      </w:r>
    </w:p>
    <w:p w14:paraId="083336FB">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14:paraId="68E7EE9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1.1.5 本招标项目建设地点：见投标人须知前附表。</w:t>
      </w:r>
    </w:p>
    <w:p w14:paraId="644298CA">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80" w:name="_Toc144974499"/>
      <w:bookmarkStart w:id="81" w:name="_Toc506107271"/>
      <w:bookmarkStart w:id="82" w:name="_Toc83301690"/>
      <w:bookmarkStart w:id="83" w:name="_Toc247085691"/>
      <w:bookmarkStart w:id="84" w:name="_Toc15058848"/>
      <w:bookmarkStart w:id="85" w:name="_Toc60061435"/>
      <w:bookmarkStart w:id="86" w:name="_Toc246996177"/>
      <w:bookmarkStart w:id="87" w:name="_Toc152045531"/>
      <w:bookmarkStart w:id="88" w:name="_Toc95223338"/>
      <w:bookmarkStart w:id="89" w:name="_Toc296602422"/>
      <w:bookmarkStart w:id="90" w:name="_Toc246996920"/>
      <w:bookmarkStart w:id="91" w:name="_Toc152042307"/>
      <w:bookmarkStart w:id="92" w:name="_Toc179632548"/>
      <w:bookmarkStart w:id="93" w:name="_Toc324404817"/>
      <w:bookmarkStart w:id="94" w:name="_Toc15155"/>
      <w:r>
        <w:rPr>
          <w:rFonts w:hint="eastAsia" w:ascii="黑体" w:hAnsi="黑体" w:eastAsia="黑体" w:cs="黑体"/>
          <w:color w:val="auto"/>
          <w:sz w:val="21"/>
          <w:szCs w:val="21"/>
          <w:highlight w:val="none"/>
        </w:rPr>
        <w:t>1.2 资金来源和落实情况</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131FDE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28E3D47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 本招标项目的资金落实情况：见投标人须知前附表。</w:t>
      </w:r>
    </w:p>
    <w:p w14:paraId="67A5E974">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95" w:name="_Toc296602423"/>
      <w:bookmarkStart w:id="96" w:name="_Toc179632549"/>
      <w:bookmarkStart w:id="97" w:name="_Toc15058849"/>
      <w:bookmarkStart w:id="98" w:name="_Toc506107272"/>
      <w:bookmarkStart w:id="99" w:name="_Toc144974500"/>
      <w:bookmarkStart w:id="100" w:name="_Toc95223339"/>
      <w:bookmarkStart w:id="101" w:name="_Toc246996921"/>
      <w:bookmarkStart w:id="102" w:name="_Toc246996178"/>
      <w:bookmarkStart w:id="103" w:name="_Toc152045532"/>
      <w:bookmarkStart w:id="104" w:name="_Toc324404818"/>
      <w:bookmarkStart w:id="105" w:name="_Toc83301691"/>
      <w:bookmarkStart w:id="106" w:name="_Toc60061436"/>
      <w:bookmarkStart w:id="107" w:name="_Toc8116"/>
      <w:bookmarkStart w:id="108" w:name="_Toc247085692"/>
      <w:bookmarkStart w:id="109" w:name="_Toc152042308"/>
      <w:r>
        <w:rPr>
          <w:rFonts w:hint="eastAsia" w:ascii="黑体" w:hAnsi="黑体" w:eastAsia="黑体" w:cs="黑体"/>
          <w:color w:val="auto"/>
          <w:sz w:val="21"/>
          <w:szCs w:val="21"/>
          <w:highlight w:val="none"/>
        </w:rPr>
        <w:t>1.3 招标范围、计划工期、质量要求</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43901B4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30FC220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 本招标项目的计划工期：见投标人须知前附表。</w:t>
      </w:r>
    </w:p>
    <w:p w14:paraId="5F9F59D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 本招标项目的质量要求：见投标人须知前附表。</w:t>
      </w:r>
    </w:p>
    <w:p w14:paraId="03002E16">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110" w:name="_Toc296602424"/>
      <w:bookmarkStart w:id="111" w:name="_Toc247085693"/>
      <w:bookmarkStart w:id="112" w:name="_Toc95223340"/>
      <w:bookmarkStart w:id="113" w:name="_Toc179632551"/>
      <w:bookmarkStart w:id="114" w:name="_Toc246996179"/>
      <w:bookmarkStart w:id="115" w:name="_Toc246996922"/>
      <w:bookmarkStart w:id="116" w:name="_Toc506107273"/>
      <w:bookmarkStart w:id="117" w:name="_Toc324404819"/>
      <w:bookmarkStart w:id="118" w:name="_Toc152045534"/>
      <w:bookmarkStart w:id="119" w:name="_Toc217"/>
      <w:bookmarkStart w:id="120" w:name="_Toc60061437"/>
      <w:bookmarkStart w:id="121" w:name="_Toc83301692"/>
      <w:bookmarkStart w:id="122" w:name="_Toc144974502"/>
      <w:bookmarkStart w:id="123" w:name="_Toc152042310"/>
      <w:bookmarkStart w:id="124" w:name="_Toc15058850"/>
      <w:r>
        <w:rPr>
          <w:rFonts w:hint="eastAsia" w:ascii="黑体" w:hAnsi="黑体" w:eastAsia="黑体" w:cs="黑体"/>
          <w:color w:val="auto"/>
          <w:sz w:val="21"/>
          <w:szCs w:val="21"/>
          <w:highlight w:val="none"/>
        </w:rPr>
        <w:t>1.4 投标人资格要求</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733A734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 投标人应具备承担本项目施工的资质条件、能力和信誉。</w:t>
      </w:r>
    </w:p>
    <w:p w14:paraId="640735E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（1）资质条件：见投标人须知前附表；</w:t>
      </w:r>
    </w:p>
    <w:p w14:paraId="73D8379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（2）信誉要求：见投标人须知前附表；</w:t>
      </w:r>
    </w:p>
    <w:p w14:paraId="3DA8883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（3）项目经理（建造师）资格：见投标人须知前附表；</w:t>
      </w:r>
    </w:p>
    <w:p w14:paraId="1A721C7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（4）其他要求：见投标人须知前附表。</w:t>
      </w:r>
    </w:p>
    <w:p w14:paraId="037C56D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1.4.2 投标人须知前附表规定接受联合体投标的，除应符合本章第1.4.1项和投标人须知前附表的要求外，还应遵守以下规定： </w:t>
      </w:r>
    </w:p>
    <w:p w14:paraId="3BA627E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（1）联合体各方应按招标文件提供的格式签订联合体协议书，明确联合体各方权利义务</w:t>
      </w:r>
      <w:r>
        <w:rPr>
          <w:color w:val="auto"/>
          <w:spacing w:val="-3"/>
          <w:highlight w:val="none"/>
        </w:rPr>
        <w:t>，并承诺就中标项目向招标人承担连带责任</w:t>
      </w:r>
      <w:r>
        <w:rPr>
          <w:rFonts w:hint="eastAsia" w:ascii="宋体" w:hAnsi="宋体" w:cs="宋体"/>
          <w:color w:val="auto"/>
          <w:szCs w:val="21"/>
          <w:highlight w:val="none"/>
        </w:rPr>
        <w:t>；</w:t>
      </w:r>
    </w:p>
    <w:p w14:paraId="71D8D9D1">
      <w:pPr>
        <w:adjustRightInd w:val="0"/>
        <w:snapToGrid w:val="0"/>
        <w:spacing w:line="560" w:lineRule="exact"/>
        <w:ind w:firstLine="420" w:firstLineChars="200"/>
        <w:rPr>
          <w:color w:val="auto"/>
          <w:highlight w:val="none"/>
        </w:rPr>
      </w:pPr>
      <w:r>
        <w:rPr>
          <w:rFonts w:hint="eastAsia" w:ascii="宋体" w:hAnsi="宋体" w:cs="宋体"/>
          <w:color w:val="auto"/>
          <w:szCs w:val="21"/>
          <w:highlight w:val="none"/>
        </w:rPr>
        <w:t>（2）联合体各方不得再以自己名义单独或参加其他联合体在同一标段中投标。</w:t>
      </w:r>
    </w:p>
    <w:p w14:paraId="542F96A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1.4.3</w:t>
      </w:r>
      <w:bookmarkStart w:id="125" w:name="_Toc60061438"/>
      <w:bookmarkStart w:id="126" w:name="_Toc179632552"/>
      <w:bookmarkStart w:id="127" w:name="_Toc247085694"/>
      <w:bookmarkStart w:id="128" w:name="_Toc83301693"/>
      <w:bookmarkStart w:id="129" w:name="_Toc324404820"/>
      <w:bookmarkStart w:id="130" w:name="_Toc15058851"/>
      <w:bookmarkStart w:id="131" w:name="_Toc152042311"/>
      <w:bookmarkStart w:id="132" w:name="_Toc95223341"/>
      <w:bookmarkStart w:id="133" w:name="_Toc144974503"/>
      <w:bookmarkStart w:id="134" w:name="_Toc246996923"/>
      <w:bookmarkStart w:id="135" w:name="_Toc246996180"/>
      <w:bookmarkStart w:id="136" w:name="_Toc296602425"/>
      <w:bookmarkStart w:id="137" w:name="_Toc152045535"/>
      <w:bookmarkStart w:id="138" w:name="_Toc506107274"/>
      <w:r>
        <w:rPr>
          <w:rFonts w:hint="eastAsia" w:ascii="宋体" w:hAnsi="宋体" w:cs="宋体"/>
          <w:color w:val="auto"/>
          <w:szCs w:val="21"/>
          <w:highlight w:val="none"/>
        </w:rPr>
        <w:t>投标人（包括联合体各成员）不得与本标段相关单位存在下列关联关系：</w:t>
      </w:r>
    </w:p>
    <w:p w14:paraId="551D24A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（1）为招标人不具有独立法人资格的附属机构（单位）；</w:t>
      </w:r>
    </w:p>
    <w:p w14:paraId="440E893F">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（2）与招标人存在利害关系且可能影响招标公正性；</w:t>
      </w:r>
    </w:p>
    <w:p w14:paraId="5D07881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（3）与本标段的其他投标人同为一个单位负责人；</w:t>
      </w:r>
    </w:p>
    <w:p w14:paraId="71511A1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（4）与本标段的其他投标人存在控股、管理关系；</w:t>
      </w:r>
    </w:p>
    <w:p w14:paraId="11EF61B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（5）为本标段的监理人；</w:t>
      </w:r>
    </w:p>
    <w:p w14:paraId="3A88EC7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（6）为本标段的代建人；</w:t>
      </w:r>
    </w:p>
    <w:p w14:paraId="79216CE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（7）为本标段的招标代理机构；</w:t>
      </w:r>
    </w:p>
    <w:p w14:paraId="649DC62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（8）与本标段的监理人或代建人或招标代理机构同为一个法定代表人；</w:t>
      </w:r>
    </w:p>
    <w:p w14:paraId="460A136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（9）与本标段的监理人或代建人或招标代理机构存在控股或参股关系；</w:t>
      </w:r>
    </w:p>
    <w:p w14:paraId="37A76A0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（10）法律法规或投标人须知前附表规定的其他情形。</w:t>
      </w:r>
    </w:p>
    <w:p w14:paraId="18911309">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139" w:name="_Toc2142"/>
      <w:r>
        <w:rPr>
          <w:rFonts w:hint="eastAsia" w:ascii="黑体" w:hAnsi="黑体" w:eastAsia="黑体" w:cs="黑体"/>
          <w:color w:val="auto"/>
          <w:sz w:val="21"/>
          <w:szCs w:val="21"/>
          <w:highlight w:val="none"/>
        </w:rPr>
        <w:t>1.5 费用承担</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7B18E2B">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43382E2C">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140" w:name="_Toc506107275"/>
      <w:bookmarkStart w:id="141" w:name="_Toc296602426"/>
      <w:bookmarkStart w:id="142" w:name="_Toc152042312"/>
      <w:bookmarkStart w:id="143" w:name="_Toc15058852"/>
      <w:bookmarkStart w:id="144" w:name="_Toc95223342"/>
      <w:bookmarkStart w:id="145" w:name="_Toc246996181"/>
      <w:bookmarkStart w:id="146" w:name="_Toc247085695"/>
      <w:bookmarkStart w:id="147" w:name="_Toc152045536"/>
      <w:bookmarkStart w:id="148" w:name="_Toc60061439"/>
      <w:bookmarkStart w:id="149" w:name="_Toc83301694"/>
      <w:bookmarkStart w:id="150" w:name="_Toc11295"/>
      <w:bookmarkStart w:id="151" w:name="_Toc179632553"/>
      <w:bookmarkStart w:id="152" w:name="_Toc324404821"/>
      <w:bookmarkStart w:id="153" w:name="_Toc246996924"/>
      <w:bookmarkStart w:id="154" w:name="_Toc144974504"/>
      <w:r>
        <w:rPr>
          <w:rFonts w:hint="eastAsia" w:ascii="黑体" w:hAnsi="黑体" w:eastAsia="黑体" w:cs="黑体"/>
          <w:color w:val="auto"/>
          <w:sz w:val="21"/>
          <w:szCs w:val="21"/>
          <w:highlight w:val="none"/>
        </w:rPr>
        <w:t>1.6 保密</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3A4DD2B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参与招标投标活动的各方应对招标文件和投标文件中的商业和技术等秘密保密，违者应对由此造成的后果承担法律责任。 </w:t>
      </w:r>
    </w:p>
    <w:p w14:paraId="6284B423">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155" w:name="_Toc144974505"/>
      <w:bookmarkStart w:id="156" w:name="_Toc246996182"/>
      <w:bookmarkStart w:id="157" w:name="_Toc324404822"/>
      <w:bookmarkStart w:id="158" w:name="_Toc8282"/>
      <w:bookmarkStart w:id="159" w:name="_Toc15058853"/>
      <w:bookmarkStart w:id="160" w:name="_Toc95223343"/>
      <w:bookmarkStart w:id="161" w:name="_Toc152045537"/>
      <w:bookmarkStart w:id="162" w:name="_Toc83301695"/>
      <w:bookmarkStart w:id="163" w:name="_Toc247085696"/>
      <w:bookmarkStart w:id="164" w:name="_Toc179632554"/>
      <w:bookmarkStart w:id="165" w:name="_Toc60061440"/>
      <w:bookmarkStart w:id="166" w:name="_Toc506107276"/>
      <w:bookmarkStart w:id="167" w:name="_Toc152042313"/>
      <w:bookmarkStart w:id="168" w:name="_Toc246996925"/>
      <w:bookmarkStart w:id="169" w:name="_Toc296602427"/>
      <w:r>
        <w:rPr>
          <w:rFonts w:hint="eastAsia" w:ascii="黑体" w:hAnsi="黑体" w:eastAsia="黑体" w:cs="黑体"/>
          <w:color w:val="auto"/>
          <w:sz w:val="21"/>
          <w:szCs w:val="21"/>
          <w:highlight w:val="none"/>
        </w:rPr>
        <w:t>1.7 语言</w:t>
      </w:r>
      <w:bookmarkEnd w:id="155"/>
      <w:r>
        <w:rPr>
          <w:rFonts w:hint="eastAsia" w:ascii="黑体" w:hAnsi="黑体" w:eastAsia="黑体" w:cs="黑体"/>
          <w:color w:val="auto"/>
          <w:sz w:val="21"/>
          <w:szCs w:val="21"/>
          <w:highlight w:val="none"/>
        </w:rPr>
        <w:t>文字</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31B86314">
      <w:pPr>
        <w:adjustRightInd w:val="0"/>
        <w:snapToGrid w:val="0"/>
        <w:spacing w:line="560" w:lineRule="exact"/>
        <w:ind w:firstLine="420" w:firstLineChars="200"/>
        <w:rPr>
          <w:rFonts w:ascii="宋体" w:hAnsi="宋体" w:cs="宋体"/>
          <w:color w:val="auto"/>
          <w:szCs w:val="21"/>
          <w:highlight w:val="none"/>
        </w:rPr>
      </w:pPr>
      <w:bookmarkStart w:id="170" w:name="_Toc246996926"/>
      <w:bookmarkStart w:id="171" w:name="_Toc247085697"/>
      <w:bookmarkStart w:id="172" w:name="_Toc152045538"/>
      <w:bookmarkStart w:id="173" w:name="_Toc179632555"/>
      <w:bookmarkStart w:id="174" w:name="_Toc144974506"/>
      <w:bookmarkStart w:id="175" w:name="_Toc152042314"/>
      <w:bookmarkStart w:id="176" w:name="_Toc246996183"/>
      <w:r>
        <w:rPr>
          <w:rFonts w:hint="eastAsia" w:ascii="宋体" w:hAnsi="宋体" w:cs="宋体"/>
          <w:color w:val="auto"/>
          <w:szCs w:val="21"/>
          <w:highlight w:val="none"/>
        </w:rPr>
        <w:t>招标投标文件使用的语言文字为中文。专用术语使用外文的，应附有中文注释。</w:t>
      </w:r>
    </w:p>
    <w:p w14:paraId="5A9A507A">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177" w:name="_Toc60061441"/>
      <w:bookmarkStart w:id="178" w:name="_Toc95223344"/>
      <w:bookmarkStart w:id="179" w:name="_Toc296602428"/>
      <w:bookmarkStart w:id="180" w:name="_Toc15058854"/>
      <w:bookmarkStart w:id="181" w:name="_Toc324404823"/>
      <w:bookmarkStart w:id="182" w:name="_Toc506107277"/>
      <w:bookmarkStart w:id="183" w:name="_Toc83301696"/>
      <w:bookmarkStart w:id="184" w:name="_Toc14818"/>
      <w:r>
        <w:rPr>
          <w:rFonts w:hint="eastAsia" w:ascii="黑体" w:hAnsi="黑体" w:eastAsia="黑体" w:cs="黑体"/>
          <w:color w:val="auto"/>
          <w:sz w:val="21"/>
          <w:szCs w:val="21"/>
          <w:highlight w:val="none"/>
        </w:rPr>
        <w:t>1.8 计量单位</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85F125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22774468">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185" w:name="_Toc144974507"/>
      <w:bookmarkStart w:id="186" w:name="_Toc247592876"/>
      <w:bookmarkStart w:id="187" w:name="_Toc506107278"/>
      <w:bookmarkStart w:id="188" w:name="_Toc247513962"/>
      <w:bookmarkStart w:id="189" w:name="_Toc95223345"/>
      <w:bookmarkStart w:id="190" w:name="_Toc83301697"/>
      <w:bookmarkStart w:id="191" w:name="_Toc296602429"/>
      <w:bookmarkStart w:id="192" w:name="_Toc247527563"/>
      <w:bookmarkStart w:id="193" w:name="_Toc152045539"/>
      <w:bookmarkStart w:id="194" w:name="_Toc15058855"/>
      <w:bookmarkStart w:id="195" w:name="_Toc3217"/>
      <w:bookmarkStart w:id="196" w:name="_Toc152042315"/>
      <w:bookmarkStart w:id="197" w:name="_Toc60061442"/>
      <w:bookmarkStart w:id="198" w:name="_Toc324404824"/>
      <w:r>
        <w:rPr>
          <w:rFonts w:hint="eastAsia" w:ascii="黑体" w:hAnsi="黑体" w:eastAsia="黑体" w:cs="黑体"/>
          <w:color w:val="auto"/>
          <w:sz w:val="21"/>
          <w:szCs w:val="21"/>
          <w:highlight w:val="none"/>
        </w:rPr>
        <w:t>1.9 踏勘现场</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D716FA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1.9.1前附表规定组织踏勘现场的，招标人按投标人须知前附表规定的时间、地点组织投标人踏勘项目现场。</w:t>
      </w:r>
      <w:r>
        <w:rPr>
          <w:color w:val="auto"/>
          <w:spacing w:val="-7"/>
          <w:highlight w:val="none"/>
        </w:rPr>
        <w:t>部分投标人未按时参加踏勘现场的，不影响踏勘现场的正常进行。招标</w:t>
      </w:r>
      <w:r>
        <w:rPr>
          <w:color w:val="auto"/>
          <w:spacing w:val="-5"/>
          <w:highlight w:val="none"/>
        </w:rPr>
        <w:t>人不得组织单个或部分投标人踏勘项目现场。</w:t>
      </w:r>
      <w:r>
        <w:rPr>
          <w:rFonts w:hint="eastAsia" w:ascii="宋体" w:hAnsi="宋体" w:cs="宋体"/>
          <w:color w:val="auto"/>
          <w:szCs w:val="21"/>
          <w:highlight w:val="none"/>
        </w:rPr>
        <w:t xml:space="preserve"> </w:t>
      </w:r>
    </w:p>
    <w:p w14:paraId="294AABF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 投标人踏勘现场发生的费用自理。</w:t>
      </w:r>
    </w:p>
    <w:p w14:paraId="2985FDB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 除招标人的原因外，投标人自行负责在踏勘现场中所发生的人员伤亡和财产损失。</w:t>
      </w:r>
    </w:p>
    <w:p w14:paraId="39249C1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 招标人在踏勘现场中介绍的工程场地和相关的周边环境情况，供投标人在编制投标文件时参考，招标人不对投标人据此作出的判断和决策负责。</w:t>
      </w:r>
      <w:bookmarkStart w:id="199" w:name="_Toc152042316"/>
      <w:bookmarkStart w:id="200" w:name="_Toc152045540"/>
      <w:bookmarkStart w:id="201" w:name="_Toc247592877"/>
      <w:bookmarkStart w:id="202" w:name="_Toc60061443"/>
      <w:bookmarkStart w:id="203" w:name="_Toc15058856"/>
      <w:bookmarkStart w:id="204" w:name="_Toc506107279"/>
      <w:bookmarkStart w:id="205" w:name="_Toc296602430"/>
      <w:bookmarkStart w:id="206" w:name="_Toc247527564"/>
      <w:bookmarkStart w:id="207" w:name="_Toc324404825"/>
      <w:bookmarkStart w:id="208" w:name="_Toc247513963"/>
      <w:bookmarkStart w:id="209" w:name="_Toc144974508"/>
    </w:p>
    <w:p w14:paraId="422314B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1.9.5无论投标人是否到施工现场实地踏勘，中标后签订合同时和履约过程中，投标人不得以不完全了解现场情况或现场情况与招标文件描述不一致等为由，提出任何形式的增加工程造价或索赔的要求。</w:t>
      </w:r>
    </w:p>
    <w:p w14:paraId="51863FAA">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210" w:name="_Toc95223346"/>
      <w:bookmarkStart w:id="211" w:name="_Toc28891"/>
      <w:bookmarkStart w:id="212" w:name="_Toc83301698"/>
      <w:r>
        <w:rPr>
          <w:rFonts w:hint="eastAsia" w:ascii="黑体" w:hAnsi="黑体" w:eastAsia="黑体" w:cs="黑体"/>
          <w:color w:val="auto"/>
          <w:sz w:val="21"/>
          <w:szCs w:val="21"/>
          <w:highlight w:val="none"/>
        </w:rPr>
        <w:t>1.10 投标预备会</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79CC04E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1.10.1投标人须知前附表规定召开投标预备会的，招标人按投标人须知前附表规定的时间和地点召开投标预备会，澄清投标人提出的问题。</w:t>
      </w:r>
    </w:p>
    <w:p w14:paraId="68C8FDF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1.10.2投标人应在投标人须知前附表规定的时间前，将提出的问题送达招标人，以便招标人澄清。</w:t>
      </w:r>
    </w:p>
    <w:p w14:paraId="69F9DDA6">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213" w:name="_Toc324404826"/>
      <w:bookmarkStart w:id="214" w:name="_Toc15058857"/>
      <w:bookmarkStart w:id="215" w:name="_Toc296602431"/>
      <w:bookmarkStart w:id="216" w:name="_Toc506107280"/>
      <w:bookmarkStart w:id="217" w:name="_Toc95223347"/>
      <w:bookmarkStart w:id="218" w:name="_Toc83301699"/>
      <w:bookmarkStart w:id="219" w:name="_Toc16492"/>
      <w:bookmarkStart w:id="220" w:name="_Toc60061444"/>
      <w:r>
        <w:rPr>
          <w:rFonts w:hint="eastAsia" w:ascii="黑体" w:hAnsi="黑体" w:eastAsia="黑体" w:cs="黑体"/>
          <w:color w:val="auto"/>
          <w:sz w:val="21"/>
          <w:szCs w:val="21"/>
          <w:highlight w:val="none"/>
        </w:rPr>
        <w:t xml:space="preserve">1.11 </w:t>
      </w:r>
      <w:bookmarkEnd w:id="213"/>
      <w:bookmarkEnd w:id="214"/>
      <w:bookmarkEnd w:id="215"/>
      <w:bookmarkEnd w:id="216"/>
      <w:r>
        <w:rPr>
          <w:rFonts w:hint="eastAsia" w:ascii="黑体" w:hAnsi="黑体" w:eastAsia="黑体" w:cs="黑体"/>
          <w:color w:val="auto"/>
          <w:sz w:val="21"/>
          <w:szCs w:val="21"/>
          <w:highlight w:val="none"/>
        </w:rPr>
        <w:t>分包</w:t>
      </w:r>
      <w:bookmarkEnd w:id="217"/>
      <w:bookmarkEnd w:id="218"/>
      <w:bookmarkEnd w:id="219"/>
      <w:bookmarkEnd w:id="220"/>
    </w:p>
    <w:p w14:paraId="09E2E04F">
      <w:pPr>
        <w:adjustRightInd w:val="0"/>
        <w:snapToGrid w:val="0"/>
        <w:spacing w:line="600" w:lineRule="exact"/>
        <w:ind w:firstLine="54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1.11.1 投标人拟在中标后将中标项目的部分非主体、非关键性工作进行分包的，应符合以下规定：</w:t>
      </w:r>
    </w:p>
    <w:p w14:paraId="2644ED74">
      <w:pPr>
        <w:tabs>
          <w:tab w:val="left" w:pos="1014"/>
        </w:tabs>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（1）分包内容要求：招标人允许分包或不允许分包的专业工程（如有）应在投标人须知前附表中载明；</w:t>
      </w:r>
    </w:p>
    <w:p w14:paraId="72488D47">
      <w:pPr>
        <w:tabs>
          <w:tab w:val="left" w:pos="1014"/>
        </w:tabs>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（2）接受分包的第三人资格要求：分包人的资格能力应与其分包工程的标准和规模相适应，且具备投标人须知前附表中规定的资格条件；</w:t>
      </w:r>
    </w:p>
    <w:p w14:paraId="35EA3738">
      <w:pPr>
        <w:tabs>
          <w:tab w:val="left" w:pos="1030"/>
        </w:tabs>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（3）其他要求：投标人如有分包计划，应按第九章“投标文件格式”的要求填写“拟分包项目情况表”，明确拟分包的工程及规模，且投标人中标后的分包应满足合同条款的相关要求。</w:t>
      </w:r>
    </w:p>
    <w:p w14:paraId="28442AAA">
      <w:pPr>
        <w:pStyle w:val="18"/>
        <w:adjustRightInd w:val="0"/>
        <w:snapToGrid w:val="0"/>
        <w:spacing w:line="560" w:lineRule="exact"/>
        <w:ind w:left="0" w:leftChars="0" w:firstLine="0" w:firstLineChars="0"/>
        <w:rPr>
          <w:rFonts w:ascii="宋体" w:hAnsi="宋体" w:cs="宋体"/>
          <w:color w:val="auto"/>
          <w:szCs w:val="21"/>
          <w:highlight w:val="none"/>
        </w:rPr>
      </w:pPr>
      <w:r>
        <w:rPr>
          <w:rFonts w:hint="eastAsia" w:ascii="宋体" w:hAnsi="宋体" w:cs="宋体"/>
          <w:color w:val="auto"/>
          <w:szCs w:val="21"/>
          <w:highlight w:val="none"/>
        </w:rPr>
        <w:t xml:space="preserve">   1.11.2中标人不得向他人转让中标项目，接受分包的人不得再次分包。中标人应就分包项目</w:t>
      </w:r>
    </w:p>
    <w:p w14:paraId="02B178B0">
      <w:pPr>
        <w:pStyle w:val="18"/>
        <w:adjustRightInd w:val="0"/>
        <w:snapToGrid w:val="0"/>
        <w:spacing w:line="560" w:lineRule="exact"/>
        <w:ind w:left="0" w:leftChars="0" w:firstLine="0" w:firstLineChars="0"/>
        <w:rPr>
          <w:color w:val="auto"/>
          <w:highlight w:val="none"/>
        </w:rPr>
      </w:pPr>
      <w:r>
        <w:rPr>
          <w:rFonts w:hint="eastAsia" w:ascii="宋体" w:hAnsi="宋体" w:cs="宋体"/>
          <w:color w:val="auto"/>
          <w:szCs w:val="21"/>
          <w:highlight w:val="none"/>
        </w:rPr>
        <w:t>向招标人负责，接受分包的人就分包项目承担连带责任。</w:t>
      </w:r>
    </w:p>
    <w:p w14:paraId="4B4B380F">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221" w:name="_Toc60061445"/>
      <w:bookmarkStart w:id="222" w:name="_Toc83301700"/>
      <w:bookmarkStart w:id="223" w:name="_Toc95223348"/>
      <w:bookmarkStart w:id="224" w:name="_Toc26652"/>
      <w:r>
        <w:rPr>
          <w:rFonts w:hint="eastAsia" w:ascii="黑体" w:hAnsi="黑体" w:eastAsia="黑体" w:cs="黑体"/>
          <w:color w:val="auto"/>
          <w:sz w:val="21"/>
          <w:szCs w:val="21"/>
          <w:highlight w:val="none"/>
        </w:rPr>
        <w:t>1.12 偏离</w:t>
      </w:r>
      <w:bookmarkEnd w:id="221"/>
      <w:bookmarkEnd w:id="222"/>
      <w:bookmarkEnd w:id="223"/>
      <w:bookmarkEnd w:id="224"/>
    </w:p>
    <w:p w14:paraId="4A68F640">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1.12.1投标文件偏离招标文件某些要求，视为投标文件存在偏差。偏差包括重大偏差和细微偏差。</w:t>
      </w:r>
    </w:p>
    <w:p w14:paraId="2812140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1.12.2投标文件应对招标文件的实质性要求和条件作出满足性或更有利于招标人的响应，否则，视为投标文件存在重大偏差，投标人的投标将被否决。</w:t>
      </w:r>
    </w:p>
    <w:p w14:paraId="50459AC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投标文件存在第四章“评标办法”中所列任一无效投标情形的，均属于存在重大偏差。</w:t>
      </w:r>
    </w:p>
    <w:p w14:paraId="0781ED7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1.12.3投标文件中的下列偏差为细微偏差：</w:t>
      </w:r>
    </w:p>
    <w:p w14:paraId="5F18BBA5">
      <w:pPr>
        <w:tabs>
          <w:tab w:val="left" w:pos="1014"/>
        </w:tabs>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79476C46">
      <w:pPr>
        <w:tabs>
          <w:tab w:val="left" w:pos="1014"/>
        </w:tabs>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（2）投标文件个别文字有遗漏错误等不影响投标文件实质性内容的偏差。</w:t>
      </w:r>
    </w:p>
    <w:p w14:paraId="376452C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1.12.4评标委员会对投标文件中的细微偏差按如下规定处理：</w:t>
      </w:r>
    </w:p>
    <w:p w14:paraId="384F4D0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对于本章第 1.12.3 项（1）目所述的细微偏差，按照第四章“评标办法”的规定予以修正并要求投标人进行澄清；</w:t>
      </w:r>
    </w:p>
    <w:p w14:paraId="50A66EF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对于本章第 1.12.3 项（2）目所述的细微偏差，可要求投标人对细微偏差进行澄清。</w:t>
      </w:r>
    </w:p>
    <w:p w14:paraId="7212ED05">
      <w:pPr>
        <w:adjustRightInd w:val="0"/>
        <w:snapToGrid w:val="0"/>
        <w:spacing w:line="560" w:lineRule="exact"/>
        <w:jc w:val="left"/>
        <w:rPr>
          <w:color w:val="auto"/>
          <w:highlight w:val="none"/>
        </w:rPr>
        <w:sectPr>
          <w:pgSz w:w="11910" w:h="16850"/>
          <w:pgMar w:top="1520" w:right="660" w:bottom="1100" w:left="1120" w:header="0" w:footer="746" w:gutter="0"/>
          <w:cols w:space="720" w:num="1"/>
        </w:sectPr>
      </w:pPr>
    </w:p>
    <w:p w14:paraId="237A30A2">
      <w:pPr>
        <w:pStyle w:val="3"/>
        <w:adjustRightInd w:val="0"/>
        <w:snapToGrid w:val="0"/>
        <w:spacing w:line="560" w:lineRule="exact"/>
        <w:ind w:firstLine="422" w:firstLineChars="200"/>
        <w:rPr>
          <w:rFonts w:ascii="黑体" w:hAnsi="黑体" w:cs="黑体"/>
          <w:color w:val="auto"/>
          <w:sz w:val="21"/>
          <w:szCs w:val="21"/>
          <w:highlight w:val="none"/>
        </w:rPr>
      </w:pPr>
      <w:bookmarkStart w:id="225" w:name="_Toc60061446"/>
      <w:bookmarkStart w:id="226" w:name="_Toc152045542"/>
      <w:bookmarkStart w:id="227" w:name="_Toc246996187"/>
      <w:bookmarkStart w:id="228" w:name="_Toc19157"/>
      <w:bookmarkStart w:id="229" w:name="_Toc324404827"/>
      <w:bookmarkStart w:id="230" w:name="_Toc179632560"/>
      <w:bookmarkStart w:id="231" w:name="_Toc247085701"/>
      <w:bookmarkStart w:id="232" w:name="_Toc83301701"/>
      <w:bookmarkStart w:id="233" w:name="_Toc152042318"/>
      <w:bookmarkStart w:id="234" w:name="_Toc506107281"/>
      <w:bookmarkStart w:id="235" w:name="_Toc144974510"/>
      <w:bookmarkStart w:id="236" w:name="_Toc15058858"/>
      <w:bookmarkStart w:id="237" w:name="_Toc95223349"/>
      <w:bookmarkStart w:id="238" w:name="_Toc246996930"/>
      <w:r>
        <w:rPr>
          <w:rFonts w:hint="eastAsia" w:ascii="黑体" w:hAnsi="黑体" w:cs="黑体"/>
          <w:color w:val="auto"/>
          <w:sz w:val="21"/>
          <w:szCs w:val="21"/>
          <w:highlight w:val="none"/>
        </w:rPr>
        <w:t>2. 招标文件</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6C079494">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239" w:name="_Toc152045543"/>
      <w:bookmarkStart w:id="240" w:name="_Toc60061447"/>
      <w:bookmarkStart w:id="241" w:name="_Toc246996188"/>
      <w:bookmarkStart w:id="242" w:name="_Toc83301702"/>
      <w:bookmarkStart w:id="243" w:name="_Toc15058859"/>
      <w:bookmarkStart w:id="244" w:name="_Toc152042319"/>
      <w:bookmarkStart w:id="245" w:name="_Toc296602433"/>
      <w:bookmarkStart w:id="246" w:name="_Toc324404828"/>
      <w:bookmarkStart w:id="247" w:name="_Toc506107282"/>
      <w:bookmarkStart w:id="248" w:name="_Toc32384"/>
      <w:bookmarkStart w:id="249" w:name="_Toc144974511"/>
      <w:bookmarkStart w:id="250" w:name="_Toc247085702"/>
      <w:bookmarkStart w:id="251" w:name="_Toc95223350"/>
      <w:bookmarkStart w:id="252" w:name="_Toc179632561"/>
      <w:bookmarkStart w:id="253" w:name="_Toc246996931"/>
      <w:r>
        <w:rPr>
          <w:rFonts w:hint="eastAsia" w:ascii="黑体" w:hAnsi="黑体" w:eastAsia="黑体" w:cs="黑体"/>
          <w:color w:val="auto"/>
          <w:sz w:val="21"/>
          <w:szCs w:val="21"/>
          <w:highlight w:val="none"/>
        </w:rPr>
        <w:t>2.1 招标文件的组成</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286367E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 本招标文件包括：</w:t>
      </w:r>
    </w:p>
    <w:p w14:paraId="5D6CDF6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（1）招标公告；</w:t>
      </w:r>
    </w:p>
    <w:p w14:paraId="460398F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（2）投标人须知；</w:t>
      </w:r>
    </w:p>
    <w:p w14:paraId="7564909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（3）资格审查办法</w:t>
      </w:r>
    </w:p>
    <w:p w14:paraId="379383B0">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（4）评标办法；</w:t>
      </w:r>
    </w:p>
    <w:p w14:paraId="7E9789D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（5）合同条款及格式；</w:t>
      </w:r>
    </w:p>
    <w:p w14:paraId="7B8F6D4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（6）工程量清单； </w:t>
      </w:r>
    </w:p>
    <w:p w14:paraId="21D995C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（7）图纸；</w:t>
      </w:r>
    </w:p>
    <w:p w14:paraId="1A7003A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（8）技术标准和要求； </w:t>
      </w:r>
    </w:p>
    <w:p w14:paraId="0FD6B74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（9）投标文件格式；</w:t>
      </w:r>
    </w:p>
    <w:p w14:paraId="263D998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（10）投标人须知前附表规定的其他材料。</w:t>
      </w:r>
    </w:p>
    <w:p w14:paraId="0CC083E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2.1.2 根据本章第1.10款、第2.2款和第2.3款对招标文件所作的澄清、修改，构成招标文件的组成部分。</w:t>
      </w:r>
    </w:p>
    <w:p w14:paraId="544CF19A">
      <w:pPr>
        <w:pStyle w:val="8"/>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2.1.3当招标文件、招标文件的澄清或修改等在同一内容的表述上不一致时，以最后发出的文件为准。</w:t>
      </w:r>
    </w:p>
    <w:p w14:paraId="7F4ECBE7">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254" w:name="_Toc21610"/>
      <w:bookmarkStart w:id="255" w:name="_Toc246996932"/>
      <w:bookmarkStart w:id="256" w:name="_Toc152045544"/>
      <w:bookmarkStart w:id="257" w:name="_Toc83301703"/>
      <w:bookmarkStart w:id="258" w:name="_Toc95223351"/>
      <w:bookmarkStart w:id="259" w:name="_Toc152042320"/>
      <w:bookmarkStart w:id="260" w:name="_Toc144974512"/>
      <w:bookmarkStart w:id="261" w:name="_Toc246996189"/>
      <w:bookmarkStart w:id="262" w:name="_Toc179632562"/>
      <w:bookmarkStart w:id="263" w:name="_Toc324404829"/>
      <w:bookmarkStart w:id="264" w:name="_Toc60061448"/>
      <w:bookmarkStart w:id="265" w:name="_Toc15058860"/>
      <w:bookmarkStart w:id="266" w:name="_Toc506107283"/>
      <w:bookmarkStart w:id="267" w:name="_Toc247085703"/>
      <w:bookmarkStart w:id="268" w:name="_Toc296602434"/>
      <w:bookmarkStart w:id="269" w:name="_Toc83301706"/>
      <w:bookmarkStart w:id="270" w:name="_Toc324404832"/>
      <w:bookmarkStart w:id="271" w:name="_Toc506107285"/>
      <w:bookmarkStart w:id="272" w:name="_Toc247085705"/>
      <w:bookmarkStart w:id="273" w:name="_Toc152045546"/>
      <w:bookmarkStart w:id="274" w:name="_Toc15058863"/>
      <w:bookmarkStart w:id="275" w:name="_Toc152042322"/>
      <w:bookmarkStart w:id="276" w:name="_Toc144974514"/>
      <w:bookmarkStart w:id="277" w:name="_Toc246996191"/>
      <w:bookmarkStart w:id="278" w:name="_Toc60061451"/>
      <w:bookmarkStart w:id="279" w:name="_Toc246996934"/>
      <w:bookmarkStart w:id="280" w:name="_Toc179632564"/>
      <w:bookmarkStart w:id="281" w:name="_Toc95223354"/>
      <w:r>
        <w:rPr>
          <w:rFonts w:hint="eastAsia" w:ascii="黑体" w:hAnsi="黑体" w:eastAsia="黑体" w:cs="黑体"/>
          <w:color w:val="auto"/>
          <w:sz w:val="21"/>
          <w:szCs w:val="21"/>
          <w:highlight w:val="none"/>
        </w:rPr>
        <w:t>2.2招标文件的异议</w:t>
      </w:r>
      <w:bookmarkEnd w:id="254"/>
    </w:p>
    <w:p w14:paraId="4D36E432">
      <w:pPr>
        <w:pStyle w:val="18"/>
        <w:adjustRightInd w:val="0"/>
        <w:snapToGrid w:val="0"/>
        <w:spacing w:line="560" w:lineRule="exact"/>
        <w:ind w:left="0" w:leftChars="0" w:firstLine="0" w:firstLineChars="0"/>
        <w:rPr>
          <w:color w:val="auto"/>
          <w:highlight w:val="none"/>
        </w:rPr>
      </w:pPr>
      <w:r>
        <w:rPr>
          <w:rFonts w:hint="eastAsia"/>
          <w:color w:val="auto"/>
          <w:highlight w:val="none"/>
        </w:rPr>
        <w:t xml:space="preserve"> </w:t>
      </w:r>
      <w:r>
        <w:rPr>
          <w:rFonts w:hint="eastAsia" w:ascii="宋体" w:hAnsi="宋体" w:cs="宋体"/>
          <w:color w:val="auto"/>
          <w:szCs w:val="21"/>
          <w:highlight w:val="none"/>
        </w:rPr>
        <w:t xml:space="preserve">  </w:t>
      </w:r>
      <w:r>
        <w:rPr>
          <w:rFonts w:hint="eastAsia"/>
          <w:color w:val="auto"/>
          <w:highlight w:val="none"/>
        </w:rPr>
        <w:t>投标人或其他利害关系人投标人应仔细阅读和检查招标文件的全部内容，对招标文件有异议的，应在投标截止时间 10 日前</w:t>
      </w:r>
      <w:r>
        <w:rPr>
          <w:rFonts w:hint="eastAsia" w:ascii="宋体" w:hAnsi="宋体" w:cs="宋体"/>
          <w:color w:val="auto"/>
          <w:szCs w:val="21"/>
          <w:highlight w:val="none"/>
        </w:rPr>
        <w:t>以投标人须知前附表规定的网上留言或书面形式</w:t>
      </w:r>
      <w:r>
        <w:rPr>
          <w:rFonts w:hint="eastAsia"/>
          <w:color w:val="auto"/>
          <w:highlight w:val="none"/>
        </w:rPr>
        <w:t>提出。招标人将在收到异议之日起 3 日内作出答复；作出答复前，将暂停招标投标活动。</w:t>
      </w:r>
    </w:p>
    <w:p w14:paraId="14A2D6E0">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282" w:name="_Toc12949"/>
      <w:r>
        <w:rPr>
          <w:rFonts w:ascii="黑体" w:hAnsi="黑体" w:eastAsia="黑体" w:cs="黑体"/>
          <w:color w:val="auto"/>
          <w:sz w:val="21"/>
          <w:szCs w:val="21"/>
          <w:highlight w:val="none"/>
        </w:rPr>
        <w:t>2.3</w:t>
      </w:r>
      <w:r>
        <w:rPr>
          <w:rFonts w:hint="eastAsia" w:ascii="黑体" w:hAnsi="黑体" w:eastAsia="黑体" w:cs="黑体"/>
          <w:color w:val="auto"/>
          <w:sz w:val="21"/>
          <w:szCs w:val="21"/>
          <w:highlight w:val="none"/>
        </w:rPr>
        <w:t>招标文件的澄清</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82"/>
      <w:r>
        <w:rPr>
          <w:rFonts w:hint="eastAsia" w:ascii="黑体" w:hAnsi="黑体" w:eastAsia="黑体" w:cs="黑体"/>
          <w:color w:val="auto"/>
          <w:sz w:val="21"/>
          <w:szCs w:val="21"/>
          <w:highlight w:val="none"/>
        </w:rPr>
        <w:t xml:space="preserve"> </w:t>
      </w:r>
    </w:p>
    <w:p w14:paraId="5A04993E">
      <w:pPr>
        <w:adjustRightInd w:val="0"/>
        <w:snapToGrid w:val="0"/>
        <w:spacing w:line="560" w:lineRule="exact"/>
        <w:ind w:firstLine="420" w:firstLineChars="200"/>
        <w:rPr>
          <w:color w:val="auto"/>
          <w:highlight w:val="none"/>
        </w:rPr>
      </w:pPr>
      <w:r>
        <w:rPr>
          <w:rFonts w:hint="eastAsia" w:ascii="宋体" w:hAnsi="宋体" w:cs="宋体"/>
          <w:color w:val="auto"/>
          <w:szCs w:val="21"/>
          <w:highlight w:val="none"/>
        </w:rPr>
        <w:t>招标人可以澄清招标文件，并以投标人须知前附表规定澄清的方式在滁州市公共资源交易中心网站发布。但如果修改招标文件的时间距投标截止时间不足15天，并且修改内容影响投标文件编制的，将相应延长投标截止时间。</w:t>
      </w:r>
    </w:p>
    <w:p w14:paraId="120A6F94">
      <w:pPr>
        <w:pStyle w:val="3"/>
        <w:adjustRightInd w:val="0"/>
        <w:snapToGrid w:val="0"/>
        <w:spacing w:line="560" w:lineRule="exact"/>
        <w:ind w:firstLine="422" w:firstLineChars="200"/>
        <w:rPr>
          <w:rFonts w:ascii="黑体" w:hAnsi="黑体" w:cs="黑体"/>
          <w:color w:val="auto"/>
          <w:sz w:val="21"/>
          <w:szCs w:val="21"/>
          <w:highlight w:val="none"/>
        </w:rPr>
      </w:pPr>
      <w:bookmarkStart w:id="283" w:name="_Toc8265"/>
      <w:r>
        <w:rPr>
          <w:rFonts w:hint="eastAsia" w:ascii="黑体" w:hAnsi="黑体" w:cs="黑体"/>
          <w:color w:val="auto"/>
          <w:sz w:val="21"/>
          <w:szCs w:val="21"/>
          <w:highlight w:val="none"/>
        </w:rPr>
        <w:t>3. 投标文件</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3"/>
    </w:p>
    <w:p w14:paraId="54C4DB4F">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284" w:name="_Toc246996192"/>
      <w:bookmarkStart w:id="285" w:name="_Toc247085706"/>
      <w:bookmarkStart w:id="286" w:name="_Toc324404833"/>
      <w:bookmarkStart w:id="287" w:name="_Toc144974515"/>
      <w:bookmarkStart w:id="288" w:name="_Toc296602437"/>
      <w:bookmarkStart w:id="289" w:name="_Toc60061452"/>
      <w:bookmarkStart w:id="290" w:name="_Toc152042323"/>
      <w:bookmarkStart w:id="291" w:name="_Toc179632565"/>
      <w:bookmarkStart w:id="292" w:name="_Toc246996935"/>
      <w:bookmarkStart w:id="293" w:name="_Toc15058864"/>
      <w:bookmarkStart w:id="294" w:name="_Toc83301707"/>
      <w:bookmarkStart w:id="295" w:name="_Toc506107286"/>
      <w:bookmarkStart w:id="296" w:name="_Toc95223355"/>
      <w:bookmarkStart w:id="297" w:name="_Toc152045547"/>
      <w:bookmarkStart w:id="298" w:name="_Toc1730"/>
      <w:r>
        <w:rPr>
          <w:rFonts w:hint="eastAsia" w:ascii="黑体" w:hAnsi="黑体" w:eastAsia="黑体" w:cs="黑体"/>
          <w:color w:val="auto"/>
          <w:sz w:val="21"/>
          <w:szCs w:val="21"/>
          <w:highlight w:val="none"/>
        </w:rPr>
        <w:t>3.1 投标文件的组成</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00BB9206">
      <w:pPr>
        <w:adjustRightInd w:val="0"/>
        <w:snapToGrid w:val="0"/>
        <w:spacing w:line="560" w:lineRule="exact"/>
        <w:ind w:firstLine="420" w:firstLineChars="200"/>
        <w:rPr>
          <w:rFonts w:ascii="宋体" w:hAnsi="宋体" w:cs="宋体"/>
          <w:color w:val="auto"/>
          <w:szCs w:val="21"/>
          <w:highlight w:val="none"/>
        </w:rPr>
      </w:pPr>
      <w:bookmarkStart w:id="299" w:name="_Toc95223356"/>
      <w:bookmarkStart w:id="300" w:name="_Toc144974516"/>
      <w:bookmarkStart w:id="301" w:name="_Toc246996193"/>
      <w:bookmarkStart w:id="302" w:name="_Toc83301708"/>
      <w:bookmarkStart w:id="303" w:name="_Toc246996936"/>
      <w:bookmarkStart w:id="304" w:name="_Toc60061453"/>
      <w:bookmarkStart w:id="305" w:name="_Toc506107287"/>
      <w:bookmarkStart w:id="306" w:name="_Toc15058865"/>
      <w:bookmarkStart w:id="307" w:name="_Toc296602438"/>
      <w:bookmarkStart w:id="308" w:name="_Toc324404834"/>
      <w:bookmarkStart w:id="309" w:name="_Toc247085707"/>
      <w:bookmarkStart w:id="310" w:name="_Toc152045548"/>
      <w:bookmarkStart w:id="311" w:name="_Toc152042324"/>
      <w:bookmarkStart w:id="312" w:name="_Toc179632566"/>
      <w:r>
        <w:rPr>
          <w:rFonts w:hint="eastAsia" w:ascii="宋体" w:hAnsi="宋体" w:cs="宋体"/>
          <w:color w:val="auto"/>
          <w:szCs w:val="21"/>
          <w:highlight w:val="none"/>
        </w:rPr>
        <w:t>3.1.1 投标文件应包括下列内容：</w:t>
      </w:r>
    </w:p>
    <w:p w14:paraId="49EF439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资信证明文件：</w:t>
      </w:r>
    </w:p>
    <w:p w14:paraId="5FF3D0F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（1）投标人基本情况表；</w:t>
      </w:r>
    </w:p>
    <w:p w14:paraId="6BA88A5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（2）近年财务状况表；</w:t>
      </w:r>
    </w:p>
    <w:p w14:paraId="2B460C8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（3）近年完成的类似项目情况表；</w:t>
      </w:r>
    </w:p>
    <w:p w14:paraId="6314B51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（4）正在实施的和新承接的项目情况表；</w:t>
      </w:r>
    </w:p>
    <w:p w14:paraId="09B67D3F">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（5）联合体协议书 （如有）；</w:t>
      </w:r>
    </w:p>
    <w:p w14:paraId="6953E24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（6）项目管理机构；</w:t>
      </w:r>
    </w:p>
    <w:p w14:paraId="4626DE4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（7）其他资格审查资料。</w:t>
      </w:r>
    </w:p>
    <w:p w14:paraId="34AAAED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技术标文件：</w:t>
      </w:r>
    </w:p>
    <w:p w14:paraId="62730C2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（1）施工组织设计；</w:t>
      </w:r>
    </w:p>
    <w:p w14:paraId="6783B95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（2）技术标评审所需其他材料。</w:t>
      </w:r>
    </w:p>
    <w:p w14:paraId="18EE6AA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商务标文件：</w:t>
      </w:r>
    </w:p>
    <w:p w14:paraId="4425C77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（1）投标函；</w:t>
      </w:r>
    </w:p>
    <w:p w14:paraId="2FAAEC9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（2）工程量清单报价书；</w:t>
      </w:r>
    </w:p>
    <w:p w14:paraId="5C71A550">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（3）招标人推荐的材料品牌响应表（如有）；</w:t>
      </w:r>
    </w:p>
    <w:p w14:paraId="7A1FA0C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（4）全国建筑市场监管公共服务平台(四库一平台)企业注册人员网页截图；</w:t>
      </w:r>
    </w:p>
    <w:p w14:paraId="0B01039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（5）商务标评审所需其他材料。</w:t>
      </w:r>
    </w:p>
    <w:p w14:paraId="14398D39">
      <w:pPr>
        <w:adjustRightInd w:val="0"/>
        <w:snapToGrid w:val="0"/>
        <w:spacing w:line="600" w:lineRule="exact"/>
        <w:ind w:firstLine="359" w:firstLineChars="171"/>
        <w:rPr>
          <w:rFonts w:ascii="宋体" w:hAnsi="宋体" w:cs="宋体"/>
          <w:color w:val="auto"/>
          <w:highlight w:val="none"/>
        </w:rPr>
      </w:pPr>
      <w:r>
        <w:rPr>
          <w:rFonts w:hint="eastAsia" w:ascii="宋体" w:hAnsi="宋体" w:cs="宋体"/>
          <w:color w:val="auto"/>
          <w:highlight w:val="none"/>
        </w:rPr>
        <w:t>3.1.2 投标人须知前附表规定不接受联合体投标的，或投标人没有组成联合体的，投标文件不包括本章第3.1.1（5）目所指的联合体协议书。</w:t>
      </w:r>
    </w:p>
    <w:p w14:paraId="19A7D5B8">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313" w:name="_Toc11276"/>
      <w:r>
        <w:rPr>
          <w:rFonts w:hint="eastAsia" w:ascii="黑体" w:hAnsi="黑体" w:eastAsia="黑体" w:cs="黑体"/>
          <w:color w:val="auto"/>
          <w:sz w:val="21"/>
          <w:szCs w:val="21"/>
          <w:highlight w:val="none"/>
        </w:rPr>
        <w:t>3.2 投标报价</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2EC895EA">
      <w:pPr>
        <w:adjustRightInd w:val="0"/>
        <w:snapToGrid w:val="0"/>
        <w:spacing w:line="560" w:lineRule="exact"/>
        <w:ind w:firstLine="420" w:firstLineChars="200"/>
        <w:rPr>
          <w:rFonts w:ascii="宋体" w:hAnsi="宋体" w:cs="宋体"/>
          <w:color w:val="auto"/>
          <w:szCs w:val="21"/>
          <w:highlight w:val="none"/>
        </w:rPr>
      </w:pPr>
      <w:bookmarkStart w:id="314" w:name="_Toc152045549"/>
      <w:bookmarkStart w:id="315" w:name="_Toc296602439"/>
      <w:bookmarkStart w:id="316" w:name="_Toc324404835"/>
      <w:bookmarkStart w:id="317" w:name="_Toc152042325"/>
      <w:bookmarkStart w:id="318" w:name="_Toc246996194"/>
      <w:bookmarkStart w:id="319" w:name="_Toc144974517"/>
      <w:bookmarkStart w:id="320" w:name="_Toc179632567"/>
      <w:bookmarkStart w:id="321" w:name="_Toc246996937"/>
      <w:bookmarkStart w:id="322" w:name="_Toc247085708"/>
      <w:r>
        <w:rPr>
          <w:rFonts w:hint="eastAsia" w:ascii="宋体" w:hAnsi="宋体" w:cs="宋体"/>
          <w:color w:val="auto"/>
          <w:szCs w:val="21"/>
          <w:highlight w:val="none"/>
        </w:rPr>
        <w:t>3.2.1投标报价应包括国家规定的增值税税金，除投标人须知前附表另有规定外，增值税税金按一般计税方法计算。投标人应按第九章“投标文件格式”的要求在投标函中进行报价并填写工程量清单相应表格。</w:t>
      </w:r>
    </w:p>
    <w:p w14:paraId="7830466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3.2.2投标人应充分了解本项目的总体情况以及影响投标报价的其他要素。</w:t>
      </w:r>
    </w:p>
    <w:p w14:paraId="0B4F3D8F">
      <w:pPr>
        <w:pStyle w:val="18"/>
        <w:adjustRightInd w:val="0"/>
        <w:snapToGrid w:val="0"/>
        <w:spacing w:line="560" w:lineRule="exact"/>
        <w:ind w:left="0" w:leftChars="0" w:firstLineChars="0"/>
        <w:rPr>
          <w:rFonts w:ascii="宋体" w:hAnsi="宋体" w:cs="宋体"/>
          <w:color w:val="auto"/>
          <w:szCs w:val="21"/>
          <w:highlight w:val="none"/>
        </w:rPr>
      </w:pPr>
      <w:r>
        <w:rPr>
          <w:rFonts w:hint="eastAsia" w:ascii="宋体" w:hAnsi="宋体" w:cs="宋体"/>
          <w:color w:val="auto"/>
          <w:szCs w:val="21"/>
          <w:highlight w:val="none"/>
        </w:rPr>
        <w:t>3.2.3投标人在投标截止时间前修改投标函中的投标报价总额，应同时修改“已标价工程量清单”中的相应报价，投标报价总额为各分项金额之和。此修改须符合本章第4.4款的有关要求。</w:t>
      </w:r>
    </w:p>
    <w:p w14:paraId="3E32F998">
      <w:pPr>
        <w:adjustRightInd w:val="0"/>
        <w:snapToGrid w:val="0"/>
        <w:spacing w:line="560" w:lineRule="exact"/>
        <w:ind w:firstLine="420"/>
        <w:rPr>
          <w:color w:val="auto"/>
          <w:highlight w:val="none"/>
        </w:rPr>
      </w:pPr>
      <w:r>
        <w:rPr>
          <w:rFonts w:hint="eastAsia" w:ascii="宋体" w:hAnsi="宋体" w:cs="宋体"/>
          <w:color w:val="auto"/>
          <w:szCs w:val="21"/>
          <w:highlight w:val="none"/>
        </w:rPr>
        <w:t>3.2.4招</w:t>
      </w:r>
      <w:r>
        <w:rPr>
          <w:rFonts w:hint="eastAsia"/>
          <w:color w:val="auto"/>
          <w:highlight w:val="none"/>
        </w:rPr>
        <w:t>标人设有最高投标限价的，投标人的投标报价不得超过最高投标限价，最高投标限价在投标人须知前附表中载明。</w:t>
      </w:r>
    </w:p>
    <w:p w14:paraId="2320B256">
      <w:pPr>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color w:val="auto"/>
          <w:highlight w:val="none"/>
        </w:rPr>
        <w:t xml:space="preserve">3.2.5 </w:t>
      </w:r>
      <w:r>
        <w:rPr>
          <w:rFonts w:hint="eastAsia" w:ascii="宋体" w:hAnsi="宋体" w:cs="宋体"/>
          <w:bCs/>
          <w:snapToGrid w:val="0"/>
          <w:color w:val="auto"/>
          <w:kern w:val="0"/>
          <w:szCs w:val="21"/>
          <w:highlight w:val="none"/>
        </w:rPr>
        <w:t>投标报价的其他要求见投标人须知前附表。</w:t>
      </w:r>
    </w:p>
    <w:p w14:paraId="44DF1B02">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323" w:name="_Toc15058866"/>
      <w:bookmarkStart w:id="324" w:name="_Toc15290"/>
      <w:bookmarkStart w:id="325" w:name="_Toc506107288"/>
      <w:bookmarkStart w:id="326" w:name="_Toc83301709"/>
      <w:bookmarkStart w:id="327" w:name="_Toc95223357"/>
      <w:bookmarkStart w:id="328" w:name="_Toc60061454"/>
      <w:r>
        <w:rPr>
          <w:rFonts w:hint="eastAsia" w:ascii="黑体" w:hAnsi="黑体" w:eastAsia="黑体" w:cs="黑体"/>
          <w:color w:val="auto"/>
          <w:sz w:val="21"/>
          <w:szCs w:val="21"/>
          <w:highlight w:val="none"/>
        </w:rPr>
        <w:t>3.3 投标有效期</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4B5858E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除投标人须知前附表另有规定外，投标有效期为 90天。</w:t>
      </w:r>
    </w:p>
    <w:p w14:paraId="411F45D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3.3.2在投标有效期内，投标人撤销或修改其投标文件的，应承担招标文件和法律规定的责任。</w:t>
      </w:r>
    </w:p>
    <w:p w14:paraId="0C07FF10">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8362CF1">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329" w:name="_Toc152042326"/>
      <w:bookmarkStart w:id="330" w:name="_Toc12541"/>
      <w:bookmarkStart w:id="331" w:name="_Toc246996938"/>
      <w:bookmarkStart w:id="332" w:name="_Toc95223358"/>
      <w:bookmarkStart w:id="333" w:name="_Toc152045550"/>
      <w:bookmarkStart w:id="334" w:name="_Toc15058867"/>
      <w:bookmarkStart w:id="335" w:name="_Toc60061455"/>
      <w:bookmarkStart w:id="336" w:name="_Toc506107289"/>
      <w:bookmarkStart w:id="337" w:name="_Toc246996195"/>
      <w:bookmarkStart w:id="338" w:name="_Toc144974518"/>
      <w:bookmarkStart w:id="339" w:name="_Toc83301710"/>
      <w:bookmarkStart w:id="340" w:name="_Toc324404836"/>
      <w:bookmarkStart w:id="341" w:name="_Toc296602440"/>
      <w:bookmarkStart w:id="342" w:name="_Toc179632568"/>
      <w:bookmarkStart w:id="343" w:name="_Toc247085709"/>
      <w:r>
        <w:rPr>
          <w:rFonts w:hint="eastAsia" w:ascii="黑体" w:hAnsi="黑体" w:eastAsia="黑体" w:cs="黑体"/>
          <w:color w:val="auto"/>
          <w:sz w:val="21"/>
          <w:szCs w:val="21"/>
          <w:highlight w:val="none"/>
        </w:rPr>
        <w:t>3.4 投标保证金</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55A2810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3.4.1 投标人须知前附表规定递交投标保证金的，投标人在递交投标文件的同时，应按投标人须知前附表规定的金额、担保形式和第九章“投标文件格式”规定的或者事先经过招标人认可的保证金格式递交保证金，并作为其投标文件的组成部分。联合体投标的，其投标保证金由牵头人递交，并应符合投标人须知前附表的规定。</w:t>
      </w:r>
    </w:p>
    <w:p w14:paraId="1BE03138">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 xml:space="preserve">    无论采取何种形式的投标保证金，投标保证金有效期均应与投标有效期一致（</w:t>
      </w:r>
      <w:r>
        <w:rPr>
          <w:rFonts w:hint="eastAsia"/>
          <w:color w:val="auto"/>
          <w:highlight w:val="none"/>
        </w:rPr>
        <w:t>采用投标电子保函的保证期截止时间不得早于该项目投标有效期的截止时间</w:t>
      </w:r>
      <w:r>
        <w:rPr>
          <w:rFonts w:hint="eastAsia" w:ascii="宋体" w:hAnsi="宋体" w:cs="宋体"/>
          <w:color w:val="auto"/>
          <w:szCs w:val="21"/>
          <w:highlight w:val="none"/>
        </w:rPr>
        <w:t>）。招标人如果按本章第 3.3.3 项的规定延长了投标有效期，则投标保证金的有效期也相应延长。</w:t>
      </w:r>
    </w:p>
    <w:p w14:paraId="520463C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3.4.2 投标人不按本章第3.4.1项要求提交投标保证金的，评标委员会将否决其投标。</w:t>
      </w:r>
    </w:p>
    <w:p w14:paraId="2BE4E18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3.4.3 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6E72B5E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3.4.4 有下列情形之一的，投标保证金将不予退还： </w:t>
      </w:r>
    </w:p>
    <w:p w14:paraId="5631BB0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（1）投标截止后投标人撤销投标文件的；</w:t>
      </w:r>
    </w:p>
    <w:p w14:paraId="40B897E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（2）中标人无正当理由不与招标人订立合同，在签订合同时向招标人提出附加条件，或者不按照招标文件要求提交履约保证金的。</w:t>
      </w:r>
    </w:p>
    <w:p w14:paraId="1B2DB91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3.4.5 投标保证金按关于印发《滁州市公共资源交易保证金管理规定（2026年修订）》的通知（滁公管〔2026〕2 号）规定执行。</w:t>
      </w:r>
    </w:p>
    <w:p w14:paraId="78946940">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344" w:name="_Toc296602442"/>
      <w:bookmarkStart w:id="345" w:name="_Toc324404837"/>
      <w:bookmarkStart w:id="346" w:name="_Toc83301711"/>
      <w:bookmarkStart w:id="347" w:name="_Toc15232"/>
      <w:bookmarkStart w:id="348" w:name="_Toc60061456"/>
      <w:bookmarkStart w:id="349" w:name="_Toc506107290"/>
      <w:bookmarkStart w:id="350" w:name="_Toc15058868"/>
      <w:bookmarkStart w:id="351" w:name="_Toc95223359"/>
      <w:bookmarkStart w:id="352" w:name="_Toc179632571"/>
      <w:bookmarkStart w:id="353" w:name="_Toc152045553"/>
      <w:bookmarkStart w:id="354" w:name="_Toc152042329"/>
      <w:bookmarkStart w:id="355" w:name="_Toc246996940"/>
      <w:bookmarkStart w:id="356" w:name="_Toc144974521"/>
      <w:bookmarkStart w:id="357" w:name="_Toc246996197"/>
      <w:bookmarkStart w:id="358" w:name="_Toc247085711"/>
      <w:r>
        <w:rPr>
          <w:rFonts w:hint="eastAsia" w:ascii="黑体" w:hAnsi="黑体" w:eastAsia="黑体" w:cs="黑体"/>
          <w:color w:val="auto"/>
          <w:sz w:val="21"/>
          <w:szCs w:val="21"/>
          <w:highlight w:val="none"/>
        </w:rPr>
        <w:t>3.5投标文件的编制</w:t>
      </w:r>
      <w:bookmarkEnd w:id="344"/>
      <w:bookmarkEnd w:id="345"/>
      <w:bookmarkEnd w:id="346"/>
      <w:bookmarkEnd w:id="347"/>
      <w:bookmarkEnd w:id="348"/>
      <w:bookmarkEnd w:id="349"/>
      <w:bookmarkEnd w:id="350"/>
      <w:bookmarkEnd w:id="351"/>
    </w:p>
    <w:p w14:paraId="4B26320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3.5.1投标文件应按第九章“投标文件格式”进行编写，如有必要，可以增加附页，作为投标文件的组成部分。其中，投标函在满足招标文件实质性要求的基础上，可以提出比招标文件要求更有利于招标人的承诺。施工组织设计编制的特殊要求见投标人须知前附表。</w:t>
      </w:r>
    </w:p>
    <w:p w14:paraId="4EDD725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3.5.2本次投标不需要提供纸质投标文件，投标人应按照电子招标投标的要求，在投标人的电子系统中制作、签章、上传加密的电子投标文件。</w:t>
      </w:r>
    </w:p>
    <w:p w14:paraId="4112490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3.5.3 投标文件应当对招标文件有关工期、投标有效期、质量要求、技术标准和要求、招标范围等实质性内容作出响应。</w:t>
      </w:r>
    </w:p>
    <w:bookmarkEnd w:id="352"/>
    <w:bookmarkEnd w:id="353"/>
    <w:bookmarkEnd w:id="354"/>
    <w:bookmarkEnd w:id="355"/>
    <w:bookmarkEnd w:id="356"/>
    <w:bookmarkEnd w:id="357"/>
    <w:bookmarkEnd w:id="358"/>
    <w:p w14:paraId="4EDC0700">
      <w:pPr>
        <w:adjustRightInd w:val="0"/>
        <w:snapToGrid w:val="0"/>
        <w:spacing w:line="600" w:lineRule="exact"/>
        <w:ind w:firstLine="420" w:firstLineChars="200"/>
        <w:rPr>
          <w:rFonts w:ascii="宋体" w:hAnsi="宋体" w:cs="宋体"/>
          <w:bCs/>
          <w:snapToGrid w:val="0"/>
          <w:color w:val="auto"/>
          <w:kern w:val="0"/>
          <w:szCs w:val="21"/>
          <w:highlight w:val="none"/>
        </w:rPr>
      </w:pPr>
      <w:bookmarkStart w:id="359" w:name="_Toc246996199"/>
      <w:bookmarkStart w:id="360" w:name="_Toc152042331"/>
      <w:bookmarkStart w:id="361" w:name="_Toc324404838"/>
      <w:bookmarkStart w:id="362" w:name="_Toc152045555"/>
      <w:bookmarkStart w:id="363" w:name="_Toc179632573"/>
      <w:bookmarkStart w:id="364" w:name="_Toc246996942"/>
      <w:bookmarkStart w:id="365" w:name="_Toc144974523"/>
      <w:bookmarkStart w:id="366" w:name="_Toc247085713"/>
      <w:r>
        <w:rPr>
          <w:rFonts w:hint="eastAsia" w:ascii="宋体" w:hAnsi="宋体" w:cs="宋体"/>
          <w:bCs/>
          <w:snapToGrid w:val="0"/>
          <w:color w:val="auto"/>
          <w:kern w:val="0"/>
          <w:szCs w:val="21"/>
          <w:highlight w:val="none"/>
        </w:rPr>
        <w:t>3.5.4 投标人须知前附表规定接受联合体投标的，资格审查资料应包括联合体各方相关情况 。</w:t>
      </w:r>
    </w:p>
    <w:p w14:paraId="64328669">
      <w:pPr>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3.5.5招标人有权核查投标人在投标文件中提供的资料，若发现投标人以他人名义投标或者以其他方式弄虚作假骗取中标的，中标无效；</w:t>
      </w:r>
      <w:r>
        <w:rPr>
          <w:rFonts w:hint="eastAsia" w:ascii="宋体" w:hAnsi="宋体" w:cs="宋体"/>
          <w:b/>
          <w:snapToGrid w:val="0"/>
          <w:color w:val="auto"/>
          <w:kern w:val="0"/>
          <w:szCs w:val="21"/>
          <w:highlight w:val="none"/>
        </w:rPr>
        <w:t>如果签订合同后发现中标人提供了虚假材料，招标人有权解除合同</w:t>
      </w:r>
      <w:r>
        <w:rPr>
          <w:rFonts w:hint="eastAsia" w:ascii="宋体" w:hAnsi="宋体" w:cs="宋体"/>
          <w:bCs/>
          <w:snapToGrid w:val="0"/>
          <w:color w:val="auto"/>
          <w:kern w:val="0"/>
          <w:szCs w:val="21"/>
          <w:highlight w:val="none"/>
        </w:rPr>
        <w:t>。同时招标人将投标人上述弄虚作假行为上报公共资源交易监督管理部门处理。</w:t>
      </w:r>
    </w:p>
    <w:p w14:paraId="16E5C3F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3.5.6投标文件的制作应满足以下规定：</w:t>
      </w:r>
    </w:p>
    <w:p w14:paraId="22D9953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（1）投标文件由投标人使用电子交易系统提供的“投标文件制作工具”制作生成。“投标文件制作工具”可以通过电子交易系统下载。</w:t>
      </w:r>
    </w:p>
    <w:p w14:paraId="4A7A92A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招标文件中“签章”是指签字或盖章。</w:t>
      </w:r>
      <w:r>
        <w:rPr>
          <w:rFonts w:hint="eastAsia" w:ascii="宋体" w:hAnsi="宋体" w:cs="宋体"/>
          <w:color w:val="auto"/>
          <w:szCs w:val="21"/>
          <w:highlight w:val="none"/>
        </w:rPr>
        <w:t>在第九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 投标文件由联合体牵头人按上述规定加盖联合体牵头人单位电子印章和法定代表人的个人电子印章/电子签名章或直接上传加盖联合体牵头人单位印章和法定代表人的印章（或签字）的原件彩色扫描件。</w:t>
      </w:r>
    </w:p>
    <w:p w14:paraId="7E35ED8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39E1F0A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（4）投标文件制作的具体方法详见“投标文件制作工具”中的帮助文档。</w:t>
      </w:r>
    </w:p>
    <w:p w14:paraId="3836D7EE">
      <w:pPr>
        <w:adjustRightInd w:val="0"/>
        <w:snapToGrid w:val="0"/>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3.5.7 因投标人自身原因而导致投标文件无法导入电子交易系统电子开标、评标系统，该投标视为无效投标，投标人自行承担由此导致的全部责任。</w:t>
      </w:r>
    </w:p>
    <w:p w14:paraId="289B796B">
      <w:pPr>
        <w:adjustRightInd w:val="0"/>
        <w:snapToGrid w:val="0"/>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3.5.8 投标人中标后须递交与网上电子投标文件完全一致的纸质版投标文件，在领取中标通知书时，一并递交给招标代理机构。</w:t>
      </w:r>
    </w:p>
    <w:p w14:paraId="091C5897">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367" w:name="_Toc6020"/>
      <w:r>
        <w:rPr>
          <w:rFonts w:hint="eastAsia" w:ascii="黑体" w:hAnsi="黑体" w:eastAsia="黑体" w:cs="黑体"/>
          <w:color w:val="auto"/>
          <w:sz w:val="21"/>
          <w:szCs w:val="21"/>
          <w:highlight w:val="none"/>
        </w:rPr>
        <w:t>3.6 备选投标方案</w:t>
      </w:r>
      <w:bookmarkEnd w:id="367"/>
    </w:p>
    <w:p w14:paraId="18F062E2">
      <w:pPr>
        <w:adjustRightInd w:val="0"/>
        <w:snapToGrid w:val="0"/>
        <w:spacing w:line="600" w:lineRule="exact"/>
        <w:ind w:firstLine="420" w:firstLineChars="200"/>
        <w:rPr>
          <w:rFonts w:ascii="宋体" w:hAnsi="宋体" w:cs="宋体"/>
          <w:color w:val="auto"/>
          <w:highlight w:val="none"/>
        </w:rPr>
      </w:pPr>
      <w:r>
        <w:rPr>
          <w:rFonts w:hint="eastAsia" w:ascii="宋体" w:hAnsi="宋体" w:cs="宋体"/>
          <w:color w:val="auto"/>
          <w:highlight w:val="none"/>
        </w:rPr>
        <w:t xml:space="preserve">3.6.1 </w:t>
      </w:r>
      <w:r>
        <w:rPr>
          <w:rFonts w:hint="eastAsia" w:ascii="宋体" w:hAnsi="宋体" w:cs="宋体"/>
          <w:bCs/>
          <w:snapToGrid w:val="0"/>
          <w:color w:val="auto"/>
          <w:kern w:val="0"/>
          <w:szCs w:val="21"/>
          <w:highlight w:val="none"/>
        </w:rPr>
        <w:t>除投标人须知前附表规定允许外，投标人不得递交备选投标方案，否则其投标将被否决。</w:t>
      </w:r>
    </w:p>
    <w:p w14:paraId="1A035A47">
      <w:pPr>
        <w:adjustRightInd w:val="0"/>
        <w:snapToGrid w:val="0"/>
        <w:spacing w:line="600" w:lineRule="exact"/>
        <w:ind w:firstLine="420" w:firstLineChars="200"/>
        <w:rPr>
          <w:rFonts w:ascii="宋体" w:hAnsi="宋体" w:cs="宋体"/>
          <w:color w:val="auto"/>
          <w:highlight w:val="none"/>
        </w:rPr>
      </w:pPr>
      <w:r>
        <w:rPr>
          <w:rFonts w:hint="eastAsia" w:ascii="宋体" w:hAnsi="宋体" w:cs="宋体"/>
          <w:color w:val="auto"/>
          <w:highlight w:val="none"/>
        </w:rPr>
        <w:t xml:space="preserve">3.6.2 </w:t>
      </w:r>
      <w:r>
        <w:rPr>
          <w:rFonts w:hint="eastAsia" w:ascii="宋体" w:hAnsi="宋体" w:cs="宋体"/>
          <w:bCs/>
          <w:snapToGrid w:val="0"/>
          <w:color w:val="auto"/>
          <w:kern w:val="0"/>
          <w:szCs w:val="21"/>
          <w:highlight w:val="none"/>
        </w:rPr>
        <w:t>允许投标人递交备选投标方案的，只有中标人所递交的备选投标方案方可予以考虑。评标委员会认为中标人的备选投标方案优于其按照招标文件要求编制的投标方案的，招标人可以接受该备选投标方案。</w:t>
      </w:r>
    </w:p>
    <w:p w14:paraId="123EE503">
      <w:pPr>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color w:val="auto"/>
          <w:highlight w:val="none"/>
        </w:rPr>
        <w:t xml:space="preserve">3.6.3 </w:t>
      </w:r>
      <w:r>
        <w:rPr>
          <w:rFonts w:hint="eastAsia" w:ascii="宋体" w:hAnsi="宋体" w:cs="宋体"/>
          <w:bCs/>
          <w:snapToGrid w:val="0"/>
          <w:color w:val="auto"/>
          <w:kern w:val="0"/>
          <w:szCs w:val="21"/>
          <w:highlight w:val="none"/>
        </w:rPr>
        <w:t>投标人提供两个或两个以上投标报价，或在投标文件中提供一个报价，但同时提供两个或两个以上施工组织设计的，视为提供备选方案。</w:t>
      </w:r>
    </w:p>
    <w:p w14:paraId="10092DEF">
      <w:pPr>
        <w:pStyle w:val="3"/>
        <w:adjustRightInd w:val="0"/>
        <w:snapToGrid w:val="0"/>
        <w:spacing w:line="560" w:lineRule="exact"/>
        <w:ind w:firstLine="422" w:firstLineChars="200"/>
        <w:rPr>
          <w:rFonts w:ascii="黑体" w:hAnsi="黑体" w:cs="黑体"/>
          <w:color w:val="auto"/>
          <w:sz w:val="21"/>
          <w:szCs w:val="21"/>
          <w:highlight w:val="none"/>
        </w:rPr>
      </w:pPr>
      <w:bookmarkStart w:id="368" w:name="_Toc95223360"/>
      <w:bookmarkStart w:id="369" w:name="_Toc60061457"/>
      <w:bookmarkStart w:id="370" w:name="_Toc15058869"/>
      <w:bookmarkStart w:id="371" w:name="_Toc83301712"/>
      <w:bookmarkStart w:id="372" w:name="_Toc8578"/>
      <w:bookmarkStart w:id="373" w:name="_Toc506107291"/>
      <w:r>
        <w:rPr>
          <w:rFonts w:hint="eastAsia" w:ascii="黑体" w:hAnsi="黑体" w:cs="黑体"/>
          <w:color w:val="auto"/>
          <w:sz w:val="21"/>
          <w:szCs w:val="21"/>
          <w:highlight w:val="none"/>
        </w:rPr>
        <w:t>4.投标</w:t>
      </w:r>
      <w:bookmarkEnd w:id="368"/>
      <w:bookmarkEnd w:id="369"/>
      <w:bookmarkEnd w:id="370"/>
      <w:bookmarkEnd w:id="371"/>
      <w:bookmarkEnd w:id="372"/>
      <w:bookmarkEnd w:id="373"/>
    </w:p>
    <w:p w14:paraId="2CEE6B71">
      <w:pPr>
        <w:pStyle w:val="4"/>
        <w:adjustRightInd w:val="0"/>
        <w:snapToGrid w:val="0"/>
        <w:spacing w:line="560" w:lineRule="exact"/>
        <w:ind w:firstLine="422" w:firstLineChars="200"/>
        <w:rPr>
          <w:rFonts w:ascii="黑体" w:hAnsi="黑体" w:cs="黑体"/>
          <w:color w:val="auto"/>
          <w:sz w:val="21"/>
          <w:szCs w:val="21"/>
          <w:highlight w:val="none"/>
        </w:rPr>
      </w:pPr>
      <w:bookmarkStart w:id="374" w:name="_Toc95223361"/>
      <w:bookmarkStart w:id="375" w:name="_Toc15058870"/>
      <w:bookmarkStart w:id="376" w:name="_Toc83301713"/>
      <w:bookmarkStart w:id="377" w:name="_Toc60061458"/>
      <w:bookmarkStart w:id="378" w:name="_Toc14167"/>
      <w:r>
        <w:rPr>
          <w:rFonts w:hint="eastAsia" w:ascii="黑体" w:hAnsi="黑体" w:eastAsia="黑体" w:cs="黑体"/>
          <w:color w:val="auto"/>
          <w:sz w:val="21"/>
          <w:szCs w:val="21"/>
          <w:highlight w:val="none"/>
        </w:rPr>
        <w:t>4.1投标文件上传</w:t>
      </w:r>
      <w:bookmarkEnd w:id="374"/>
      <w:bookmarkEnd w:id="375"/>
      <w:bookmarkEnd w:id="376"/>
      <w:bookmarkEnd w:id="377"/>
      <w:bookmarkEnd w:id="378"/>
    </w:p>
    <w:p w14:paraId="6D02D64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4.1.1请投标人通过系统下载投标工具制作投标文件，并利用CA数字证书进行上传投标文件，上传已加密的投标文件，务必通过此方式上传投标文件。</w:t>
      </w:r>
    </w:p>
    <w:p w14:paraId="69D73CA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4.1.2投标人在投标文件编制、签章、上传过程中如有任何操作的疑问请及时联系技术支持，电话：0550-3801701。</w:t>
      </w:r>
    </w:p>
    <w:p w14:paraId="6C5F82FD">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379" w:name="_Toc60061459"/>
      <w:bookmarkStart w:id="380" w:name="_Toc179632574"/>
      <w:bookmarkStart w:id="381" w:name="_Toc247085714"/>
      <w:bookmarkStart w:id="382" w:name="_Toc506107292"/>
      <w:bookmarkStart w:id="383" w:name="_Toc83301714"/>
      <w:bookmarkStart w:id="384" w:name="_Toc144974524"/>
      <w:bookmarkStart w:id="385" w:name="_Toc152042332"/>
      <w:bookmarkStart w:id="386" w:name="_Toc95223362"/>
      <w:bookmarkStart w:id="387" w:name="_Toc152045556"/>
      <w:bookmarkStart w:id="388" w:name="_Toc15058871"/>
      <w:bookmarkStart w:id="389" w:name="_Toc296602444"/>
      <w:bookmarkStart w:id="390" w:name="_Toc28824"/>
      <w:bookmarkStart w:id="391" w:name="_Toc246996943"/>
      <w:bookmarkStart w:id="392" w:name="_Toc324404839"/>
      <w:bookmarkStart w:id="393" w:name="_Toc246996200"/>
      <w:r>
        <w:rPr>
          <w:rFonts w:hint="eastAsia" w:ascii="黑体" w:hAnsi="黑体" w:eastAsia="黑体" w:cs="黑体"/>
          <w:color w:val="auto"/>
          <w:sz w:val="21"/>
          <w:szCs w:val="21"/>
          <w:highlight w:val="none"/>
        </w:rPr>
        <w:t>4.2投标文件的密封和标记</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372DF047">
      <w:pPr>
        <w:adjustRightInd w:val="0"/>
        <w:snapToGrid w:val="0"/>
        <w:spacing w:line="560" w:lineRule="exact"/>
        <w:ind w:firstLine="420" w:firstLineChars="200"/>
        <w:rPr>
          <w:rFonts w:ascii="宋体" w:hAnsi="宋体" w:cs="宋体"/>
          <w:color w:val="auto"/>
          <w:szCs w:val="21"/>
          <w:highlight w:val="none"/>
        </w:rPr>
      </w:pPr>
      <w:bookmarkStart w:id="394" w:name="_Toc144974525"/>
      <w:bookmarkStart w:id="395" w:name="_Toc152042333"/>
      <w:bookmarkStart w:id="396" w:name="_Toc152045557"/>
      <w:bookmarkStart w:id="397" w:name="_Toc296602445"/>
      <w:bookmarkStart w:id="398" w:name="_Toc246996201"/>
      <w:bookmarkStart w:id="399" w:name="_Toc324404840"/>
      <w:bookmarkStart w:id="400" w:name="_Toc246996944"/>
      <w:bookmarkStart w:id="401" w:name="_Toc179632575"/>
      <w:bookmarkStart w:id="402" w:name="_Toc247085715"/>
      <w:r>
        <w:rPr>
          <w:rFonts w:hint="eastAsia" w:ascii="宋体" w:hAnsi="宋体" w:cs="宋体"/>
          <w:color w:val="auto"/>
          <w:szCs w:val="21"/>
          <w:highlight w:val="none"/>
        </w:rPr>
        <w:t>4.2.1投标文件应按照本章第3.5.6项要求制作并加密，未按要求加密的投标文件将被拒绝接收。以投标人在投标截止时间前网上递交的电子投标文件为准。</w:t>
      </w:r>
    </w:p>
    <w:p w14:paraId="34F0433C">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403" w:name="_Toc60061460"/>
      <w:bookmarkStart w:id="404" w:name="_Toc20995"/>
      <w:bookmarkStart w:id="405" w:name="_Toc506107293"/>
      <w:bookmarkStart w:id="406" w:name="_Toc95223363"/>
      <w:bookmarkStart w:id="407" w:name="_Toc83301715"/>
      <w:bookmarkStart w:id="408" w:name="_Toc15058872"/>
      <w:r>
        <w:rPr>
          <w:rFonts w:hint="eastAsia" w:ascii="黑体" w:hAnsi="黑体" w:eastAsia="黑体" w:cs="黑体"/>
          <w:color w:val="auto"/>
          <w:sz w:val="21"/>
          <w:szCs w:val="21"/>
          <w:highlight w:val="none"/>
        </w:rPr>
        <w:t>4.3 投标文件的递交</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6F3826F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4.3.1 投标人应当在第一章“招标公告”规定的投标截止时间前，将加密投标文件上传至电子交易系统。</w:t>
      </w:r>
    </w:p>
    <w:p w14:paraId="58F4083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4.3.2 除投标人须知前附表另有规定外，投标人所递交的投标文件不予退还。</w:t>
      </w:r>
    </w:p>
    <w:p w14:paraId="7F1C318B">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4.3.3 </w:t>
      </w:r>
      <w:r>
        <w:rPr>
          <w:rFonts w:ascii="宋体" w:hAnsi="宋体" w:cs="宋体"/>
          <w:color w:val="auto"/>
          <w:szCs w:val="21"/>
          <w:highlight w:val="none"/>
        </w:rPr>
        <w:t>投标人应当在投标截止时间前完成投标文件的</w:t>
      </w:r>
      <w:r>
        <w:rPr>
          <w:rFonts w:hint="eastAsia" w:ascii="宋体" w:hAnsi="宋体" w:cs="宋体"/>
          <w:color w:val="auto"/>
          <w:szCs w:val="21"/>
          <w:highlight w:val="none"/>
        </w:rPr>
        <w:t>网上递交，</w:t>
      </w:r>
      <w:r>
        <w:rPr>
          <w:rFonts w:ascii="宋体" w:hAnsi="宋体" w:cs="宋体"/>
          <w:color w:val="auto"/>
          <w:szCs w:val="21"/>
          <w:highlight w:val="none"/>
        </w:rPr>
        <w:t xml:space="preserve"> 并可以补充、修改或者撤回投标文件。投标截止时间前未完成投标文件</w:t>
      </w:r>
      <w:r>
        <w:rPr>
          <w:rFonts w:hint="eastAsia" w:ascii="宋体" w:hAnsi="宋体" w:cs="宋体"/>
          <w:color w:val="auto"/>
          <w:szCs w:val="21"/>
          <w:highlight w:val="none"/>
        </w:rPr>
        <w:t>网上递交</w:t>
      </w:r>
      <w:r>
        <w:rPr>
          <w:rFonts w:ascii="宋体" w:hAnsi="宋体" w:cs="宋体"/>
          <w:color w:val="auto"/>
          <w:szCs w:val="21"/>
          <w:highlight w:val="none"/>
        </w:rPr>
        <w:t>的，视为撤回投标文件。未按规定加密或投标截止时间后</w:t>
      </w:r>
      <w:r>
        <w:rPr>
          <w:rFonts w:hint="eastAsia" w:ascii="宋体" w:hAnsi="宋体" w:cs="宋体"/>
          <w:color w:val="auto"/>
          <w:szCs w:val="21"/>
          <w:highlight w:val="none"/>
        </w:rPr>
        <w:t>通过网上招标投标系统递交电子投标文件的</w:t>
      </w:r>
      <w:r>
        <w:rPr>
          <w:rFonts w:ascii="宋体" w:hAnsi="宋体" w:cs="宋体"/>
          <w:color w:val="auto"/>
          <w:szCs w:val="21"/>
          <w:highlight w:val="none"/>
        </w:rPr>
        <w:t>，电子交易系统应当拒收</w:t>
      </w:r>
      <w:r>
        <w:rPr>
          <w:rFonts w:hint="eastAsia" w:ascii="宋体" w:hAnsi="宋体" w:cs="宋体"/>
          <w:color w:val="auto"/>
          <w:szCs w:val="21"/>
          <w:highlight w:val="none"/>
        </w:rPr>
        <w:t>，投标无效。</w:t>
      </w:r>
    </w:p>
    <w:p w14:paraId="6878B78C">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409" w:name="_Toc179632576"/>
      <w:bookmarkStart w:id="410" w:name="_Toc152045558"/>
      <w:bookmarkStart w:id="411" w:name="_Toc246996202"/>
      <w:bookmarkStart w:id="412" w:name="_Toc15058873"/>
      <w:bookmarkStart w:id="413" w:name="_Toc324404841"/>
      <w:bookmarkStart w:id="414" w:name="_Toc296602446"/>
      <w:bookmarkStart w:id="415" w:name="_Toc152042334"/>
      <w:bookmarkStart w:id="416" w:name="_Toc95223364"/>
      <w:bookmarkStart w:id="417" w:name="_Toc83301716"/>
      <w:bookmarkStart w:id="418" w:name="_Toc19945"/>
      <w:bookmarkStart w:id="419" w:name="_Toc60061461"/>
      <w:bookmarkStart w:id="420" w:name="_Toc246996945"/>
      <w:bookmarkStart w:id="421" w:name="_Toc144974526"/>
      <w:bookmarkStart w:id="422" w:name="_Toc247085716"/>
      <w:bookmarkStart w:id="423" w:name="_Toc506107294"/>
      <w:r>
        <w:rPr>
          <w:rFonts w:hint="eastAsia" w:ascii="黑体" w:hAnsi="黑体" w:eastAsia="黑体" w:cs="黑体"/>
          <w:color w:val="auto"/>
          <w:sz w:val="21"/>
          <w:szCs w:val="21"/>
          <w:highlight w:val="none"/>
        </w:rPr>
        <w:t>4.4 投标文件的修改与撤回</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021B357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4.4.1在第一章“招标公告”规定的投标截止时间前，投标人可以自行从网上开评标系统撤回已递交的投标文件，并可修改后重新加密上传，开标时以投标截止时间前投标人最终上传的投标文件为准。</w:t>
      </w:r>
    </w:p>
    <w:p w14:paraId="1752EE68">
      <w:pPr>
        <w:pStyle w:val="3"/>
        <w:adjustRightInd w:val="0"/>
        <w:snapToGrid w:val="0"/>
        <w:spacing w:line="560" w:lineRule="exact"/>
        <w:ind w:firstLine="422" w:firstLineChars="200"/>
        <w:rPr>
          <w:rFonts w:ascii="黑体" w:hAnsi="黑体" w:cs="黑体"/>
          <w:color w:val="auto"/>
          <w:sz w:val="21"/>
          <w:szCs w:val="21"/>
          <w:highlight w:val="none"/>
        </w:rPr>
      </w:pPr>
      <w:bookmarkStart w:id="424" w:name="_Toc506107295"/>
      <w:bookmarkStart w:id="425" w:name="_Toc95223365"/>
      <w:bookmarkStart w:id="426" w:name="_Toc25270"/>
      <w:bookmarkStart w:id="427" w:name="_Toc152045559"/>
      <w:bookmarkStart w:id="428" w:name="_Toc179632577"/>
      <w:bookmarkStart w:id="429" w:name="_Toc144974527"/>
      <w:bookmarkStart w:id="430" w:name="_Toc152042335"/>
      <w:bookmarkStart w:id="431" w:name="_Toc247085717"/>
      <w:bookmarkStart w:id="432" w:name="_Toc60061462"/>
      <w:bookmarkStart w:id="433" w:name="_Toc15058874"/>
      <w:bookmarkStart w:id="434" w:name="_Toc246996946"/>
      <w:bookmarkStart w:id="435" w:name="_Toc83301717"/>
      <w:bookmarkStart w:id="436" w:name="_Toc246996203"/>
      <w:bookmarkStart w:id="437" w:name="_Toc324404842"/>
      <w:r>
        <w:rPr>
          <w:rFonts w:hint="eastAsia" w:ascii="黑体" w:hAnsi="黑体" w:cs="黑体"/>
          <w:color w:val="auto"/>
          <w:sz w:val="21"/>
          <w:szCs w:val="21"/>
          <w:highlight w:val="none"/>
        </w:rPr>
        <w:t>5. 开标</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0187E188">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438" w:name="_Toc144974528"/>
      <w:bookmarkStart w:id="439" w:name="_Toc83301718"/>
      <w:bookmarkStart w:id="440" w:name="_Toc15058875"/>
      <w:bookmarkStart w:id="441" w:name="_Toc296602448"/>
      <w:bookmarkStart w:id="442" w:name="_Toc152045560"/>
      <w:bookmarkStart w:id="443" w:name="_Toc246996204"/>
      <w:bookmarkStart w:id="444" w:name="_Toc4096"/>
      <w:bookmarkStart w:id="445" w:name="_Toc60061463"/>
      <w:bookmarkStart w:id="446" w:name="_Toc506107296"/>
      <w:bookmarkStart w:id="447" w:name="_Toc179632578"/>
      <w:bookmarkStart w:id="448" w:name="_Toc324404843"/>
      <w:bookmarkStart w:id="449" w:name="_Toc95223366"/>
      <w:bookmarkStart w:id="450" w:name="_Toc246996947"/>
      <w:bookmarkStart w:id="451" w:name="_Toc247085718"/>
      <w:bookmarkStart w:id="452" w:name="_Toc152042336"/>
      <w:r>
        <w:rPr>
          <w:rFonts w:hint="eastAsia" w:ascii="黑体" w:hAnsi="黑体" w:eastAsia="黑体" w:cs="黑体"/>
          <w:color w:val="auto"/>
          <w:sz w:val="21"/>
          <w:szCs w:val="21"/>
          <w:highlight w:val="none"/>
        </w:rPr>
        <w:t>5.1开标时间和地点</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2B8A63D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招标人在第一章“招标公告”规定的投标截止时间前（开标时间）和地点</w:t>
      </w:r>
      <w:r>
        <w:rPr>
          <w:color w:val="auto"/>
          <w:highlight w:val="none"/>
        </w:rPr>
        <w:t>通过电子交易系统公开开标</w:t>
      </w:r>
      <w:r>
        <w:rPr>
          <w:rFonts w:hint="eastAsia" w:ascii="宋体" w:hAnsi="宋体" w:cs="宋体"/>
          <w:color w:val="auto"/>
          <w:szCs w:val="21"/>
          <w:highlight w:val="none"/>
        </w:rPr>
        <w:t>。</w:t>
      </w:r>
    </w:p>
    <w:p w14:paraId="30D5F809">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453" w:name="_Toc60061464"/>
      <w:bookmarkStart w:id="454" w:name="_Toc152045561"/>
      <w:bookmarkStart w:id="455" w:name="_Toc30078"/>
      <w:bookmarkStart w:id="456" w:name="_Toc152042337"/>
      <w:bookmarkStart w:id="457" w:name="_Toc506107297"/>
      <w:bookmarkStart w:id="458" w:name="_Toc83301719"/>
      <w:bookmarkStart w:id="459" w:name="_Toc144974529"/>
      <w:bookmarkStart w:id="460" w:name="_Toc15058876"/>
      <w:bookmarkStart w:id="461" w:name="_Toc95223367"/>
      <w:bookmarkStart w:id="462" w:name="_Toc246996948"/>
      <w:bookmarkStart w:id="463" w:name="_Toc179632579"/>
      <w:bookmarkStart w:id="464" w:name="_Toc324404844"/>
      <w:bookmarkStart w:id="465" w:name="_Toc246996205"/>
      <w:bookmarkStart w:id="466" w:name="_Toc247085719"/>
      <w:bookmarkStart w:id="467" w:name="_Toc296602449"/>
      <w:r>
        <w:rPr>
          <w:rFonts w:hint="eastAsia" w:ascii="黑体" w:hAnsi="黑体" w:eastAsia="黑体" w:cs="黑体"/>
          <w:color w:val="auto"/>
          <w:sz w:val="21"/>
          <w:szCs w:val="21"/>
          <w:highlight w:val="none"/>
        </w:rPr>
        <w:t>5.2 开标程序</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6902311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主持人按下列程序进行开标：</w:t>
      </w:r>
    </w:p>
    <w:p w14:paraId="2616327F">
      <w:pPr>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（1）公布在投标截止时间前通过电子交易系统完成投标文件递交的投标人名称；</w:t>
      </w:r>
    </w:p>
    <w:p w14:paraId="5EA639C8">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 xml:space="preserve">    （2）投标人在投标截止时间后在投标人须知前附表规定的解密时间内完成投标文件的解密工作；</w:t>
      </w:r>
    </w:p>
    <w:p w14:paraId="4BC53E72">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 xml:space="preserve">    （3）</w:t>
      </w:r>
      <w:r>
        <w:rPr>
          <w:rFonts w:hint="eastAsia" w:ascii="宋体" w:hAnsi="宋体" w:cs="宋体"/>
          <w:bCs/>
          <w:snapToGrid w:val="0"/>
          <w:color w:val="auto"/>
          <w:kern w:val="0"/>
          <w:szCs w:val="21"/>
          <w:highlight w:val="none"/>
        </w:rPr>
        <w:t>招标人或招标代理机构完成解密工作，导入并读取所有成功解密的投标文件；</w:t>
      </w:r>
    </w:p>
    <w:p w14:paraId="541EE181">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 xml:space="preserve">    （4）按投标人须知前附表规定公布投标人名称、标段名称、投标报价、质量目标、工期及其他内容；</w:t>
      </w:r>
    </w:p>
    <w:p w14:paraId="0E2BF746">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 xml:space="preserve">    （5）开标结束。</w:t>
      </w:r>
    </w:p>
    <w:bookmarkEnd w:id="359"/>
    <w:bookmarkEnd w:id="360"/>
    <w:bookmarkEnd w:id="361"/>
    <w:bookmarkEnd w:id="362"/>
    <w:bookmarkEnd w:id="363"/>
    <w:bookmarkEnd w:id="364"/>
    <w:bookmarkEnd w:id="365"/>
    <w:bookmarkEnd w:id="366"/>
    <w:p w14:paraId="5FA48D52">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468" w:name="_Toc83301720"/>
      <w:bookmarkStart w:id="469" w:name="_Toc11168"/>
      <w:bookmarkStart w:id="470" w:name="_Toc15058883"/>
      <w:bookmarkStart w:id="471" w:name="_Toc506107298"/>
      <w:bookmarkStart w:id="472" w:name="_Toc296602450"/>
      <w:bookmarkStart w:id="473" w:name="_Toc95223368"/>
      <w:bookmarkStart w:id="474" w:name="_Toc324404845"/>
      <w:bookmarkStart w:id="475" w:name="_Toc60061465"/>
      <w:r>
        <w:rPr>
          <w:rFonts w:hint="eastAsia" w:ascii="黑体" w:hAnsi="黑体" w:eastAsia="黑体" w:cs="黑体"/>
          <w:color w:val="auto"/>
          <w:sz w:val="21"/>
          <w:szCs w:val="21"/>
          <w:highlight w:val="none"/>
        </w:rPr>
        <w:t>5.3 开标异议</w:t>
      </w:r>
      <w:bookmarkEnd w:id="468"/>
      <w:bookmarkEnd w:id="469"/>
      <w:bookmarkEnd w:id="470"/>
      <w:bookmarkEnd w:id="471"/>
      <w:bookmarkEnd w:id="472"/>
      <w:bookmarkEnd w:id="473"/>
      <w:bookmarkEnd w:id="474"/>
      <w:bookmarkEnd w:id="475"/>
    </w:p>
    <w:p w14:paraId="7180FA9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投标人对开标有异议的，应当在开标过程中提出，招标人在开标过程中作出答复，并制作记录。</w:t>
      </w:r>
      <w:r>
        <w:rPr>
          <w:color w:val="auto"/>
          <w:spacing w:val="-5"/>
          <w:highlight w:val="none"/>
        </w:rPr>
        <w:t>异议与答复应通过电子交易系统进行。</w:t>
      </w:r>
    </w:p>
    <w:p w14:paraId="5A9FA22E">
      <w:pPr>
        <w:pStyle w:val="3"/>
        <w:adjustRightInd w:val="0"/>
        <w:snapToGrid w:val="0"/>
        <w:spacing w:line="560" w:lineRule="exact"/>
        <w:ind w:firstLine="422" w:firstLineChars="200"/>
        <w:rPr>
          <w:rFonts w:ascii="黑体" w:hAnsi="黑体" w:cs="黑体"/>
          <w:color w:val="auto"/>
          <w:sz w:val="21"/>
          <w:szCs w:val="21"/>
          <w:highlight w:val="none"/>
        </w:rPr>
      </w:pPr>
      <w:bookmarkStart w:id="476" w:name="_Toc246996206"/>
      <w:bookmarkStart w:id="477" w:name="_Toc247085720"/>
      <w:bookmarkStart w:id="478" w:name="_Toc506107299"/>
      <w:bookmarkStart w:id="479" w:name="_Toc15058884"/>
      <w:bookmarkStart w:id="480" w:name="_Toc2390"/>
      <w:bookmarkStart w:id="481" w:name="_Toc60061466"/>
      <w:bookmarkStart w:id="482" w:name="_Toc152042338"/>
      <w:bookmarkStart w:id="483" w:name="_Toc179632580"/>
      <w:bookmarkStart w:id="484" w:name="_Toc246996949"/>
      <w:bookmarkStart w:id="485" w:name="_Toc324404846"/>
      <w:bookmarkStart w:id="486" w:name="_Toc95223369"/>
      <w:bookmarkStart w:id="487" w:name="_Toc144974530"/>
      <w:bookmarkStart w:id="488" w:name="_Toc83301721"/>
      <w:bookmarkStart w:id="489" w:name="_Toc152045562"/>
      <w:r>
        <w:rPr>
          <w:rFonts w:hint="eastAsia" w:ascii="黑体" w:hAnsi="黑体" w:cs="黑体"/>
          <w:color w:val="auto"/>
          <w:sz w:val="21"/>
          <w:szCs w:val="21"/>
          <w:highlight w:val="none"/>
        </w:rPr>
        <w:t>6. 评标</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5D712FE5">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490" w:name="_Toc152042339"/>
      <w:bookmarkStart w:id="491" w:name="_Toc152045563"/>
      <w:bookmarkStart w:id="492" w:name="_Toc247085721"/>
      <w:bookmarkStart w:id="493" w:name="_Toc324404847"/>
      <w:bookmarkStart w:id="494" w:name="_Toc246996207"/>
      <w:bookmarkStart w:id="495" w:name="_Toc144974531"/>
      <w:bookmarkStart w:id="496" w:name="_Toc5139"/>
      <w:bookmarkStart w:id="497" w:name="_Toc15058885"/>
      <w:bookmarkStart w:id="498" w:name="_Toc506107300"/>
      <w:bookmarkStart w:id="499" w:name="_Toc60061467"/>
      <w:bookmarkStart w:id="500" w:name="_Toc83301722"/>
      <w:bookmarkStart w:id="501" w:name="_Toc179632581"/>
      <w:bookmarkStart w:id="502" w:name="_Toc296602452"/>
      <w:bookmarkStart w:id="503" w:name="_Toc246996950"/>
      <w:bookmarkStart w:id="504" w:name="_Toc95223370"/>
      <w:r>
        <w:rPr>
          <w:rFonts w:hint="eastAsia" w:ascii="黑体" w:hAnsi="黑体" w:eastAsia="黑体" w:cs="黑体"/>
          <w:color w:val="auto"/>
          <w:sz w:val="21"/>
          <w:szCs w:val="21"/>
          <w:highlight w:val="none"/>
        </w:rPr>
        <w:t>6.1 评标委员会</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0918018F">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78FDDBF">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6.1.2 评标委员会成员有下列情形之一的，应当回避：</w:t>
      </w:r>
    </w:p>
    <w:p w14:paraId="149E71C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（1）项目主管部门或行政监督管理部门，项目属地的公共资源交易综合管理部门、交易中心的工作人员；</w:t>
      </w:r>
      <w:r>
        <w:rPr>
          <w:rFonts w:ascii="宋体" w:hAnsi="宋体" w:cs="宋体"/>
          <w:color w:val="auto"/>
          <w:szCs w:val="21"/>
          <w:highlight w:val="none"/>
        </w:rPr>
        <w:t xml:space="preserve"> </w:t>
      </w:r>
    </w:p>
    <w:p w14:paraId="5F762A9F">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（2）与竞争主体主要负责人或者授权参与交易的代理人有近亲属关系的人员；</w:t>
      </w:r>
      <w:r>
        <w:rPr>
          <w:rFonts w:ascii="宋体" w:hAnsi="宋体" w:cs="宋体"/>
          <w:color w:val="auto"/>
          <w:szCs w:val="21"/>
          <w:highlight w:val="none"/>
        </w:rPr>
        <w:t xml:space="preserve"> </w:t>
      </w:r>
    </w:p>
    <w:p w14:paraId="4B12BC9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（3）竞争主体的工作人员或者退休人员；</w:t>
      </w:r>
      <w:r>
        <w:rPr>
          <w:rFonts w:ascii="宋体" w:hAnsi="宋体" w:cs="宋体"/>
          <w:color w:val="auto"/>
          <w:szCs w:val="21"/>
          <w:highlight w:val="none"/>
        </w:rPr>
        <w:t xml:space="preserve"> </w:t>
      </w:r>
    </w:p>
    <w:p w14:paraId="2642D78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（4）竞争主体的上级主管、控股或者被控股单位等相关利害关系的人员，或任职单位与竞争主体单位为同一法定代表人的；</w:t>
      </w:r>
      <w:r>
        <w:rPr>
          <w:rFonts w:ascii="宋体" w:hAnsi="宋体" w:cs="宋体"/>
          <w:color w:val="auto"/>
          <w:szCs w:val="21"/>
          <w:highlight w:val="none"/>
        </w:rPr>
        <w:t xml:space="preserve"> </w:t>
      </w:r>
    </w:p>
    <w:p w14:paraId="35AD53B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（5）存在其他法定回避情形的。</w:t>
      </w:r>
    </w:p>
    <w:p w14:paraId="136BE5C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项目实施主体及其子公司、下属单位、上级主管部门或者控股公司的工作人员或者退休人员不得以专家身份参与本单位或者代理项目的评标评审。</w:t>
      </w:r>
      <w:r>
        <w:rPr>
          <w:rFonts w:ascii="宋体" w:hAnsi="宋体" w:cs="宋体"/>
          <w:color w:val="auto"/>
          <w:szCs w:val="21"/>
          <w:highlight w:val="none"/>
        </w:rPr>
        <w:t xml:space="preserve"> </w:t>
      </w:r>
    </w:p>
    <w:p w14:paraId="1F459BD0">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评标委员会或评审机构成员有前两款规定情形的，应当主动提出回避；已经进入的应当更换，被更换的成员评标评审意见无效。</w:t>
      </w:r>
      <w:r>
        <w:rPr>
          <w:rFonts w:ascii="宋体" w:hAnsi="宋体" w:cs="宋体"/>
          <w:color w:val="auto"/>
          <w:szCs w:val="21"/>
          <w:highlight w:val="none"/>
        </w:rPr>
        <w:t xml:space="preserve"> </w:t>
      </w:r>
    </w:p>
    <w:p w14:paraId="6562C075">
      <w:pPr>
        <w:pStyle w:val="18"/>
        <w:adjustRightInd w:val="0"/>
        <w:snapToGrid w:val="0"/>
        <w:spacing w:line="560" w:lineRule="exact"/>
        <w:ind w:left="0" w:leftChars="0"/>
        <w:rPr>
          <w:color w:val="auto"/>
          <w:highlight w:val="none"/>
        </w:rPr>
      </w:pPr>
      <w:r>
        <w:rPr>
          <w:rFonts w:hint="eastAsia" w:ascii="宋体" w:hAnsi="宋体" w:cs="宋体"/>
          <w:color w:val="auto"/>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33ACEDB6">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05" w:name="_Toc247085722"/>
      <w:bookmarkStart w:id="506" w:name="_Toc83301723"/>
      <w:bookmarkStart w:id="507" w:name="_Toc246996208"/>
      <w:bookmarkStart w:id="508" w:name="_Toc246996951"/>
      <w:bookmarkStart w:id="509" w:name="_Toc296602453"/>
      <w:bookmarkStart w:id="510" w:name="_Toc152042340"/>
      <w:bookmarkStart w:id="511" w:name="_Toc179632582"/>
      <w:bookmarkStart w:id="512" w:name="_Toc60061468"/>
      <w:bookmarkStart w:id="513" w:name="_Toc152045564"/>
      <w:bookmarkStart w:id="514" w:name="_Toc144974532"/>
      <w:bookmarkStart w:id="515" w:name="_Toc324404848"/>
      <w:bookmarkStart w:id="516" w:name="_Toc506107301"/>
      <w:bookmarkStart w:id="517" w:name="_Toc23474"/>
      <w:bookmarkStart w:id="518" w:name="_Toc95223371"/>
      <w:bookmarkStart w:id="519" w:name="_Toc15058886"/>
      <w:r>
        <w:rPr>
          <w:rFonts w:hint="eastAsia" w:ascii="黑体" w:hAnsi="黑体" w:eastAsia="黑体" w:cs="黑体"/>
          <w:color w:val="auto"/>
          <w:sz w:val="21"/>
          <w:szCs w:val="21"/>
          <w:highlight w:val="none"/>
        </w:rPr>
        <w:t>6.2 评标原则</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129B915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评标活动遵循公平、公正、科学和择优的原则。</w:t>
      </w:r>
    </w:p>
    <w:p w14:paraId="59CE0AEB">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20" w:name="_Toc324404849"/>
      <w:bookmarkStart w:id="521" w:name="_Toc83301724"/>
      <w:bookmarkStart w:id="522" w:name="_Toc152042341"/>
      <w:bookmarkStart w:id="523" w:name="_Toc152045565"/>
      <w:bookmarkStart w:id="524" w:name="_Toc144974533"/>
      <w:bookmarkStart w:id="525" w:name="_Toc4867"/>
      <w:bookmarkStart w:id="526" w:name="_Toc246996209"/>
      <w:bookmarkStart w:id="527" w:name="_Toc60061469"/>
      <w:bookmarkStart w:id="528" w:name="_Toc296602454"/>
      <w:bookmarkStart w:id="529" w:name="_Toc95223372"/>
      <w:bookmarkStart w:id="530" w:name="_Toc179632583"/>
      <w:bookmarkStart w:id="531" w:name="_Toc246996952"/>
      <w:bookmarkStart w:id="532" w:name="_Toc247085723"/>
      <w:bookmarkStart w:id="533" w:name="_Toc15058887"/>
      <w:bookmarkStart w:id="534" w:name="_Toc506107302"/>
      <w:r>
        <w:rPr>
          <w:rFonts w:hint="eastAsia" w:ascii="黑体" w:hAnsi="黑体" w:eastAsia="黑体" w:cs="黑体"/>
          <w:color w:val="auto"/>
          <w:sz w:val="21"/>
          <w:szCs w:val="21"/>
          <w:highlight w:val="none"/>
        </w:rPr>
        <w:t>6.3 评标</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Start w:id="535" w:name="_Toc324404850"/>
      <w:bookmarkStart w:id="536" w:name="_Toc152045566"/>
      <w:bookmarkStart w:id="537" w:name="_Toc15058888"/>
      <w:bookmarkStart w:id="538" w:name="_Toc246996953"/>
      <w:bookmarkStart w:id="539" w:name="_Toc179632584"/>
      <w:bookmarkStart w:id="540" w:name="_Toc144974534"/>
      <w:bookmarkStart w:id="541" w:name="_Toc247085724"/>
      <w:bookmarkStart w:id="542" w:name="_Toc60061470"/>
      <w:bookmarkStart w:id="543" w:name="_Toc152042342"/>
      <w:bookmarkStart w:id="544" w:name="_Toc506107303"/>
      <w:bookmarkStart w:id="545" w:name="_Toc246996210"/>
      <w:r>
        <w:rPr>
          <w:rFonts w:hint="eastAsia" w:ascii="黑体" w:hAnsi="黑体" w:eastAsia="黑体" w:cs="黑体"/>
          <w:color w:val="auto"/>
          <w:sz w:val="21"/>
          <w:szCs w:val="21"/>
          <w:highlight w:val="none"/>
        </w:rPr>
        <w:t xml:space="preserve">    </w:t>
      </w:r>
    </w:p>
    <w:p w14:paraId="6FD7519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6.3.1评标委员会按照第四章“评标办法”规定的方法、评审因素、标准和程序对投标文件进行评审。第四章“评标办法”没有规定的方法、评审因素和标准，不作为评标依据。</w:t>
      </w:r>
    </w:p>
    <w:p w14:paraId="2B98864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6.3.2评标完成后，评标委员会应向招标人提交书面评标报告和中标候选人名单。评标委员会推荐中标候选人的人数见投标人须知前附表。</w:t>
      </w:r>
    </w:p>
    <w:p w14:paraId="0B6A2A89">
      <w:pPr>
        <w:pStyle w:val="3"/>
        <w:adjustRightInd w:val="0"/>
        <w:snapToGrid w:val="0"/>
        <w:spacing w:line="560" w:lineRule="exact"/>
        <w:ind w:firstLine="422" w:firstLineChars="200"/>
        <w:rPr>
          <w:rFonts w:ascii="黑体" w:hAnsi="黑体" w:cs="黑体"/>
          <w:color w:val="auto"/>
          <w:sz w:val="21"/>
          <w:szCs w:val="21"/>
          <w:highlight w:val="none"/>
        </w:rPr>
      </w:pPr>
      <w:bookmarkStart w:id="546" w:name="_Toc95223373"/>
      <w:bookmarkStart w:id="547" w:name="_Toc12660"/>
      <w:bookmarkStart w:id="548" w:name="_Toc83301725"/>
      <w:r>
        <w:rPr>
          <w:rFonts w:hint="eastAsia" w:ascii="黑体" w:hAnsi="黑体" w:cs="黑体"/>
          <w:color w:val="auto"/>
          <w:sz w:val="21"/>
          <w:szCs w:val="21"/>
          <w:highlight w:val="none"/>
        </w:rPr>
        <w:t>7. 合同授予</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46DA510B">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49" w:name="_Toc324404852"/>
      <w:bookmarkStart w:id="550" w:name="_Toc15058890"/>
      <w:bookmarkStart w:id="551" w:name="_Toc60061472"/>
      <w:bookmarkStart w:id="552" w:name="_Toc296602457"/>
      <w:bookmarkStart w:id="553" w:name="_Toc506107305"/>
      <w:bookmarkStart w:id="554" w:name="_Toc31784"/>
      <w:bookmarkStart w:id="555" w:name="_Toc83301726"/>
      <w:bookmarkStart w:id="556" w:name="_Toc95223374"/>
      <w:r>
        <w:rPr>
          <w:rFonts w:hint="eastAsia" w:ascii="黑体" w:hAnsi="黑体" w:eastAsia="黑体" w:cs="黑体"/>
          <w:color w:val="auto"/>
          <w:sz w:val="21"/>
          <w:szCs w:val="21"/>
          <w:highlight w:val="none"/>
        </w:rPr>
        <w:t>7.1 中标候选人公示</w:t>
      </w:r>
      <w:bookmarkEnd w:id="549"/>
      <w:bookmarkEnd w:id="550"/>
      <w:bookmarkEnd w:id="551"/>
      <w:bookmarkEnd w:id="552"/>
      <w:bookmarkEnd w:id="553"/>
      <w:bookmarkEnd w:id="554"/>
      <w:bookmarkEnd w:id="555"/>
      <w:bookmarkEnd w:id="556"/>
    </w:p>
    <w:p w14:paraId="4799E701">
      <w:pPr>
        <w:adjustRightInd w:val="0"/>
        <w:snapToGrid w:val="0"/>
        <w:spacing w:line="560" w:lineRule="exact"/>
        <w:ind w:firstLine="420" w:firstLineChars="200"/>
        <w:rPr>
          <w:rFonts w:ascii="宋体" w:hAnsi="宋体" w:cs="宋体"/>
          <w:color w:val="auto"/>
          <w:szCs w:val="21"/>
          <w:highlight w:val="none"/>
        </w:rPr>
      </w:pPr>
      <w:bookmarkStart w:id="557" w:name="_Toc60061473"/>
      <w:bookmarkStart w:id="558" w:name="_Toc246996955"/>
      <w:bookmarkStart w:id="559" w:name="_Toc152045568"/>
      <w:bookmarkStart w:id="560" w:name="_Toc324404853"/>
      <w:bookmarkStart w:id="561" w:name="_Toc247085726"/>
      <w:bookmarkStart w:id="562" w:name="_Toc179632586"/>
      <w:bookmarkStart w:id="563" w:name="_Toc296602458"/>
      <w:bookmarkStart w:id="564" w:name="_Toc152042344"/>
      <w:bookmarkStart w:id="565" w:name="_Toc246996212"/>
      <w:bookmarkStart w:id="566" w:name="_Toc144974536"/>
      <w:r>
        <w:rPr>
          <w:rFonts w:hint="eastAsia" w:ascii="宋体" w:hAnsi="宋体" w:cs="宋体"/>
          <w:color w:val="auto"/>
          <w:szCs w:val="21"/>
          <w:highlight w:val="none"/>
        </w:rPr>
        <w:t>招标人在收到评标报告之日起 3 日内，按照投标人须知前附表规定的公示媒介和期限依法公示。中标候选人公示期不得少于 3 日。</w:t>
      </w:r>
    </w:p>
    <w:p w14:paraId="714B4FF0">
      <w:pPr>
        <w:pStyle w:val="4"/>
        <w:adjustRightInd w:val="0"/>
        <w:snapToGrid w:val="0"/>
        <w:spacing w:line="560" w:lineRule="exact"/>
        <w:ind w:firstLine="422" w:firstLineChars="200"/>
        <w:rPr>
          <w:rFonts w:ascii="黑体" w:hAnsi="黑体" w:eastAsia="黑体" w:cs="黑体"/>
          <w:color w:val="auto"/>
          <w:szCs w:val="21"/>
          <w:highlight w:val="none"/>
        </w:rPr>
      </w:pPr>
      <w:bookmarkStart w:id="567" w:name="_Toc4198"/>
      <w:r>
        <w:rPr>
          <w:rFonts w:hint="eastAsia" w:ascii="黑体" w:hAnsi="黑体" w:eastAsia="黑体" w:cs="黑体"/>
          <w:color w:val="auto"/>
          <w:sz w:val="21"/>
          <w:szCs w:val="21"/>
          <w:highlight w:val="none"/>
        </w:rPr>
        <w:t>7.2 评标结果异议</w:t>
      </w:r>
      <w:bookmarkEnd w:id="567"/>
    </w:p>
    <w:p w14:paraId="3FBC71A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投标人或其他利害关系人对评标结果有异议的，应在中标候选人公示期内提出。招标人将在收到异议之日起 3 日内作出答复；作出答复前，将暂停招标投标活动。</w:t>
      </w:r>
    </w:p>
    <w:p w14:paraId="33F1606B">
      <w:pPr>
        <w:pStyle w:val="4"/>
        <w:adjustRightInd w:val="0"/>
        <w:snapToGrid w:val="0"/>
        <w:spacing w:line="560" w:lineRule="exact"/>
        <w:ind w:firstLine="422" w:firstLineChars="200"/>
        <w:rPr>
          <w:rFonts w:ascii="黑体" w:hAnsi="黑体" w:eastAsia="黑体" w:cs="黑体"/>
          <w:b w:val="0"/>
          <w:bCs w:val="0"/>
          <w:color w:val="auto"/>
          <w:szCs w:val="21"/>
          <w:highlight w:val="none"/>
        </w:rPr>
      </w:pPr>
      <w:bookmarkStart w:id="568" w:name="_Toc843"/>
      <w:r>
        <w:rPr>
          <w:rFonts w:hint="eastAsia" w:ascii="黑体" w:hAnsi="黑体" w:eastAsia="黑体" w:cs="黑体"/>
          <w:color w:val="auto"/>
          <w:sz w:val="21"/>
          <w:szCs w:val="21"/>
          <w:highlight w:val="none"/>
        </w:rPr>
        <w:t>7.3 中标候选人履约能力审查</w:t>
      </w:r>
      <w:bookmarkEnd w:id="568"/>
    </w:p>
    <w:p w14:paraId="4CA0771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中标候选人的经营、财务状况发生较大变化或者存在违法行为，招标人认为可能影响其履约能力的，应当在发出中标通知书前由原评标委员会按照招标文件规定的标准和方法审查确认。</w:t>
      </w:r>
    </w:p>
    <w:p w14:paraId="3D63644A">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69" w:name="_Toc13746"/>
      <w:r>
        <w:rPr>
          <w:rFonts w:hint="eastAsia" w:ascii="黑体" w:hAnsi="黑体" w:eastAsia="黑体" w:cs="黑体"/>
          <w:color w:val="auto"/>
          <w:sz w:val="21"/>
          <w:szCs w:val="21"/>
          <w:highlight w:val="none"/>
        </w:rPr>
        <w:t>7.4 业绩奖项公示</w:t>
      </w:r>
      <w:bookmarkEnd w:id="557"/>
      <w:bookmarkEnd w:id="569"/>
    </w:p>
    <w:p w14:paraId="4F0EDE82">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招标人对中标候选人的得分业绩和奖项进行公示</w:t>
      </w:r>
      <w:r>
        <w:rPr>
          <w:rStyle w:val="31"/>
          <w:rFonts w:ascii="宋体" w:hAnsi="宋体" w:cs="宋体"/>
          <w:color w:val="auto"/>
          <w:szCs w:val="21"/>
          <w:highlight w:val="none"/>
        </w:rPr>
        <w:footnoteReference w:id="0"/>
      </w:r>
      <w:r>
        <w:rPr>
          <w:rFonts w:hint="eastAsia" w:ascii="宋体" w:hAnsi="宋体" w:cs="宋体"/>
          <w:color w:val="auto"/>
          <w:szCs w:val="21"/>
          <w:highlight w:val="none"/>
        </w:rPr>
        <w:t>。</w:t>
      </w:r>
    </w:p>
    <w:p w14:paraId="3C094AE9">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70" w:name="_Toc95223375"/>
      <w:bookmarkStart w:id="571" w:name="_Toc83301727"/>
      <w:bookmarkStart w:id="572" w:name="_Toc28521"/>
      <w:bookmarkStart w:id="573" w:name="_Toc15058891"/>
      <w:bookmarkStart w:id="574" w:name="_Toc60061474"/>
      <w:bookmarkStart w:id="575" w:name="_Toc506107306"/>
      <w:r>
        <w:rPr>
          <w:rFonts w:hint="eastAsia" w:ascii="黑体" w:hAnsi="黑体" w:eastAsia="黑体" w:cs="黑体"/>
          <w:color w:val="auto"/>
          <w:sz w:val="21"/>
          <w:szCs w:val="21"/>
          <w:highlight w:val="none"/>
        </w:rPr>
        <w:t>7.5 定标</w:t>
      </w:r>
      <w:bookmarkEnd w:id="570"/>
      <w:bookmarkEnd w:id="571"/>
      <w:bookmarkEnd w:id="572"/>
    </w:p>
    <w:p w14:paraId="41C1A62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4B602A6">
      <w:pPr>
        <w:adjustRightInd w:val="0"/>
        <w:snapToGrid w:val="0"/>
        <w:spacing w:line="560" w:lineRule="exact"/>
        <w:ind w:firstLine="420" w:firstLineChars="200"/>
        <w:rPr>
          <w:rFonts w:ascii="黑体" w:hAnsi="黑体" w:eastAsia="黑体" w:cs="黑体"/>
          <w:color w:val="auto"/>
          <w:szCs w:val="21"/>
          <w:highlight w:val="none"/>
        </w:rPr>
      </w:pPr>
      <w:r>
        <w:rPr>
          <w:rFonts w:hint="eastAsia" w:ascii="宋体" w:hAnsi="宋体" w:cs="宋体"/>
          <w:color w:val="auto"/>
          <w:szCs w:val="21"/>
          <w:highlight w:val="none"/>
        </w:rPr>
        <w:t xml:space="preserve"> </w:t>
      </w:r>
      <w:bookmarkStart w:id="576" w:name="_Toc95223376"/>
      <w:bookmarkStart w:id="577" w:name="_Toc83301728"/>
      <w:r>
        <w:rPr>
          <w:rFonts w:hint="eastAsia" w:ascii="黑体" w:hAnsi="黑体" w:eastAsia="黑体" w:cs="黑体"/>
          <w:color w:val="auto"/>
          <w:szCs w:val="21"/>
          <w:highlight w:val="none"/>
        </w:rPr>
        <w:t>7.6 中标通知</w:t>
      </w:r>
      <w:bookmarkEnd w:id="558"/>
      <w:bookmarkEnd w:id="559"/>
      <w:bookmarkEnd w:id="560"/>
      <w:bookmarkEnd w:id="561"/>
      <w:bookmarkEnd w:id="562"/>
      <w:bookmarkEnd w:id="563"/>
      <w:bookmarkEnd w:id="564"/>
      <w:bookmarkEnd w:id="565"/>
      <w:bookmarkEnd w:id="566"/>
      <w:bookmarkEnd w:id="573"/>
      <w:bookmarkEnd w:id="574"/>
      <w:bookmarkEnd w:id="575"/>
      <w:bookmarkEnd w:id="576"/>
      <w:bookmarkEnd w:id="577"/>
    </w:p>
    <w:p w14:paraId="71E88C4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在本招标文件规定的投标有效期内，招标人以数据电文向中标人发出中标通知书，同时将中标结果通知未中标的投标人。</w:t>
      </w:r>
    </w:p>
    <w:p w14:paraId="0888F1B1">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78" w:name="_Toc14576"/>
      <w:bookmarkStart w:id="579" w:name="_Toc95223377"/>
      <w:r>
        <w:rPr>
          <w:rFonts w:hint="eastAsia" w:ascii="黑体" w:hAnsi="黑体" w:eastAsia="黑体" w:cs="黑体"/>
          <w:color w:val="auto"/>
          <w:sz w:val="21"/>
          <w:szCs w:val="21"/>
          <w:highlight w:val="none"/>
        </w:rPr>
        <w:t>7.7 中标结果公示</w:t>
      </w:r>
      <w:bookmarkEnd w:id="578"/>
      <w:bookmarkEnd w:id="579"/>
    </w:p>
    <w:p w14:paraId="141E4484">
      <w:pPr>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招标人在确定中标人之日起3日内，按照投标人须知前附表规定的公示媒介和期限依法公示中标结果。</w:t>
      </w:r>
    </w:p>
    <w:p w14:paraId="5660F14A">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80" w:name="_Toc31749"/>
      <w:bookmarkStart w:id="581" w:name="_Toc324404854"/>
      <w:bookmarkStart w:id="582" w:name="_Toc247085727"/>
      <w:bookmarkStart w:id="583" w:name="_Toc144974537"/>
      <w:bookmarkStart w:id="584" w:name="_Toc15058892"/>
      <w:bookmarkStart w:id="585" w:name="_Toc95223378"/>
      <w:bookmarkStart w:id="586" w:name="_Toc152042345"/>
      <w:bookmarkStart w:id="587" w:name="_Toc296602459"/>
      <w:bookmarkStart w:id="588" w:name="_Toc83301730"/>
      <w:bookmarkStart w:id="589" w:name="_Toc60061476"/>
      <w:bookmarkStart w:id="590" w:name="_Toc152045569"/>
      <w:bookmarkStart w:id="591" w:name="_Toc246996213"/>
      <w:bookmarkStart w:id="592" w:name="_Toc506107307"/>
      <w:bookmarkStart w:id="593" w:name="_Toc246996956"/>
      <w:bookmarkStart w:id="594" w:name="_Toc179632587"/>
      <w:r>
        <w:rPr>
          <w:rFonts w:hint="eastAsia" w:ascii="黑体" w:hAnsi="黑体" w:eastAsia="黑体" w:cs="黑体"/>
          <w:color w:val="auto"/>
          <w:sz w:val="21"/>
          <w:szCs w:val="21"/>
          <w:highlight w:val="none"/>
        </w:rPr>
        <w:t>7.8 履约担保</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5A897D2E">
      <w:pPr>
        <w:adjustRightInd w:val="0"/>
        <w:snapToGrid w:val="0"/>
        <w:spacing w:line="5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7.8.1在签订合同前，中标人应按投标人须知前附表规定的担保形式和招标文件第五章“合同条款及格式”规定的或者事先经过招标人书面认可的履约担保格式向招标人提交履约担保。</w:t>
      </w:r>
      <w:r>
        <w:rPr>
          <w:rFonts w:hint="eastAsia"/>
          <w:color w:val="auto"/>
          <w:highlight w:val="none"/>
        </w:rPr>
        <w:t>联合体中标的，其履约担保应符合投标人须知前附表规定的金额、担保形式和招标文件第五章“合同条款及格式”规定的履约担保格式要求。</w:t>
      </w:r>
    </w:p>
    <w:p w14:paraId="303FC8C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7.8.2 中标人不能按本章第7.8.1项要求提交履约担保的，视为放弃中标，其投标保证金不予退还，给招标人造成的损失超过投标保证金数额的，中标人还应当对超过部分予以赔偿。</w:t>
      </w:r>
    </w:p>
    <w:p w14:paraId="06F27A4E">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595" w:name="_Toc152042346"/>
      <w:bookmarkStart w:id="596" w:name="_Toc83301731"/>
      <w:bookmarkStart w:id="597" w:name="_Toc246996214"/>
      <w:bookmarkStart w:id="598" w:name="_Toc144974538"/>
      <w:bookmarkStart w:id="599" w:name="_Toc296602460"/>
      <w:bookmarkStart w:id="600" w:name="_Toc95223379"/>
      <w:bookmarkStart w:id="601" w:name="_Toc179632588"/>
      <w:bookmarkStart w:id="602" w:name="_Toc324404855"/>
      <w:bookmarkStart w:id="603" w:name="_Toc15058893"/>
      <w:bookmarkStart w:id="604" w:name="_Toc247085728"/>
      <w:bookmarkStart w:id="605" w:name="_Toc246996957"/>
      <w:bookmarkStart w:id="606" w:name="_Toc506107308"/>
      <w:bookmarkStart w:id="607" w:name="_Toc152045570"/>
      <w:bookmarkStart w:id="608" w:name="_Toc2236"/>
      <w:bookmarkStart w:id="609" w:name="_Toc60061477"/>
      <w:r>
        <w:rPr>
          <w:rFonts w:hint="eastAsia" w:ascii="黑体" w:hAnsi="黑体" w:eastAsia="黑体" w:cs="黑体"/>
          <w:color w:val="auto"/>
          <w:sz w:val="21"/>
          <w:szCs w:val="21"/>
          <w:highlight w:val="none"/>
        </w:rPr>
        <w:t>7.9 签订合同</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5C8370E5">
      <w:pPr>
        <w:adjustRightInd w:val="0"/>
        <w:snapToGrid w:val="0"/>
        <w:spacing w:line="5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7.9.1本招标工程的施工合同将授予按本须知第7.6款规定所确定的中标人。</w:t>
      </w:r>
    </w:p>
    <w:p w14:paraId="176B97DB">
      <w:pPr>
        <w:adjustRightInd w:val="0"/>
        <w:snapToGrid w:val="0"/>
        <w:spacing w:line="5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投标人所派出项目经理（建造师）须不得有在其他尚未完工（以竣工、交工、完工验收报告等手续为准）项目或已中标项目（以发放中标通知书为准）中担任项目经理（建造师）情形。如有，项目在滁州市区域内的，中标无效，记入不良行为记录；项目在滁州市区域外的，须在中标候选人公示期第一日起开始计算7日内，提供经行政主管部门备案的变更证明材料，否则视为弄虚作假材料骗取中标，中标无效，按有关规定进行处理</w:t>
      </w:r>
      <w:r>
        <w:rPr>
          <w:rFonts w:hint="eastAsia" w:ascii="宋体" w:hAnsi="宋体" w:cs="宋体"/>
          <w:bCs/>
          <w:color w:val="auto"/>
          <w:szCs w:val="21"/>
          <w:highlight w:val="none"/>
        </w:rPr>
        <w:t>。</w:t>
      </w:r>
    </w:p>
    <w:p w14:paraId="2448657B">
      <w:pPr>
        <w:adjustRightInd w:val="0"/>
        <w:snapToGrid w:val="0"/>
        <w:spacing w:line="560" w:lineRule="exact"/>
        <w:ind w:firstLine="420" w:firstLineChars="200"/>
        <w:rPr>
          <w:rFonts w:ascii="宋体" w:hAnsi="宋体" w:cs="宋体"/>
          <w:bCs/>
          <w:color w:val="auto"/>
          <w:szCs w:val="21"/>
          <w:highlight w:val="none"/>
        </w:rPr>
      </w:pPr>
      <w:bookmarkStart w:id="610" w:name="_Toc324404856"/>
      <w:r>
        <w:rPr>
          <w:rFonts w:hint="eastAsia" w:ascii="宋体" w:hAnsi="宋体" w:cs="宋体"/>
          <w:bCs/>
          <w:color w:val="auto"/>
          <w:szCs w:val="21"/>
          <w:highlight w:val="none"/>
        </w:rPr>
        <w:t>7.9.2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其投标保证金不予退还；给招标人造成的损失超过投标保证金数额的，中标人还应当对超过部分予以赔偿。</w:t>
      </w:r>
    </w:p>
    <w:p w14:paraId="24C0C69E">
      <w:pPr>
        <w:adjustRightInd w:val="0"/>
        <w:snapToGrid w:val="0"/>
        <w:spacing w:line="5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7.9.3 发出中标通知书后，招标人无正当理由拒签合同的，招标人向中标人退还投标保证金；给中标人造成损失的，还应当赔偿损失。</w:t>
      </w:r>
    </w:p>
    <w:p w14:paraId="2CBC3474">
      <w:pPr>
        <w:adjustRightInd w:val="0"/>
        <w:snapToGrid w:val="0"/>
        <w:spacing w:line="5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7.9.4  除法定情形外，建设工程合同履行期间项目经理（建造师）不得更换。项目经理（建造师）确需变更的，应根据招标文件要求，变更后的项目经理（建造师）不低于投标文件中拟派项目经理（建造师）的资格条件。</w:t>
      </w:r>
    </w:p>
    <w:p w14:paraId="7CA97E6D">
      <w:pPr>
        <w:adjustRightInd w:val="0"/>
        <w:snapToGrid w:val="0"/>
        <w:spacing w:line="600" w:lineRule="exact"/>
        <w:ind w:firstLine="420" w:firstLineChars="200"/>
        <w:rPr>
          <w:rFonts w:ascii="宋体" w:hAnsi="宋体" w:cs="宋体"/>
          <w:bCs/>
          <w:snapToGrid w:val="0"/>
          <w:color w:val="auto"/>
          <w:kern w:val="0"/>
          <w:szCs w:val="21"/>
          <w:highlight w:val="none"/>
        </w:rPr>
      </w:pPr>
      <w:r>
        <w:rPr>
          <w:rFonts w:hint="eastAsia" w:ascii="宋体" w:hAnsi="宋体" w:cs="宋体"/>
          <w:color w:val="auto"/>
          <w:highlight w:val="none"/>
        </w:rPr>
        <w:t xml:space="preserve">7.9.5 </w:t>
      </w:r>
      <w:r>
        <w:rPr>
          <w:rFonts w:hint="eastAsia" w:ascii="宋体" w:hAnsi="宋体" w:cs="宋体"/>
          <w:bCs/>
          <w:snapToGrid w:val="0"/>
          <w:color w:val="auto"/>
          <w:kern w:val="0"/>
          <w:szCs w:val="21"/>
          <w:highlight w:val="none"/>
        </w:rPr>
        <w:t>联合体中标的，联合体各方应当共同与招标人签订合同，就中标项目向招标人承担连带责任。</w:t>
      </w:r>
    </w:p>
    <w:p w14:paraId="75696670">
      <w:pPr>
        <w:pStyle w:val="3"/>
        <w:adjustRightInd w:val="0"/>
        <w:snapToGrid w:val="0"/>
        <w:spacing w:line="560" w:lineRule="exact"/>
        <w:ind w:firstLine="422" w:firstLineChars="200"/>
        <w:rPr>
          <w:color w:val="auto"/>
          <w:highlight w:val="none"/>
        </w:rPr>
      </w:pPr>
      <w:bookmarkStart w:id="611" w:name="_Toc152042347"/>
      <w:bookmarkStart w:id="612" w:name="_Toc152045571"/>
      <w:bookmarkStart w:id="613" w:name="_Toc60061478"/>
      <w:bookmarkStart w:id="614" w:name="_Toc144974539"/>
      <w:bookmarkStart w:id="615" w:name="_Toc179632589"/>
      <w:bookmarkStart w:id="616" w:name="_Toc95223381"/>
      <w:bookmarkStart w:id="617" w:name="_Toc83301732"/>
      <w:bookmarkStart w:id="618" w:name="_Toc483"/>
      <w:r>
        <w:rPr>
          <w:rFonts w:hint="eastAsia" w:ascii="黑体" w:hAnsi="黑体" w:cs="黑体"/>
          <w:color w:val="auto"/>
          <w:sz w:val="21"/>
          <w:szCs w:val="21"/>
          <w:highlight w:val="none"/>
        </w:rPr>
        <w:t>8. 重新招标和不再招标</w:t>
      </w:r>
      <w:bookmarkEnd w:id="611"/>
      <w:bookmarkEnd w:id="612"/>
      <w:bookmarkEnd w:id="613"/>
      <w:bookmarkEnd w:id="614"/>
      <w:bookmarkEnd w:id="615"/>
      <w:bookmarkEnd w:id="616"/>
      <w:bookmarkEnd w:id="617"/>
      <w:bookmarkEnd w:id="618"/>
    </w:p>
    <w:p w14:paraId="28A841E4">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619" w:name="_Toc152045572"/>
      <w:bookmarkStart w:id="620" w:name="_Toc95223382"/>
      <w:bookmarkStart w:id="621" w:name="_Toc5370"/>
      <w:bookmarkStart w:id="622" w:name="_Toc83301733"/>
      <w:bookmarkStart w:id="623" w:name="_Toc179632590"/>
      <w:bookmarkStart w:id="624" w:name="_Toc152042348"/>
      <w:bookmarkStart w:id="625" w:name="_Toc144974540"/>
      <w:bookmarkStart w:id="626" w:name="_Toc60061479"/>
      <w:r>
        <w:rPr>
          <w:rFonts w:hint="eastAsia" w:ascii="黑体" w:hAnsi="黑体" w:eastAsia="黑体" w:cs="黑体"/>
          <w:color w:val="auto"/>
          <w:sz w:val="21"/>
          <w:szCs w:val="21"/>
          <w:highlight w:val="none"/>
        </w:rPr>
        <w:t>8.1 重新招标</w:t>
      </w:r>
      <w:bookmarkEnd w:id="619"/>
      <w:bookmarkEnd w:id="620"/>
      <w:bookmarkEnd w:id="621"/>
      <w:bookmarkEnd w:id="622"/>
      <w:bookmarkEnd w:id="623"/>
      <w:bookmarkEnd w:id="624"/>
      <w:bookmarkEnd w:id="625"/>
      <w:bookmarkEnd w:id="626"/>
    </w:p>
    <w:p w14:paraId="4E89C710">
      <w:pPr>
        <w:adjustRightInd w:val="0"/>
        <w:snapToGrid w:val="0"/>
        <w:spacing w:line="600" w:lineRule="exact"/>
        <w:ind w:firstLine="359" w:firstLineChars="171"/>
        <w:rPr>
          <w:rFonts w:ascii="宋体" w:hAnsi="宋体" w:cs="宋体"/>
          <w:color w:val="auto"/>
          <w:highlight w:val="none"/>
        </w:rPr>
      </w:pPr>
      <w:r>
        <w:rPr>
          <w:rFonts w:hint="eastAsia" w:ascii="宋体" w:hAnsi="宋体" w:cs="宋体"/>
          <w:color w:val="auto"/>
          <w:highlight w:val="none"/>
        </w:rPr>
        <w:t>依法必须招标的项目有下列情形之一的，招标人将重新招标：</w:t>
      </w:r>
    </w:p>
    <w:p w14:paraId="0D1EC422">
      <w:pPr>
        <w:adjustRightInd w:val="0"/>
        <w:snapToGrid w:val="0"/>
        <w:spacing w:line="600" w:lineRule="exact"/>
        <w:ind w:firstLine="359" w:firstLineChars="171"/>
        <w:rPr>
          <w:rFonts w:ascii="宋体" w:hAnsi="宋体" w:cs="宋体"/>
          <w:color w:val="auto"/>
          <w:highlight w:val="none"/>
        </w:rPr>
      </w:pPr>
      <w:r>
        <w:rPr>
          <w:rFonts w:hint="eastAsia" w:ascii="宋体" w:hAnsi="宋体" w:cs="宋体"/>
          <w:color w:val="auto"/>
          <w:highlight w:val="none"/>
        </w:rPr>
        <w:t>（1）投标截止时间止，投标人少于3个的；</w:t>
      </w:r>
    </w:p>
    <w:p w14:paraId="34CCE0FF">
      <w:pPr>
        <w:adjustRightInd w:val="0"/>
        <w:snapToGrid w:val="0"/>
        <w:spacing w:line="600" w:lineRule="exact"/>
        <w:ind w:firstLine="359" w:firstLineChars="171"/>
        <w:rPr>
          <w:rFonts w:ascii="宋体" w:hAnsi="宋体" w:cs="宋体"/>
          <w:color w:val="auto"/>
          <w:highlight w:val="none"/>
        </w:rPr>
      </w:pPr>
      <w:r>
        <w:rPr>
          <w:rFonts w:hint="eastAsia" w:ascii="宋体" w:hAnsi="宋体" w:cs="宋体"/>
          <w:color w:val="auto"/>
          <w:highlight w:val="none"/>
        </w:rPr>
        <w:t>（2）经评标委员会评审后否决所有投标的；</w:t>
      </w:r>
    </w:p>
    <w:p w14:paraId="213C1D70">
      <w:pPr>
        <w:adjustRightInd w:val="0"/>
        <w:snapToGrid w:val="0"/>
        <w:spacing w:line="600" w:lineRule="exact"/>
        <w:ind w:firstLine="359" w:firstLineChars="171"/>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（3）中标候选人均未与招标人签订合同的；</w:t>
      </w:r>
    </w:p>
    <w:p w14:paraId="792DD98A">
      <w:pPr>
        <w:adjustRightInd w:val="0"/>
        <w:snapToGrid w:val="0"/>
        <w:spacing w:line="600" w:lineRule="exact"/>
        <w:ind w:firstLine="359" w:firstLineChars="171"/>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（4）法律、法规规定的其他情形。</w:t>
      </w:r>
    </w:p>
    <w:p w14:paraId="653B81DD">
      <w:pPr>
        <w:pStyle w:val="4"/>
        <w:adjustRightInd w:val="0"/>
        <w:snapToGrid w:val="0"/>
        <w:spacing w:line="560" w:lineRule="exact"/>
        <w:ind w:firstLine="422" w:firstLineChars="200"/>
        <w:rPr>
          <w:color w:val="auto"/>
          <w:highlight w:val="none"/>
        </w:rPr>
      </w:pPr>
      <w:bookmarkStart w:id="627" w:name="_Toc152045573"/>
      <w:bookmarkStart w:id="628" w:name="_Toc152042349"/>
      <w:bookmarkStart w:id="629" w:name="_Toc60061480"/>
      <w:bookmarkStart w:id="630" w:name="_Toc179632591"/>
      <w:bookmarkStart w:id="631" w:name="_Toc2755"/>
      <w:bookmarkStart w:id="632" w:name="_Toc83301734"/>
      <w:bookmarkStart w:id="633" w:name="_Toc144974541"/>
      <w:bookmarkStart w:id="634" w:name="_Toc95223383"/>
      <w:r>
        <w:rPr>
          <w:rFonts w:hint="eastAsia" w:ascii="黑体" w:hAnsi="黑体" w:eastAsia="黑体" w:cs="黑体"/>
          <w:color w:val="auto"/>
          <w:sz w:val="21"/>
          <w:szCs w:val="21"/>
          <w:highlight w:val="none"/>
        </w:rPr>
        <w:t>8.2 不再招标</w:t>
      </w:r>
      <w:bookmarkEnd w:id="627"/>
      <w:bookmarkEnd w:id="628"/>
      <w:bookmarkEnd w:id="629"/>
      <w:bookmarkEnd w:id="630"/>
      <w:bookmarkEnd w:id="631"/>
      <w:bookmarkEnd w:id="632"/>
      <w:bookmarkEnd w:id="633"/>
      <w:bookmarkEnd w:id="634"/>
    </w:p>
    <w:p w14:paraId="061C17B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重新招标后投标人仍少于3个或者所有投标被否决的，属于必须审批或核准的工程建设项目，经原审批或核准部门批准后不再进行招标。</w:t>
      </w:r>
    </w:p>
    <w:p w14:paraId="3DED92DA">
      <w:pPr>
        <w:pStyle w:val="3"/>
        <w:adjustRightInd w:val="0"/>
        <w:snapToGrid w:val="0"/>
        <w:spacing w:line="560" w:lineRule="exact"/>
        <w:ind w:firstLine="422" w:firstLineChars="200"/>
        <w:rPr>
          <w:rFonts w:ascii="黑体" w:hAnsi="黑体" w:cs="黑体"/>
          <w:color w:val="auto"/>
          <w:sz w:val="21"/>
          <w:szCs w:val="21"/>
          <w:highlight w:val="none"/>
        </w:rPr>
      </w:pPr>
      <w:bookmarkStart w:id="635" w:name="_Toc15058894"/>
      <w:bookmarkStart w:id="636" w:name="_Toc23596"/>
      <w:bookmarkStart w:id="637" w:name="_Toc506107309"/>
      <w:bookmarkStart w:id="638" w:name="_Toc95223384"/>
      <w:bookmarkStart w:id="639" w:name="_Toc60061481"/>
      <w:bookmarkStart w:id="640" w:name="_Toc83301735"/>
      <w:r>
        <w:rPr>
          <w:rFonts w:hint="eastAsia" w:ascii="黑体" w:hAnsi="黑体" w:cs="黑体"/>
          <w:color w:val="auto"/>
          <w:sz w:val="21"/>
          <w:szCs w:val="21"/>
          <w:highlight w:val="none"/>
        </w:rPr>
        <w:t>9. 纪律和监督</w:t>
      </w:r>
      <w:bookmarkEnd w:id="610"/>
      <w:bookmarkEnd w:id="635"/>
      <w:bookmarkEnd w:id="636"/>
      <w:bookmarkEnd w:id="637"/>
      <w:bookmarkEnd w:id="638"/>
      <w:bookmarkEnd w:id="639"/>
      <w:bookmarkEnd w:id="640"/>
    </w:p>
    <w:p w14:paraId="6D2448BE">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641" w:name="_Toc83301736"/>
      <w:bookmarkStart w:id="642" w:name="_Toc60061482"/>
      <w:bookmarkStart w:id="643" w:name="_Toc324404857"/>
      <w:bookmarkStart w:id="644" w:name="_Toc152042351"/>
      <w:bookmarkStart w:id="645" w:name="_Toc144974543"/>
      <w:bookmarkStart w:id="646" w:name="_Toc506107310"/>
      <w:bookmarkStart w:id="647" w:name="_Toc15058895"/>
      <w:bookmarkStart w:id="648" w:name="_Toc95223385"/>
      <w:bookmarkStart w:id="649" w:name="_Toc296590983"/>
      <w:bookmarkStart w:id="650" w:name="_Toc247085733"/>
      <w:bookmarkStart w:id="651" w:name="_Toc246996962"/>
      <w:bookmarkStart w:id="652" w:name="_Toc20441"/>
      <w:bookmarkStart w:id="653" w:name="_Toc246996219"/>
      <w:bookmarkStart w:id="654" w:name="_Toc296602462"/>
      <w:bookmarkStart w:id="655" w:name="_Toc152045575"/>
      <w:bookmarkStart w:id="656" w:name="_Toc179632593"/>
      <w:r>
        <w:rPr>
          <w:rFonts w:hint="eastAsia" w:ascii="黑体" w:hAnsi="黑体" w:eastAsia="黑体" w:cs="黑体"/>
          <w:color w:val="auto"/>
          <w:sz w:val="21"/>
          <w:szCs w:val="21"/>
          <w:highlight w:val="none"/>
        </w:rPr>
        <w:t>9.1 对招标人的纪律要求</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C66743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p>
    <w:p w14:paraId="5B50CB51">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657" w:name="_Toc95223386"/>
      <w:bookmarkStart w:id="658" w:name="_Toc247085734"/>
      <w:bookmarkStart w:id="659" w:name="_Toc152042352"/>
      <w:bookmarkStart w:id="660" w:name="_Toc246996963"/>
      <w:bookmarkStart w:id="661" w:name="_Toc83301737"/>
      <w:bookmarkStart w:id="662" w:name="_Toc31878"/>
      <w:bookmarkStart w:id="663" w:name="_Toc60061483"/>
      <w:bookmarkStart w:id="664" w:name="_Toc179632594"/>
      <w:bookmarkStart w:id="665" w:name="_Toc506107311"/>
      <w:bookmarkStart w:id="666" w:name="_Toc152045576"/>
      <w:bookmarkStart w:id="667" w:name="_Toc246996220"/>
      <w:bookmarkStart w:id="668" w:name="_Toc324404858"/>
      <w:bookmarkStart w:id="669" w:name="_Toc15058896"/>
      <w:bookmarkStart w:id="670" w:name="_Toc144974544"/>
      <w:bookmarkStart w:id="671" w:name="_Toc296602463"/>
      <w:r>
        <w:rPr>
          <w:rFonts w:hint="eastAsia" w:ascii="黑体" w:hAnsi="黑体" w:eastAsia="黑体" w:cs="黑体"/>
          <w:color w:val="auto"/>
          <w:sz w:val="21"/>
          <w:szCs w:val="21"/>
          <w:highlight w:val="none"/>
        </w:rPr>
        <w:t>9.2 对投标人的纪律要求</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65F9533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AEDB8B0">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672" w:name="_Toc83301738"/>
      <w:bookmarkStart w:id="673" w:name="_Toc179632595"/>
      <w:bookmarkStart w:id="674" w:name="_Toc296602464"/>
      <w:bookmarkStart w:id="675" w:name="_Toc95223387"/>
      <w:bookmarkStart w:id="676" w:name="_Toc144974545"/>
      <w:bookmarkStart w:id="677" w:name="_Toc246996221"/>
      <w:bookmarkStart w:id="678" w:name="_Toc15058897"/>
      <w:bookmarkStart w:id="679" w:name="_Toc324404859"/>
      <w:bookmarkStart w:id="680" w:name="_Toc246996964"/>
      <w:bookmarkStart w:id="681" w:name="_Toc152045577"/>
      <w:bookmarkStart w:id="682" w:name="_Toc24849"/>
      <w:bookmarkStart w:id="683" w:name="_Toc506107312"/>
      <w:bookmarkStart w:id="684" w:name="_Toc60061484"/>
      <w:bookmarkStart w:id="685" w:name="_Toc247085735"/>
      <w:bookmarkStart w:id="686" w:name="_Toc152042353"/>
      <w:r>
        <w:rPr>
          <w:rFonts w:hint="eastAsia" w:ascii="黑体" w:hAnsi="黑体" w:eastAsia="黑体" w:cs="黑体"/>
          <w:color w:val="auto"/>
          <w:sz w:val="21"/>
          <w:szCs w:val="21"/>
          <w:highlight w:val="none"/>
        </w:rPr>
        <w:t>9.3 对评标委员会成员的纪律要求</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73E811F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四章“评标办法”没有规定的评审因素和标准进行评标。</w:t>
      </w:r>
    </w:p>
    <w:p w14:paraId="201174EF">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687" w:name="_Toc324404860"/>
      <w:bookmarkStart w:id="688" w:name="_Toc152042354"/>
      <w:bookmarkStart w:id="689" w:name="_Toc179632596"/>
      <w:bookmarkStart w:id="690" w:name="_Toc247085736"/>
      <w:bookmarkStart w:id="691" w:name="_Toc95223388"/>
      <w:bookmarkStart w:id="692" w:name="_Toc60061485"/>
      <w:bookmarkStart w:id="693" w:name="_Toc246996222"/>
      <w:bookmarkStart w:id="694" w:name="_Toc246996965"/>
      <w:bookmarkStart w:id="695" w:name="_Toc83301739"/>
      <w:bookmarkStart w:id="696" w:name="_Toc506107313"/>
      <w:bookmarkStart w:id="697" w:name="_Toc15058898"/>
      <w:bookmarkStart w:id="698" w:name="_Toc152045578"/>
      <w:bookmarkStart w:id="699" w:name="_Toc296602465"/>
      <w:bookmarkStart w:id="700" w:name="_Toc11947"/>
      <w:bookmarkStart w:id="701" w:name="_Toc144974546"/>
      <w:r>
        <w:rPr>
          <w:rFonts w:hint="eastAsia" w:ascii="黑体" w:hAnsi="黑体" w:eastAsia="黑体" w:cs="黑体"/>
          <w:color w:val="auto"/>
          <w:sz w:val="21"/>
          <w:szCs w:val="21"/>
          <w:highlight w:val="none"/>
        </w:rPr>
        <w:t>9.4 对与评标活动有关的工作人员的纪律要求</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60823580">
      <w:pPr>
        <w:adjustRightInd w:val="0"/>
        <w:snapToGrid w:val="0"/>
        <w:spacing w:line="560" w:lineRule="exact"/>
        <w:ind w:firstLine="420" w:firstLineChars="200"/>
        <w:rPr>
          <w:rFonts w:ascii="宋体" w:hAnsi="宋体" w:cs="宋体"/>
          <w:color w:val="auto"/>
          <w:szCs w:val="21"/>
          <w:highlight w:val="none"/>
        </w:rPr>
      </w:pPr>
      <w:bookmarkStart w:id="702" w:name="_Toc152042355"/>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02"/>
    </w:p>
    <w:p w14:paraId="0D00F985">
      <w:pPr>
        <w:pStyle w:val="4"/>
        <w:adjustRightInd w:val="0"/>
        <w:snapToGrid w:val="0"/>
        <w:spacing w:line="560" w:lineRule="exact"/>
        <w:ind w:firstLine="422" w:firstLineChars="200"/>
        <w:rPr>
          <w:rFonts w:ascii="黑体" w:hAnsi="黑体" w:eastAsia="黑体" w:cs="黑体"/>
          <w:color w:val="auto"/>
          <w:sz w:val="21"/>
          <w:szCs w:val="21"/>
          <w:highlight w:val="none"/>
        </w:rPr>
      </w:pPr>
      <w:bookmarkStart w:id="703" w:name="_Toc247085737"/>
      <w:bookmarkStart w:id="704" w:name="_Toc95223389"/>
      <w:bookmarkStart w:id="705" w:name="_Toc83301740"/>
      <w:bookmarkStart w:id="706" w:name="_Toc246996966"/>
      <w:bookmarkStart w:id="707" w:name="_Toc152042356"/>
      <w:bookmarkStart w:id="708" w:name="_Toc324404861"/>
      <w:bookmarkStart w:id="709" w:name="_Toc15058899"/>
      <w:bookmarkStart w:id="710" w:name="_Toc296602466"/>
      <w:bookmarkStart w:id="711" w:name="_Toc152045579"/>
      <w:bookmarkStart w:id="712" w:name="_Toc179632597"/>
      <w:bookmarkStart w:id="713" w:name="_Toc60061486"/>
      <w:bookmarkStart w:id="714" w:name="_Toc246996223"/>
      <w:bookmarkStart w:id="715" w:name="_Toc25438"/>
      <w:bookmarkStart w:id="716" w:name="_Toc506107314"/>
      <w:r>
        <w:rPr>
          <w:rFonts w:hint="eastAsia" w:ascii="黑体" w:hAnsi="黑体" w:eastAsia="黑体" w:cs="黑体"/>
          <w:color w:val="auto"/>
          <w:sz w:val="21"/>
          <w:szCs w:val="21"/>
          <w:highlight w:val="none"/>
        </w:rPr>
        <w:t>9.5 投诉</w:t>
      </w:r>
      <w:bookmarkEnd w:id="701"/>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195219FF">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9.5.1投标人或者其他利害关系人认为招标投标活动违反法律、法规和规章规定的，有权向相关行政监督部门投诉。投诉应当有明确的请求和必要的证明材料。</w:t>
      </w:r>
    </w:p>
    <w:p w14:paraId="5992104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9.5.2投标人和其他利害关系人对招标文件、开标和评标结果事项投诉的，应当按照投标人须知的规定先向招标人提出异议。异议答复期间不计算在第9.5.1</w:t>
      </w:r>
      <w:r>
        <w:rPr>
          <w:rFonts w:hint="eastAsia"/>
          <w:color w:val="auto"/>
          <w:highlight w:val="none"/>
        </w:rPr>
        <w:t>项</w:t>
      </w:r>
      <w:r>
        <w:rPr>
          <w:rFonts w:hint="eastAsia" w:ascii="宋体" w:hAnsi="宋体" w:cs="宋体"/>
          <w:color w:val="auto"/>
          <w:szCs w:val="21"/>
          <w:highlight w:val="none"/>
        </w:rPr>
        <w:t>规定的期限内。</w:t>
      </w:r>
    </w:p>
    <w:p w14:paraId="6470E3B3">
      <w:pPr>
        <w:pStyle w:val="3"/>
        <w:adjustRightInd w:val="0"/>
        <w:snapToGrid w:val="0"/>
        <w:spacing w:line="560" w:lineRule="exact"/>
        <w:ind w:firstLine="422" w:firstLineChars="200"/>
        <w:rPr>
          <w:rFonts w:ascii="黑体" w:hAnsi="黑体" w:cs="黑体"/>
          <w:color w:val="auto"/>
          <w:sz w:val="21"/>
          <w:szCs w:val="21"/>
          <w:highlight w:val="none"/>
        </w:rPr>
      </w:pPr>
      <w:bookmarkStart w:id="717" w:name="_Toc179632598"/>
      <w:bookmarkStart w:id="718" w:name="_Toc246996967"/>
      <w:bookmarkStart w:id="719" w:name="_Toc144974547"/>
      <w:bookmarkStart w:id="720" w:name="_Toc246996224"/>
      <w:bookmarkStart w:id="721" w:name="_Toc32560"/>
      <w:bookmarkStart w:id="722" w:name="_Toc83301741"/>
      <w:bookmarkStart w:id="723" w:name="_Toc506107315"/>
      <w:bookmarkStart w:id="724" w:name="_Toc95223390"/>
      <w:bookmarkStart w:id="725" w:name="_Toc152042357"/>
      <w:bookmarkStart w:id="726" w:name="_Toc60061487"/>
      <w:bookmarkStart w:id="727" w:name="_Toc324404862"/>
      <w:bookmarkStart w:id="728" w:name="_Toc247085738"/>
      <w:bookmarkStart w:id="729" w:name="_Toc15058900"/>
      <w:bookmarkStart w:id="730" w:name="_Toc152045580"/>
      <w:r>
        <w:rPr>
          <w:rFonts w:hint="eastAsia" w:ascii="黑体" w:hAnsi="黑体" w:cs="黑体"/>
          <w:color w:val="auto"/>
          <w:sz w:val="21"/>
          <w:szCs w:val="21"/>
          <w:highlight w:val="none"/>
        </w:rPr>
        <w:t>10.需要补充的其他内容</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Start w:id="731" w:name="_Toc60061488"/>
      <w:bookmarkStart w:id="732" w:name="_Toc15058901"/>
    </w:p>
    <w:p w14:paraId="1972390B">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需要补充的其他内容：见投标人须知前附表。</w:t>
      </w:r>
      <w:bookmarkEnd w:id="731"/>
      <w:bookmarkEnd w:id="732"/>
    </w:p>
    <w:p w14:paraId="485CDD12">
      <w:pPr>
        <w:pStyle w:val="2"/>
        <w:pageBreakBefore/>
        <w:adjustRightInd w:val="0"/>
        <w:snapToGrid w:val="0"/>
        <w:spacing w:line="560" w:lineRule="exact"/>
        <w:jc w:val="center"/>
        <w:rPr>
          <w:color w:val="auto"/>
          <w:highlight w:val="none"/>
        </w:rPr>
      </w:pPr>
      <w:bookmarkStart w:id="733" w:name="_Toc1706"/>
      <w:r>
        <w:rPr>
          <w:rFonts w:hint="eastAsia"/>
          <w:color w:val="auto"/>
          <w:highlight w:val="none"/>
        </w:rPr>
        <w:t>第三章 资格审查</w:t>
      </w:r>
      <w:bookmarkEnd w:id="58"/>
      <w:r>
        <w:rPr>
          <w:rFonts w:hint="eastAsia"/>
          <w:color w:val="auto"/>
          <w:highlight w:val="none"/>
        </w:rPr>
        <w:t>办法</w:t>
      </w:r>
      <w:bookmarkEnd w:id="59"/>
      <w:bookmarkEnd w:id="60"/>
      <w:bookmarkEnd w:id="61"/>
      <w:bookmarkEnd w:id="62"/>
      <w:bookmarkEnd w:id="63"/>
      <w:bookmarkEnd w:id="733"/>
    </w:p>
    <w:p w14:paraId="04D8CA95">
      <w:pPr>
        <w:pStyle w:val="3"/>
        <w:adjustRightInd w:val="0"/>
        <w:snapToGrid w:val="0"/>
        <w:spacing w:line="560" w:lineRule="exact"/>
        <w:jc w:val="center"/>
        <w:rPr>
          <w:color w:val="auto"/>
          <w:highlight w:val="none"/>
        </w:rPr>
      </w:pPr>
      <w:bookmarkStart w:id="734" w:name="_Toc60061490"/>
      <w:bookmarkStart w:id="735" w:name="_Toc324404865"/>
      <w:bookmarkStart w:id="736" w:name="_Toc1369"/>
      <w:bookmarkStart w:id="737" w:name="_Toc506107318"/>
      <w:bookmarkStart w:id="738" w:name="_Toc95223393"/>
      <w:bookmarkStart w:id="739" w:name="_Toc15058903"/>
      <w:r>
        <w:rPr>
          <w:rFonts w:hint="eastAsia"/>
          <w:color w:val="auto"/>
          <w:highlight w:val="none"/>
        </w:rPr>
        <w:t>资格审查办法前附表</w:t>
      </w:r>
      <w:bookmarkEnd w:id="734"/>
      <w:bookmarkEnd w:id="735"/>
      <w:bookmarkEnd w:id="736"/>
      <w:bookmarkEnd w:id="737"/>
      <w:bookmarkEnd w:id="738"/>
      <w:bookmarkEnd w:id="739"/>
    </w:p>
    <w:tbl>
      <w:tblPr>
        <w:tblStyle w:val="19"/>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58"/>
        <w:gridCol w:w="5779"/>
        <w:gridCol w:w="2264"/>
      </w:tblGrid>
      <w:tr w14:paraId="34A5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023" w:type="dxa"/>
            <w:gridSpan w:val="2"/>
            <w:vAlign w:val="center"/>
          </w:tcPr>
          <w:p w14:paraId="6A54A3C9">
            <w:pPr>
              <w:adjustRightInd w:val="0"/>
              <w:snapToGrid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5779" w:type="dxa"/>
            <w:vAlign w:val="center"/>
          </w:tcPr>
          <w:p w14:paraId="5B39526B">
            <w:pPr>
              <w:adjustRightInd w:val="0"/>
              <w:snapToGrid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审查内容</w:t>
            </w:r>
          </w:p>
        </w:tc>
        <w:tc>
          <w:tcPr>
            <w:tcW w:w="2264" w:type="dxa"/>
            <w:vAlign w:val="center"/>
          </w:tcPr>
          <w:p w14:paraId="1B5C8560">
            <w:pPr>
              <w:adjustRightInd w:val="0"/>
              <w:snapToGrid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61FD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5" w:type="dxa"/>
            <w:vMerge w:val="restart"/>
            <w:vAlign w:val="center"/>
          </w:tcPr>
          <w:p w14:paraId="465DF8C3">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258" w:type="dxa"/>
            <w:vMerge w:val="restart"/>
            <w:vAlign w:val="center"/>
          </w:tcPr>
          <w:p w14:paraId="22A9525F">
            <w:pPr>
              <w:adjustRightInd w:val="0"/>
              <w:snapToGrid w:val="0"/>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审查资料</w:t>
            </w:r>
          </w:p>
        </w:tc>
        <w:tc>
          <w:tcPr>
            <w:tcW w:w="5779" w:type="dxa"/>
          </w:tcPr>
          <w:p w14:paraId="62D495FB">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法定代表人身份证明和本人有效身份证(或法定代表人授权委托书和委托代理人有效身份证)（如为联合体投标，须牵头方提供）</w:t>
            </w:r>
          </w:p>
        </w:tc>
        <w:tc>
          <w:tcPr>
            <w:tcW w:w="2264" w:type="dxa"/>
            <w:vMerge w:val="restart"/>
            <w:vAlign w:val="center"/>
          </w:tcPr>
          <w:p w14:paraId="1FAA357C">
            <w:pPr>
              <w:adjustRightInd w:val="0"/>
              <w:snapToGrid w:val="0"/>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检验电子标书</w:t>
            </w:r>
          </w:p>
        </w:tc>
      </w:tr>
      <w:tr w14:paraId="3846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vAlign w:val="center"/>
          </w:tcPr>
          <w:p w14:paraId="4459808C">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74021735">
            <w:pPr>
              <w:adjustRightInd w:val="0"/>
              <w:snapToGrid w:val="0"/>
              <w:spacing w:line="440" w:lineRule="exact"/>
              <w:jc w:val="center"/>
              <w:rPr>
                <w:rFonts w:ascii="宋体" w:hAnsi="宋体" w:cs="宋体"/>
                <w:b/>
                <w:bCs/>
                <w:color w:val="auto"/>
                <w:szCs w:val="21"/>
                <w:highlight w:val="none"/>
              </w:rPr>
            </w:pPr>
          </w:p>
        </w:tc>
        <w:tc>
          <w:tcPr>
            <w:tcW w:w="5779" w:type="dxa"/>
          </w:tcPr>
          <w:p w14:paraId="6158AD3B">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诚信投标承诺书（或《</w:t>
            </w:r>
            <w:r>
              <w:rPr>
                <w:rFonts w:hint="eastAsia" w:ascii="宋体" w:hAnsi="宋体" w:cs="宋体"/>
                <w:color w:val="auto"/>
                <w:kern w:val="0"/>
                <w:szCs w:val="21"/>
                <w:highlight w:val="none"/>
              </w:rPr>
              <w:t>公共信用信息报告（无违法违规证明版或核查版）</w:t>
            </w:r>
            <w:r>
              <w:rPr>
                <w:rFonts w:hint="eastAsia" w:ascii="宋体" w:hAnsi="宋体" w:cs="宋体"/>
                <w:color w:val="auto"/>
                <w:szCs w:val="21"/>
                <w:highlight w:val="none"/>
              </w:rPr>
              <w:t>》）（如为联合体投标，双方均需提供）</w:t>
            </w:r>
          </w:p>
        </w:tc>
        <w:tc>
          <w:tcPr>
            <w:tcW w:w="2264" w:type="dxa"/>
            <w:vMerge w:val="continue"/>
            <w:vAlign w:val="center"/>
          </w:tcPr>
          <w:p w14:paraId="3B8FC43E">
            <w:pPr>
              <w:adjustRightInd w:val="0"/>
              <w:snapToGrid w:val="0"/>
              <w:spacing w:line="440" w:lineRule="exact"/>
              <w:jc w:val="center"/>
              <w:rPr>
                <w:rFonts w:ascii="宋体" w:hAnsi="宋体" w:cs="宋体"/>
                <w:b/>
                <w:color w:val="auto"/>
                <w:szCs w:val="21"/>
                <w:highlight w:val="none"/>
              </w:rPr>
            </w:pPr>
          </w:p>
        </w:tc>
      </w:tr>
      <w:tr w14:paraId="776A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vAlign w:val="center"/>
          </w:tcPr>
          <w:p w14:paraId="358AF807">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2574D44A">
            <w:pPr>
              <w:adjustRightInd w:val="0"/>
              <w:snapToGrid w:val="0"/>
              <w:spacing w:line="440" w:lineRule="exact"/>
              <w:jc w:val="center"/>
              <w:rPr>
                <w:rFonts w:ascii="宋体" w:hAnsi="宋体" w:cs="宋体"/>
                <w:b/>
                <w:bCs/>
                <w:color w:val="auto"/>
                <w:szCs w:val="21"/>
                <w:highlight w:val="none"/>
              </w:rPr>
            </w:pPr>
          </w:p>
        </w:tc>
        <w:tc>
          <w:tcPr>
            <w:tcW w:w="5779" w:type="dxa"/>
          </w:tcPr>
          <w:p w14:paraId="4AA5B73E">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企业法人营业执照（如为联合体投标，双方均需提供）</w:t>
            </w:r>
          </w:p>
        </w:tc>
        <w:tc>
          <w:tcPr>
            <w:tcW w:w="2264" w:type="dxa"/>
            <w:vMerge w:val="continue"/>
            <w:vAlign w:val="center"/>
          </w:tcPr>
          <w:p w14:paraId="4804D5D2">
            <w:pPr>
              <w:adjustRightInd w:val="0"/>
              <w:snapToGrid w:val="0"/>
              <w:spacing w:line="440" w:lineRule="exact"/>
              <w:jc w:val="center"/>
              <w:rPr>
                <w:rFonts w:ascii="宋体" w:hAnsi="宋体" w:cs="宋体"/>
                <w:b/>
                <w:color w:val="auto"/>
                <w:szCs w:val="21"/>
                <w:highlight w:val="none"/>
              </w:rPr>
            </w:pPr>
          </w:p>
        </w:tc>
      </w:tr>
      <w:tr w14:paraId="4E29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vAlign w:val="center"/>
          </w:tcPr>
          <w:p w14:paraId="627D3961">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746D0D52">
            <w:pPr>
              <w:adjustRightInd w:val="0"/>
              <w:snapToGrid w:val="0"/>
              <w:spacing w:line="440" w:lineRule="exact"/>
              <w:jc w:val="center"/>
              <w:rPr>
                <w:rFonts w:ascii="宋体" w:hAnsi="宋体" w:cs="宋体"/>
                <w:b/>
                <w:bCs/>
                <w:color w:val="auto"/>
                <w:szCs w:val="21"/>
                <w:highlight w:val="none"/>
              </w:rPr>
            </w:pPr>
          </w:p>
        </w:tc>
        <w:tc>
          <w:tcPr>
            <w:tcW w:w="5779" w:type="dxa"/>
          </w:tcPr>
          <w:p w14:paraId="66684F7C">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企业资质证书（如为联合体投标，双方均需提供）</w:t>
            </w:r>
          </w:p>
        </w:tc>
        <w:tc>
          <w:tcPr>
            <w:tcW w:w="2264" w:type="dxa"/>
            <w:vMerge w:val="continue"/>
            <w:vAlign w:val="center"/>
          </w:tcPr>
          <w:p w14:paraId="4C66387D">
            <w:pPr>
              <w:adjustRightInd w:val="0"/>
              <w:snapToGrid w:val="0"/>
              <w:spacing w:line="440" w:lineRule="exact"/>
              <w:jc w:val="center"/>
              <w:rPr>
                <w:rFonts w:ascii="宋体" w:hAnsi="宋体" w:cs="宋体"/>
                <w:color w:val="auto"/>
                <w:szCs w:val="21"/>
                <w:highlight w:val="none"/>
              </w:rPr>
            </w:pPr>
          </w:p>
        </w:tc>
      </w:tr>
      <w:tr w14:paraId="5A6F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vAlign w:val="center"/>
          </w:tcPr>
          <w:p w14:paraId="2211C352">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57CA96F5">
            <w:pPr>
              <w:adjustRightInd w:val="0"/>
              <w:snapToGrid w:val="0"/>
              <w:spacing w:line="440" w:lineRule="exact"/>
              <w:jc w:val="center"/>
              <w:rPr>
                <w:rFonts w:ascii="宋体" w:hAnsi="宋体" w:cs="宋体"/>
                <w:b/>
                <w:bCs/>
                <w:color w:val="auto"/>
                <w:szCs w:val="21"/>
                <w:highlight w:val="none"/>
              </w:rPr>
            </w:pPr>
          </w:p>
        </w:tc>
        <w:tc>
          <w:tcPr>
            <w:tcW w:w="5779" w:type="dxa"/>
          </w:tcPr>
          <w:p w14:paraId="33114641">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企业安全生产许可证（如为联合体投标，仅施工方提供）</w:t>
            </w:r>
          </w:p>
        </w:tc>
        <w:tc>
          <w:tcPr>
            <w:tcW w:w="2264" w:type="dxa"/>
            <w:vMerge w:val="continue"/>
            <w:vAlign w:val="center"/>
          </w:tcPr>
          <w:p w14:paraId="1F0A79B2">
            <w:pPr>
              <w:adjustRightInd w:val="0"/>
              <w:snapToGrid w:val="0"/>
              <w:spacing w:line="440" w:lineRule="exact"/>
              <w:jc w:val="center"/>
              <w:rPr>
                <w:rFonts w:ascii="宋体" w:hAnsi="宋体" w:cs="宋体"/>
                <w:color w:val="auto"/>
                <w:szCs w:val="21"/>
                <w:highlight w:val="none"/>
              </w:rPr>
            </w:pPr>
          </w:p>
        </w:tc>
      </w:tr>
      <w:tr w14:paraId="5FC1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65" w:type="dxa"/>
            <w:vMerge w:val="continue"/>
            <w:vAlign w:val="center"/>
          </w:tcPr>
          <w:p w14:paraId="6A5F7F4A">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3D3D3797">
            <w:pPr>
              <w:adjustRightInd w:val="0"/>
              <w:snapToGrid w:val="0"/>
              <w:spacing w:line="440" w:lineRule="exact"/>
              <w:jc w:val="center"/>
              <w:rPr>
                <w:rFonts w:ascii="宋体" w:hAnsi="宋体" w:cs="宋体"/>
                <w:b/>
                <w:bCs/>
                <w:color w:val="auto"/>
                <w:szCs w:val="21"/>
                <w:highlight w:val="none"/>
              </w:rPr>
            </w:pPr>
          </w:p>
        </w:tc>
        <w:tc>
          <w:tcPr>
            <w:tcW w:w="5779" w:type="dxa"/>
          </w:tcPr>
          <w:p w14:paraId="64C63F6E">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项目经理和设计负责人有效身份证及对应证书</w:t>
            </w:r>
          </w:p>
        </w:tc>
        <w:tc>
          <w:tcPr>
            <w:tcW w:w="2264" w:type="dxa"/>
            <w:vMerge w:val="continue"/>
            <w:vAlign w:val="center"/>
          </w:tcPr>
          <w:p w14:paraId="72A22FFC">
            <w:pPr>
              <w:adjustRightInd w:val="0"/>
              <w:snapToGrid w:val="0"/>
              <w:spacing w:line="440" w:lineRule="exact"/>
              <w:jc w:val="center"/>
              <w:rPr>
                <w:rFonts w:ascii="宋体" w:hAnsi="宋体" w:cs="宋体"/>
                <w:color w:val="auto"/>
                <w:szCs w:val="21"/>
                <w:highlight w:val="none"/>
              </w:rPr>
            </w:pPr>
          </w:p>
        </w:tc>
      </w:tr>
      <w:tr w14:paraId="3D1D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65" w:type="dxa"/>
            <w:vMerge w:val="continue"/>
            <w:vAlign w:val="center"/>
          </w:tcPr>
          <w:p w14:paraId="2176AC00">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5A113F1A">
            <w:pPr>
              <w:adjustRightInd w:val="0"/>
              <w:snapToGrid w:val="0"/>
              <w:spacing w:line="440" w:lineRule="exact"/>
              <w:jc w:val="center"/>
              <w:rPr>
                <w:rFonts w:ascii="宋体" w:hAnsi="宋体" w:cs="宋体"/>
                <w:b/>
                <w:bCs/>
                <w:color w:val="auto"/>
                <w:szCs w:val="21"/>
                <w:highlight w:val="none"/>
              </w:rPr>
            </w:pPr>
          </w:p>
        </w:tc>
        <w:tc>
          <w:tcPr>
            <w:tcW w:w="5779" w:type="dxa"/>
          </w:tcPr>
          <w:p w14:paraId="4E0F61C3">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投标人的法定代表人(或委托代理人)、项目经理、设计负责人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tc>
        <w:tc>
          <w:tcPr>
            <w:tcW w:w="2264" w:type="dxa"/>
            <w:vMerge w:val="continue"/>
            <w:vAlign w:val="center"/>
          </w:tcPr>
          <w:p w14:paraId="5E2167CC">
            <w:pPr>
              <w:adjustRightInd w:val="0"/>
              <w:snapToGrid w:val="0"/>
              <w:spacing w:line="440" w:lineRule="exact"/>
              <w:jc w:val="center"/>
              <w:rPr>
                <w:rFonts w:ascii="宋体" w:hAnsi="宋体" w:cs="宋体"/>
                <w:color w:val="auto"/>
                <w:szCs w:val="21"/>
                <w:highlight w:val="none"/>
              </w:rPr>
            </w:pPr>
          </w:p>
        </w:tc>
      </w:tr>
      <w:tr w14:paraId="5246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65" w:type="dxa"/>
            <w:vMerge w:val="continue"/>
            <w:vAlign w:val="center"/>
          </w:tcPr>
          <w:p w14:paraId="32894E88">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7B0D51EE">
            <w:pPr>
              <w:adjustRightInd w:val="0"/>
              <w:snapToGrid w:val="0"/>
              <w:spacing w:line="440" w:lineRule="exact"/>
              <w:jc w:val="center"/>
              <w:rPr>
                <w:rFonts w:ascii="宋体" w:hAnsi="宋体" w:cs="宋体"/>
                <w:b/>
                <w:bCs/>
                <w:color w:val="auto"/>
                <w:szCs w:val="21"/>
                <w:highlight w:val="none"/>
              </w:rPr>
            </w:pPr>
          </w:p>
        </w:tc>
        <w:tc>
          <w:tcPr>
            <w:tcW w:w="5779" w:type="dxa"/>
          </w:tcPr>
          <w:p w14:paraId="460D7D5C">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项目管理机构，查看项目管理机构主要人员组成表</w:t>
            </w:r>
          </w:p>
        </w:tc>
        <w:tc>
          <w:tcPr>
            <w:tcW w:w="2264" w:type="dxa"/>
            <w:vMerge w:val="continue"/>
            <w:vAlign w:val="center"/>
          </w:tcPr>
          <w:p w14:paraId="6C8F753D">
            <w:pPr>
              <w:adjustRightInd w:val="0"/>
              <w:snapToGrid w:val="0"/>
              <w:spacing w:line="440" w:lineRule="exact"/>
              <w:jc w:val="center"/>
              <w:rPr>
                <w:rFonts w:ascii="宋体" w:hAnsi="宋体" w:cs="宋体"/>
                <w:color w:val="auto"/>
                <w:szCs w:val="21"/>
                <w:highlight w:val="none"/>
              </w:rPr>
            </w:pPr>
          </w:p>
        </w:tc>
      </w:tr>
      <w:tr w14:paraId="50C9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765" w:type="dxa"/>
            <w:vMerge w:val="continue"/>
            <w:vAlign w:val="center"/>
          </w:tcPr>
          <w:p w14:paraId="142B529D">
            <w:pPr>
              <w:adjustRightInd w:val="0"/>
              <w:snapToGrid w:val="0"/>
              <w:spacing w:line="440" w:lineRule="exact"/>
              <w:jc w:val="center"/>
              <w:rPr>
                <w:rFonts w:ascii="宋体" w:hAnsi="宋体" w:cs="宋体"/>
                <w:color w:val="auto"/>
                <w:szCs w:val="21"/>
                <w:highlight w:val="none"/>
              </w:rPr>
            </w:pPr>
          </w:p>
        </w:tc>
        <w:tc>
          <w:tcPr>
            <w:tcW w:w="1258" w:type="dxa"/>
            <w:vMerge w:val="continue"/>
            <w:vAlign w:val="center"/>
          </w:tcPr>
          <w:p w14:paraId="537B9485">
            <w:pPr>
              <w:adjustRightInd w:val="0"/>
              <w:snapToGrid w:val="0"/>
              <w:spacing w:line="440" w:lineRule="exact"/>
              <w:jc w:val="center"/>
              <w:rPr>
                <w:rFonts w:ascii="宋体" w:hAnsi="宋体" w:cs="宋体"/>
                <w:b/>
                <w:bCs/>
                <w:color w:val="auto"/>
                <w:szCs w:val="21"/>
                <w:highlight w:val="none"/>
              </w:rPr>
            </w:pPr>
          </w:p>
        </w:tc>
        <w:tc>
          <w:tcPr>
            <w:tcW w:w="5779" w:type="dxa"/>
          </w:tcPr>
          <w:p w14:paraId="449D1BC8">
            <w:pPr>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联合体协议书（如有）</w:t>
            </w:r>
          </w:p>
        </w:tc>
        <w:tc>
          <w:tcPr>
            <w:tcW w:w="2264" w:type="dxa"/>
            <w:vMerge w:val="continue"/>
            <w:vAlign w:val="center"/>
          </w:tcPr>
          <w:p w14:paraId="08C49FAA">
            <w:pPr>
              <w:adjustRightInd w:val="0"/>
              <w:snapToGrid w:val="0"/>
              <w:spacing w:line="440" w:lineRule="exact"/>
              <w:jc w:val="center"/>
              <w:rPr>
                <w:rFonts w:ascii="宋体" w:hAnsi="宋体" w:cs="宋体"/>
                <w:color w:val="auto"/>
                <w:szCs w:val="21"/>
                <w:highlight w:val="none"/>
              </w:rPr>
            </w:pPr>
          </w:p>
        </w:tc>
      </w:tr>
    </w:tbl>
    <w:p w14:paraId="3296A95F">
      <w:pPr>
        <w:adjustRightInd w:val="0"/>
        <w:snapToGrid w:val="0"/>
        <w:spacing w:line="560" w:lineRule="exact"/>
        <w:ind w:firstLine="422" w:firstLineChars="200"/>
        <w:jc w:val="left"/>
        <w:rPr>
          <w:rFonts w:ascii="黑体" w:hAnsi="黑体" w:eastAsia="黑体" w:cs="黑体"/>
          <w:b/>
          <w:bCs/>
          <w:color w:val="auto"/>
          <w:szCs w:val="21"/>
          <w:highlight w:val="none"/>
        </w:rPr>
      </w:pPr>
      <w:r>
        <w:rPr>
          <w:rFonts w:hint="eastAsia" w:ascii="黑体" w:hAnsi="黑体" w:eastAsia="黑体" w:cs="黑体"/>
          <w:b/>
          <w:bCs/>
          <w:color w:val="auto"/>
          <w:szCs w:val="21"/>
          <w:highlight w:val="none"/>
        </w:rPr>
        <w:t>重要提示：</w:t>
      </w:r>
    </w:p>
    <w:p w14:paraId="029DE423">
      <w:pPr>
        <w:spacing w:line="560" w:lineRule="exact"/>
        <w:ind w:firstLine="422" w:firstLineChars="200"/>
        <w:jc w:val="left"/>
        <w:rPr>
          <w:rFonts w:ascii="黑体" w:hAnsi="黑体" w:eastAsia="黑体" w:cs="黑体"/>
          <w:b/>
          <w:bCs/>
          <w:color w:val="auto"/>
          <w:szCs w:val="21"/>
          <w:highlight w:val="none"/>
        </w:rPr>
      </w:pPr>
      <w:bookmarkStart w:id="740" w:name="_Toc506107319"/>
      <w:bookmarkStart w:id="741" w:name="_Toc60061491"/>
      <w:bookmarkStart w:id="742" w:name="_Toc15058904"/>
      <w:bookmarkStart w:id="743" w:name="_Toc95223394"/>
      <w:bookmarkStart w:id="744" w:name="_Toc324404866"/>
      <w:r>
        <w:rPr>
          <w:rFonts w:hint="eastAsia" w:ascii="黑体" w:hAnsi="黑体" w:eastAsia="黑体" w:cs="黑体"/>
          <w:b/>
          <w:bCs/>
          <w:color w:val="auto"/>
          <w:szCs w:val="21"/>
          <w:highlight w:val="none"/>
        </w:rPr>
        <w:t>（1）资格审查材料可以选择①上传到安徽省公共资源交易市场主体库中，制作投标文件时插上CA数字证书，从安徽省公共资源交易市场主体库中挑选相关材料，或按招标文件要求上传至指定位置；若所需材料无对应栏目，则将该材料上传至“其他所需材料”里，做电子投标文件时从“其他所需材料”里获取。请各投标人自行完善安徽省公共资源交易市场主体库中的单位信息，保证信息最新且有效。②或使用国家企业信用信息公示系统和全国建筑市场监管公共服务平台接口获取营业执照、建设工程相关证书等政务数据，投标人自行核验政务数据的准确性，对引用的政务数据承担责任。</w:t>
      </w:r>
    </w:p>
    <w:p w14:paraId="2007DBDD">
      <w:pPr>
        <w:spacing w:line="560" w:lineRule="exact"/>
        <w:ind w:firstLine="422" w:firstLineChars="200"/>
        <w:jc w:val="left"/>
        <w:rPr>
          <w:rFonts w:ascii="黑体" w:hAnsi="黑体" w:eastAsia="黑体" w:cs="黑体"/>
          <w:b/>
          <w:bCs/>
          <w:color w:val="auto"/>
          <w:szCs w:val="21"/>
          <w:highlight w:val="none"/>
        </w:rPr>
      </w:pPr>
      <w:r>
        <w:rPr>
          <w:rFonts w:hint="eastAsia" w:ascii="黑体" w:hAnsi="黑体" w:eastAsia="黑体" w:cs="黑体"/>
          <w:b/>
          <w:bCs/>
          <w:color w:val="auto"/>
          <w:szCs w:val="21"/>
          <w:highlight w:val="none"/>
        </w:rPr>
        <w:t>（2）评标专家在检验电子投标文件过程中，如果由于投标人自身原因导致评标专家无法查看并检验电子投标文件中相关资料的，视为无效标处理。即使投标人将原件携带至现场的，同样按无效标处理。</w:t>
      </w:r>
    </w:p>
    <w:p w14:paraId="3BD12340">
      <w:pPr>
        <w:spacing w:line="560" w:lineRule="exact"/>
        <w:ind w:firstLine="422" w:firstLineChars="200"/>
        <w:jc w:val="left"/>
        <w:rPr>
          <w:rFonts w:ascii="黑体" w:hAnsi="黑体" w:eastAsia="黑体" w:cs="黑体"/>
          <w:b/>
          <w:bCs/>
          <w:color w:val="auto"/>
          <w:szCs w:val="21"/>
          <w:highlight w:val="none"/>
        </w:rPr>
      </w:pPr>
      <w:r>
        <w:rPr>
          <w:rFonts w:hint="eastAsia" w:ascii="黑体" w:hAnsi="黑体" w:eastAsia="黑体" w:cs="黑体"/>
          <w:b/>
          <w:bCs/>
          <w:color w:val="auto"/>
          <w:szCs w:val="21"/>
          <w:highlight w:val="none"/>
        </w:rPr>
        <w:t>（3）投标人拟委任项目经理为注册建造师（含一级、二级）的，须提供在电子证书使用有效期内的纸质版电子证书。一级建造师打印电子证书后，应在个人签名处手写本人签名，未手写签名或与签名图像笔迹不一致的，该电子证书无效。</w:t>
      </w:r>
    </w:p>
    <w:p w14:paraId="21D2DC14">
      <w:pPr>
        <w:spacing w:line="560" w:lineRule="exact"/>
        <w:ind w:firstLine="422" w:firstLineChars="200"/>
        <w:jc w:val="left"/>
        <w:rPr>
          <w:rFonts w:ascii="黑体" w:hAnsi="黑体" w:eastAsia="黑体" w:cs="黑体"/>
          <w:b/>
          <w:bCs/>
          <w:color w:val="auto"/>
          <w:szCs w:val="21"/>
          <w:highlight w:val="none"/>
        </w:rPr>
      </w:pPr>
      <w:r>
        <w:rPr>
          <w:rFonts w:hint="eastAsia" w:ascii="黑体" w:hAnsi="黑体" w:eastAsia="黑体" w:cs="黑体"/>
          <w:b/>
          <w:bCs/>
          <w:color w:val="auto"/>
          <w:szCs w:val="21"/>
          <w:highlight w:val="none"/>
        </w:rPr>
        <w:t>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p>
    <w:p w14:paraId="3B6FFA63">
      <w:pPr>
        <w:pStyle w:val="3"/>
        <w:adjustRightInd w:val="0"/>
        <w:snapToGrid w:val="0"/>
        <w:spacing w:line="560" w:lineRule="exact"/>
        <w:ind w:firstLine="422" w:firstLineChars="200"/>
        <w:rPr>
          <w:rFonts w:ascii="黑体" w:hAnsi="黑体" w:cs="黑体"/>
          <w:color w:val="auto"/>
          <w:sz w:val="21"/>
          <w:szCs w:val="21"/>
          <w:highlight w:val="none"/>
        </w:rPr>
      </w:pPr>
      <w:bookmarkStart w:id="745" w:name="_Toc6179"/>
      <w:r>
        <w:rPr>
          <w:rFonts w:hint="eastAsia" w:ascii="黑体" w:hAnsi="黑体" w:cs="黑体"/>
          <w:color w:val="auto"/>
          <w:sz w:val="21"/>
          <w:szCs w:val="21"/>
          <w:highlight w:val="none"/>
        </w:rPr>
        <w:t>1.审查资料</w:t>
      </w:r>
      <w:bookmarkEnd w:id="740"/>
      <w:bookmarkEnd w:id="741"/>
      <w:bookmarkEnd w:id="742"/>
      <w:bookmarkEnd w:id="743"/>
      <w:bookmarkEnd w:id="744"/>
      <w:bookmarkEnd w:id="745"/>
    </w:p>
    <w:p w14:paraId="016AF1DC">
      <w:pPr>
        <w:adjustRightInd w:val="0"/>
        <w:snapToGrid w:val="0"/>
        <w:spacing w:line="560" w:lineRule="exact"/>
        <w:ind w:firstLine="420" w:firstLineChars="200"/>
        <w:rPr>
          <w:rFonts w:ascii="宋体" w:hAnsi="宋体" w:cs="宋体"/>
          <w:color w:val="auto"/>
          <w:szCs w:val="21"/>
          <w:highlight w:val="none"/>
        </w:rPr>
      </w:pPr>
      <w:bookmarkStart w:id="746" w:name="_Toc15058905"/>
      <w:bookmarkStart w:id="747" w:name="_Toc58229030"/>
      <w:bookmarkStart w:id="748" w:name="_Toc324404867"/>
      <w:r>
        <w:rPr>
          <w:rFonts w:hint="eastAsia" w:ascii="宋体" w:hAnsi="宋体" w:cs="宋体"/>
          <w:color w:val="auto"/>
          <w:szCs w:val="21"/>
          <w:highlight w:val="none"/>
        </w:rPr>
        <w:t>（1）法定代表人身份证明和本人有效身份证(或法定代表人授权委托书和委托代理人有效身份证)；（如为联合体投标，须牵头方提供）</w:t>
      </w:r>
    </w:p>
    <w:p w14:paraId="1663470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（2）诚信投标承诺书（或《</w:t>
      </w:r>
      <w:r>
        <w:rPr>
          <w:rFonts w:hint="eastAsia" w:ascii="宋体" w:hAnsi="宋体" w:cs="宋体"/>
          <w:color w:val="auto"/>
          <w:kern w:val="0"/>
          <w:szCs w:val="21"/>
          <w:highlight w:val="none"/>
        </w:rPr>
        <w:t>公共信用信息报告（无违法违规证明版或核查版）</w:t>
      </w:r>
      <w:r>
        <w:rPr>
          <w:rFonts w:hint="eastAsia" w:ascii="宋体" w:hAnsi="宋体" w:cs="宋体"/>
          <w:color w:val="auto"/>
          <w:szCs w:val="21"/>
          <w:highlight w:val="none"/>
        </w:rPr>
        <w:t>》）；（如为联合体投标，双方均需提供）</w:t>
      </w:r>
    </w:p>
    <w:p w14:paraId="7AFCC7B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（3）企业法人营业执照；（如为联合体投标，双方均需提供）</w:t>
      </w:r>
    </w:p>
    <w:p w14:paraId="286334D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（4）企业资质证书；（如为联合体投标，双方均需提供）</w:t>
      </w:r>
    </w:p>
    <w:p w14:paraId="717C406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（5）企业安全生产许可证；（如为联合体投标，仅施工方提供）</w:t>
      </w:r>
    </w:p>
    <w:p w14:paraId="667FDBD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（6）项目经理和设计负责人有效身份证及对应证书；</w:t>
      </w:r>
    </w:p>
    <w:p w14:paraId="3D08AA5C">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投标人的法定代表人(或委托代理人)、项目经理、设计负责人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p w14:paraId="336EBC49">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（8）项目管理机构。查看项目管理机构主要人员组成表。</w:t>
      </w:r>
    </w:p>
    <w:p w14:paraId="45CF9E2D">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（9）联合体协议书（如有）</w:t>
      </w:r>
    </w:p>
    <w:p w14:paraId="74BDD492">
      <w:pPr>
        <w:adjustRightInd w:val="0"/>
        <w:snapToGrid w:val="0"/>
        <w:spacing w:line="560" w:lineRule="exact"/>
        <w:ind w:firstLine="422" w:firstLineChars="200"/>
        <w:jc w:val="left"/>
        <w:rPr>
          <w:rFonts w:ascii="黑体" w:hAnsi="黑体" w:eastAsia="黑体" w:cs="黑体"/>
          <w:b/>
          <w:color w:val="auto"/>
          <w:szCs w:val="21"/>
          <w:highlight w:val="none"/>
        </w:rPr>
      </w:pPr>
      <w:r>
        <w:rPr>
          <w:rFonts w:hint="eastAsia" w:ascii="黑体" w:hAnsi="黑体" w:eastAsia="黑体" w:cs="黑体"/>
          <w:b/>
          <w:color w:val="auto"/>
          <w:szCs w:val="21"/>
          <w:highlight w:val="none"/>
        </w:rPr>
        <w:t>温馨提示：</w:t>
      </w:r>
      <w:bookmarkEnd w:id="746"/>
      <w:bookmarkEnd w:id="747"/>
    </w:p>
    <w:p w14:paraId="41B54AB3">
      <w:pPr>
        <w:adjustRightInd w:val="0"/>
        <w:snapToGrid w:val="0"/>
        <w:spacing w:line="560" w:lineRule="exact"/>
        <w:ind w:firstLine="422" w:firstLineChars="200"/>
        <w:jc w:val="left"/>
        <w:rPr>
          <w:rFonts w:ascii="黑体" w:hAnsi="黑体" w:eastAsia="黑体" w:cs="黑体"/>
          <w:b/>
          <w:color w:val="auto"/>
          <w:szCs w:val="21"/>
          <w:highlight w:val="none"/>
        </w:rPr>
      </w:pPr>
      <w:bookmarkStart w:id="749" w:name="_Toc15058906"/>
      <w:bookmarkStart w:id="750" w:name="_Toc58229031"/>
      <w:bookmarkStart w:id="751" w:name="_Toc15058907"/>
      <w:bookmarkStart w:id="752" w:name="_Toc58229032"/>
      <w:r>
        <w:rPr>
          <w:rFonts w:hint="eastAsia" w:ascii="黑体" w:hAnsi="黑体" w:eastAsia="黑体" w:cs="黑体"/>
          <w:b/>
          <w:color w:val="auto"/>
          <w:szCs w:val="21"/>
          <w:highlight w:val="none"/>
        </w:rPr>
        <w:t>（1）</w:t>
      </w:r>
      <w:bookmarkEnd w:id="749"/>
      <w:bookmarkEnd w:id="750"/>
      <w:r>
        <w:rPr>
          <w:rFonts w:hint="eastAsia" w:ascii="黑体" w:hAnsi="黑体" w:eastAsia="黑体" w:cs="黑体"/>
          <w:b/>
          <w:color w:val="auto"/>
          <w:szCs w:val="21"/>
          <w:highlight w:val="none"/>
        </w:rPr>
        <w:t>请各投标人自行完善安徽省公共资源交易市场主体库中的单位基本信息，保证信息最新且有效。</w:t>
      </w:r>
    </w:p>
    <w:p w14:paraId="3C37282A">
      <w:pPr>
        <w:adjustRightInd w:val="0"/>
        <w:snapToGrid w:val="0"/>
        <w:spacing w:line="560" w:lineRule="exact"/>
        <w:ind w:firstLine="422" w:firstLineChars="200"/>
        <w:jc w:val="left"/>
        <w:rPr>
          <w:rFonts w:ascii="黑体" w:hAnsi="黑体" w:eastAsia="黑体" w:cs="黑体"/>
          <w:b/>
          <w:color w:val="auto"/>
          <w:szCs w:val="21"/>
          <w:highlight w:val="none"/>
        </w:rPr>
      </w:pPr>
      <w:r>
        <w:rPr>
          <w:rFonts w:hint="eastAsia" w:ascii="黑体" w:hAnsi="黑体" w:eastAsia="黑体" w:cs="黑体"/>
          <w:b/>
          <w:color w:val="auto"/>
          <w:szCs w:val="21"/>
          <w:highlight w:val="none"/>
        </w:rPr>
        <w:t>（2）请投标人认真准备投标文件资格审查资料,如评标专家在检验电子标书过程中，如果由于投标人自身原因导致评标专家无法查看并检验电子标书中相关资料的，视为无效标处理。即使投标人将原件携带至现场的，同样按无效标处理。</w:t>
      </w:r>
      <w:bookmarkEnd w:id="751"/>
      <w:bookmarkEnd w:id="752"/>
    </w:p>
    <w:p w14:paraId="7DD37C9E">
      <w:pPr>
        <w:pStyle w:val="3"/>
        <w:adjustRightInd w:val="0"/>
        <w:snapToGrid w:val="0"/>
        <w:spacing w:line="560" w:lineRule="exact"/>
        <w:ind w:firstLine="422" w:firstLineChars="200"/>
        <w:rPr>
          <w:rFonts w:ascii="黑体" w:hAnsi="黑体" w:cs="黑体"/>
          <w:color w:val="auto"/>
          <w:sz w:val="21"/>
          <w:szCs w:val="21"/>
          <w:highlight w:val="none"/>
        </w:rPr>
      </w:pPr>
      <w:bookmarkStart w:id="753" w:name="_Toc95223395"/>
      <w:bookmarkStart w:id="754" w:name="_Toc506107320"/>
      <w:bookmarkStart w:id="755" w:name="_Toc60061492"/>
      <w:bookmarkStart w:id="756" w:name="_Toc15058909"/>
      <w:bookmarkStart w:id="757" w:name="_Toc2227"/>
      <w:r>
        <w:rPr>
          <w:rFonts w:hint="eastAsia" w:ascii="黑体" w:hAnsi="黑体" w:cs="黑体"/>
          <w:color w:val="auto"/>
          <w:sz w:val="21"/>
          <w:szCs w:val="21"/>
          <w:highlight w:val="none"/>
        </w:rPr>
        <w:t>2.审查办法</w:t>
      </w:r>
      <w:bookmarkEnd w:id="748"/>
      <w:bookmarkEnd w:id="753"/>
      <w:bookmarkEnd w:id="754"/>
      <w:bookmarkEnd w:id="755"/>
      <w:bookmarkEnd w:id="756"/>
      <w:bookmarkEnd w:id="757"/>
    </w:p>
    <w:p w14:paraId="1CCD4593">
      <w:pPr>
        <w:adjustRightInd w:val="0"/>
        <w:snapToGrid w:val="0"/>
        <w:spacing w:line="560" w:lineRule="exact"/>
        <w:ind w:firstLine="420" w:firstLineChars="200"/>
        <w:rPr>
          <w:rFonts w:ascii="宋体" w:hAnsi="宋体" w:cs="宋体"/>
          <w:color w:val="auto"/>
          <w:szCs w:val="21"/>
          <w:highlight w:val="none"/>
        </w:rPr>
      </w:pPr>
      <w:bookmarkStart w:id="758" w:name="_Toc15058910"/>
      <w:bookmarkStart w:id="759" w:name="_Toc60061493"/>
      <w:bookmarkStart w:id="760" w:name="_Toc324404868"/>
      <w:bookmarkStart w:id="761" w:name="_Toc506107321"/>
      <w:r>
        <w:rPr>
          <w:rFonts w:hint="eastAsia" w:ascii="宋体" w:hAnsi="宋体" w:cs="宋体"/>
          <w:color w:val="auto"/>
          <w:szCs w:val="21"/>
          <w:highlight w:val="none"/>
        </w:rPr>
        <w:t>由资格审查委员会（评标委员会）按资格审查办法前附表中资格审查必要合格条件评审表要求对投标人审查资料进行核验。</w:t>
      </w:r>
    </w:p>
    <w:p w14:paraId="4F4DB17F">
      <w:pPr>
        <w:pStyle w:val="3"/>
        <w:adjustRightInd w:val="0"/>
        <w:snapToGrid w:val="0"/>
        <w:spacing w:line="560" w:lineRule="exact"/>
        <w:ind w:firstLine="422" w:firstLineChars="200"/>
        <w:rPr>
          <w:rFonts w:ascii="黑体" w:hAnsi="黑体" w:cs="黑体"/>
          <w:color w:val="auto"/>
          <w:sz w:val="21"/>
          <w:szCs w:val="21"/>
          <w:highlight w:val="none"/>
        </w:rPr>
      </w:pPr>
      <w:bookmarkStart w:id="762" w:name="_Toc95223396"/>
      <w:bookmarkStart w:id="763" w:name="_Toc31724"/>
      <w:r>
        <w:rPr>
          <w:rFonts w:hint="eastAsia" w:ascii="黑体" w:hAnsi="黑体" w:cs="黑体"/>
          <w:color w:val="auto"/>
          <w:sz w:val="21"/>
          <w:szCs w:val="21"/>
          <w:highlight w:val="none"/>
        </w:rPr>
        <w:t>3.资格审查委员会和审查标准</w:t>
      </w:r>
      <w:bookmarkEnd w:id="758"/>
      <w:bookmarkEnd w:id="759"/>
      <w:bookmarkEnd w:id="760"/>
      <w:bookmarkEnd w:id="761"/>
      <w:bookmarkEnd w:id="762"/>
      <w:bookmarkEnd w:id="763"/>
    </w:p>
    <w:p w14:paraId="55100B81">
      <w:pPr>
        <w:adjustRightInd w:val="0"/>
        <w:snapToGrid w:val="0"/>
        <w:spacing w:line="560" w:lineRule="exact"/>
        <w:ind w:firstLine="420" w:firstLineChars="200"/>
        <w:rPr>
          <w:rFonts w:ascii="宋体" w:hAnsi="宋体" w:cs="宋体"/>
          <w:color w:val="auto"/>
          <w:szCs w:val="21"/>
          <w:highlight w:val="none"/>
        </w:rPr>
      </w:pPr>
      <w:bookmarkStart w:id="764" w:name="_Toc95223397"/>
      <w:bookmarkStart w:id="765" w:name="_Toc15058911"/>
      <w:bookmarkStart w:id="766" w:name="_Toc324404869"/>
      <w:bookmarkStart w:id="767" w:name="_Toc506107322"/>
      <w:bookmarkStart w:id="768" w:name="_Toc60061494"/>
      <w:r>
        <w:rPr>
          <w:rFonts w:hint="eastAsia" w:ascii="宋体" w:hAnsi="宋体" w:cs="宋体"/>
          <w:color w:val="auto"/>
          <w:szCs w:val="21"/>
          <w:highlight w:val="none"/>
        </w:rPr>
        <w:t>3.1资格审查由招标人依法组建的资格审查委员会（或评标委员会）负责。审查标准见资格审查办法前附表。</w:t>
      </w:r>
    </w:p>
    <w:p w14:paraId="79080F2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3.2由资格审查委员会（评标委员会）按资格审查办法前附表要求对投标人的审查资料进行核验。投标申请人有下列情形之一的，其资格审查为不合格： </w:t>
      </w:r>
    </w:p>
    <w:p w14:paraId="4A53FDBE">
      <w:pPr>
        <w:adjustRightInd w:val="0"/>
        <w:snapToGrid w:val="0"/>
        <w:spacing w:line="560" w:lineRule="exact"/>
        <w:ind w:firstLine="420" w:firstLineChars="200"/>
        <w:outlineLvl w:val="2"/>
        <w:rPr>
          <w:rFonts w:ascii="宋体" w:hAnsi="宋体" w:cs="宋体"/>
          <w:color w:val="auto"/>
          <w:szCs w:val="21"/>
          <w:highlight w:val="none"/>
        </w:rPr>
      </w:pPr>
      <w:bookmarkStart w:id="769" w:name="_Toc21616"/>
      <w:r>
        <w:rPr>
          <w:rFonts w:hint="eastAsia" w:ascii="宋体" w:hAnsi="宋体" w:cs="宋体"/>
          <w:color w:val="auto"/>
          <w:szCs w:val="21"/>
          <w:highlight w:val="none"/>
        </w:rPr>
        <w:t>（1）未上传电子标书或电子标书经审查不合格；</w:t>
      </w:r>
      <w:bookmarkEnd w:id="769"/>
    </w:p>
    <w:p w14:paraId="221DBB5C">
      <w:pPr>
        <w:adjustRightInd w:val="0"/>
        <w:snapToGrid w:val="0"/>
        <w:spacing w:line="560" w:lineRule="exact"/>
        <w:ind w:firstLine="420" w:firstLineChars="200"/>
        <w:outlineLvl w:val="2"/>
        <w:rPr>
          <w:rFonts w:ascii="宋体" w:hAnsi="宋体" w:cs="宋体"/>
          <w:color w:val="auto"/>
          <w:szCs w:val="21"/>
          <w:highlight w:val="none"/>
        </w:rPr>
      </w:pPr>
      <w:bookmarkStart w:id="770" w:name="_Toc29069"/>
      <w:r>
        <w:rPr>
          <w:rFonts w:hint="eastAsia" w:ascii="宋体" w:hAnsi="宋体" w:cs="宋体"/>
          <w:color w:val="auto"/>
          <w:szCs w:val="21"/>
          <w:highlight w:val="none"/>
        </w:rPr>
        <w:t>（2）联合体投标人没有提交联合体协议书；</w:t>
      </w:r>
      <w:bookmarkEnd w:id="770"/>
    </w:p>
    <w:p w14:paraId="6F6A5537">
      <w:pPr>
        <w:adjustRightInd w:val="0"/>
        <w:snapToGrid w:val="0"/>
        <w:spacing w:line="560" w:lineRule="exact"/>
        <w:ind w:firstLine="420" w:firstLineChars="200"/>
        <w:outlineLvl w:val="2"/>
        <w:rPr>
          <w:rFonts w:ascii="宋体" w:hAnsi="宋体" w:cs="宋体"/>
          <w:color w:val="auto"/>
          <w:szCs w:val="21"/>
          <w:highlight w:val="none"/>
        </w:rPr>
      </w:pPr>
      <w:bookmarkStart w:id="771" w:name="_Toc11951"/>
      <w:r>
        <w:rPr>
          <w:rFonts w:hint="eastAsia" w:ascii="宋体" w:hAnsi="宋体" w:cs="宋体"/>
          <w:color w:val="auto"/>
          <w:szCs w:val="21"/>
          <w:highlight w:val="none"/>
        </w:rPr>
        <w:t>（3）保证金不按第二章“投标人须知”及其前附表要求提交投标保证金的；</w:t>
      </w:r>
      <w:bookmarkEnd w:id="771"/>
      <w:r>
        <w:rPr>
          <w:rFonts w:hint="eastAsia" w:ascii="宋体" w:hAnsi="宋体" w:cs="宋体"/>
          <w:color w:val="auto"/>
          <w:szCs w:val="21"/>
          <w:highlight w:val="none"/>
        </w:rPr>
        <w:t xml:space="preserve"> </w:t>
      </w:r>
    </w:p>
    <w:p w14:paraId="363FDF15">
      <w:pPr>
        <w:adjustRightInd w:val="0"/>
        <w:snapToGrid w:val="0"/>
        <w:spacing w:line="560" w:lineRule="exact"/>
        <w:ind w:firstLine="420" w:firstLineChars="200"/>
        <w:outlineLvl w:val="2"/>
        <w:rPr>
          <w:rFonts w:ascii="宋体" w:hAnsi="宋体" w:cs="宋体"/>
          <w:color w:val="auto"/>
          <w:szCs w:val="21"/>
          <w:highlight w:val="none"/>
        </w:rPr>
      </w:pPr>
      <w:bookmarkStart w:id="772" w:name="_Toc24714"/>
      <w:r>
        <w:rPr>
          <w:rFonts w:hint="eastAsia" w:ascii="宋体" w:hAnsi="宋体" w:cs="宋体"/>
          <w:color w:val="auto"/>
          <w:szCs w:val="21"/>
          <w:highlight w:val="none"/>
        </w:rPr>
        <w:t>（4）投标人未办理省主体库登记入库手续的；</w:t>
      </w:r>
      <w:bookmarkEnd w:id="772"/>
    </w:p>
    <w:p w14:paraId="703150A9">
      <w:pPr>
        <w:adjustRightInd w:val="0"/>
        <w:snapToGrid w:val="0"/>
        <w:spacing w:line="560" w:lineRule="exact"/>
        <w:ind w:firstLine="420" w:firstLineChars="200"/>
        <w:outlineLvl w:val="2"/>
        <w:rPr>
          <w:rFonts w:ascii="宋体" w:hAnsi="宋体" w:cs="宋体"/>
          <w:color w:val="auto"/>
          <w:szCs w:val="21"/>
          <w:highlight w:val="none"/>
        </w:rPr>
      </w:pPr>
      <w:bookmarkStart w:id="773" w:name="_Toc23332"/>
      <w:r>
        <w:rPr>
          <w:rFonts w:hint="eastAsia" w:ascii="宋体" w:hAnsi="宋体" w:cs="宋体"/>
          <w:color w:val="auto"/>
          <w:szCs w:val="21"/>
          <w:highlight w:val="none"/>
        </w:rPr>
        <w:t>（5）投标人投标 MAC 地址一致的；</w:t>
      </w:r>
      <w:bookmarkEnd w:id="773"/>
    </w:p>
    <w:p w14:paraId="6D63A090">
      <w:pPr>
        <w:adjustRightInd w:val="0"/>
        <w:snapToGrid w:val="0"/>
        <w:spacing w:line="560" w:lineRule="exact"/>
        <w:ind w:firstLine="420" w:firstLineChars="200"/>
        <w:outlineLvl w:val="2"/>
        <w:rPr>
          <w:rFonts w:ascii="宋体" w:hAnsi="宋体" w:cs="宋体"/>
          <w:color w:val="auto"/>
          <w:szCs w:val="21"/>
          <w:highlight w:val="none"/>
        </w:rPr>
      </w:pPr>
      <w:bookmarkStart w:id="774" w:name="_Toc5898"/>
      <w:r>
        <w:rPr>
          <w:rFonts w:hint="eastAsia" w:ascii="宋体" w:hAnsi="宋体" w:cs="宋体"/>
          <w:color w:val="auto"/>
          <w:szCs w:val="21"/>
          <w:highlight w:val="none"/>
        </w:rPr>
        <w:t>（6）投标人申请开具电子保函 MAC 地址一致的；</w:t>
      </w:r>
      <w:bookmarkEnd w:id="774"/>
    </w:p>
    <w:p w14:paraId="7B14F05E">
      <w:pPr>
        <w:adjustRightInd w:val="0"/>
        <w:snapToGrid w:val="0"/>
        <w:spacing w:line="560" w:lineRule="exact"/>
        <w:ind w:firstLine="420" w:firstLineChars="200"/>
        <w:outlineLvl w:val="2"/>
        <w:rPr>
          <w:rFonts w:ascii="宋体" w:hAnsi="宋体" w:cs="宋体"/>
          <w:color w:val="auto"/>
          <w:szCs w:val="21"/>
          <w:highlight w:val="none"/>
        </w:rPr>
      </w:pPr>
      <w:bookmarkStart w:id="775" w:name="_Toc2986"/>
      <w:r>
        <w:rPr>
          <w:rFonts w:hint="eastAsia" w:ascii="宋体" w:hAnsi="宋体" w:cs="宋体"/>
          <w:color w:val="auto"/>
          <w:szCs w:val="21"/>
          <w:highlight w:val="none"/>
        </w:rPr>
        <w:t>（7）投标人投标文件制作机器码、文件创建标识码及造价软件加密锁号信息雷同的；</w:t>
      </w:r>
      <w:bookmarkEnd w:id="775"/>
    </w:p>
    <w:p w14:paraId="1A9D5416">
      <w:pPr>
        <w:adjustRightInd w:val="0"/>
        <w:snapToGrid w:val="0"/>
        <w:spacing w:line="560" w:lineRule="exact"/>
        <w:ind w:firstLine="420" w:firstLineChars="200"/>
        <w:outlineLvl w:val="2"/>
        <w:rPr>
          <w:rFonts w:ascii="宋体" w:hAnsi="宋体" w:cs="宋体"/>
          <w:color w:val="auto"/>
          <w:szCs w:val="21"/>
          <w:highlight w:val="none"/>
        </w:rPr>
      </w:pPr>
      <w:bookmarkStart w:id="776" w:name="_Toc29313"/>
      <w:r>
        <w:rPr>
          <w:rFonts w:hint="eastAsia" w:ascii="宋体" w:hAnsi="宋体" w:cs="宋体"/>
          <w:color w:val="auto"/>
          <w:szCs w:val="21"/>
          <w:highlight w:val="none"/>
        </w:rPr>
        <w:t>（8）法律、法规规定的其他情形。</w:t>
      </w:r>
      <w:bookmarkEnd w:id="776"/>
    </w:p>
    <w:p w14:paraId="4BE2AE58">
      <w:pPr>
        <w:pStyle w:val="3"/>
        <w:adjustRightInd w:val="0"/>
        <w:snapToGrid w:val="0"/>
        <w:spacing w:line="560" w:lineRule="exact"/>
        <w:ind w:firstLine="422" w:firstLineChars="200"/>
        <w:rPr>
          <w:rFonts w:ascii="黑体" w:hAnsi="黑体" w:cs="黑体"/>
          <w:color w:val="auto"/>
          <w:sz w:val="21"/>
          <w:szCs w:val="21"/>
          <w:highlight w:val="none"/>
        </w:rPr>
      </w:pPr>
      <w:bookmarkStart w:id="777" w:name="_Toc30413"/>
      <w:r>
        <w:rPr>
          <w:rFonts w:hint="eastAsia" w:ascii="黑体" w:hAnsi="黑体" w:cs="黑体"/>
          <w:color w:val="auto"/>
          <w:sz w:val="21"/>
          <w:szCs w:val="21"/>
          <w:highlight w:val="none"/>
        </w:rPr>
        <w:t>4.审查结果</w:t>
      </w:r>
      <w:bookmarkEnd w:id="764"/>
      <w:bookmarkEnd w:id="765"/>
      <w:bookmarkEnd w:id="766"/>
      <w:bookmarkEnd w:id="767"/>
      <w:bookmarkEnd w:id="768"/>
      <w:bookmarkEnd w:id="777"/>
    </w:p>
    <w:p w14:paraId="159E961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只有通过资格审查的投标人才能进入下一步的评标程序。</w:t>
      </w:r>
      <w:bookmarkStart w:id="778" w:name="_Toc506107323"/>
    </w:p>
    <w:bookmarkEnd w:id="64"/>
    <w:bookmarkEnd w:id="778"/>
    <w:p w14:paraId="11ED6E91">
      <w:pPr>
        <w:pStyle w:val="18"/>
        <w:ind w:left="0" w:leftChars="0" w:firstLine="0" w:firstLineChars="0"/>
        <w:rPr>
          <w:color w:val="auto"/>
          <w:highlight w:val="none"/>
        </w:rPr>
      </w:pPr>
    </w:p>
    <w:p w14:paraId="3BCB3779">
      <w:pPr>
        <w:jc w:val="center"/>
        <w:rPr>
          <w:color w:val="auto"/>
          <w:highlight w:val="none"/>
        </w:rPr>
      </w:pPr>
      <w:bookmarkStart w:id="779" w:name="_Toc95223428"/>
      <w:bookmarkStart w:id="780" w:name="_Toc5350"/>
      <w:r>
        <w:rPr>
          <w:rFonts w:hint="eastAsia"/>
          <w:color w:val="auto"/>
          <w:highlight w:val="none"/>
        </w:rPr>
        <w:br w:type="page"/>
      </w:r>
      <w:r>
        <w:rPr>
          <w:rFonts w:hint="eastAsia"/>
          <w:b/>
          <w:bCs/>
          <w:color w:val="auto"/>
          <w:kern w:val="44"/>
          <w:sz w:val="44"/>
          <w:szCs w:val="44"/>
          <w:highlight w:val="none"/>
        </w:rPr>
        <w:t>第四章 评标办法</w:t>
      </w:r>
      <w:bookmarkEnd w:id="779"/>
      <w:bookmarkEnd w:id="780"/>
    </w:p>
    <w:p w14:paraId="642A2614">
      <w:pPr>
        <w:numPr>
          <w:ilvl w:val="0"/>
          <w:numId w:val="2"/>
        </w:numPr>
        <w:spacing w:line="560" w:lineRule="exact"/>
        <w:ind w:left="0"/>
        <w:jc w:val="center"/>
        <w:outlineLvl w:val="1"/>
        <w:rPr>
          <w:b/>
          <w:color w:val="auto"/>
          <w:sz w:val="28"/>
          <w:szCs w:val="21"/>
          <w:highlight w:val="none"/>
        </w:rPr>
      </w:pPr>
      <w:bookmarkStart w:id="781" w:name="_Toc27302"/>
      <w:r>
        <w:rPr>
          <w:rFonts w:hint="eastAsia"/>
          <w:b/>
          <w:color w:val="auto"/>
          <w:sz w:val="28"/>
          <w:szCs w:val="21"/>
          <w:highlight w:val="none"/>
        </w:rPr>
        <w:t>中标候选人的确定</w:t>
      </w:r>
      <w:bookmarkEnd w:id="781"/>
    </w:p>
    <w:p w14:paraId="1698B4B0">
      <w:pPr>
        <w:pStyle w:val="18"/>
        <w:spacing w:line="560" w:lineRule="exact"/>
        <w:ind w:left="0" w:leftChars="0"/>
        <w:rPr>
          <w:color w:val="auto"/>
          <w:highlight w:val="none"/>
        </w:rPr>
      </w:pPr>
      <w:r>
        <w:rPr>
          <w:rFonts w:hint="eastAsia"/>
          <w:color w:val="auto"/>
          <w:highlight w:val="none"/>
        </w:rPr>
        <w:t>评标委员会对投标人依次进行资信、技术、商务文件审查，对均满足要求的投标人进行各项评审因素打分，合计的总得分按照从高到低进行排序，总得分第一的投标人为第一中标候选人。</w:t>
      </w:r>
      <w:r>
        <w:rPr>
          <w:rFonts w:hint="eastAsia" w:ascii="宋体" w:hAnsi="宋体" w:cs="宋体"/>
          <w:color w:val="auto"/>
          <w:szCs w:val="21"/>
          <w:highlight w:val="none"/>
        </w:rPr>
        <w:t>如总得分相等，以投标报价低的优先；投标报价仍相等，由招标人或评标委员会主任委员随机抽取确定排名。</w:t>
      </w:r>
    </w:p>
    <w:p w14:paraId="7C314D2E">
      <w:pPr>
        <w:numPr>
          <w:ilvl w:val="0"/>
          <w:numId w:val="2"/>
        </w:numPr>
        <w:spacing w:line="560" w:lineRule="exact"/>
        <w:ind w:left="0"/>
        <w:jc w:val="center"/>
        <w:rPr>
          <w:b/>
          <w:color w:val="auto"/>
          <w:sz w:val="28"/>
          <w:szCs w:val="21"/>
          <w:highlight w:val="none"/>
        </w:rPr>
      </w:pPr>
      <w:r>
        <w:rPr>
          <w:rFonts w:hint="eastAsia"/>
          <w:b/>
          <w:color w:val="auto"/>
          <w:sz w:val="28"/>
          <w:szCs w:val="21"/>
          <w:highlight w:val="none"/>
        </w:rPr>
        <w:t>资信标评审（15分）</w:t>
      </w:r>
    </w:p>
    <w:tbl>
      <w:tblPr>
        <w:tblStyle w:val="19"/>
        <w:tblW w:w="96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318"/>
        <w:gridCol w:w="7567"/>
      </w:tblGrid>
      <w:tr w14:paraId="2B68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50" w:type="dxa"/>
            <w:vAlign w:val="center"/>
          </w:tcPr>
          <w:p w14:paraId="218C41A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18" w:type="dxa"/>
            <w:vAlign w:val="center"/>
          </w:tcPr>
          <w:p w14:paraId="4ECAA574">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内容</w:t>
            </w:r>
          </w:p>
        </w:tc>
        <w:tc>
          <w:tcPr>
            <w:tcW w:w="7567" w:type="dxa"/>
            <w:vAlign w:val="center"/>
          </w:tcPr>
          <w:p w14:paraId="08237083">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标准</w:t>
            </w:r>
          </w:p>
        </w:tc>
      </w:tr>
      <w:tr w14:paraId="3289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50" w:type="dxa"/>
            <w:vAlign w:val="center"/>
          </w:tcPr>
          <w:p w14:paraId="496442C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318" w:type="dxa"/>
            <w:vAlign w:val="center"/>
          </w:tcPr>
          <w:p w14:paraId="2CBA08CA">
            <w:pPr>
              <w:spacing w:line="440" w:lineRule="exact"/>
              <w:jc w:val="center"/>
              <w:rPr>
                <w:rFonts w:ascii="宋体" w:hAnsi="宋体" w:cs="宋体"/>
                <w:color w:val="auto"/>
                <w:highlight w:val="none"/>
              </w:rPr>
            </w:pPr>
            <w:r>
              <w:rPr>
                <w:rFonts w:hint="eastAsia" w:ascii="宋体" w:hAnsi="宋体" w:cs="宋体"/>
                <w:color w:val="auto"/>
                <w:highlight w:val="none"/>
              </w:rPr>
              <w:t>项目团队</w:t>
            </w:r>
          </w:p>
          <w:p w14:paraId="55DFB6E7">
            <w:pPr>
              <w:spacing w:line="440" w:lineRule="exact"/>
              <w:jc w:val="center"/>
              <w:rPr>
                <w:rFonts w:ascii="宋体" w:hAnsi="宋体" w:cs="宋体"/>
                <w:color w:val="auto"/>
                <w:highlight w:val="none"/>
              </w:rPr>
            </w:pPr>
            <w:r>
              <w:rPr>
                <w:rFonts w:hint="eastAsia" w:ascii="宋体" w:hAnsi="宋体" w:cs="宋体"/>
                <w:color w:val="auto"/>
                <w:highlight w:val="none"/>
              </w:rPr>
              <w:t>（13分）</w:t>
            </w:r>
          </w:p>
        </w:tc>
        <w:tc>
          <w:tcPr>
            <w:tcW w:w="7567" w:type="dxa"/>
            <w:vAlign w:val="center"/>
          </w:tcPr>
          <w:p w14:paraId="24736E79">
            <w:pPr>
              <w:numPr>
                <w:ilvl w:val="0"/>
                <w:numId w:val="3"/>
              </w:numPr>
              <w:spacing w:line="440" w:lineRule="exact"/>
              <w:jc w:val="left"/>
              <w:rPr>
                <w:rFonts w:ascii="宋体" w:hAnsi="宋体" w:cs="宋体"/>
                <w:color w:val="auto"/>
                <w:szCs w:val="21"/>
                <w:highlight w:val="none"/>
              </w:rPr>
            </w:pPr>
            <w:r>
              <w:rPr>
                <w:rFonts w:hint="eastAsia" w:ascii="宋体" w:hAnsi="宋体" w:cs="宋体"/>
                <w:color w:val="auto"/>
                <w:szCs w:val="21"/>
                <w:highlight w:val="none"/>
              </w:rPr>
              <w:t>投标人拟派项目经理（2分）：</w:t>
            </w:r>
          </w:p>
          <w:p w14:paraId="71D0EB0C">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 xml:space="preserve">具备电力工程相关专业（或机电工程相关专业或电气工程相关专业）高级及以上技术职称的得2分，其他的不得分，本项满分2分。 </w:t>
            </w:r>
          </w:p>
          <w:p w14:paraId="685FD382">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(2)现场施工及运维人员（5分）：</w:t>
            </w:r>
          </w:p>
          <w:p w14:paraId="4FB2592C">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①每提供1个电气试验或登高作业或电焊特种作业证书得1分，其他的不得分，本项满分3分。</w:t>
            </w:r>
          </w:p>
          <w:p w14:paraId="3945966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②每提供1个高压电工证书得1分，其他的不得分，本项满分2分。</w:t>
            </w:r>
          </w:p>
          <w:p w14:paraId="2B050F3A">
            <w:pPr>
              <w:numPr>
                <w:ilvl w:val="0"/>
                <w:numId w:val="4"/>
              </w:numPr>
              <w:spacing w:line="440" w:lineRule="exact"/>
              <w:jc w:val="left"/>
              <w:rPr>
                <w:rFonts w:ascii="宋体" w:hAnsi="宋体" w:cs="宋体"/>
                <w:color w:val="auto"/>
                <w:szCs w:val="21"/>
                <w:highlight w:val="none"/>
              </w:rPr>
            </w:pPr>
            <w:r>
              <w:rPr>
                <w:rFonts w:hint="eastAsia" w:ascii="宋体" w:hAnsi="宋体" w:cs="宋体"/>
                <w:color w:val="auto"/>
                <w:szCs w:val="21"/>
                <w:highlight w:val="none"/>
              </w:rPr>
              <w:t>设计团队（除设计负责人以外）（6分）：</w:t>
            </w:r>
          </w:p>
          <w:p w14:paraId="44D56AF5">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①每提供1个注册电气工程师执业资格证书得3分，其他的不得分，本项满分3分。</w:t>
            </w:r>
          </w:p>
          <w:p w14:paraId="5D086F0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②每提供1个注册结构工程师执业资格证书得3分，其他的不得分，本项满分3分。</w:t>
            </w:r>
          </w:p>
          <w:p w14:paraId="59664D16">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 xml:space="preserve">注：若同一人具有多个证书的，按得分高的计算，不重复累计得分。 </w:t>
            </w:r>
          </w:p>
          <w:p w14:paraId="64A76512">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 xml:space="preserve">上述人员须提供相关证书及社保部门出具的本单位为其缴纳的投标前近三个月连续的养老保险证明（证明文件两个月内有效）。 </w:t>
            </w:r>
          </w:p>
        </w:tc>
      </w:tr>
      <w:tr w14:paraId="785A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50" w:type="dxa"/>
            <w:vAlign w:val="center"/>
          </w:tcPr>
          <w:p w14:paraId="64D86C5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318" w:type="dxa"/>
            <w:vAlign w:val="center"/>
          </w:tcPr>
          <w:p w14:paraId="0B4D870F">
            <w:pPr>
              <w:spacing w:line="440" w:lineRule="exact"/>
              <w:jc w:val="center"/>
              <w:rPr>
                <w:rFonts w:ascii="宋体" w:hAnsi="宋体"/>
                <w:color w:val="auto"/>
                <w:szCs w:val="21"/>
                <w:highlight w:val="none"/>
              </w:rPr>
            </w:pPr>
            <w:r>
              <w:rPr>
                <w:rFonts w:hint="eastAsia" w:ascii="宋体" w:hAnsi="宋体"/>
                <w:color w:val="auto"/>
                <w:szCs w:val="21"/>
                <w:highlight w:val="none"/>
              </w:rPr>
              <w:t>联合体协议</w:t>
            </w:r>
          </w:p>
          <w:p w14:paraId="7030BA84">
            <w:pPr>
              <w:spacing w:line="440" w:lineRule="exact"/>
              <w:jc w:val="center"/>
              <w:rPr>
                <w:color w:val="auto"/>
                <w:highlight w:val="none"/>
              </w:rPr>
            </w:pPr>
            <w:r>
              <w:rPr>
                <w:rFonts w:hint="eastAsia" w:ascii="宋体" w:hAnsi="宋体"/>
                <w:color w:val="auto"/>
                <w:szCs w:val="21"/>
                <w:highlight w:val="none"/>
              </w:rPr>
              <w:t>（2分）</w:t>
            </w:r>
          </w:p>
        </w:tc>
        <w:tc>
          <w:tcPr>
            <w:tcW w:w="7567" w:type="dxa"/>
            <w:vAlign w:val="center"/>
          </w:tcPr>
          <w:p w14:paraId="7EC230B2">
            <w:pPr>
              <w:pStyle w:val="18"/>
              <w:adjustRightInd w:val="0"/>
              <w:snapToGrid w:val="0"/>
              <w:spacing w:line="560" w:lineRule="exact"/>
              <w:ind w:left="0" w:leftChars="0" w:firstLine="0" w:firstLineChars="0"/>
              <w:jc w:val="left"/>
              <w:rPr>
                <w:rFonts w:ascii="宋体" w:hAnsi="宋体"/>
                <w:color w:val="auto"/>
                <w:szCs w:val="21"/>
                <w:highlight w:val="none"/>
              </w:rPr>
            </w:pPr>
            <w:r>
              <w:rPr>
                <w:rFonts w:hint="eastAsia" w:ascii="宋体" w:hAnsi="宋体"/>
                <w:color w:val="auto"/>
                <w:szCs w:val="21"/>
                <w:highlight w:val="none"/>
              </w:rPr>
              <w:t>联合体投标的，提供联合体协议明确权责分工等内容的得2分；提供联合体协议但内容不明确的得1分。</w:t>
            </w:r>
          </w:p>
          <w:p w14:paraId="05F5A3D7">
            <w:pPr>
              <w:spacing w:line="440" w:lineRule="exact"/>
              <w:jc w:val="left"/>
              <w:rPr>
                <w:rFonts w:ascii="宋体" w:hAnsi="宋体" w:cs="宋体"/>
                <w:color w:val="auto"/>
                <w:szCs w:val="21"/>
                <w:highlight w:val="none"/>
              </w:rPr>
            </w:pPr>
            <w:r>
              <w:rPr>
                <w:rFonts w:hint="eastAsia"/>
                <w:color w:val="auto"/>
                <w:highlight w:val="none"/>
              </w:rPr>
              <w:t>非联合体投标的，该项得2分。</w:t>
            </w:r>
          </w:p>
        </w:tc>
      </w:tr>
    </w:tbl>
    <w:p w14:paraId="7225EFF0">
      <w:pPr>
        <w:pStyle w:val="18"/>
        <w:adjustRightInd w:val="0"/>
        <w:snapToGrid w:val="0"/>
        <w:spacing w:line="560" w:lineRule="exact"/>
        <w:ind w:left="0" w:leftChars="0" w:firstLine="0" w:firstLineChars="0"/>
        <w:jc w:val="center"/>
        <w:rPr>
          <w:b/>
          <w:color w:val="auto"/>
          <w:sz w:val="28"/>
          <w:szCs w:val="21"/>
          <w:highlight w:val="none"/>
        </w:rPr>
      </w:pPr>
      <w:r>
        <w:rPr>
          <w:rFonts w:hint="eastAsia" w:ascii="宋体" w:hAnsi="宋体"/>
          <w:color w:val="auto"/>
          <w:kern w:val="0"/>
          <w:szCs w:val="21"/>
          <w:highlight w:val="none"/>
        </w:rPr>
        <w:t xml:space="preserve"> </w:t>
      </w:r>
      <w:r>
        <w:rPr>
          <w:rFonts w:hint="eastAsia"/>
          <w:b/>
          <w:color w:val="auto"/>
          <w:sz w:val="28"/>
          <w:szCs w:val="21"/>
          <w:highlight w:val="none"/>
        </w:rPr>
        <w:t>（三）技术标评审</w:t>
      </w:r>
    </w:p>
    <w:tbl>
      <w:tblPr>
        <w:tblStyle w:val="19"/>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636"/>
        <w:gridCol w:w="1131"/>
        <w:gridCol w:w="505"/>
        <w:gridCol w:w="750"/>
        <w:gridCol w:w="1254"/>
        <w:gridCol w:w="4707"/>
      </w:tblGrid>
      <w:tr w14:paraId="0898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208" w:type="dxa"/>
            <w:gridSpan w:val="4"/>
            <w:vAlign w:val="center"/>
          </w:tcPr>
          <w:p w14:paraId="4A26F784">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条款号</w:t>
            </w:r>
          </w:p>
        </w:tc>
        <w:tc>
          <w:tcPr>
            <w:tcW w:w="2004" w:type="dxa"/>
            <w:gridSpan w:val="2"/>
            <w:vAlign w:val="center"/>
          </w:tcPr>
          <w:p w14:paraId="732F9941">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评审因素</w:t>
            </w:r>
          </w:p>
        </w:tc>
        <w:tc>
          <w:tcPr>
            <w:tcW w:w="4707" w:type="dxa"/>
            <w:vAlign w:val="center"/>
          </w:tcPr>
          <w:p w14:paraId="7DE03712">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评审标准</w:t>
            </w:r>
          </w:p>
        </w:tc>
      </w:tr>
      <w:tr w14:paraId="476F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vAlign w:val="center"/>
          </w:tcPr>
          <w:p w14:paraId="5B2E2E69">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4.1.1</w:t>
            </w:r>
          </w:p>
        </w:tc>
        <w:tc>
          <w:tcPr>
            <w:tcW w:w="1636" w:type="dxa"/>
            <w:gridSpan w:val="2"/>
            <w:vAlign w:val="center"/>
          </w:tcPr>
          <w:p w14:paraId="051B044D">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形式评审标准</w:t>
            </w:r>
          </w:p>
        </w:tc>
        <w:tc>
          <w:tcPr>
            <w:tcW w:w="2004" w:type="dxa"/>
            <w:gridSpan w:val="2"/>
            <w:vAlign w:val="center"/>
          </w:tcPr>
          <w:p w14:paraId="49785159">
            <w:pPr>
              <w:spacing w:line="560" w:lineRule="exact"/>
              <w:jc w:val="center"/>
              <w:rPr>
                <w:rFonts w:ascii="宋体" w:hAnsi="宋体" w:cs="宋体"/>
                <w:color w:val="auto"/>
                <w:szCs w:val="21"/>
                <w:highlight w:val="none"/>
              </w:rPr>
            </w:pPr>
            <w:r>
              <w:rPr>
                <w:rFonts w:hint="eastAsia"/>
                <w:color w:val="auto"/>
                <w:highlight w:val="none"/>
              </w:rPr>
              <w:t>投标文件格式</w:t>
            </w:r>
          </w:p>
        </w:tc>
        <w:tc>
          <w:tcPr>
            <w:tcW w:w="4707" w:type="dxa"/>
            <w:vAlign w:val="center"/>
          </w:tcPr>
          <w:p w14:paraId="070E6E04">
            <w:pPr>
              <w:spacing w:line="440" w:lineRule="exact"/>
              <w:jc w:val="left"/>
              <w:rPr>
                <w:color w:val="auto"/>
                <w:highlight w:val="none"/>
              </w:rPr>
            </w:pPr>
            <w:r>
              <w:rPr>
                <w:rFonts w:hint="eastAsia"/>
                <w:color w:val="auto"/>
                <w:highlight w:val="none"/>
              </w:rPr>
              <w:t>符合第七章“投标文件格式”的要求，否则经评委会一致认定后,按照无效投标处理。</w:t>
            </w:r>
          </w:p>
          <w:p w14:paraId="308A018F">
            <w:pPr>
              <w:spacing w:line="440" w:lineRule="exact"/>
              <w:jc w:val="left"/>
              <w:rPr>
                <w:rFonts w:ascii="宋体" w:hAnsi="宋体" w:cs="宋体"/>
                <w:b/>
                <w:color w:val="auto"/>
                <w:spacing w:val="-6"/>
                <w:szCs w:val="21"/>
                <w:highlight w:val="none"/>
              </w:rPr>
            </w:pPr>
            <w:r>
              <w:rPr>
                <w:rFonts w:hint="eastAsia" w:ascii="宋体" w:hAnsi="宋体" w:cs="宋体"/>
                <w:b/>
                <w:bCs/>
                <w:color w:val="auto"/>
                <w:szCs w:val="21"/>
                <w:highlight w:val="none"/>
              </w:rPr>
              <w:t>注：本项目技术标采用横向暗标评审，无须签章、签字。</w:t>
            </w:r>
          </w:p>
        </w:tc>
      </w:tr>
      <w:tr w14:paraId="6F2F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vMerge w:val="restart"/>
            <w:vAlign w:val="center"/>
          </w:tcPr>
          <w:p w14:paraId="54D3CD24">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4.1.2</w:t>
            </w:r>
          </w:p>
        </w:tc>
        <w:tc>
          <w:tcPr>
            <w:tcW w:w="1636" w:type="dxa"/>
            <w:gridSpan w:val="2"/>
            <w:vMerge w:val="restart"/>
            <w:vAlign w:val="center"/>
          </w:tcPr>
          <w:p w14:paraId="2BB1D015">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响应性评审标准</w:t>
            </w:r>
          </w:p>
        </w:tc>
        <w:tc>
          <w:tcPr>
            <w:tcW w:w="2004" w:type="dxa"/>
            <w:gridSpan w:val="2"/>
            <w:vAlign w:val="center"/>
          </w:tcPr>
          <w:p w14:paraId="79EF4CF1">
            <w:pPr>
              <w:adjustRightInd w:val="0"/>
              <w:snapToGrid w:val="0"/>
              <w:spacing w:line="560" w:lineRule="exact"/>
              <w:jc w:val="center"/>
              <w:textAlignment w:val="baseline"/>
              <w:rPr>
                <w:color w:val="auto"/>
                <w:szCs w:val="21"/>
                <w:highlight w:val="none"/>
              </w:rPr>
            </w:pPr>
            <w:r>
              <w:rPr>
                <w:color w:val="auto"/>
                <w:szCs w:val="21"/>
                <w:highlight w:val="none"/>
              </w:rPr>
              <w:t>投标内容</w:t>
            </w:r>
          </w:p>
        </w:tc>
        <w:tc>
          <w:tcPr>
            <w:tcW w:w="4707" w:type="dxa"/>
            <w:vAlign w:val="center"/>
          </w:tcPr>
          <w:p w14:paraId="1443AB2F">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符合第二章“投标人须知”规定。</w:t>
            </w:r>
          </w:p>
        </w:tc>
      </w:tr>
      <w:tr w14:paraId="6985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vMerge w:val="continue"/>
          </w:tcPr>
          <w:p w14:paraId="1B314293">
            <w:pPr>
              <w:adjustRightInd w:val="0"/>
              <w:snapToGrid w:val="0"/>
              <w:spacing w:line="560" w:lineRule="exact"/>
              <w:jc w:val="center"/>
              <w:rPr>
                <w:rFonts w:ascii="宋体" w:hAnsi="宋体" w:cs="宋体"/>
                <w:color w:val="auto"/>
                <w:szCs w:val="21"/>
                <w:highlight w:val="none"/>
              </w:rPr>
            </w:pPr>
          </w:p>
        </w:tc>
        <w:tc>
          <w:tcPr>
            <w:tcW w:w="1636" w:type="dxa"/>
            <w:gridSpan w:val="2"/>
            <w:vMerge w:val="continue"/>
          </w:tcPr>
          <w:p w14:paraId="4692A6CC">
            <w:pPr>
              <w:adjustRightInd w:val="0"/>
              <w:snapToGrid w:val="0"/>
              <w:spacing w:line="560" w:lineRule="exact"/>
              <w:jc w:val="center"/>
              <w:rPr>
                <w:rFonts w:ascii="宋体" w:hAnsi="宋体" w:cs="宋体"/>
                <w:color w:val="auto"/>
                <w:szCs w:val="21"/>
                <w:highlight w:val="none"/>
              </w:rPr>
            </w:pPr>
          </w:p>
        </w:tc>
        <w:tc>
          <w:tcPr>
            <w:tcW w:w="2004" w:type="dxa"/>
            <w:gridSpan w:val="2"/>
            <w:vAlign w:val="center"/>
          </w:tcPr>
          <w:p w14:paraId="28D6D762">
            <w:pPr>
              <w:adjustRightInd w:val="0"/>
              <w:snapToGrid w:val="0"/>
              <w:spacing w:line="560" w:lineRule="exact"/>
              <w:jc w:val="center"/>
              <w:textAlignment w:val="baseline"/>
              <w:rPr>
                <w:color w:val="auto"/>
                <w:szCs w:val="21"/>
                <w:highlight w:val="none"/>
              </w:rPr>
            </w:pPr>
            <w:r>
              <w:rPr>
                <w:color w:val="auto"/>
                <w:szCs w:val="21"/>
                <w:highlight w:val="none"/>
              </w:rPr>
              <w:t>权利义务</w:t>
            </w:r>
          </w:p>
        </w:tc>
        <w:tc>
          <w:tcPr>
            <w:tcW w:w="4707" w:type="dxa"/>
            <w:vAlign w:val="center"/>
          </w:tcPr>
          <w:p w14:paraId="2D9682E5">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符合第五章“合同条款及格式”规定。</w:t>
            </w:r>
          </w:p>
        </w:tc>
      </w:tr>
      <w:tr w14:paraId="1320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vMerge w:val="continue"/>
          </w:tcPr>
          <w:p w14:paraId="7D2AB1C4">
            <w:pPr>
              <w:adjustRightInd w:val="0"/>
              <w:snapToGrid w:val="0"/>
              <w:spacing w:line="560" w:lineRule="exact"/>
              <w:jc w:val="center"/>
              <w:rPr>
                <w:rFonts w:ascii="宋体" w:hAnsi="宋体" w:cs="宋体"/>
                <w:color w:val="auto"/>
                <w:szCs w:val="21"/>
                <w:highlight w:val="none"/>
              </w:rPr>
            </w:pPr>
          </w:p>
        </w:tc>
        <w:tc>
          <w:tcPr>
            <w:tcW w:w="1636" w:type="dxa"/>
            <w:gridSpan w:val="2"/>
            <w:vMerge w:val="continue"/>
          </w:tcPr>
          <w:p w14:paraId="6D899BF7">
            <w:pPr>
              <w:adjustRightInd w:val="0"/>
              <w:snapToGrid w:val="0"/>
              <w:spacing w:line="560" w:lineRule="exact"/>
              <w:jc w:val="center"/>
              <w:rPr>
                <w:rFonts w:ascii="宋体" w:hAnsi="宋体" w:cs="宋体"/>
                <w:color w:val="auto"/>
                <w:szCs w:val="21"/>
                <w:highlight w:val="none"/>
              </w:rPr>
            </w:pPr>
          </w:p>
        </w:tc>
        <w:tc>
          <w:tcPr>
            <w:tcW w:w="2004" w:type="dxa"/>
            <w:gridSpan w:val="2"/>
            <w:vAlign w:val="center"/>
          </w:tcPr>
          <w:p w14:paraId="08BE9CE3">
            <w:pPr>
              <w:adjustRightInd w:val="0"/>
              <w:snapToGrid w:val="0"/>
              <w:spacing w:line="560" w:lineRule="exact"/>
              <w:jc w:val="center"/>
              <w:textAlignment w:val="baseline"/>
              <w:rPr>
                <w:color w:val="auto"/>
                <w:szCs w:val="21"/>
                <w:highlight w:val="none"/>
              </w:rPr>
            </w:pPr>
            <w:r>
              <w:rPr>
                <w:rFonts w:hint="eastAsia"/>
                <w:color w:val="auto"/>
                <w:szCs w:val="21"/>
                <w:highlight w:val="none"/>
              </w:rPr>
              <w:t>技术标准和要求</w:t>
            </w:r>
          </w:p>
        </w:tc>
        <w:tc>
          <w:tcPr>
            <w:tcW w:w="4707" w:type="dxa"/>
            <w:vAlign w:val="center"/>
          </w:tcPr>
          <w:p w14:paraId="523DBAC6">
            <w:pPr>
              <w:adjustRightInd w:val="0"/>
              <w:snapToGrid w:val="0"/>
              <w:spacing w:line="560" w:lineRule="exact"/>
              <w:rPr>
                <w:rFonts w:ascii="宋体" w:hAnsi="宋体" w:cs="宋体"/>
                <w:color w:val="auto"/>
                <w:szCs w:val="21"/>
                <w:highlight w:val="none"/>
              </w:rPr>
            </w:pPr>
            <w:r>
              <w:rPr>
                <w:rFonts w:hint="eastAsia" w:ascii="宋体" w:hAnsi="宋体" w:cs="宋体"/>
                <w:color w:val="auto"/>
                <w:szCs w:val="21"/>
                <w:highlight w:val="none"/>
              </w:rPr>
              <w:t>符合第七章“技术标准和要求”规定。</w:t>
            </w:r>
          </w:p>
        </w:tc>
      </w:tr>
      <w:tr w14:paraId="289B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919" w:type="dxa"/>
            <w:gridSpan w:val="7"/>
          </w:tcPr>
          <w:p w14:paraId="57E560FD">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技术标评分细则（40分）</w:t>
            </w:r>
          </w:p>
        </w:tc>
      </w:tr>
      <w:tr w14:paraId="5611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36" w:type="dxa"/>
          </w:tcPr>
          <w:p w14:paraId="1B0E0139">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67" w:type="dxa"/>
            <w:gridSpan w:val="2"/>
          </w:tcPr>
          <w:p w14:paraId="2FF6B2B0">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评审因素</w:t>
            </w:r>
          </w:p>
        </w:tc>
        <w:tc>
          <w:tcPr>
            <w:tcW w:w="1255" w:type="dxa"/>
            <w:gridSpan w:val="2"/>
          </w:tcPr>
          <w:p w14:paraId="0875A53E">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分值设置</w:t>
            </w:r>
          </w:p>
        </w:tc>
        <w:tc>
          <w:tcPr>
            <w:tcW w:w="5961" w:type="dxa"/>
            <w:gridSpan w:val="2"/>
          </w:tcPr>
          <w:p w14:paraId="1594E624">
            <w:pPr>
              <w:widowControl/>
              <w:jc w:val="left"/>
              <w:rPr>
                <w:rFonts w:ascii="宋体" w:hAnsi="宋体" w:cs="宋体"/>
                <w:color w:val="auto"/>
                <w:szCs w:val="21"/>
                <w:highlight w:val="none"/>
              </w:rPr>
            </w:pPr>
          </w:p>
          <w:p w14:paraId="1E0EC6F0">
            <w:pPr>
              <w:widowControl/>
              <w:jc w:val="center"/>
              <w:rPr>
                <w:rFonts w:ascii="宋体" w:hAnsi="宋体" w:cs="宋体"/>
                <w:color w:val="auto"/>
                <w:szCs w:val="21"/>
                <w:highlight w:val="none"/>
              </w:rPr>
            </w:pPr>
            <w:r>
              <w:rPr>
                <w:rFonts w:hint="eastAsia" w:ascii="宋体" w:hAnsi="宋体" w:cs="宋体"/>
                <w:color w:val="auto"/>
                <w:szCs w:val="21"/>
                <w:highlight w:val="none"/>
              </w:rPr>
              <w:t>评审标准</w:t>
            </w:r>
          </w:p>
        </w:tc>
      </w:tr>
      <w:tr w14:paraId="3DD0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936" w:type="dxa"/>
            <w:vAlign w:val="center"/>
          </w:tcPr>
          <w:p w14:paraId="0A770302">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767" w:type="dxa"/>
            <w:gridSpan w:val="2"/>
            <w:vAlign w:val="center"/>
          </w:tcPr>
          <w:p w14:paraId="4F0F07F7">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总承包方案</w:t>
            </w:r>
          </w:p>
        </w:tc>
        <w:tc>
          <w:tcPr>
            <w:tcW w:w="1255" w:type="dxa"/>
            <w:gridSpan w:val="2"/>
            <w:vAlign w:val="center"/>
          </w:tcPr>
          <w:p w14:paraId="1C7E4E6A">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20分</w:t>
            </w:r>
          </w:p>
        </w:tc>
        <w:tc>
          <w:tcPr>
            <w:tcW w:w="5961" w:type="dxa"/>
            <w:gridSpan w:val="2"/>
          </w:tcPr>
          <w:p w14:paraId="5843CAD8">
            <w:pPr>
              <w:spacing w:line="440" w:lineRule="exact"/>
              <w:jc w:val="left"/>
              <w:rPr>
                <w:rFonts w:ascii="宋体" w:hAnsi="宋体" w:cs="宋体"/>
                <w:color w:val="auto"/>
                <w:szCs w:val="21"/>
                <w:highlight w:val="none"/>
              </w:rPr>
            </w:pPr>
            <w:r>
              <w:rPr>
                <w:rFonts w:ascii="宋体" w:hAnsi="宋体" w:cs="宋体"/>
                <w:color w:val="auto"/>
                <w:szCs w:val="21"/>
                <w:highlight w:val="none"/>
              </w:rPr>
              <w:t>1、总承包管理方案与措施：优秀得</w:t>
            </w:r>
            <w:r>
              <w:rPr>
                <w:rFonts w:hint="eastAsia" w:ascii="宋体" w:hAnsi="宋体" w:cs="宋体"/>
                <w:color w:val="auto"/>
                <w:szCs w:val="21"/>
                <w:highlight w:val="none"/>
              </w:rPr>
              <w:t>4</w:t>
            </w:r>
            <w:r>
              <w:rPr>
                <w:rFonts w:ascii="宋体" w:hAnsi="宋体" w:cs="宋体"/>
                <w:color w:val="auto"/>
                <w:szCs w:val="21"/>
                <w:highlight w:val="none"/>
              </w:rPr>
              <w:t>分，良好得</w:t>
            </w:r>
            <w:r>
              <w:rPr>
                <w:rFonts w:hint="eastAsia" w:ascii="宋体" w:hAnsi="宋体" w:cs="宋体"/>
                <w:color w:val="auto"/>
                <w:szCs w:val="21"/>
                <w:highlight w:val="none"/>
              </w:rPr>
              <w:t>3.6</w:t>
            </w:r>
            <w:r>
              <w:rPr>
                <w:rFonts w:ascii="宋体" w:hAnsi="宋体" w:cs="宋体"/>
                <w:color w:val="auto"/>
                <w:szCs w:val="21"/>
                <w:highlight w:val="none"/>
              </w:rPr>
              <w:t>分，一般得</w:t>
            </w:r>
            <w:r>
              <w:rPr>
                <w:rFonts w:hint="eastAsia" w:ascii="宋体" w:hAnsi="宋体" w:cs="宋体"/>
                <w:color w:val="auto"/>
                <w:szCs w:val="21"/>
                <w:highlight w:val="none"/>
              </w:rPr>
              <w:t>3.2</w:t>
            </w:r>
            <w:r>
              <w:rPr>
                <w:rFonts w:ascii="宋体" w:hAnsi="宋体" w:cs="宋体"/>
                <w:color w:val="auto"/>
                <w:szCs w:val="21"/>
                <w:highlight w:val="none"/>
              </w:rPr>
              <w:t>分，合格的得</w:t>
            </w:r>
            <w:r>
              <w:rPr>
                <w:rFonts w:hint="eastAsia" w:ascii="宋体" w:hAnsi="宋体" w:cs="宋体"/>
                <w:color w:val="auto"/>
                <w:szCs w:val="21"/>
                <w:highlight w:val="none"/>
              </w:rPr>
              <w:t>2.8</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r>
              <w:rPr>
                <w:rFonts w:ascii="宋体" w:hAnsi="宋体" w:cs="宋体"/>
                <w:color w:val="auto"/>
                <w:szCs w:val="21"/>
                <w:highlight w:val="none"/>
              </w:rPr>
              <w:t>。</w:t>
            </w:r>
          </w:p>
          <w:p w14:paraId="12B9E6D9">
            <w:pPr>
              <w:spacing w:line="440" w:lineRule="exact"/>
              <w:jc w:val="left"/>
              <w:rPr>
                <w:rFonts w:ascii="宋体" w:hAnsi="宋体" w:cs="宋体"/>
                <w:color w:val="auto"/>
                <w:szCs w:val="21"/>
                <w:highlight w:val="none"/>
              </w:rPr>
            </w:pPr>
            <w:r>
              <w:rPr>
                <w:rFonts w:ascii="宋体" w:hAnsi="宋体" w:cs="宋体"/>
                <w:color w:val="auto"/>
                <w:szCs w:val="21"/>
                <w:highlight w:val="none"/>
              </w:rPr>
              <w:t>2、总承包重难点分析：优秀得</w:t>
            </w:r>
            <w:r>
              <w:rPr>
                <w:rFonts w:hint="eastAsia" w:ascii="宋体" w:hAnsi="宋体" w:cs="宋体"/>
                <w:color w:val="auto"/>
                <w:szCs w:val="21"/>
                <w:highlight w:val="none"/>
              </w:rPr>
              <w:t>3</w:t>
            </w:r>
            <w:r>
              <w:rPr>
                <w:rFonts w:ascii="宋体" w:hAnsi="宋体" w:cs="宋体"/>
                <w:color w:val="auto"/>
                <w:szCs w:val="21"/>
                <w:highlight w:val="none"/>
              </w:rPr>
              <w:t>分，良好得</w:t>
            </w:r>
            <w:r>
              <w:rPr>
                <w:rFonts w:hint="eastAsia" w:ascii="宋体" w:hAnsi="宋体" w:cs="宋体"/>
                <w:color w:val="auto"/>
                <w:szCs w:val="21"/>
                <w:highlight w:val="none"/>
              </w:rPr>
              <w:t>2.7</w:t>
            </w:r>
            <w:r>
              <w:rPr>
                <w:rFonts w:ascii="宋体" w:hAnsi="宋体" w:cs="宋体"/>
                <w:color w:val="auto"/>
                <w:szCs w:val="21"/>
                <w:highlight w:val="none"/>
              </w:rPr>
              <w:t>分，一般得</w:t>
            </w:r>
            <w:r>
              <w:rPr>
                <w:rFonts w:hint="eastAsia" w:ascii="宋体" w:hAnsi="宋体" w:cs="宋体"/>
                <w:color w:val="auto"/>
                <w:szCs w:val="21"/>
                <w:highlight w:val="none"/>
              </w:rPr>
              <w:t>2.4</w:t>
            </w:r>
            <w:r>
              <w:rPr>
                <w:rFonts w:ascii="宋体" w:hAnsi="宋体" w:cs="宋体"/>
                <w:color w:val="auto"/>
                <w:szCs w:val="21"/>
                <w:highlight w:val="none"/>
              </w:rPr>
              <w:t>分，合格的得</w:t>
            </w:r>
            <w:r>
              <w:rPr>
                <w:rFonts w:hint="eastAsia" w:ascii="宋体" w:hAnsi="宋体" w:cs="宋体"/>
                <w:color w:val="auto"/>
                <w:szCs w:val="21"/>
                <w:highlight w:val="none"/>
              </w:rPr>
              <w:t>2.1</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r>
              <w:rPr>
                <w:rFonts w:ascii="宋体" w:hAnsi="宋体" w:cs="宋体"/>
                <w:color w:val="auto"/>
                <w:szCs w:val="21"/>
                <w:highlight w:val="none"/>
              </w:rPr>
              <w:t>。</w:t>
            </w:r>
          </w:p>
          <w:p w14:paraId="5158E7C6">
            <w:pPr>
              <w:spacing w:line="440" w:lineRule="exact"/>
              <w:jc w:val="left"/>
              <w:rPr>
                <w:rFonts w:ascii="宋体" w:hAnsi="宋体" w:cs="宋体"/>
                <w:color w:val="auto"/>
                <w:szCs w:val="21"/>
                <w:highlight w:val="none"/>
              </w:rPr>
            </w:pPr>
            <w:r>
              <w:rPr>
                <w:rFonts w:ascii="宋体" w:hAnsi="宋体" w:cs="宋体"/>
                <w:color w:val="auto"/>
                <w:szCs w:val="21"/>
                <w:highlight w:val="none"/>
              </w:rPr>
              <w:t>3、总承包项目实施保障：优秀得</w:t>
            </w:r>
            <w:r>
              <w:rPr>
                <w:rFonts w:hint="eastAsia" w:ascii="宋体" w:hAnsi="宋体" w:cs="宋体"/>
                <w:color w:val="auto"/>
                <w:szCs w:val="21"/>
                <w:highlight w:val="none"/>
              </w:rPr>
              <w:t>3</w:t>
            </w:r>
            <w:r>
              <w:rPr>
                <w:rFonts w:ascii="宋体" w:hAnsi="宋体" w:cs="宋体"/>
                <w:color w:val="auto"/>
                <w:szCs w:val="21"/>
                <w:highlight w:val="none"/>
              </w:rPr>
              <w:t>分，良好得</w:t>
            </w:r>
            <w:r>
              <w:rPr>
                <w:rFonts w:hint="eastAsia" w:ascii="宋体" w:hAnsi="宋体" w:cs="宋体"/>
                <w:color w:val="auto"/>
                <w:szCs w:val="21"/>
                <w:highlight w:val="none"/>
              </w:rPr>
              <w:t>2.7</w:t>
            </w:r>
            <w:r>
              <w:rPr>
                <w:rFonts w:ascii="宋体" w:hAnsi="宋体" w:cs="宋体"/>
                <w:color w:val="auto"/>
                <w:szCs w:val="21"/>
                <w:highlight w:val="none"/>
              </w:rPr>
              <w:t>分，一般得</w:t>
            </w:r>
            <w:r>
              <w:rPr>
                <w:rFonts w:hint="eastAsia" w:ascii="宋体" w:hAnsi="宋体" w:cs="宋体"/>
                <w:color w:val="auto"/>
                <w:szCs w:val="21"/>
                <w:highlight w:val="none"/>
              </w:rPr>
              <w:t>2.4</w:t>
            </w:r>
            <w:r>
              <w:rPr>
                <w:rFonts w:ascii="宋体" w:hAnsi="宋体" w:cs="宋体"/>
                <w:color w:val="auto"/>
                <w:szCs w:val="21"/>
                <w:highlight w:val="none"/>
              </w:rPr>
              <w:t>分，合格的得</w:t>
            </w:r>
            <w:r>
              <w:rPr>
                <w:rFonts w:hint="eastAsia" w:ascii="宋体" w:hAnsi="宋体" w:cs="宋体"/>
                <w:color w:val="auto"/>
                <w:szCs w:val="21"/>
                <w:highlight w:val="none"/>
              </w:rPr>
              <w:t>2.1</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r>
              <w:rPr>
                <w:rFonts w:ascii="宋体" w:hAnsi="宋体" w:cs="宋体"/>
                <w:color w:val="auto"/>
                <w:szCs w:val="21"/>
                <w:highlight w:val="none"/>
              </w:rPr>
              <w:t>。</w:t>
            </w:r>
          </w:p>
          <w:p w14:paraId="010F6B0C">
            <w:pPr>
              <w:adjustRightInd w:val="0"/>
              <w:snapToGrid w:val="0"/>
              <w:spacing w:line="440" w:lineRule="exact"/>
              <w:jc w:val="left"/>
              <w:rPr>
                <w:rFonts w:ascii="宋体" w:hAnsi="宋体" w:cs="宋体"/>
                <w:color w:val="auto"/>
                <w:szCs w:val="21"/>
                <w:highlight w:val="none"/>
              </w:rPr>
            </w:pPr>
            <w:r>
              <w:rPr>
                <w:rFonts w:ascii="宋体" w:hAnsi="宋体" w:cs="宋体"/>
                <w:color w:val="auto"/>
                <w:szCs w:val="21"/>
                <w:highlight w:val="none"/>
              </w:rPr>
              <w:t>4、阐述对项目</w:t>
            </w:r>
            <w:r>
              <w:rPr>
                <w:rFonts w:hint="eastAsia" w:ascii="宋体" w:hAnsi="宋体" w:cs="宋体"/>
                <w:color w:val="auto"/>
                <w:szCs w:val="21"/>
                <w:highlight w:val="none"/>
              </w:rPr>
              <w:t>资源类型、设计理念及技术路线的理解</w:t>
            </w:r>
            <w:r>
              <w:rPr>
                <w:rFonts w:ascii="宋体" w:hAnsi="宋体" w:cs="宋体"/>
                <w:color w:val="auto"/>
                <w:szCs w:val="21"/>
                <w:highlight w:val="none"/>
              </w:rPr>
              <w:t>，同时给出合理化建议，优秀得</w:t>
            </w:r>
            <w:r>
              <w:rPr>
                <w:rFonts w:hint="eastAsia" w:ascii="宋体" w:hAnsi="宋体" w:cs="宋体"/>
                <w:color w:val="auto"/>
                <w:szCs w:val="21"/>
                <w:highlight w:val="none"/>
              </w:rPr>
              <w:t>10</w:t>
            </w:r>
            <w:r>
              <w:rPr>
                <w:rFonts w:ascii="宋体" w:hAnsi="宋体" w:cs="宋体"/>
                <w:color w:val="auto"/>
                <w:szCs w:val="21"/>
                <w:highlight w:val="none"/>
              </w:rPr>
              <w:t>分，良好得</w:t>
            </w:r>
            <w:r>
              <w:rPr>
                <w:rFonts w:hint="eastAsia" w:ascii="宋体" w:hAnsi="宋体" w:cs="宋体"/>
                <w:color w:val="auto"/>
                <w:szCs w:val="21"/>
                <w:highlight w:val="none"/>
              </w:rPr>
              <w:t>9</w:t>
            </w:r>
            <w:r>
              <w:rPr>
                <w:rFonts w:ascii="宋体" w:hAnsi="宋体" w:cs="宋体"/>
                <w:color w:val="auto"/>
                <w:szCs w:val="21"/>
                <w:highlight w:val="none"/>
              </w:rPr>
              <w:t>分，一般得</w:t>
            </w:r>
            <w:r>
              <w:rPr>
                <w:rFonts w:hint="eastAsia" w:ascii="宋体" w:hAnsi="宋体" w:cs="宋体"/>
                <w:color w:val="auto"/>
                <w:szCs w:val="21"/>
                <w:highlight w:val="none"/>
              </w:rPr>
              <w:t>8</w:t>
            </w:r>
            <w:r>
              <w:rPr>
                <w:rFonts w:ascii="宋体" w:hAnsi="宋体" w:cs="宋体"/>
                <w:color w:val="auto"/>
                <w:szCs w:val="21"/>
                <w:highlight w:val="none"/>
              </w:rPr>
              <w:t>分，合格的得</w:t>
            </w:r>
            <w:r>
              <w:rPr>
                <w:rFonts w:hint="eastAsia" w:ascii="宋体" w:hAnsi="宋体" w:cs="宋体"/>
                <w:color w:val="auto"/>
                <w:szCs w:val="21"/>
                <w:highlight w:val="none"/>
              </w:rPr>
              <w:t>7</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r>
              <w:rPr>
                <w:rFonts w:ascii="宋体" w:hAnsi="宋体" w:cs="宋体"/>
                <w:color w:val="auto"/>
                <w:szCs w:val="21"/>
                <w:highlight w:val="none"/>
              </w:rPr>
              <w:t>。</w:t>
            </w:r>
          </w:p>
        </w:tc>
      </w:tr>
      <w:tr w14:paraId="0001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36" w:type="dxa"/>
            <w:vAlign w:val="center"/>
          </w:tcPr>
          <w:p w14:paraId="74C2F31B">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767" w:type="dxa"/>
            <w:gridSpan w:val="2"/>
            <w:vAlign w:val="center"/>
          </w:tcPr>
          <w:p w14:paraId="0A873208">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安装方案</w:t>
            </w:r>
          </w:p>
        </w:tc>
        <w:tc>
          <w:tcPr>
            <w:tcW w:w="1255" w:type="dxa"/>
            <w:gridSpan w:val="2"/>
            <w:vAlign w:val="center"/>
          </w:tcPr>
          <w:p w14:paraId="4930B504">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5分</w:t>
            </w:r>
          </w:p>
        </w:tc>
        <w:tc>
          <w:tcPr>
            <w:tcW w:w="5961" w:type="dxa"/>
            <w:gridSpan w:val="2"/>
          </w:tcPr>
          <w:p w14:paraId="454C7C3D">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根据投标人的安装技术方案，包括主要安装方案与技术措施，主要物资及人力、机械供应计划，确保工程质量、安全生产、进度的管理体系与措施等进行综合评审。</w:t>
            </w:r>
            <w:r>
              <w:rPr>
                <w:rFonts w:ascii="宋体" w:hAnsi="宋体" w:cs="宋体"/>
                <w:color w:val="auto"/>
                <w:szCs w:val="21"/>
                <w:highlight w:val="none"/>
              </w:rPr>
              <w:t>优秀得</w:t>
            </w:r>
            <w:r>
              <w:rPr>
                <w:rFonts w:hint="eastAsia" w:ascii="宋体" w:hAnsi="宋体" w:cs="宋体"/>
                <w:color w:val="auto"/>
                <w:szCs w:val="21"/>
                <w:highlight w:val="none"/>
              </w:rPr>
              <w:t>5</w:t>
            </w:r>
            <w:r>
              <w:rPr>
                <w:rFonts w:ascii="宋体" w:hAnsi="宋体" w:cs="宋体"/>
                <w:color w:val="auto"/>
                <w:szCs w:val="21"/>
                <w:highlight w:val="none"/>
              </w:rPr>
              <w:t>分，良好得</w:t>
            </w:r>
            <w:r>
              <w:rPr>
                <w:rFonts w:hint="eastAsia" w:ascii="宋体" w:hAnsi="宋体" w:cs="宋体"/>
                <w:color w:val="auto"/>
                <w:szCs w:val="21"/>
                <w:highlight w:val="none"/>
              </w:rPr>
              <w:t>4.5</w:t>
            </w:r>
            <w:r>
              <w:rPr>
                <w:rFonts w:ascii="宋体" w:hAnsi="宋体" w:cs="宋体"/>
                <w:color w:val="auto"/>
                <w:szCs w:val="21"/>
                <w:highlight w:val="none"/>
              </w:rPr>
              <w:t>分，一般得</w:t>
            </w:r>
            <w:r>
              <w:rPr>
                <w:rFonts w:hint="eastAsia" w:ascii="宋体" w:hAnsi="宋体" w:cs="宋体"/>
                <w:color w:val="auto"/>
                <w:szCs w:val="21"/>
                <w:highlight w:val="none"/>
              </w:rPr>
              <w:t>4</w:t>
            </w:r>
            <w:r>
              <w:rPr>
                <w:rFonts w:ascii="宋体" w:hAnsi="宋体" w:cs="宋体"/>
                <w:color w:val="auto"/>
                <w:szCs w:val="21"/>
                <w:highlight w:val="none"/>
              </w:rPr>
              <w:t>分，合格的得</w:t>
            </w:r>
            <w:r>
              <w:rPr>
                <w:rFonts w:hint="eastAsia" w:ascii="宋体" w:hAnsi="宋体" w:cs="宋体"/>
                <w:color w:val="auto"/>
                <w:szCs w:val="21"/>
                <w:highlight w:val="none"/>
              </w:rPr>
              <w:t>3.5</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p>
        </w:tc>
      </w:tr>
      <w:tr w14:paraId="0913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36" w:type="dxa"/>
            <w:vAlign w:val="center"/>
          </w:tcPr>
          <w:p w14:paraId="4A6025A9">
            <w:pPr>
              <w:adjustRightInd w:val="0"/>
              <w:snapToGrid w:val="0"/>
              <w:spacing w:line="5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w:t>
            </w:r>
          </w:p>
        </w:tc>
        <w:tc>
          <w:tcPr>
            <w:tcW w:w="1767" w:type="dxa"/>
            <w:gridSpan w:val="2"/>
            <w:vAlign w:val="center"/>
          </w:tcPr>
          <w:p w14:paraId="5B18A604">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勘测设计方案</w:t>
            </w:r>
          </w:p>
        </w:tc>
        <w:tc>
          <w:tcPr>
            <w:tcW w:w="1255" w:type="dxa"/>
            <w:gridSpan w:val="2"/>
            <w:vAlign w:val="center"/>
          </w:tcPr>
          <w:p w14:paraId="68391F3A">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5分</w:t>
            </w:r>
          </w:p>
        </w:tc>
        <w:tc>
          <w:tcPr>
            <w:tcW w:w="5961" w:type="dxa"/>
            <w:gridSpan w:val="2"/>
          </w:tcPr>
          <w:p w14:paraId="58C98006">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根据要求，针对本项目特点及类似项目经验，主要电气设备选型合理，系统配置符合实际情况，结构基础设计符合现场需求，应用软件进行仿真模拟，并阐述勘察设计目标与设计质量控制措施。</w:t>
            </w:r>
            <w:r>
              <w:rPr>
                <w:rFonts w:ascii="宋体" w:hAnsi="宋体" w:cs="宋体"/>
                <w:color w:val="auto"/>
                <w:szCs w:val="21"/>
                <w:highlight w:val="none"/>
              </w:rPr>
              <w:t>优秀得</w:t>
            </w:r>
            <w:r>
              <w:rPr>
                <w:rFonts w:hint="eastAsia" w:ascii="宋体" w:hAnsi="宋体" w:cs="宋体"/>
                <w:color w:val="auto"/>
                <w:szCs w:val="21"/>
                <w:highlight w:val="none"/>
              </w:rPr>
              <w:t>5</w:t>
            </w:r>
            <w:r>
              <w:rPr>
                <w:rFonts w:ascii="宋体" w:hAnsi="宋体" w:cs="宋体"/>
                <w:color w:val="auto"/>
                <w:szCs w:val="21"/>
                <w:highlight w:val="none"/>
              </w:rPr>
              <w:t>分，良好得</w:t>
            </w:r>
            <w:r>
              <w:rPr>
                <w:rFonts w:hint="eastAsia" w:ascii="宋体" w:hAnsi="宋体" w:cs="宋体"/>
                <w:color w:val="auto"/>
                <w:szCs w:val="21"/>
                <w:highlight w:val="none"/>
              </w:rPr>
              <w:t>4.5</w:t>
            </w:r>
            <w:r>
              <w:rPr>
                <w:rFonts w:ascii="宋体" w:hAnsi="宋体" w:cs="宋体"/>
                <w:color w:val="auto"/>
                <w:szCs w:val="21"/>
                <w:highlight w:val="none"/>
              </w:rPr>
              <w:t>分，一般得</w:t>
            </w:r>
            <w:r>
              <w:rPr>
                <w:rFonts w:hint="eastAsia" w:ascii="宋体" w:hAnsi="宋体" w:cs="宋体"/>
                <w:color w:val="auto"/>
                <w:szCs w:val="21"/>
                <w:highlight w:val="none"/>
              </w:rPr>
              <w:t>4</w:t>
            </w:r>
            <w:r>
              <w:rPr>
                <w:rFonts w:ascii="宋体" w:hAnsi="宋体" w:cs="宋体"/>
                <w:color w:val="auto"/>
                <w:szCs w:val="21"/>
                <w:highlight w:val="none"/>
              </w:rPr>
              <w:t>分，合格的得</w:t>
            </w:r>
            <w:r>
              <w:rPr>
                <w:rFonts w:hint="eastAsia" w:ascii="宋体" w:hAnsi="宋体" w:cs="宋体"/>
                <w:color w:val="auto"/>
                <w:szCs w:val="21"/>
                <w:highlight w:val="none"/>
              </w:rPr>
              <w:t>3.5</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p>
        </w:tc>
      </w:tr>
      <w:tr w14:paraId="30F2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36" w:type="dxa"/>
            <w:vAlign w:val="center"/>
          </w:tcPr>
          <w:p w14:paraId="1F497D43">
            <w:pPr>
              <w:adjustRightInd w:val="0"/>
              <w:snapToGrid w:val="0"/>
              <w:spacing w:line="5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w:t>
            </w:r>
          </w:p>
        </w:tc>
        <w:tc>
          <w:tcPr>
            <w:tcW w:w="1767" w:type="dxa"/>
            <w:gridSpan w:val="2"/>
            <w:vAlign w:val="center"/>
          </w:tcPr>
          <w:p w14:paraId="42688287">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供电并网调试方案</w:t>
            </w:r>
          </w:p>
        </w:tc>
        <w:tc>
          <w:tcPr>
            <w:tcW w:w="1255" w:type="dxa"/>
            <w:gridSpan w:val="2"/>
            <w:vAlign w:val="center"/>
          </w:tcPr>
          <w:p w14:paraId="64ED6A2E">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5分</w:t>
            </w:r>
          </w:p>
        </w:tc>
        <w:tc>
          <w:tcPr>
            <w:tcW w:w="5961" w:type="dxa"/>
            <w:gridSpan w:val="2"/>
          </w:tcPr>
          <w:p w14:paraId="7B6991EF">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本项目后期供电并网调试非常重要，投标人需根据项目情况和特点，编制详细可行的供电并网调试方案，要有具体措施和实施细则，注意事项等。</w:t>
            </w:r>
            <w:r>
              <w:rPr>
                <w:rFonts w:ascii="宋体" w:hAnsi="宋体" w:cs="宋体"/>
                <w:color w:val="auto"/>
                <w:szCs w:val="21"/>
                <w:highlight w:val="none"/>
              </w:rPr>
              <w:t>优秀得</w:t>
            </w:r>
            <w:r>
              <w:rPr>
                <w:rFonts w:hint="eastAsia" w:ascii="宋体" w:hAnsi="宋体" w:cs="宋体"/>
                <w:color w:val="auto"/>
                <w:szCs w:val="21"/>
                <w:highlight w:val="none"/>
              </w:rPr>
              <w:t>5</w:t>
            </w:r>
            <w:r>
              <w:rPr>
                <w:rFonts w:ascii="宋体" w:hAnsi="宋体" w:cs="宋体"/>
                <w:color w:val="auto"/>
                <w:szCs w:val="21"/>
                <w:highlight w:val="none"/>
              </w:rPr>
              <w:t>分，良好得</w:t>
            </w:r>
            <w:r>
              <w:rPr>
                <w:rFonts w:hint="eastAsia" w:ascii="宋体" w:hAnsi="宋体" w:cs="宋体"/>
                <w:color w:val="auto"/>
                <w:szCs w:val="21"/>
                <w:highlight w:val="none"/>
              </w:rPr>
              <w:t>4.5</w:t>
            </w:r>
            <w:r>
              <w:rPr>
                <w:rFonts w:ascii="宋体" w:hAnsi="宋体" w:cs="宋体"/>
                <w:color w:val="auto"/>
                <w:szCs w:val="21"/>
                <w:highlight w:val="none"/>
              </w:rPr>
              <w:t>分，一般得</w:t>
            </w:r>
            <w:r>
              <w:rPr>
                <w:rFonts w:hint="eastAsia" w:ascii="宋体" w:hAnsi="宋体" w:cs="宋体"/>
                <w:color w:val="auto"/>
                <w:szCs w:val="21"/>
                <w:highlight w:val="none"/>
              </w:rPr>
              <w:t>4</w:t>
            </w:r>
            <w:r>
              <w:rPr>
                <w:rFonts w:ascii="宋体" w:hAnsi="宋体" w:cs="宋体"/>
                <w:color w:val="auto"/>
                <w:szCs w:val="21"/>
                <w:highlight w:val="none"/>
              </w:rPr>
              <w:t>分，合格的得</w:t>
            </w:r>
            <w:r>
              <w:rPr>
                <w:rFonts w:hint="eastAsia" w:ascii="宋体" w:hAnsi="宋体" w:cs="宋体"/>
                <w:color w:val="auto"/>
                <w:szCs w:val="21"/>
                <w:highlight w:val="none"/>
              </w:rPr>
              <w:t>3.5</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p>
        </w:tc>
      </w:tr>
      <w:tr w14:paraId="63AC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36" w:type="dxa"/>
            <w:vAlign w:val="center"/>
          </w:tcPr>
          <w:p w14:paraId="2C7ED036">
            <w:pPr>
              <w:adjustRightInd w:val="0"/>
              <w:snapToGrid w:val="0"/>
              <w:spacing w:line="5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w:t>
            </w:r>
          </w:p>
        </w:tc>
        <w:tc>
          <w:tcPr>
            <w:tcW w:w="1767" w:type="dxa"/>
            <w:gridSpan w:val="2"/>
            <w:vAlign w:val="center"/>
          </w:tcPr>
          <w:p w14:paraId="47B9E5E8">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运维方案</w:t>
            </w:r>
          </w:p>
        </w:tc>
        <w:tc>
          <w:tcPr>
            <w:tcW w:w="1255" w:type="dxa"/>
            <w:gridSpan w:val="2"/>
            <w:vAlign w:val="center"/>
          </w:tcPr>
          <w:p w14:paraId="46B3B5A2">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5分</w:t>
            </w:r>
          </w:p>
        </w:tc>
        <w:tc>
          <w:tcPr>
            <w:tcW w:w="5961" w:type="dxa"/>
            <w:gridSpan w:val="2"/>
          </w:tcPr>
          <w:p w14:paraId="7D89A898">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所提供的运维方案满足实际需求，具有可行性和经济性。包括但不限于：</w:t>
            </w:r>
          </w:p>
          <w:p w14:paraId="3F8E431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设备配置：能够满足运维要求，配置充足、合理，设备性能先进；</w:t>
            </w:r>
          </w:p>
          <w:p w14:paraId="0198009D">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人员计划安排：运维人员安排合理、充足、与委托运维进度计划匹配；</w:t>
            </w:r>
          </w:p>
          <w:p w14:paraId="7DAC996F">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安全保证措施：安全措施健全，有针对本机组完善的安全措施，组织机构健全，制度落实；</w:t>
            </w:r>
          </w:p>
          <w:p w14:paraId="3765370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运维实施计划安排详细，具有专项运维考核制度、运维响应时间等。</w:t>
            </w:r>
          </w:p>
          <w:p w14:paraId="3477FF2A">
            <w:pPr>
              <w:spacing w:line="440" w:lineRule="exact"/>
              <w:jc w:val="left"/>
              <w:rPr>
                <w:rFonts w:ascii="宋体" w:hAnsi="宋体" w:cs="宋体"/>
                <w:color w:val="auto"/>
                <w:szCs w:val="21"/>
                <w:highlight w:val="none"/>
              </w:rPr>
            </w:pPr>
            <w:r>
              <w:rPr>
                <w:rFonts w:ascii="宋体" w:hAnsi="宋体" w:cs="宋体"/>
                <w:color w:val="auto"/>
                <w:szCs w:val="21"/>
                <w:highlight w:val="none"/>
              </w:rPr>
              <w:t>优秀得</w:t>
            </w:r>
            <w:r>
              <w:rPr>
                <w:rFonts w:hint="eastAsia" w:ascii="宋体" w:hAnsi="宋体" w:cs="宋体"/>
                <w:color w:val="auto"/>
                <w:szCs w:val="21"/>
                <w:highlight w:val="none"/>
              </w:rPr>
              <w:t>5</w:t>
            </w:r>
            <w:r>
              <w:rPr>
                <w:rFonts w:ascii="宋体" w:hAnsi="宋体" w:cs="宋体"/>
                <w:color w:val="auto"/>
                <w:szCs w:val="21"/>
                <w:highlight w:val="none"/>
              </w:rPr>
              <w:t>分，良好得</w:t>
            </w:r>
            <w:r>
              <w:rPr>
                <w:rFonts w:hint="eastAsia" w:ascii="宋体" w:hAnsi="宋体" w:cs="宋体"/>
                <w:color w:val="auto"/>
                <w:szCs w:val="21"/>
                <w:highlight w:val="none"/>
              </w:rPr>
              <w:t>4.5</w:t>
            </w:r>
            <w:r>
              <w:rPr>
                <w:rFonts w:ascii="宋体" w:hAnsi="宋体" w:cs="宋体"/>
                <w:color w:val="auto"/>
                <w:szCs w:val="21"/>
                <w:highlight w:val="none"/>
              </w:rPr>
              <w:t>分，一般得</w:t>
            </w:r>
            <w:r>
              <w:rPr>
                <w:rFonts w:hint="eastAsia" w:ascii="宋体" w:hAnsi="宋体" w:cs="宋体"/>
                <w:color w:val="auto"/>
                <w:szCs w:val="21"/>
                <w:highlight w:val="none"/>
              </w:rPr>
              <w:t>4</w:t>
            </w:r>
            <w:r>
              <w:rPr>
                <w:rFonts w:ascii="宋体" w:hAnsi="宋体" w:cs="宋体"/>
                <w:color w:val="auto"/>
                <w:szCs w:val="21"/>
                <w:highlight w:val="none"/>
              </w:rPr>
              <w:t>分，合格的得</w:t>
            </w:r>
            <w:r>
              <w:rPr>
                <w:rFonts w:hint="eastAsia" w:ascii="宋体" w:hAnsi="宋体" w:cs="宋体"/>
                <w:color w:val="auto"/>
                <w:szCs w:val="21"/>
                <w:highlight w:val="none"/>
              </w:rPr>
              <w:t>3.5</w:t>
            </w:r>
            <w:r>
              <w:rPr>
                <w:rFonts w:ascii="宋体" w:hAnsi="宋体" w:cs="宋体"/>
                <w:color w:val="auto"/>
                <w:szCs w:val="21"/>
                <w:highlight w:val="none"/>
              </w:rPr>
              <w:t>分，不合格或未提供</w:t>
            </w:r>
            <w:r>
              <w:rPr>
                <w:rFonts w:hint="eastAsia" w:ascii="宋体" w:hAnsi="宋体" w:cs="宋体"/>
                <w:color w:val="auto"/>
                <w:szCs w:val="21"/>
                <w:highlight w:val="none"/>
              </w:rPr>
              <w:t>的不得分。</w:t>
            </w:r>
          </w:p>
        </w:tc>
      </w:tr>
    </w:tbl>
    <w:p w14:paraId="0A4ADB23">
      <w:pPr>
        <w:pStyle w:val="18"/>
        <w:spacing w:line="560" w:lineRule="exact"/>
        <w:ind w:left="0" w:leftChars="0" w:firstLine="422"/>
        <w:jc w:val="left"/>
        <w:rPr>
          <w:rFonts w:ascii="宋体" w:hAnsi="宋体" w:cs="宋体"/>
          <w:b/>
          <w:bCs/>
          <w:color w:val="auto"/>
          <w:highlight w:val="none"/>
        </w:rPr>
      </w:pPr>
      <w:r>
        <w:rPr>
          <w:rFonts w:hint="eastAsia" w:ascii="宋体" w:hAnsi="宋体" w:cs="宋体"/>
          <w:b/>
          <w:bCs/>
          <w:color w:val="auto"/>
          <w:highlight w:val="none"/>
        </w:rPr>
        <w:t>注：1、每个评审因素得分均以去掉一个最高分和一个最低分后的打分平均值确定（打分平均值保留小数点后两位，小数点后第三位四舍五入）</w:t>
      </w:r>
      <w:r>
        <w:rPr>
          <w:rFonts w:hint="eastAsia" w:ascii="宋体" w:hAnsi="宋体" w:cs="宋体"/>
          <w:b/>
          <w:bCs/>
          <w:color w:val="auto"/>
          <w:highlight w:val="none"/>
          <w:lang w:eastAsia="zh-CN"/>
        </w:rPr>
        <w:t>，汇总</w:t>
      </w:r>
      <w:r>
        <w:rPr>
          <w:rFonts w:hint="eastAsia" w:ascii="宋体" w:hAnsi="宋体" w:cs="宋体"/>
          <w:b/>
          <w:bCs/>
          <w:color w:val="auto"/>
          <w:highlight w:val="none"/>
        </w:rPr>
        <w:t>每个评审因素</w:t>
      </w:r>
      <w:r>
        <w:rPr>
          <w:rFonts w:hint="eastAsia" w:ascii="宋体" w:hAnsi="宋体" w:cs="宋体"/>
          <w:b/>
          <w:bCs/>
          <w:color w:val="auto"/>
          <w:highlight w:val="none"/>
          <w:lang w:eastAsia="zh-CN"/>
        </w:rPr>
        <w:t>得分，得到该投标人技术标评分细则得分</w:t>
      </w:r>
      <w:r>
        <w:rPr>
          <w:rFonts w:hint="eastAsia" w:ascii="宋体" w:hAnsi="宋体" w:cs="宋体"/>
          <w:b/>
          <w:bCs/>
          <w:color w:val="auto"/>
          <w:highlight w:val="none"/>
        </w:rPr>
        <w:t>。</w:t>
      </w:r>
    </w:p>
    <w:p w14:paraId="25E1F7C8">
      <w:pPr>
        <w:pStyle w:val="18"/>
        <w:spacing w:line="560" w:lineRule="exact"/>
        <w:ind w:left="0" w:leftChars="0" w:firstLine="413" w:firstLineChars="196"/>
        <w:jc w:val="left"/>
        <w:rPr>
          <w:rFonts w:ascii="宋体" w:hAnsi="宋体" w:cs="宋体"/>
          <w:b/>
          <w:bCs/>
          <w:color w:val="auto"/>
          <w:highlight w:val="none"/>
        </w:rPr>
      </w:pPr>
      <w:r>
        <w:rPr>
          <w:rFonts w:hint="eastAsia" w:ascii="宋体" w:hAnsi="宋体" w:cs="宋体"/>
          <w:b/>
          <w:bCs/>
          <w:color w:val="auto"/>
          <w:highlight w:val="none"/>
        </w:rPr>
        <w:t>2、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该评分点作零分处理。</w:t>
      </w:r>
    </w:p>
    <w:p w14:paraId="08C25108">
      <w:pPr>
        <w:pStyle w:val="18"/>
        <w:spacing w:line="560" w:lineRule="exact"/>
        <w:ind w:left="0" w:leftChars="0" w:firstLine="413" w:firstLineChars="196"/>
        <w:jc w:val="left"/>
        <w:rPr>
          <w:rFonts w:ascii="宋体" w:hAnsi="宋体" w:cs="宋体"/>
          <w:b/>
          <w:bCs/>
          <w:color w:val="auto"/>
          <w:highlight w:val="none"/>
        </w:rPr>
      </w:pPr>
      <w:r>
        <w:rPr>
          <w:rFonts w:hint="eastAsia" w:ascii="宋体" w:hAnsi="宋体" w:cs="宋体"/>
          <w:b/>
          <w:bCs/>
          <w:color w:val="auto"/>
          <w:highlight w:val="none"/>
        </w:rPr>
        <w:t>2.1 技术标暗标不设空白页。技术标投标文件封面不出现投标人、法定代表人签章内容，格式以系统设置为准。正文必须按招标文件要求的顺序进行排版；</w:t>
      </w:r>
    </w:p>
    <w:p w14:paraId="39499527">
      <w:pPr>
        <w:pStyle w:val="18"/>
        <w:spacing w:line="560" w:lineRule="exact"/>
        <w:ind w:left="0" w:leftChars="0" w:firstLine="422"/>
        <w:jc w:val="left"/>
        <w:rPr>
          <w:rFonts w:ascii="宋体" w:hAnsi="宋体" w:cs="宋体"/>
          <w:b/>
          <w:bCs/>
          <w:color w:val="auto"/>
          <w:highlight w:val="none"/>
        </w:rPr>
      </w:pPr>
      <w:r>
        <w:rPr>
          <w:rFonts w:hint="eastAsia" w:ascii="宋体" w:hAnsi="宋体" w:cs="宋体"/>
          <w:b/>
          <w:bCs/>
          <w:color w:val="auto"/>
          <w:highlight w:val="none"/>
        </w:rPr>
        <w:t>2.2技术标暗标正文文字排版统一使用中文宋体字体，</w:t>
      </w:r>
      <w:r>
        <w:rPr>
          <w:rFonts w:hint="eastAsia" w:ascii="宋体" w:hAnsi="宋体" w:cs="宋体"/>
          <w:bCs/>
          <w:color w:val="auto"/>
          <w:highlight w:val="none"/>
        </w:rPr>
        <w:t>文字为白底黑色，图表采用黑白灰色（不得采用彩色）。</w:t>
      </w:r>
      <w:r>
        <w:rPr>
          <w:rFonts w:hint="eastAsia" w:ascii="宋体" w:hAnsi="宋体" w:cs="宋体"/>
          <w:b/>
          <w:bCs/>
          <w:color w:val="auto"/>
          <w:highlight w:val="none"/>
        </w:rPr>
        <w:t>文字部分不得插入任何图表（可以用“见附图x”或“见附表x”说明），附图、附表必须依次附在各章对应评分点内容的文末，计算在页数要求内；</w:t>
      </w:r>
    </w:p>
    <w:p w14:paraId="1F91A0C4">
      <w:pPr>
        <w:pStyle w:val="18"/>
        <w:spacing w:line="560" w:lineRule="exact"/>
        <w:ind w:left="0" w:leftChars="0" w:firstLine="517" w:firstLineChars="245"/>
        <w:jc w:val="left"/>
        <w:rPr>
          <w:rFonts w:ascii="宋体" w:hAnsi="宋体" w:cs="宋体"/>
          <w:b/>
          <w:bCs/>
          <w:color w:val="auto"/>
          <w:highlight w:val="none"/>
        </w:rPr>
      </w:pPr>
      <w:r>
        <w:rPr>
          <w:rFonts w:hint="eastAsia" w:ascii="宋体" w:hAnsi="宋体" w:cs="宋体"/>
          <w:b/>
          <w:bCs/>
          <w:color w:val="auto"/>
          <w:highlight w:val="none"/>
        </w:rPr>
        <w:t>2.3 正文采用宋体四号常规字，字符间距设为标准值，行距为单倍行距，不勾选“如果定义了文档网格，则对齐到网格”；正文统一设为左对齐，章、节标题、及段落首行缩进2个汉字，段落前后不设空行；正文版面不加页眉、页脚、边框、下划线等标志，正文页码用小五号阿拉伯数字，居中。单位符号中有上下角标要求的，必须在相应位置做角标；</w:t>
      </w:r>
    </w:p>
    <w:p w14:paraId="5BF952C0">
      <w:pPr>
        <w:spacing w:line="560" w:lineRule="exact"/>
        <w:ind w:firstLine="421"/>
        <w:rPr>
          <w:rFonts w:ascii="宋体" w:hAnsi="宋体" w:cs="宋体"/>
          <w:b/>
          <w:bCs/>
          <w:color w:val="auto"/>
          <w:highlight w:val="none"/>
        </w:rPr>
      </w:pPr>
      <w:r>
        <w:rPr>
          <w:rFonts w:hint="eastAsia" w:ascii="宋体" w:hAnsi="宋体" w:cs="宋体"/>
          <w:b/>
          <w:bCs/>
          <w:color w:val="auto"/>
          <w:highlight w:val="none"/>
        </w:rPr>
        <w:t>2.4技术标暗标文件的格式、制作不符合上述要求的，每一分项扣</w:t>
      </w:r>
      <w:r>
        <w:rPr>
          <w:rFonts w:hint="eastAsia" w:ascii="宋体" w:hAnsi="宋体" w:cs="宋体"/>
          <w:b/>
          <w:bCs/>
          <w:color w:val="auto"/>
          <w:highlight w:val="none"/>
          <w:u w:val="single"/>
        </w:rPr>
        <w:t>0.2</w:t>
      </w:r>
      <w:r>
        <w:rPr>
          <w:rFonts w:hint="eastAsia" w:ascii="宋体" w:hAnsi="宋体" w:cs="宋体"/>
          <w:b/>
          <w:bCs/>
          <w:color w:val="auto"/>
          <w:highlight w:val="none"/>
        </w:rPr>
        <w:t>分。技术标实行暗标的，对技术标（暗标）部分不予澄清、说明或者补正。</w:t>
      </w:r>
    </w:p>
    <w:p w14:paraId="37FB5811">
      <w:pPr>
        <w:spacing w:line="560" w:lineRule="exact"/>
        <w:ind w:firstLine="413" w:firstLineChars="196"/>
        <w:rPr>
          <w:rFonts w:ascii="宋体" w:hAnsi="宋体" w:cs="宋体"/>
          <w:b/>
          <w:bCs/>
          <w:color w:val="auto"/>
          <w:highlight w:val="none"/>
        </w:rPr>
      </w:pPr>
      <w:r>
        <w:rPr>
          <w:rFonts w:hint="eastAsia" w:ascii="宋体" w:hAnsi="宋体" w:cs="宋体"/>
          <w:b/>
          <w:bCs/>
          <w:color w:val="auto"/>
          <w:highlight w:val="none"/>
        </w:rPr>
        <w:t>3、招标人应根据招标项目实际，在招标文件中明确招标中总承包方案、安装方案、勘测设计方案、供电并网调试方案、运维方案的评审要点。</w:t>
      </w:r>
    </w:p>
    <w:p w14:paraId="76489C50">
      <w:pPr>
        <w:spacing w:line="560" w:lineRule="exact"/>
        <w:ind w:firstLine="413" w:firstLineChars="196"/>
        <w:rPr>
          <w:rFonts w:ascii="宋体" w:hAnsi="宋体" w:cs="宋体"/>
          <w:b/>
          <w:bCs/>
          <w:color w:val="auto"/>
          <w:highlight w:val="none"/>
        </w:rPr>
      </w:pPr>
      <w:r>
        <w:rPr>
          <w:rFonts w:hint="eastAsia" w:ascii="宋体" w:hAnsi="宋体" w:cs="宋体"/>
          <w:b/>
          <w:bCs/>
          <w:color w:val="auto"/>
          <w:highlight w:val="none"/>
        </w:rPr>
        <w:t>3.1、总承包方案：根据评分细则设置各评分点页数不超过20页。</w:t>
      </w:r>
    </w:p>
    <w:p w14:paraId="0E41BA6F">
      <w:pPr>
        <w:spacing w:line="560" w:lineRule="exact"/>
        <w:ind w:firstLine="413" w:firstLineChars="196"/>
        <w:rPr>
          <w:rFonts w:ascii="宋体" w:hAnsi="宋体" w:cs="宋体"/>
          <w:b/>
          <w:bCs/>
          <w:color w:val="auto"/>
          <w:highlight w:val="none"/>
        </w:rPr>
      </w:pPr>
      <w:r>
        <w:rPr>
          <w:rFonts w:hint="eastAsia" w:ascii="宋体" w:hAnsi="宋体" w:cs="宋体"/>
          <w:b/>
          <w:bCs/>
          <w:color w:val="auto"/>
          <w:highlight w:val="none"/>
        </w:rPr>
        <w:t>3.2、安装方案：根据评分细则设置页数不超过20页。</w:t>
      </w:r>
    </w:p>
    <w:p w14:paraId="22236E64">
      <w:pPr>
        <w:spacing w:line="560" w:lineRule="exact"/>
        <w:ind w:firstLine="413" w:firstLineChars="196"/>
        <w:rPr>
          <w:rFonts w:ascii="宋体" w:hAnsi="宋体" w:cs="宋体"/>
          <w:b/>
          <w:bCs/>
          <w:color w:val="auto"/>
          <w:highlight w:val="none"/>
        </w:rPr>
      </w:pPr>
      <w:r>
        <w:rPr>
          <w:rFonts w:hint="eastAsia" w:ascii="宋体" w:hAnsi="宋体" w:cs="宋体"/>
          <w:b/>
          <w:bCs/>
          <w:color w:val="auto"/>
          <w:highlight w:val="none"/>
        </w:rPr>
        <w:t>3.3、勘测设计方案：根据评分细则设置页数不超过20页。</w:t>
      </w:r>
    </w:p>
    <w:p w14:paraId="59F642C9">
      <w:pPr>
        <w:spacing w:line="560" w:lineRule="exact"/>
        <w:ind w:firstLine="413" w:firstLineChars="196"/>
        <w:rPr>
          <w:rFonts w:ascii="宋体" w:hAnsi="宋体" w:cs="宋体"/>
          <w:b/>
          <w:bCs/>
          <w:color w:val="auto"/>
          <w:highlight w:val="none"/>
        </w:rPr>
      </w:pPr>
      <w:r>
        <w:rPr>
          <w:rFonts w:hint="eastAsia" w:ascii="宋体" w:hAnsi="宋体" w:cs="宋体"/>
          <w:b/>
          <w:bCs/>
          <w:color w:val="auto"/>
          <w:highlight w:val="none"/>
        </w:rPr>
        <w:t>3.4、供电并网调试方案：根据评分细则设置页数不超过20页。</w:t>
      </w:r>
    </w:p>
    <w:p w14:paraId="414471C1">
      <w:pPr>
        <w:spacing w:line="560" w:lineRule="exact"/>
        <w:ind w:firstLine="413" w:firstLineChars="196"/>
        <w:rPr>
          <w:rFonts w:ascii="宋体" w:hAnsi="宋体" w:cs="宋体"/>
          <w:b/>
          <w:bCs/>
          <w:color w:val="auto"/>
          <w:highlight w:val="none"/>
        </w:rPr>
      </w:pPr>
      <w:r>
        <w:rPr>
          <w:rFonts w:hint="eastAsia" w:ascii="宋体" w:hAnsi="宋体" w:cs="宋体"/>
          <w:b/>
          <w:bCs/>
          <w:color w:val="auto"/>
          <w:highlight w:val="none"/>
        </w:rPr>
        <w:t>3.5、运维方案：根据评分细则设置页数不超过20页。</w:t>
      </w:r>
    </w:p>
    <w:p w14:paraId="003262FA">
      <w:pPr>
        <w:spacing w:line="560" w:lineRule="exact"/>
        <w:ind w:firstLine="411" w:firstLineChars="196"/>
        <w:rPr>
          <w:rFonts w:ascii="宋体" w:hAnsi="宋体"/>
          <w:color w:val="auto"/>
          <w:szCs w:val="21"/>
          <w:highlight w:val="none"/>
        </w:rPr>
      </w:pPr>
      <w:r>
        <w:rPr>
          <w:rFonts w:hint="eastAsia" w:ascii="宋体" w:hAnsi="宋体"/>
          <w:color w:val="auto"/>
          <w:szCs w:val="21"/>
          <w:highlight w:val="none"/>
        </w:rPr>
        <w:t>具体篇幅(字数)要求及扣分标准（建议扣分值为0.2分）。未做要求的，投标人可根据实际需要进行编制投标文件，但不得出现泄漏投标人信息的任何表述。偏离规定标准的，评标委员会应酌情扣分。</w:t>
      </w:r>
    </w:p>
    <w:p w14:paraId="272422FD">
      <w:pPr>
        <w:adjustRightInd w:val="0"/>
        <w:snapToGrid w:val="0"/>
        <w:spacing w:line="560" w:lineRule="exact"/>
        <w:ind w:firstLine="482" w:firstLineChars="230"/>
        <w:rPr>
          <w:rFonts w:ascii="宋体" w:hAnsi="宋体"/>
          <w:color w:val="auto"/>
          <w:szCs w:val="21"/>
          <w:highlight w:val="none"/>
        </w:rPr>
      </w:pPr>
      <w:r>
        <w:rPr>
          <w:rFonts w:hint="eastAsia" w:ascii="宋体" w:hAnsi="宋体"/>
          <w:color w:val="auto"/>
          <w:szCs w:val="21"/>
          <w:highlight w:val="none"/>
        </w:rPr>
        <w:t>4、暗标评审仅限评标环节。评标结束后，如出现质疑、投诉、举报等，经认定评标错误的，由评标委员会纠正错误或重新评分，此时不再受暗标评审约束，但在纠正错误或重新评分中发现投标企业技术标出现可能泄露投标人单位及个人信息的文字、图片、图表（技术标不得签章）等有关表述的，对应技术标评分点按零分处理。</w:t>
      </w:r>
    </w:p>
    <w:p w14:paraId="3B96297F">
      <w:pPr>
        <w:adjustRightInd w:val="0"/>
        <w:snapToGrid w:val="0"/>
        <w:spacing w:line="560" w:lineRule="exact"/>
        <w:ind w:firstLine="482" w:firstLineChars="230"/>
        <w:rPr>
          <w:rFonts w:ascii="宋体" w:hAnsi="宋体"/>
          <w:color w:val="auto"/>
          <w:sz w:val="25"/>
          <w:highlight w:val="none"/>
        </w:rPr>
      </w:pPr>
      <w:r>
        <w:rPr>
          <w:rFonts w:hint="eastAsia" w:ascii="宋体" w:hAnsi="宋体"/>
          <w:color w:val="auto"/>
          <w:szCs w:val="21"/>
          <w:highlight w:val="none"/>
        </w:rPr>
        <w:t>5、如所有投标企业技术标都出现能反映企业信息等相关内容的，该项目流标。</w:t>
      </w:r>
    </w:p>
    <w:p w14:paraId="0E743A72">
      <w:pPr>
        <w:spacing w:line="560" w:lineRule="exact"/>
        <w:jc w:val="center"/>
        <w:outlineLvl w:val="1"/>
        <w:rPr>
          <w:b/>
          <w:color w:val="auto"/>
          <w:sz w:val="28"/>
          <w:szCs w:val="21"/>
          <w:highlight w:val="none"/>
        </w:rPr>
      </w:pPr>
      <w:bookmarkStart w:id="782" w:name="_Toc19284"/>
      <w:r>
        <w:rPr>
          <w:rFonts w:hint="eastAsia"/>
          <w:b/>
          <w:color w:val="auto"/>
          <w:sz w:val="28"/>
          <w:szCs w:val="21"/>
          <w:highlight w:val="none"/>
        </w:rPr>
        <w:t>（四）商务标评审</w:t>
      </w:r>
      <w:bookmarkEnd w:id="782"/>
    </w:p>
    <w:tbl>
      <w:tblPr>
        <w:tblStyle w:val="19"/>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780"/>
        <w:gridCol w:w="2831"/>
        <w:gridCol w:w="5016"/>
      </w:tblGrid>
      <w:tr w14:paraId="3B30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61" w:type="dxa"/>
            <w:gridSpan w:val="2"/>
            <w:vAlign w:val="center"/>
          </w:tcPr>
          <w:p w14:paraId="403AA74D">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条款号</w:t>
            </w:r>
          </w:p>
        </w:tc>
        <w:tc>
          <w:tcPr>
            <w:tcW w:w="2831" w:type="dxa"/>
            <w:vAlign w:val="center"/>
          </w:tcPr>
          <w:p w14:paraId="1AD0B1FC">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评审因素</w:t>
            </w:r>
          </w:p>
        </w:tc>
        <w:tc>
          <w:tcPr>
            <w:tcW w:w="5016" w:type="dxa"/>
            <w:vAlign w:val="center"/>
          </w:tcPr>
          <w:p w14:paraId="2FA047CF">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评审标准</w:t>
            </w:r>
          </w:p>
        </w:tc>
      </w:tr>
      <w:tr w14:paraId="1156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1" w:type="dxa"/>
            <w:vMerge w:val="restart"/>
            <w:vAlign w:val="center"/>
          </w:tcPr>
          <w:p w14:paraId="4E76D203">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4.2.1</w:t>
            </w:r>
          </w:p>
        </w:tc>
        <w:tc>
          <w:tcPr>
            <w:tcW w:w="780" w:type="dxa"/>
            <w:vMerge w:val="restart"/>
            <w:vAlign w:val="center"/>
          </w:tcPr>
          <w:p w14:paraId="18265C86">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形式评审标准</w:t>
            </w:r>
          </w:p>
        </w:tc>
        <w:tc>
          <w:tcPr>
            <w:tcW w:w="2831" w:type="dxa"/>
            <w:vAlign w:val="center"/>
          </w:tcPr>
          <w:p w14:paraId="758A450D">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投标函签字盖章</w:t>
            </w:r>
          </w:p>
        </w:tc>
        <w:tc>
          <w:tcPr>
            <w:tcW w:w="5016" w:type="dxa"/>
            <w:vAlign w:val="center"/>
          </w:tcPr>
          <w:p w14:paraId="5867D763">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有投标人及其法定代表人签章。</w:t>
            </w:r>
          </w:p>
        </w:tc>
      </w:tr>
      <w:tr w14:paraId="7F9C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1" w:type="dxa"/>
            <w:vMerge w:val="continue"/>
            <w:vAlign w:val="center"/>
          </w:tcPr>
          <w:p w14:paraId="36DEB5C6">
            <w:pPr>
              <w:widowControl/>
              <w:adjustRightInd w:val="0"/>
              <w:snapToGrid w:val="0"/>
              <w:spacing w:line="560" w:lineRule="exact"/>
              <w:jc w:val="left"/>
              <w:rPr>
                <w:rFonts w:ascii="宋体" w:hAnsi="宋体"/>
                <w:color w:val="auto"/>
                <w:szCs w:val="21"/>
                <w:highlight w:val="none"/>
              </w:rPr>
            </w:pPr>
          </w:p>
        </w:tc>
        <w:tc>
          <w:tcPr>
            <w:tcW w:w="780" w:type="dxa"/>
            <w:vMerge w:val="continue"/>
            <w:vAlign w:val="center"/>
          </w:tcPr>
          <w:p w14:paraId="22F1F9F0">
            <w:pPr>
              <w:widowControl/>
              <w:adjustRightInd w:val="0"/>
              <w:snapToGrid w:val="0"/>
              <w:spacing w:line="560" w:lineRule="exact"/>
              <w:jc w:val="left"/>
              <w:rPr>
                <w:rFonts w:ascii="宋体" w:hAnsi="宋体"/>
                <w:color w:val="auto"/>
                <w:szCs w:val="21"/>
                <w:highlight w:val="none"/>
              </w:rPr>
            </w:pPr>
          </w:p>
        </w:tc>
        <w:tc>
          <w:tcPr>
            <w:tcW w:w="2831" w:type="dxa"/>
            <w:vAlign w:val="center"/>
          </w:tcPr>
          <w:p w14:paraId="065786EF">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投标文件格式</w:t>
            </w:r>
          </w:p>
        </w:tc>
        <w:tc>
          <w:tcPr>
            <w:tcW w:w="5016" w:type="dxa"/>
            <w:vAlign w:val="center"/>
          </w:tcPr>
          <w:p w14:paraId="62756B63">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符合第</w:t>
            </w:r>
            <w:r>
              <w:rPr>
                <w:rFonts w:hint="eastAsia" w:ascii="宋体" w:hAnsi="宋体" w:cs="宋体"/>
                <w:color w:val="auto"/>
                <w:szCs w:val="21"/>
                <w:highlight w:val="none"/>
              </w:rPr>
              <w:t>七</w:t>
            </w:r>
            <w:r>
              <w:rPr>
                <w:rFonts w:hint="eastAsia" w:ascii="宋体" w:hAnsi="宋体"/>
                <w:color w:val="auto"/>
                <w:szCs w:val="21"/>
                <w:highlight w:val="none"/>
              </w:rPr>
              <w:t>章“投标文件格式”的要求。</w:t>
            </w:r>
          </w:p>
        </w:tc>
      </w:tr>
      <w:tr w14:paraId="4A1E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1" w:type="dxa"/>
            <w:vMerge w:val="continue"/>
            <w:vAlign w:val="center"/>
          </w:tcPr>
          <w:p w14:paraId="530A240B">
            <w:pPr>
              <w:widowControl/>
              <w:adjustRightInd w:val="0"/>
              <w:snapToGrid w:val="0"/>
              <w:spacing w:line="560" w:lineRule="exact"/>
              <w:jc w:val="left"/>
              <w:rPr>
                <w:rFonts w:ascii="宋体" w:hAnsi="宋体"/>
                <w:color w:val="auto"/>
                <w:szCs w:val="21"/>
                <w:highlight w:val="none"/>
              </w:rPr>
            </w:pPr>
          </w:p>
        </w:tc>
        <w:tc>
          <w:tcPr>
            <w:tcW w:w="780" w:type="dxa"/>
            <w:vMerge w:val="continue"/>
            <w:vAlign w:val="center"/>
          </w:tcPr>
          <w:p w14:paraId="31F10A7B">
            <w:pPr>
              <w:widowControl/>
              <w:adjustRightInd w:val="0"/>
              <w:snapToGrid w:val="0"/>
              <w:spacing w:line="560" w:lineRule="exact"/>
              <w:jc w:val="left"/>
              <w:rPr>
                <w:rFonts w:ascii="宋体" w:hAnsi="宋体"/>
                <w:color w:val="auto"/>
                <w:szCs w:val="21"/>
                <w:highlight w:val="none"/>
              </w:rPr>
            </w:pPr>
          </w:p>
        </w:tc>
        <w:tc>
          <w:tcPr>
            <w:tcW w:w="2831" w:type="dxa"/>
            <w:vAlign w:val="center"/>
          </w:tcPr>
          <w:p w14:paraId="1B59921E">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商务标签字盖章</w:t>
            </w:r>
          </w:p>
        </w:tc>
        <w:tc>
          <w:tcPr>
            <w:tcW w:w="5016" w:type="dxa"/>
            <w:vAlign w:val="center"/>
          </w:tcPr>
          <w:p w14:paraId="264A3E6C">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按投标文件格式要求签章。</w:t>
            </w:r>
          </w:p>
        </w:tc>
      </w:tr>
      <w:tr w14:paraId="6506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81" w:type="dxa"/>
            <w:vMerge w:val="continue"/>
            <w:vAlign w:val="center"/>
          </w:tcPr>
          <w:p w14:paraId="26EBBA9C">
            <w:pPr>
              <w:widowControl/>
              <w:adjustRightInd w:val="0"/>
              <w:snapToGrid w:val="0"/>
              <w:spacing w:line="560" w:lineRule="exact"/>
              <w:jc w:val="left"/>
              <w:rPr>
                <w:rFonts w:ascii="宋体" w:hAnsi="宋体"/>
                <w:color w:val="auto"/>
                <w:szCs w:val="21"/>
                <w:highlight w:val="none"/>
              </w:rPr>
            </w:pPr>
          </w:p>
        </w:tc>
        <w:tc>
          <w:tcPr>
            <w:tcW w:w="780" w:type="dxa"/>
            <w:vMerge w:val="continue"/>
            <w:vAlign w:val="center"/>
          </w:tcPr>
          <w:p w14:paraId="484DD5B2">
            <w:pPr>
              <w:widowControl/>
              <w:adjustRightInd w:val="0"/>
              <w:snapToGrid w:val="0"/>
              <w:spacing w:line="560" w:lineRule="exact"/>
              <w:jc w:val="left"/>
              <w:rPr>
                <w:rFonts w:ascii="宋体" w:hAnsi="宋体"/>
                <w:color w:val="auto"/>
                <w:szCs w:val="21"/>
                <w:highlight w:val="none"/>
              </w:rPr>
            </w:pPr>
          </w:p>
        </w:tc>
        <w:tc>
          <w:tcPr>
            <w:tcW w:w="2831" w:type="dxa"/>
            <w:vAlign w:val="center"/>
          </w:tcPr>
          <w:p w14:paraId="26E900D1">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报价唯一</w:t>
            </w:r>
          </w:p>
        </w:tc>
        <w:tc>
          <w:tcPr>
            <w:tcW w:w="5016" w:type="dxa"/>
            <w:vAlign w:val="center"/>
          </w:tcPr>
          <w:p w14:paraId="56F712F0">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只能有一个报价。</w:t>
            </w:r>
          </w:p>
        </w:tc>
      </w:tr>
      <w:tr w14:paraId="13DA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81" w:type="dxa"/>
            <w:vMerge w:val="restart"/>
            <w:vAlign w:val="center"/>
          </w:tcPr>
          <w:p w14:paraId="37809F01">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4.2.2</w:t>
            </w:r>
          </w:p>
        </w:tc>
        <w:tc>
          <w:tcPr>
            <w:tcW w:w="780" w:type="dxa"/>
            <w:vMerge w:val="restart"/>
            <w:vAlign w:val="center"/>
          </w:tcPr>
          <w:p w14:paraId="25DE6D80">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响应性评审标准</w:t>
            </w:r>
          </w:p>
          <w:p w14:paraId="3CBAE35E">
            <w:pPr>
              <w:adjustRightInd w:val="0"/>
              <w:snapToGrid w:val="0"/>
              <w:spacing w:line="560" w:lineRule="exact"/>
              <w:jc w:val="center"/>
              <w:rPr>
                <w:rFonts w:ascii="宋体" w:hAnsi="宋体"/>
                <w:color w:val="auto"/>
                <w:szCs w:val="21"/>
                <w:highlight w:val="none"/>
              </w:rPr>
            </w:pPr>
          </w:p>
        </w:tc>
        <w:tc>
          <w:tcPr>
            <w:tcW w:w="2831" w:type="dxa"/>
            <w:vAlign w:val="center"/>
          </w:tcPr>
          <w:p w14:paraId="454648A6">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工期</w:t>
            </w:r>
          </w:p>
        </w:tc>
        <w:tc>
          <w:tcPr>
            <w:tcW w:w="5016" w:type="dxa"/>
            <w:vAlign w:val="center"/>
          </w:tcPr>
          <w:p w14:paraId="0A8E3B44">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符合投标须知前附表规定。</w:t>
            </w:r>
          </w:p>
        </w:tc>
      </w:tr>
      <w:tr w14:paraId="0B5B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1" w:type="dxa"/>
            <w:vMerge w:val="continue"/>
            <w:vAlign w:val="center"/>
          </w:tcPr>
          <w:p w14:paraId="71B0B97B">
            <w:pPr>
              <w:widowControl/>
              <w:adjustRightInd w:val="0"/>
              <w:snapToGrid w:val="0"/>
              <w:spacing w:line="560" w:lineRule="exact"/>
              <w:jc w:val="left"/>
              <w:rPr>
                <w:rFonts w:ascii="宋体" w:hAnsi="宋体"/>
                <w:color w:val="auto"/>
                <w:szCs w:val="21"/>
                <w:highlight w:val="none"/>
              </w:rPr>
            </w:pPr>
          </w:p>
        </w:tc>
        <w:tc>
          <w:tcPr>
            <w:tcW w:w="780" w:type="dxa"/>
            <w:vMerge w:val="continue"/>
            <w:vAlign w:val="center"/>
          </w:tcPr>
          <w:p w14:paraId="0989149A">
            <w:pPr>
              <w:widowControl/>
              <w:adjustRightInd w:val="0"/>
              <w:snapToGrid w:val="0"/>
              <w:spacing w:line="560" w:lineRule="exact"/>
              <w:jc w:val="left"/>
              <w:rPr>
                <w:rFonts w:ascii="宋体" w:hAnsi="宋体"/>
                <w:color w:val="auto"/>
                <w:szCs w:val="21"/>
                <w:highlight w:val="none"/>
              </w:rPr>
            </w:pPr>
          </w:p>
        </w:tc>
        <w:tc>
          <w:tcPr>
            <w:tcW w:w="2831" w:type="dxa"/>
            <w:vAlign w:val="center"/>
          </w:tcPr>
          <w:p w14:paraId="76833634">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工程质量</w:t>
            </w:r>
          </w:p>
        </w:tc>
        <w:tc>
          <w:tcPr>
            <w:tcW w:w="5016" w:type="dxa"/>
            <w:vAlign w:val="center"/>
          </w:tcPr>
          <w:p w14:paraId="7B14E2A8">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符合投标须知前附表规定。</w:t>
            </w:r>
          </w:p>
        </w:tc>
      </w:tr>
      <w:tr w14:paraId="4FF4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1" w:type="dxa"/>
            <w:vMerge w:val="continue"/>
            <w:vAlign w:val="center"/>
          </w:tcPr>
          <w:p w14:paraId="3A9D0514">
            <w:pPr>
              <w:widowControl/>
              <w:adjustRightInd w:val="0"/>
              <w:snapToGrid w:val="0"/>
              <w:spacing w:line="560" w:lineRule="exact"/>
              <w:jc w:val="left"/>
              <w:rPr>
                <w:rFonts w:ascii="宋体" w:hAnsi="宋体"/>
                <w:color w:val="auto"/>
                <w:szCs w:val="21"/>
                <w:highlight w:val="none"/>
              </w:rPr>
            </w:pPr>
          </w:p>
        </w:tc>
        <w:tc>
          <w:tcPr>
            <w:tcW w:w="780" w:type="dxa"/>
            <w:vMerge w:val="continue"/>
            <w:vAlign w:val="center"/>
          </w:tcPr>
          <w:p w14:paraId="1FAE5116">
            <w:pPr>
              <w:widowControl/>
              <w:adjustRightInd w:val="0"/>
              <w:snapToGrid w:val="0"/>
              <w:spacing w:line="560" w:lineRule="exact"/>
              <w:jc w:val="left"/>
              <w:rPr>
                <w:rFonts w:ascii="宋体" w:hAnsi="宋体"/>
                <w:color w:val="auto"/>
                <w:szCs w:val="21"/>
                <w:highlight w:val="none"/>
              </w:rPr>
            </w:pPr>
          </w:p>
        </w:tc>
        <w:tc>
          <w:tcPr>
            <w:tcW w:w="2831" w:type="dxa"/>
            <w:vAlign w:val="center"/>
          </w:tcPr>
          <w:p w14:paraId="6AC4CDB6">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投标有效期</w:t>
            </w:r>
          </w:p>
        </w:tc>
        <w:tc>
          <w:tcPr>
            <w:tcW w:w="5016" w:type="dxa"/>
            <w:vAlign w:val="center"/>
          </w:tcPr>
          <w:p w14:paraId="71F13AE9">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符合投标须知前附表规定。</w:t>
            </w:r>
          </w:p>
        </w:tc>
      </w:tr>
      <w:tr w14:paraId="3738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1" w:type="dxa"/>
            <w:vMerge w:val="continue"/>
            <w:vAlign w:val="center"/>
          </w:tcPr>
          <w:p w14:paraId="4B6AED94">
            <w:pPr>
              <w:adjustRightInd w:val="0"/>
              <w:snapToGrid w:val="0"/>
              <w:spacing w:line="560" w:lineRule="exact"/>
              <w:rPr>
                <w:rFonts w:ascii="宋体" w:hAnsi="宋体"/>
                <w:color w:val="auto"/>
                <w:szCs w:val="21"/>
                <w:highlight w:val="none"/>
              </w:rPr>
            </w:pPr>
          </w:p>
        </w:tc>
        <w:tc>
          <w:tcPr>
            <w:tcW w:w="780" w:type="dxa"/>
            <w:vMerge w:val="continue"/>
            <w:vAlign w:val="center"/>
          </w:tcPr>
          <w:p w14:paraId="509BF092">
            <w:pPr>
              <w:adjustRightInd w:val="0"/>
              <w:snapToGrid w:val="0"/>
              <w:spacing w:line="560" w:lineRule="exact"/>
              <w:rPr>
                <w:rFonts w:ascii="宋体" w:hAnsi="宋体"/>
                <w:color w:val="auto"/>
                <w:szCs w:val="21"/>
                <w:highlight w:val="none"/>
              </w:rPr>
            </w:pPr>
          </w:p>
        </w:tc>
        <w:tc>
          <w:tcPr>
            <w:tcW w:w="2831" w:type="dxa"/>
            <w:vAlign w:val="center"/>
          </w:tcPr>
          <w:p w14:paraId="4E22D79E">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工程成本评审</w:t>
            </w:r>
          </w:p>
        </w:tc>
        <w:tc>
          <w:tcPr>
            <w:tcW w:w="5016" w:type="dxa"/>
            <w:vAlign w:val="center"/>
          </w:tcPr>
          <w:p w14:paraId="6A8CC289">
            <w:pPr>
              <w:adjustRightInd w:val="0"/>
              <w:snapToGrid w:val="0"/>
              <w:spacing w:line="560" w:lineRule="exact"/>
              <w:rPr>
                <w:rFonts w:ascii="宋体" w:hAnsi="宋体"/>
                <w:color w:val="auto"/>
                <w:spacing w:val="-6"/>
                <w:szCs w:val="21"/>
                <w:highlight w:val="none"/>
              </w:rPr>
            </w:pPr>
            <w:r>
              <w:rPr>
                <w:rFonts w:hint="eastAsia"/>
                <w:color w:val="auto"/>
                <w:highlight w:val="none"/>
              </w:rPr>
              <w:t>投标报价</w:t>
            </w:r>
            <w:r>
              <w:rPr>
                <w:rFonts w:hint="eastAsia" w:ascii="宋体" w:hAnsi="宋体"/>
                <w:color w:val="auto"/>
                <w:szCs w:val="21"/>
                <w:highlight w:val="none"/>
              </w:rPr>
              <w:t>低于同一工程</w:t>
            </w:r>
            <w:r>
              <w:rPr>
                <w:rFonts w:hint="eastAsia"/>
                <w:color w:val="auto"/>
                <w:highlight w:val="none"/>
              </w:rPr>
              <w:t>投标报价</w:t>
            </w:r>
            <w:r>
              <w:rPr>
                <w:rFonts w:hint="eastAsia" w:ascii="宋体" w:hAnsi="宋体"/>
                <w:color w:val="auto"/>
                <w:szCs w:val="21"/>
                <w:highlight w:val="none"/>
              </w:rPr>
              <w:t>平均值10%以上的，由评标委员会重点评审后界定其报价是否低于工程成本。</w:t>
            </w:r>
          </w:p>
        </w:tc>
      </w:tr>
      <w:tr w14:paraId="11A9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4" w:hRule="atLeast"/>
          <w:jc w:val="center"/>
        </w:trPr>
        <w:tc>
          <w:tcPr>
            <w:tcW w:w="881" w:type="dxa"/>
            <w:vAlign w:val="center"/>
          </w:tcPr>
          <w:p w14:paraId="6A7AFB85">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7.1</w:t>
            </w:r>
          </w:p>
        </w:tc>
        <w:tc>
          <w:tcPr>
            <w:tcW w:w="780" w:type="dxa"/>
            <w:vAlign w:val="center"/>
          </w:tcPr>
          <w:p w14:paraId="2F87208C">
            <w:pPr>
              <w:adjustRightInd w:val="0"/>
              <w:snapToGrid w:val="0"/>
              <w:spacing w:line="440" w:lineRule="exact"/>
              <w:jc w:val="left"/>
              <w:rPr>
                <w:rFonts w:ascii="宋体" w:hAnsi="宋体" w:cs="宋体"/>
                <w:color w:val="auto"/>
                <w:szCs w:val="21"/>
                <w:highlight w:val="none"/>
              </w:rPr>
            </w:pPr>
            <w:r>
              <w:rPr>
                <w:rFonts w:hint="eastAsia" w:ascii="宋体" w:hAnsi="宋体" w:cs="宋体"/>
                <w:color w:val="auto"/>
                <w:szCs w:val="21"/>
                <w:highlight w:val="none"/>
              </w:rPr>
              <w:t>商务</w:t>
            </w:r>
          </w:p>
          <w:p w14:paraId="50423EB4">
            <w:pPr>
              <w:adjustRightInd w:val="0"/>
              <w:snapToGrid w:val="0"/>
              <w:spacing w:line="440" w:lineRule="exact"/>
              <w:jc w:val="left"/>
              <w:rPr>
                <w:rFonts w:ascii="宋体" w:hAnsi="宋体" w:cs="宋体"/>
                <w:color w:val="auto"/>
                <w:szCs w:val="21"/>
                <w:highlight w:val="none"/>
              </w:rPr>
            </w:pPr>
            <w:r>
              <w:rPr>
                <w:rFonts w:hint="eastAsia" w:ascii="宋体" w:hAnsi="宋体" w:cs="宋体"/>
                <w:color w:val="auto"/>
                <w:szCs w:val="21"/>
                <w:highlight w:val="none"/>
              </w:rPr>
              <w:t>评分</w:t>
            </w:r>
          </w:p>
          <w:p w14:paraId="010E5B29">
            <w:pPr>
              <w:adjustRightInd w:val="0"/>
              <w:snapToGrid w:val="0"/>
              <w:spacing w:line="560" w:lineRule="exact"/>
              <w:rPr>
                <w:rFonts w:ascii="宋体" w:hAnsi="宋体"/>
                <w:color w:val="auto"/>
                <w:szCs w:val="21"/>
                <w:highlight w:val="none"/>
              </w:rPr>
            </w:pPr>
            <w:r>
              <w:rPr>
                <w:rFonts w:hint="eastAsia" w:ascii="宋体" w:hAnsi="宋体" w:cs="宋体"/>
                <w:color w:val="auto"/>
                <w:szCs w:val="21"/>
                <w:highlight w:val="none"/>
              </w:rPr>
              <w:t>（45分）</w:t>
            </w:r>
          </w:p>
        </w:tc>
        <w:tc>
          <w:tcPr>
            <w:tcW w:w="7847" w:type="dxa"/>
            <w:gridSpan w:val="2"/>
            <w:vAlign w:val="center"/>
          </w:tcPr>
          <w:p w14:paraId="3EE121BA">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1、报价分（45分）：</w:t>
            </w:r>
          </w:p>
          <w:p w14:paraId="50DC3F95">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该部分商务标评分按下列步骤计算：</w:t>
            </w:r>
          </w:p>
          <w:p w14:paraId="55D8694C">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第一步：计算B值。</w:t>
            </w:r>
          </w:p>
          <w:p w14:paraId="40DDF564">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①B值为计算范围内有效投标人报价的算术平均值。</w:t>
            </w:r>
          </w:p>
          <w:p w14:paraId="03AF98AA">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第二步：计算评标基准价F值。</w:t>
            </w:r>
          </w:p>
          <w:p w14:paraId="6AF306D5">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①F=B×（1-K），其中K为调整系数，K的取值为-0.5%（1号），0%（2号），0.5%（3号），1.0%（4号），1.5%（5号）。</w:t>
            </w:r>
          </w:p>
          <w:p w14:paraId="708A96BE">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第三步：计算报价偏差率。</w:t>
            </w:r>
          </w:p>
          <w:p w14:paraId="67A8D1F1">
            <w:pPr>
              <w:spacing w:line="440" w:lineRule="exact"/>
              <w:rPr>
                <w:rFonts w:ascii="宋体" w:hAnsi="宋体" w:cs="宋体"/>
                <w:color w:val="auto"/>
                <w:szCs w:val="21"/>
                <w:highlight w:val="none"/>
              </w:rPr>
            </w:pPr>
            <w:r>
              <w:rPr>
                <w:rFonts w:hint="eastAsia" w:ascii="宋体" w:hAnsi="宋体" w:cs="宋体"/>
                <w:color w:val="auto"/>
                <w:szCs w:val="21"/>
                <w:highlight w:val="none"/>
              </w:rPr>
              <w:t>①偏差率=|（投标报价-评标基准价）/评标基准价|×100%</w:t>
            </w:r>
          </w:p>
          <w:p w14:paraId="5F4796C8">
            <w:pPr>
              <w:spacing w:line="440" w:lineRule="exact"/>
              <w:rPr>
                <w:rFonts w:ascii="宋体" w:hAnsi="宋体" w:cs="宋体"/>
                <w:color w:val="auto"/>
                <w:szCs w:val="21"/>
                <w:highlight w:val="none"/>
              </w:rPr>
            </w:pPr>
            <w:r>
              <w:rPr>
                <w:rFonts w:hint="eastAsia" w:ascii="宋体" w:hAnsi="宋体" w:cs="宋体"/>
                <w:color w:val="auto"/>
                <w:szCs w:val="21"/>
                <w:highlight w:val="none"/>
              </w:rPr>
              <w:t>第四步：计算报价得分</w:t>
            </w:r>
          </w:p>
          <w:p w14:paraId="4B98CF7A">
            <w:pPr>
              <w:spacing w:line="440" w:lineRule="exact"/>
              <w:rPr>
                <w:rFonts w:ascii="宋体" w:hAnsi="宋体" w:cs="宋体"/>
                <w:color w:val="auto"/>
                <w:szCs w:val="21"/>
                <w:highlight w:val="none"/>
              </w:rPr>
            </w:pPr>
            <w:r>
              <w:rPr>
                <w:rFonts w:hint="eastAsia" w:ascii="宋体" w:hAnsi="宋体" w:cs="宋体"/>
                <w:color w:val="auto"/>
                <w:szCs w:val="21"/>
                <w:highlight w:val="none"/>
              </w:rPr>
              <w:t>①投标报价等于评标基准价的得满分。</w:t>
            </w:r>
          </w:p>
          <w:p w14:paraId="6F10BDB5">
            <w:pPr>
              <w:spacing w:line="440" w:lineRule="exact"/>
              <w:rPr>
                <w:rFonts w:ascii="宋体" w:hAnsi="宋体" w:cs="宋体"/>
                <w:color w:val="auto"/>
                <w:szCs w:val="21"/>
                <w:highlight w:val="none"/>
              </w:rPr>
            </w:pPr>
            <w:r>
              <w:rPr>
                <w:rFonts w:hint="eastAsia" w:ascii="宋体" w:hAnsi="宋体" w:cs="宋体"/>
                <w:color w:val="auto"/>
                <w:szCs w:val="21"/>
                <w:highlight w:val="none"/>
              </w:rPr>
              <w:t>②投标报价高于评标基准价的，投标报价得分=报价满分值-偏差率×100×1</w:t>
            </w:r>
          </w:p>
          <w:p w14:paraId="698803B6">
            <w:pPr>
              <w:spacing w:line="440" w:lineRule="exact"/>
              <w:rPr>
                <w:rFonts w:ascii="宋体" w:hAnsi="宋体" w:cs="宋体"/>
                <w:color w:val="auto"/>
                <w:szCs w:val="21"/>
                <w:highlight w:val="none"/>
              </w:rPr>
            </w:pPr>
            <w:r>
              <w:rPr>
                <w:rFonts w:hint="eastAsia" w:ascii="宋体" w:hAnsi="宋体" w:cs="宋体"/>
                <w:color w:val="auto"/>
                <w:szCs w:val="21"/>
                <w:highlight w:val="none"/>
              </w:rPr>
              <w:t>③投标报价低于评标基准价的，投标报价得分=报价满分值-偏差率×100×0.5</w:t>
            </w:r>
          </w:p>
          <w:p w14:paraId="7F77BF8E">
            <w:pPr>
              <w:adjustRightInd w:val="0"/>
              <w:snapToGrid w:val="0"/>
              <w:spacing w:line="440" w:lineRule="exact"/>
              <w:jc w:val="left"/>
              <w:rPr>
                <w:rFonts w:ascii="宋体" w:hAnsi="宋体"/>
                <w:color w:val="auto"/>
                <w:szCs w:val="21"/>
                <w:highlight w:val="none"/>
              </w:rPr>
            </w:pPr>
            <w:r>
              <w:rPr>
                <w:rFonts w:hint="eastAsia" w:ascii="宋体" w:hAnsi="宋体" w:cs="宋体"/>
                <w:b/>
                <w:color w:val="auto"/>
                <w:szCs w:val="21"/>
                <w:highlight w:val="none"/>
              </w:rPr>
              <w:t>注：该部分计算过程中，B值、评标基准价F值、偏差率、报价得分均保留两位小数，小数点后第三位四舍五入。</w:t>
            </w:r>
          </w:p>
        </w:tc>
      </w:tr>
    </w:tbl>
    <w:p w14:paraId="37E55AF3">
      <w:pPr>
        <w:adjustRightInd w:val="0"/>
        <w:snapToGrid w:val="0"/>
        <w:spacing w:line="560" w:lineRule="exact"/>
        <w:ind w:firstLine="316" w:firstLineChars="150"/>
        <w:rPr>
          <w:rFonts w:ascii="黑体" w:hAnsi="黑体" w:eastAsia="黑体" w:cs="黑体"/>
          <w:b/>
          <w:color w:val="auto"/>
          <w:szCs w:val="21"/>
          <w:highlight w:val="none"/>
        </w:rPr>
      </w:pPr>
      <w:bookmarkStart w:id="783" w:name="_Toc95223429"/>
      <w:r>
        <w:rPr>
          <w:rFonts w:hint="eastAsia" w:ascii="黑体" w:hAnsi="黑体" w:eastAsia="黑体" w:cs="黑体"/>
          <w:b/>
          <w:color w:val="auto"/>
          <w:szCs w:val="21"/>
          <w:highlight w:val="none"/>
        </w:rPr>
        <w:t>商务标评审表注：</w:t>
      </w:r>
    </w:p>
    <w:p w14:paraId="617FD934">
      <w:pPr>
        <w:adjustRightInd w:val="0"/>
        <w:snapToGrid w:val="0"/>
        <w:spacing w:line="440" w:lineRule="exact"/>
        <w:ind w:firstLine="420" w:firstLineChars="200"/>
        <w:outlineLvl w:val="2"/>
        <w:rPr>
          <w:rFonts w:ascii="宋体" w:hAnsi="宋体" w:cs="宋体"/>
          <w:color w:val="auto"/>
          <w:szCs w:val="21"/>
          <w:highlight w:val="none"/>
        </w:rPr>
      </w:pPr>
      <w:bookmarkStart w:id="784" w:name="_Toc31053"/>
      <w:r>
        <w:rPr>
          <w:rFonts w:hint="eastAsia" w:ascii="宋体" w:hAnsi="宋体" w:cs="宋体"/>
          <w:color w:val="auto"/>
          <w:szCs w:val="21"/>
          <w:highlight w:val="none"/>
        </w:rPr>
        <w:t>1、只有通过详细评审的投标人才能参加评分。</w:t>
      </w:r>
      <w:bookmarkEnd w:id="784"/>
    </w:p>
    <w:p w14:paraId="0A2121E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2、本表所称投标报价是指按招标文件规定修正后的投标总报价（多算投标报价、多报费用不扣减）。</w:t>
      </w:r>
    </w:p>
    <w:p w14:paraId="55F587B2">
      <w:pPr>
        <w:adjustRightInd w:val="0"/>
        <w:snapToGrid w:val="0"/>
        <w:spacing w:line="440" w:lineRule="exact"/>
        <w:ind w:firstLine="420" w:firstLineChars="200"/>
        <w:outlineLvl w:val="2"/>
        <w:rPr>
          <w:rFonts w:ascii="宋体" w:hAnsi="宋体" w:cs="宋体"/>
          <w:color w:val="auto"/>
          <w:szCs w:val="21"/>
          <w:highlight w:val="none"/>
        </w:rPr>
      </w:pPr>
      <w:bookmarkStart w:id="785" w:name="_Toc12615"/>
      <w:r>
        <w:rPr>
          <w:rFonts w:hint="eastAsia" w:ascii="宋体" w:hAnsi="宋体" w:cs="宋体"/>
          <w:color w:val="auto"/>
          <w:szCs w:val="21"/>
          <w:highlight w:val="none"/>
        </w:rPr>
        <w:t>3、B值计算方法：</w:t>
      </w:r>
      <w:bookmarkEnd w:id="785"/>
    </w:p>
    <w:p w14:paraId="29F08710">
      <w:pPr>
        <w:adjustRightInd w:val="0"/>
        <w:snapToGrid w:val="0"/>
        <w:spacing w:line="44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（1）本项目T取值为10。</w:t>
      </w:r>
    </w:p>
    <w:p w14:paraId="2C4928C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（2）资信技术合计分值大于等于所有通过（资信、技术、商务）详细评审有效投标人资信技术平均分值的投标人数量为M。</w:t>
      </w:r>
    </w:p>
    <w:p w14:paraId="4E588D42">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（3）若M 未超过 T 时，B 值为符合上述条件的 M 个投标人投标报价的算术平均值。</w:t>
      </w:r>
    </w:p>
    <w:p w14:paraId="4058F62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（4）若M 超过 T 时，B 值为符合上述条件的 M 个投标人投标报价中去除(M-T)/2【M-T 为奇数时，则为(M-T+1)/2】个最高价和(M-T)/2【M-T 为奇数时，则为(M-T-1)/2】个最低价后，剩余有效投标报价的算术平均值（如去高去低的最后一名存在报价相同的，则通过随机抽取确定被去除的投标人。只保留T个投标人的投标报价）。</w:t>
      </w:r>
    </w:p>
    <w:p w14:paraId="2C0093C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4、K值（评标基准价系数）的抽取：资信标、技术标、商务标评审完成后，招标人在线抽取K值，并根据抽取的K值计算F值，评标办法中的评标基准价计算出来后，除数字计算错误外，其他情况均不再调整。</w:t>
      </w:r>
    </w:p>
    <w:p w14:paraId="52C4CA7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投标人（如投标人为联合体，联合体中施工企业需提供）注册建造师必须满足相应建筑业企业资质标准要求，评标委员会在评审时，将对此进行评审。投标单位（如投标人为联合体，联合体中施工企业需提供）应在商务标文件中提供安徽省住建厅或全国建筑市场监管公共服务平台(四库一平台)企业注册人员网页截图，未提供相关截图，按无效标处理。 </w:t>
      </w:r>
    </w:p>
    <w:bookmarkEnd w:id="783"/>
    <w:p w14:paraId="04672308">
      <w:pPr>
        <w:pStyle w:val="3"/>
        <w:adjustRightInd w:val="0"/>
        <w:snapToGrid w:val="0"/>
        <w:spacing w:line="560" w:lineRule="exact"/>
        <w:ind w:firstLine="422" w:firstLineChars="200"/>
        <w:rPr>
          <w:rFonts w:ascii="黑体" w:hAnsi="黑体" w:cs="黑体"/>
          <w:color w:val="auto"/>
          <w:sz w:val="21"/>
          <w:szCs w:val="21"/>
          <w:highlight w:val="none"/>
        </w:rPr>
      </w:pPr>
      <w:bookmarkStart w:id="786" w:name="_Toc28121"/>
      <w:bookmarkStart w:id="787" w:name="_Toc95223430"/>
      <w:r>
        <w:rPr>
          <w:rFonts w:hint="eastAsia" w:ascii="黑体" w:hAnsi="黑体" w:cs="黑体"/>
          <w:color w:val="auto"/>
          <w:sz w:val="21"/>
          <w:szCs w:val="21"/>
          <w:highlight w:val="none"/>
        </w:rPr>
        <w:t>1. 评标方法</w:t>
      </w:r>
      <w:bookmarkEnd w:id="786"/>
    </w:p>
    <w:p w14:paraId="61BF9DF6">
      <w:pPr>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本次评标采用</w:t>
      </w:r>
      <w:r>
        <w:rPr>
          <w:rFonts w:hint="eastAsia" w:ascii="宋体" w:hAnsi="宋体" w:cs="宋体"/>
          <w:b/>
          <w:color w:val="auto"/>
          <w:szCs w:val="21"/>
          <w:highlight w:val="none"/>
        </w:rPr>
        <w:t>工程总承包（EPC）综合评估法</w:t>
      </w:r>
      <w:r>
        <w:rPr>
          <w:rFonts w:hint="eastAsia" w:ascii="宋体" w:hAnsi="宋体" w:cs="宋体"/>
          <w:color w:val="auto"/>
          <w:szCs w:val="21"/>
          <w:highlight w:val="none"/>
        </w:rPr>
        <w:t>。评标委员会对投标人依次进行资信、技术、商务文件审查，合计的总得分按照从高到低进行排序，总得分第一的投标人为第一中标候选人，依次推荐（3名中标候选人）。如总得分相等，以投标报价低的优先；投标报价仍相等，由招标人或评标委员会主任委员随机抽取确定排名。</w:t>
      </w:r>
    </w:p>
    <w:p w14:paraId="4EB82E28">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评标委员会评审初步结论，项目单位（代理机构）对预中标候选人、法定代表人及其项目经理（建造师）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377A6DDB">
      <w:pPr>
        <w:numPr>
          <w:ilvl w:val="0"/>
          <w:numId w:val="5"/>
        </w:numPr>
        <w:wordWrap w:val="0"/>
        <w:adjustRightInd w:val="0"/>
        <w:snapToGrid w:val="0"/>
        <w:spacing w:line="5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投标人（如投标人为联合体，联合体</w:t>
      </w:r>
      <w:r>
        <w:rPr>
          <w:rFonts w:hint="eastAsia" w:ascii="宋体" w:hAnsi="宋体" w:cs="宋体"/>
          <w:color w:val="auto"/>
          <w:szCs w:val="21"/>
          <w:highlight w:val="none"/>
          <w:lang w:val="en-US" w:eastAsia="zh-CN"/>
        </w:rPr>
        <w:t>中施工方</w:t>
      </w:r>
      <w:r>
        <w:rPr>
          <w:rFonts w:hint="eastAsia" w:ascii="宋体" w:hAnsi="宋体" w:cs="宋体"/>
          <w:color w:val="auto"/>
          <w:szCs w:val="21"/>
          <w:highlight w:val="none"/>
        </w:rPr>
        <w:t>需提供）的注册建造师必须满足相应建筑业企业资质标准要求，评标委员会在评审时，将对此进行评审。投标单位（如投标人为联合体，联合体</w:t>
      </w:r>
      <w:r>
        <w:rPr>
          <w:rFonts w:hint="eastAsia" w:ascii="宋体" w:hAnsi="宋体" w:cs="宋体"/>
          <w:color w:val="auto"/>
          <w:szCs w:val="21"/>
          <w:highlight w:val="none"/>
          <w:lang w:val="en-US" w:eastAsia="zh-CN"/>
        </w:rPr>
        <w:t>中施工方</w:t>
      </w:r>
      <w:r>
        <w:rPr>
          <w:rFonts w:hint="eastAsia" w:ascii="宋体" w:hAnsi="宋体" w:cs="宋体"/>
          <w:color w:val="auto"/>
          <w:szCs w:val="21"/>
          <w:highlight w:val="none"/>
        </w:rPr>
        <w:t>需提供）应在商务标文件中提供全国建筑市场监管公共服务平台(四库一平台)企业注册人员网页截图，并在投标函中承诺，承诺本单位现有注册建造师专业、数量满足《建筑业企业资质标准》及有关文件中对应资质等级标准要求等内容，未提供相关截图或承诺的，按无效标处理。</w:t>
      </w:r>
    </w:p>
    <w:p w14:paraId="79EE15FE">
      <w:pPr>
        <w:numPr>
          <w:ilvl w:val="-1"/>
          <w:numId w:val="0"/>
        </w:numPr>
        <w:wordWrap w:val="0"/>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（2）评标委员会登录全国建筑市场监管公共服务平台 (四库-平台)https://jzsc.mohurd.gov.cn/home 进行实时查询，并结合《住房城乡建设部关于进一步加强建设工程企业资质审批管理工作的通知》（建市规〔2023〕3 号）、《住房和城乡建设部办公厅关于建设工程企业资质有关事项的通知》（建办市函〔2022〕361 号）和安徽省住建厅《关于建设工程企业资质有关事宜的通知》（建市函〔2022〕748 号），对中标候选人的关系企业履约能力的建造师数量进行评审：</w:t>
      </w:r>
    </w:p>
    <w:p w14:paraId="1CB9A1DF">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仿宋_GB2312" w:hAnsi="宋体" w:eastAsia="仿宋_GB2312" w:cs="宋体"/>
          <w:color w:val="auto"/>
          <w:szCs w:val="21"/>
          <w:highlight w:val="none"/>
        </w:rPr>
        <w:t>①</w:t>
      </w:r>
      <w:r>
        <w:rPr>
          <w:rFonts w:hint="eastAsia" w:ascii="宋体" w:hAnsi="宋体" w:cs="宋体"/>
          <w:color w:val="auto"/>
          <w:szCs w:val="21"/>
          <w:highlight w:val="none"/>
        </w:rPr>
        <w:t>电力工程施工总承包特级资质企业：注册一级建造师 50人以上。</w:t>
      </w:r>
    </w:p>
    <w:p w14:paraId="3798CCD0">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仿宋_GB2312" w:hAnsi="宋体" w:eastAsia="仿宋_GB2312" w:cs="宋体"/>
          <w:color w:val="auto"/>
          <w:szCs w:val="21"/>
          <w:highlight w:val="none"/>
        </w:rPr>
        <w:t>②</w:t>
      </w:r>
      <w:r>
        <w:rPr>
          <w:rFonts w:hint="eastAsia" w:ascii="宋体" w:hAnsi="宋体" w:cs="宋体"/>
          <w:color w:val="auto"/>
          <w:szCs w:val="21"/>
          <w:highlight w:val="none"/>
        </w:rPr>
        <w:t>电力工程施工总承包壹级资质企业：机电工程专业一级注册建造师不少于15人。</w:t>
      </w:r>
    </w:p>
    <w:p w14:paraId="2903CDB5">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仿宋_GB2312" w:hAnsi="宋体" w:eastAsia="仿宋_GB2312" w:cs="宋体"/>
          <w:color w:val="auto"/>
          <w:szCs w:val="21"/>
          <w:highlight w:val="none"/>
        </w:rPr>
        <w:t>③</w:t>
      </w:r>
      <w:r>
        <w:rPr>
          <w:rFonts w:hint="eastAsia" w:ascii="宋体" w:hAnsi="宋体" w:cs="宋体"/>
          <w:color w:val="auto"/>
          <w:szCs w:val="21"/>
          <w:highlight w:val="none"/>
        </w:rPr>
        <w:t>电力工程施工总承包贰级、叁级资质企业：机电工程专业注册建造师不少于5人。</w:t>
      </w:r>
    </w:p>
    <w:p w14:paraId="302374A6">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中标候选人的注册建造师不满足上述要求的，评标委员会对该投标不予认可，并将该情形报送相关行政主管部门。中标候选人依次替补，评标委员会再次对替补单位进行核查。</w:t>
      </w:r>
    </w:p>
    <w:p w14:paraId="48ECFFD4">
      <w:pPr>
        <w:pStyle w:val="3"/>
        <w:adjustRightInd w:val="0"/>
        <w:snapToGrid w:val="0"/>
        <w:spacing w:line="560" w:lineRule="exact"/>
        <w:ind w:firstLine="422" w:firstLineChars="200"/>
        <w:rPr>
          <w:rFonts w:ascii="黑体" w:hAnsi="黑体" w:cs="黑体"/>
          <w:color w:val="auto"/>
          <w:sz w:val="21"/>
          <w:szCs w:val="21"/>
          <w:highlight w:val="none"/>
        </w:rPr>
      </w:pPr>
      <w:bookmarkStart w:id="788" w:name="_Toc19471"/>
      <w:r>
        <w:rPr>
          <w:rFonts w:hint="eastAsia" w:ascii="黑体" w:hAnsi="黑体" w:cs="黑体"/>
          <w:color w:val="auto"/>
          <w:sz w:val="21"/>
          <w:szCs w:val="21"/>
          <w:highlight w:val="none"/>
        </w:rPr>
        <w:t>2.评标委员会的职责</w:t>
      </w:r>
      <w:bookmarkEnd w:id="787"/>
      <w:bookmarkEnd w:id="788"/>
    </w:p>
    <w:p w14:paraId="3AC33EE2">
      <w:pPr>
        <w:adjustRightInd w:val="0"/>
        <w:snapToGrid w:val="0"/>
        <w:spacing w:line="560" w:lineRule="exact"/>
        <w:ind w:firstLine="420" w:firstLineChars="200"/>
        <w:rPr>
          <w:rFonts w:ascii="宋体" w:hAnsi="宋体" w:cs="宋体"/>
          <w:color w:val="auto"/>
          <w:szCs w:val="21"/>
          <w:highlight w:val="none"/>
        </w:rPr>
      </w:pPr>
      <w:bookmarkStart w:id="789" w:name="_Toc95223431"/>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9DE5BD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796132C5">
      <w:pPr>
        <w:pStyle w:val="3"/>
        <w:adjustRightInd w:val="0"/>
        <w:snapToGrid w:val="0"/>
        <w:spacing w:line="560" w:lineRule="exact"/>
        <w:ind w:firstLine="422" w:firstLineChars="200"/>
        <w:rPr>
          <w:rFonts w:ascii="黑体" w:hAnsi="黑体" w:cs="黑体"/>
          <w:color w:val="auto"/>
          <w:sz w:val="21"/>
          <w:szCs w:val="21"/>
          <w:highlight w:val="none"/>
        </w:rPr>
      </w:pPr>
      <w:bookmarkStart w:id="790" w:name="_Toc29020"/>
      <w:r>
        <w:rPr>
          <w:rFonts w:hint="eastAsia" w:ascii="黑体" w:hAnsi="黑体" w:cs="黑体"/>
          <w:color w:val="auto"/>
          <w:sz w:val="21"/>
          <w:szCs w:val="21"/>
          <w:highlight w:val="none"/>
        </w:rPr>
        <w:t>3.评标程序</w:t>
      </w:r>
      <w:bookmarkEnd w:id="789"/>
      <w:bookmarkEnd w:id="790"/>
    </w:p>
    <w:p w14:paraId="6AE0158B">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评标先做准备工作，再进行资格、技术标评审，然后进行商务标评审。</w:t>
      </w:r>
    </w:p>
    <w:p w14:paraId="69AA4CD9">
      <w:pPr>
        <w:pStyle w:val="3"/>
        <w:adjustRightInd w:val="0"/>
        <w:snapToGrid w:val="0"/>
        <w:spacing w:line="560" w:lineRule="exact"/>
        <w:ind w:firstLine="422" w:firstLineChars="200"/>
        <w:rPr>
          <w:rFonts w:ascii="黑体" w:hAnsi="黑体" w:cs="黑体"/>
          <w:color w:val="auto"/>
          <w:sz w:val="21"/>
          <w:szCs w:val="21"/>
          <w:highlight w:val="none"/>
        </w:rPr>
      </w:pPr>
      <w:bookmarkStart w:id="791" w:name="_Toc3737"/>
      <w:bookmarkStart w:id="792" w:name="_Toc95223432"/>
      <w:r>
        <w:rPr>
          <w:rFonts w:hint="eastAsia" w:ascii="黑体" w:hAnsi="黑体" w:cs="黑体"/>
          <w:color w:val="auto"/>
          <w:sz w:val="21"/>
          <w:szCs w:val="21"/>
          <w:highlight w:val="none"/>
        </w:rPr>
        <w:t>3.1评标准备工作</w:t>
      </w:r>
      <w:bookmarkEnd w:id="791"/>
      <w:bookmarkEnd w:id="792"/>
    </w:p>
    <w:p w14:paraId="7C2C7DF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3EB51AEF">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58B5675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752DC99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00C45D9A">
      <w:pPr>
        <w:adjustRightInd w:val="0"/>
        <w:snapToGrid w:val="0"/>
        <w:spacing w:line="560" w:lineRule="exact"/>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（4）核对评标工作用表。</w:t>
      </w:r>
    </w:p>
    <w:p w14:paraId="0B4525AF">
      <w:pPr>
        <w:pStyle w:val="3"/>
        <w:adjustRightInd w:val="0"/>
        <w:snapToGrid w:val="0"/>
        <w:spacing w:line="560" w:lineRule="exact"/>
        <w:ind w:firstLine="422" w:firstLineChars="200"/>
        <w:rPr>
          <w:rFonts w:ascii="黑体" w:hAnsi="黑体" w:cs="黑体"/>
          <w:color w:val="auto"/>
          <w:sz w:val="21"/>
          <w:szCs w:val="21"/>
          <w:highlight w:val="none"/>
        </w:rPr>
      </w:pPr>
      <w:bookmarkStart w:id="793" w:name="_Toc26787"/>
      <w:bookmarkStart w:id="794" w:name="_Toc95223433"/>
      <w:r>
        <w:rPr>
          <w:rFonts w:hint="eastAsia" w:ascii="黑体" w:hAnsi="黑体" w:cs="黑体"/>
          <w:color w:val="auto"/>
          <w:sz w:val="21"/>
          <w:szCs w:val="21"/>
          <w:highlight w:val="none"/>
        </w:rPr>
        <w:t>3.2技术标评审</w:t>
      </w:r>
      <w:bookmarkEnd w:id="793"/>
      <w:bookmarkEnd w:id="794"/>
    </w:p>
    <w:p w14:paraId="4F9C337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详见技术标评审表。</w:t>
      </w:r>
    </w:p>
    <w:p w14:paraId="7B7625B4">
      <w:pPr>
        <w:pStyle w:val="3"/>
        <w:adjustRightInd w:val="0"/>
        <w:snapToGrid w:val="0"/>
        <w:spacing w:line="560" w:lineRule="exact"/>
        <w:ind w:firstLine="422" w:firstLineChars="200"/>
        <w:rPr>
          <w:rFonts w:ascii="黑体" w:hAnsi="黑体" w:cs="黑体"/>
          <w:color w:val="auto"/>
          <w:sz w:val="21"/>
          <w:szCs w:val="21"/>
          <w:highlight w:val="none"/>
        </w:rPr>
      </w:pPr>
      <w:bookmarkStart w:id="795" w:name="_Toc95223434"/>
      <w:bookmarkStart w:id="796" w:name="_Toc31150"/>
      <w:r>
        <w:rPr>
          <w:rFonts w:hint="eastAsia" w:ascii="黑体" w:hAnsi="黑体" w:cs="黑体"/>
          <w:color w:val="auto"/>
          <w:sz w:val="21"/>
          <w:szCs w:val="21"/>
          <w:highlight w:val="none"/>
        </w:rPr>
        <w:t>3.3商务标评审</w:t>
      </w:r>
      <w:bookmarkEnd w:id="795"/>
      <w:bookmarkEnd w:id="796"/>
    </w:p>
    <w:p w14:paraId="44DAD02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详见商务标评审表。</w:t>
      </w:r>
    </w:p>
    <w:p w14:paraId="01F8B345">
      <w:pPr>
        <w:pStyle w:val="3"/>
        <w:adjustRightInd w:val="0"/>
        <w:snapToGrid w:val="0"/>
        <w:spacing w:line="560" w:lineRule="exact"/>
        <w:ind w:firstLine="422" w:firstLineChars="200"/>
        <w:rPr>
          <w:rFonts w:ascii="黑体" w:hAnsi="黑体" w:cs="黑体"/>
          <w:color w:val="auto"/>
          <w:sz w:val="21"/>
          <w:szCs w:val="21"/>
          <w:highlight w:val="none"/>
        </w:rPr>
      </w:pPr>
      <w:bookmarkStart w:id="797" w:name="_Toc3011"/>
      <w:bookmarkStart w:id="798" w:name="_Toc95223435"/>
      <w:r>
        <w:rPr>
          <w:rFonts w:hint="eastAsia" w:ascii="黑体" w:hAnsi="黑体" w:cs="黑体"/>
          <w:color w:val="auto"/>
          <w:sz w:val="21"/>
          <w:szCs w:val="21"/>
          <w:highlight w:val="none"/>
        </w:rPr>
        <w:t>3.4推荐中标候选人</w:t>
      </w:r>
      <w:bookmarkEnd w:id="797"/>
    </w:p>
    <w:p w14:paraId="3506C36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资信评审、技术标评审、商务标评审后，推荐中标候选人，并排序。</w:t>
      </w:r>
    </w:p>
    <w:p w14:paraId="6BE7754D">
      <w:pPr>
        <w:pStyle w:val="3"/>
        <w:adjustRightInd w:val="0"/>
        <w:snapToGrid w:val="0"/>
        <w:spacing w:line="560" w:lineRule="exact"/>
        <w:ind w:firstLine="422" w:firstLineChars="200"/>
        <w:rPr>
          <w:rFonts w:ascii="黑体" w:hAnsi="黑体" w:cs="黑体"/>
          <w:color w:val="auto"/>
          <w:sz w:val="21"/>
          <w:szCs w:val="21"/>
          <w:highlight w:val="none"/>
        </w:rPr>
      </w:pPr>
      <w:bookmarkStart w:id="799" w:name="_Toc24022"/>
      <w:r>
        <w:rPr>
          <w:rFonts w:hint="eastAsia" w:ascii="黑体" w:hAnsi="黑体" w:cs="黑体"/>
          <w:color w:val="auto"/>
          <w:sz w:val="21"/>
          <w:szCs w:val="21"/>
          <w:highlight w:val="none"/>
        </w:rPr>
        <w:t>4.评审内容</w:t>
      </w:r>
      <w:bookmarkEnd w:id="798"/>
      <w:bookmarkEnd w:id="799"/>
    </w:p>
    <w:p w14:paraId="698961A8">
      <w:pPr>
        <w:pStyle w:val="3"/>
        <w:adjustRightInd w:val="0"/>
        <w:snapToGrid w:val="0"/>
        <w:spacing w:line="560" w:lineRule="exact"/>
        <w:ind w:firstLine="422" w:firstLineChars="200"/>
        <w:rPr>
          <w:rFonts w:ascii="黑体" w:hAnsi="黑体" w:cs="黑体"/>
          <w:color w:val="auto"/>
          <w:sz w:val="21"/>
          <w:szCs w:val="21"/>
          <w:highlight w:val="none"/>
        </w:rPr>
      </w:pPr>
      <w:bookmarkStart w:id="800" w:name="_Toc95223436"/>
      <w:bookmarkStart w:id="801" w:name="_Toc1755"/>
      <w:r>
        <w:rPr>
          <w:rFonts w:hint="eastAsia" w:ascii="黑体" w:hAnsi="黑体" w:cs="黑体"/>
          <w:color w:val="auto"/>
          <w:sz w:val="21"/>
          <w:szCs w:val="21"/>
          <w:highlight w:val="none"/>
        </w:rPr>
        <w:t>4.1技术标评审</w:t>
      </w:r>
      <w:bookmarkEnd w:id="800"/>
      <w:bookmarkEnd w:id="801"/>
    </w:p>
    <w:p w14:paraId="05994C0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4.1.1形式性评审标准：见技术标评审表。</w:t>
      </w:r>
    </w:p>
    <w:p w14:paraId="367F949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4.1.2响应性评审标准：见技术标评审表。</w:t>
      </w:r>
    </w:p>
    <w:p w14:paraId="2348C96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评标委员会依据上述标准对投标文件进行形式性评审和响应性评审。有一项不符合评审标准的，作无效投标处理。对否定的技术标，评标委员会要提出充足的否定理由，并填写在技术标评标记录上。</w:t>
      </w:r>
    </w:p>
    <w:p w14:paraId="0705BF67">
      <w:pPr>
        <w:pStyle w:val="3"/>
        <w:adjustRightInd w:val="0"/>
        <w:snapToGrid w:val="0"/>
        <w:spacing w:line="560" w:lineRule="exact"/>
        <w:ind w:firstLine="422" w:firstLineChars="200"/>
        <w:rPr>
          <w:rFonts w:ascii="黑体" w:hAnsi="黑体" w:cs="黑体"/>
          <w:color w:val="auto"/>
          <w:sz w:val="21"/>
          <w:szCs w:val="21"/>
          <w:highlight w:val="none"/>
        </w:rPr>
      </w:pPr>
      <w:bookmarkStart w:id="802" w:name="_Toc95223437"/>
      <w:bookmarkStart w:id="803" w:name="_Toc17789"/>
      <w:r>
        <w:rPr>
          <w:rFonts w:hint="eastAsia" w:ascii="黑体" w:hAnsi="黑体" w:cs="黑体"/>
          <w:color w:val="auto"/>
          <w:sz w:val="21"/>
          <w:szCs w:val="21"/>
          <w:highlight w:val="none"/>
        </w:rPr>
        <w:t>4.2商务标评审</w:t>
      </w:r>
      <w:bookmarkEnd w:id="802"/>
      <w:bookmarkEnd w:id="803"/>
    </w:p>
    <w:p w14:paraId="5E609F2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只有通过技术标评审的投标才能够进入本阶段评审。</w:t>
      </w:r>
    </w:p>
    <w:p w14:paraId="1F811F1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4.2.1形式性评审标准：见商务标评审表。</w:t>
      </w:r>
    </w:p>
    <w:p w14:paraId="4620FCF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4.2.2响应性评审标准：见商务标评审表。</w:t>
      </w:r>
    </w:p>
    <w:p w14:paraId="3E3330A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评标委员会依据上述标准对投标文件进行初步评审。有一项不符合评审标准的，作无效投标处理。</w:t>
      </w:r>
    </w:p>
    <w:p w14:paraId="212483F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4.2.3评标委员会审查投标文件，看其是否有计算或表达上的错误，投标报价有错误的，评标委员会按以下原则对投标报价进行修正。</w:t>
      </w:r>
    </w:p>
    <w:p w14:paraId="30D09C6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（1）投标文件中的大写金额与小写金额不一致的，以大写金额为准。</w:t>
      </w:r>
    </w:p>
    <w:p w14:paraId="6E38CBB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339B6333">
      <w:pPr>
        <w:pStyle w:val="3"/>
        <w:adjustRightInd w:val="0"/>
        <w:snapToGrid w:val="0"/>
        <w:spacing w:line="560" w:lineRule="exact"/>
        <w:ind w:firstLine="422" w:firstLineChars="200"/>
        <w:rPr>
          <w:rFonts w:ascii="黑体" w:hAnsi="黑体" w:cs="黑体"/>
          <w:color w:val="auto"/>
          <w:sz w:val="21"/>
          <w:szCs w:val="21"/>
          <w:highlight w:val="none"/>
        </w:rPr>
      </w:pPr>
      <w:bookmarkStart w:id="804" w:name="_Toc22064"/>
      <w:bookmarkStart w:id="805" w:name="_Toc95223438"/>
      <w:bookmarkStart w:id="806" w:name="_Toc95223439"/>
      <w:r>
        <w:rPr>
          <w:rFonts w:hint="eastAsia" w:ascii="黑体" w:hAnsi="黑体" w:cs="黑体"/>
          <w:color w:val="auto"/>
          <w:sz w:val="21"/>
          <w:szCs w:val="21"/>
          <w:highlight w:val="none"/>
        </w:rPr>
        <w:t>5.无效投标条款</w:t>
      </w:r>
      <w:bookmarkEnd w:id="804"/>
      <w:bookmarkEnd w:id="805"/>
    </w:p>
    <w:p w14:paraId="48F713A3">
      <w:pPr>
        <w:adjustRightInd w:val="0"/>
        <w:snapToGrid w:val="0"/>
        <w:spacing w:line="56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5.1投标人存在下列情形的的招标人将拒收投标文件：</w:t>
      </w:r>
    </w:p>
    <w:p w14:paraId="7A35F3D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（1）未在投标截止时间前通过网上招标投标系统递交有效电子投标文件的，开标系统不予接收，投标将被拒绝。</w:t>
      </w:r>
    </w:p>
    <w:p w14:paraId="26DF603C">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D8B087B">
      <w:pPr>
        <w:adjustRightInd w:val="0"/>
        <w:snapToGrid w:val="0"/>
        <w:spacing w:line="56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5.2投标人有下列情形的，经评审后其投标作无效投标处理：</w:t>
      </w:r>
    </w:p>
    <w:p w14:paraId="25E11A15">
      <w:pPr>
        <w:adjustRightInd w:val="0"/>
        <w:snapToGrid w:val="0"/>
        <w:spacing w:line="560" w:lineRule="exact"/>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5.2.1技术标评审</w:t>
      </w:r>
    </w:p>
    <w:p w14:paraId="46F58E3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评标委员会依据《技术标评审表》进行形式性评审和响应性评审。有一项不符合评审标准的，做无效投标处理。评标委员会要提出充足的否定理由，并填写在技术标评标记录上。</w:t>
      </w:r>
    </w:p>
    <w:p w14:paraId="2921F4C7">
      <w:pPr>
        <w:adjustRightInd w:val="0"/>
        <w:snapToGrid w:val="0"/>
        <w:spacing w:line="560" w:lineRule="exact"/>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5.2.2商务标评审</w:t>
      </w:r>
    </w:p>
    <w:p w14:paraId="2D09918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68E67AE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p>
    <w:p w14:paraId="106CE7CA">
      <w:pPr>
        <w:adjustRightInd w:val="0"/>
        <w:snapToGrid w:val="0"/>
        <w:spacing w:line="56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5.3其他无效投标情况：</w:t>
      </w:r>
    </w:p>
    <w:p w14:paraId="55C69B4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72FFCD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（2）按第四章“评标方法”4.2.4项修正错误的原则及方法调整或修正投标文件的投标报价，调整或修正的价格经投标人书面确认后具有约束力。投标人不接受修正价格的，其投标将被拒绝。</w:t>
      </w:r>
    </w:p>
    <w:p w14:paraId="1C6E666B">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（3）第二章“投标人须知”第1.4.3项规定的任何一种情形的。</w:t>
      </w:r>
    </w:p>
    <w:p w14:paraId="4CCA591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（4）投标人有串通投标、视为串通投标、弄虚作假、行贿等违法行为。</w:t>
      </w:r>
    </w:p>
    <w:p w14:paraId="29E8C99D">
      <w:pPr>
        <w:adjustRightInd w:val="0"/>
        <w:snapToGrid w:val="0"/>
        <w:spacing w:line="560" w:lineRule="exact"/>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（5）投标文件没有对招标文件的实质性要求和条件作出响应。</w:t>
      </w:r>
    </w:p>
    <w:p w14:paraId="4E53991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（6）未按规定的格式填写导致实质性内容不全以及实质上不响应，或者关键字迹模糊、无法辨认；经公共资源交易监督部门核准的。</w:t>
      </w:r>
    </w:p>
    <w:p w14:paraId="7438BAF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（7）同一投标人提交两个以上不同的投标文件或者投标报价，但招标文件规定提交备选投标的除外。</w:t>
      </w:r>
    </w:p>
    <w:p w14:paraId="25AE325E">
      <w:pPr>
        <w:adjustRightInd w:val="0"/>
        <w:snapToGrid w:val="0"/>
        <w:spacing w:line="560" w:lineRule="exact"/>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（8）投标文件中存在招标人不能接受的其他实质性条件。</w:t>
      </w:r>
    </w:p>
    <w:p w14:paraId="31B9C8A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（9）投标文件中填报的拟任项目经理（建造师）、设计负责人与资格审查通过的项目经理（建造师）、设计负责人前后不一致的。</w:t>
      </w:r>
    </w:p>
    <w:p w14:paraId="6E5561C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（10）投标人拒不按照要求对投标文件进行澄清、说明、补正的，或评标委员会根据招标文件的规定对招标文件的计算错误进行修正后，投标人不接受修正的投标报价的。</w:t>
      </w:r>
    </w:p>
    <w:p w14:paraId="623F5C4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（11）投标人投标MAC地址一致。</w:t>
      </w:r>
    </w:p>
    <w:p w14:paraId="2F5A277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（12）投标人单方面出现其他投标人材料。</w:t>
      </w:r>
    </w:p>
    <w:p w14:paraId="6BC6A8A9">
      <w:pPr>
        <w:adjustRightInd w:val="0"/>
        <w:snapToGrid w:val="0"/>
        <w:spacing w:line="560" w:lineRule="exact"/>
        <w:ind w:firstLine="420" w:firstLineChars="200"/>
        <w:rPr>
          <w:rFonts w:ascii="宋体" w:hAnsi="宋体" w:cs="宋体"/>
          <w:strike/>
          <w:color w:val="auto"/>
          <w:szCs w:val="21"/>
          <w:highlight w:val="none"/>
        </w:rPr>
      </w:pPr>
      <w:r>
        <w:rPr>
          <w:rFonts w:hint="eastAsia" w:ascii="宋体" w:hAnsi="宋体" w:cs="宋体"/>
          <w:color w:val="auto"/>
          <w:szCs w:val="21"/>
          <w:highlight w:val="none"/>
        </w:rPr>
        <w:t>（13）</w:t>
      </w:r>
      <w:r>
        <w:rPr>
          <w:rFonts w:hint="eastAsia" w:ascii="宋体" w:hAnsi="宋体" w:cs="宋体"/>
          <w:bCs/>
          <w:color w:val="auto"/>
          <w:szCs w:val="21"/>
          <w:highlight w:val="none"/>
        </w:rPr>
        <w:t>评标时查询投标文件制作机器码、文件创建标识码及造价软件加密锁号。若存在投标文件制作机器码或创建标识码或造价软件加密锁号信息与其他投标人雷同的，投标无效。</w:t>
      </w:r>
    </w:p>
    <w:p w14:paraId="6552F02E">
      <w:pPr>
        <w:adjustRightInd w:val="0"/>
        <w:snapToGrid w:val="0"/>
        <w:spacing w:line="560" w:lineRule="exact"/>
        <w:ind w:firstLine="420" w:firstLineChars="200"/>
        <w:rPr>
          <w:rFonts w:ascii="宋体" w:hAnsi="宋体" w:cs="宋体"/>
          <w:strike/>
          <w:color w:val="auto"/>
          <w:szCs w:val="21"/>
          <w:highlight w:val="none"/>
        </w:rPr>
      </w:pPr>
      <w:r>
        <w:rPr>
          <w:rFonts w:hint="eastAsia" w:ascii="宋体" w:hAnsi="宋体" w:cs="宋体"/>
          <w:bCs/>
          <w:color w:val="auto"/>
          <w:szCs w:val="21"/>
          <w:highlight w:val="none"/>
        </w:rPr>
        <w:t>（14）</w:t>
      </w:r>
      <w:r>
        <w:rPr>
          <w:rFonts w:hint="eastAsia" w:ascii="宋体" w:hAnsi="宋体" w:cs="宋体"/>
          <w:color w:val="auto"/>
          <w:szCs w:val="21"/>
          <w:highlight w:val="none"/>
        </w:rPr>
        <w:t>投标人申请开具电子保函MAC地址一致。</w:t>
      </w:r>
    </w:p>
    <w:p w14:paraId="2E37A1B5">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（15）投标人联系人或联系电话相同的。</w:t>
      </w:r>
    </w:p>
    <w:p w14:paraId="7309203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（16）法律、法规规定的其他情形。</w:t>
      </w:r>
    </w:p>
    <w:p w14:paraId="2DC90E46">
      <w:pPr>
        <w:pStyle w:val="3"/>
        <w:adjustRightInd w:val="0"/>
        <w:snapToGrid w:val="0"/>
        <w:spacing w:line="560" w:lineRule="exact"/>
        <w:ind w:firstLine="422" w:firstLineChars="200"/>
        <w:rPr>
          <w:rFonts w:ascii="黑体" w:hAnsi="黑体" w:cs="黑体"/>
          <w:color w:val="auto"/>
          <w:sz w:val="21"/>
          <w:szCs w:val="21"/>
          <w:highlight w:val="none"/>
        </w:rPr>
      </w:pPr>
      <w:bookmarkStart w:id="807" w:name="_Toc4417"/>
      <w:r>
        <w:rPr>
          <w:rFonts w:hint="eastAsia" w:ascii="黑体" w:hAnsi="黑体" w:cs="黑体"/>
          <w:color w:val="auto"/>
          <w:sz w:val="21"/>
          <w:szCs w:val="21"/>
          <w:highlight w:val="none"/>
        </w:rPr>
        <w:t>6.投标文件的澄清和补正</w:t>
      </w:r>
      <w:bookmarkEnd w:id="806"/>
      <w:bookmarkEnd w:id="807"/>
    </w:p>
    <w:p w14:paraId="78A1B548">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03508E3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46F67D1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7E411E0B">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15815CCE">
      <w:pPr>
        <w:pStyle w:val="3"/>
        <w:adjustRightInd w:val="0"/>
        <w:snapToGrid w:val="0"/>
        <w:spacing w:line="560" w:lineRule="exact"/>
        <w:ind w:firstLine="422" w:firstLineChars="200"/>
        <w:rPr>
          <w:rFonts w:ascii="黑体" w:hAnsi="黑体" w:cs="黑体"/>
          <w:color w:val="auto"/>
          <w:sz w:val="21"/>
          <w:szCs w:val="21"/>
          <w:highlight w:val="none"/>
        </w:rPr>
      </w:pPr>
      <w:bookmarkStart w:id="808" w:name="_Toc24517"/>
      <w:bookmarkStart w:id="809" w:name="_Toc95223440"/>
      <w:r>
        <w:rPr>
          <w:rFonts w:hint="eastAsia" w:ascii="黑体" w:hAnsi="黑体" w:cs="黑体"/>
          <w:color w:val="auto"/>
          <w:sz w:val="21"/>
          <w:szCs w:val="21"/>
          <w:highlight w:val="none"/>
        </w:rPr>
        <w:t>7.评分标准</w:t>
      </w:r>
      <w:bookmarkEnd w:id="808"/>
      <w:bookmarkEnd w:id="809"/>
    </w:p>
    <w:p w14:paraId="36D06FC8">
      <w:pPr>
        <w:adjustRightInd w:val="0"/>
        <w:snapToGrid w:val="0"/>
        <w:spacing w:line="56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7.1评分标准：见资信、技术及商务评分表。</w:t>
      </w:r>
    </w:p>
    <w:p w14:paraId="15C94249">
      <w:pPr>
        <w:pStyle w:val="3"/>
        <w:adjustRightInd w:val="0"/>
        <w:snapToGrid w:val="0"/>
        <w:spacing w:line="560" w:lineRule="exact"/>
        <w:ind w:firstLine="422" w:firstLineChars="200"/>
        <w:rPr>
          <w:rFonts w:ascii="黑体" w:hAnsi="黑体" w:cs="黑体"/>
          <w:color w:val="auto"/>
          <w:sz w:val="21"/>
          <w:szCs w:val="21"/>
          <w:highlight w:val="none"/>
        </w:rPr>
      </w:pPr>
      <w:bookmarkStart w:id="810" w:name="_Toc95223441"/>
      <w:bookmarkStart w:id="811" w:name="_Toc24450"/>
      <w:r>
        <w:rPr>
          <w:rFonts w:hint="eastAsia" w:ascii="黑体" w:hAnsi="黑体" w:cs="黑体"/>
          <w:color w:val="auto"/>
          <w:sz w:val="21"/>
          <w:szCs w:val="21"/>
          <w:highlight w:val="none"/>
        </w:rPr>
        <w:t>8.评审结果</w:t>
      </w:r>
      <w:bookmarkEnd w:id="810"/>
      <w:bookmarkEnd w:id="811"/>
    </w:p>
    <w:p w14:paraId="7F8F56C4">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8.1除第二章“投标人须知”及其前附表授权直接确定中标人外，评标委员会按照总得分由高到低顺序推荐中标候选人。</w:t>
      </w:r>
    </w:p>
    <w:p w14:paraId="2525615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0D341C5E">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（1）基本情况和数据表。</w:t>
      </w:r>
    </w:p>
    <w:p w14:paraId="448197B7">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（2）评标委员会成员名单。</w:t>
      </w:r>
    </w:p>
    <w:p w14:paraId="4DB48826">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（3）开标记录。</w:t>
      </w:r>
    </w:p>
    <w:p w14:paraId="20A1620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（4）符合要求的投标人一览表。</w:t>
      </w:r>
    </w:p>
    <w:p w14:paraId="3388B6D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（5）否决投标情况说明。</w:t>
      </w:r>
    </w:p>
    <w:p w14:paraId="569F2319">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（6）评标标准、评标方法或者评标因素。</w:t>
      </w:r>
    </w:p>
    <w:p w14:paraId="6C6699A3">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（7）评标情况一览表。</w:t>
      </w:r>
    </w:p>
    <w:p w14:paraId="648BDCDA">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（8）经评审的投标人排序。</w:t>
      </w:r>
    </w:p>
    <w:p w14:paraId="38E295B1">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（9）推荐的中标候选人名单与签订合同前要处理的事宜。</w:t>
      </w:r>
    </w:p>
    <w:p w14:paraId="0289580D">
      <w:pPr>
        <w:adjustRightInd w:val="0"/>
        <w:snapToGrid w:val="0"/>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5FB3F948">
      <w:pPr>
        <w:adjustRightInd w:val="0"/>
        <w:snapToGrid w:val="0"/>
        <w:spacing w:line="560" w:lineRule="exact"/>
        <w:ind w:firstLine="420" w:firstLineChars="200"/>
        <w:rPr>
          <w:rFonts w:ascii="宋体" w:hAnsi="宋体" w:cs="宋体"/>
          <w:color w:val="auto"/>
          <w:szCs w:val="21"/>
          <w:highlight w:val="none"/>
        </w:rPr>
      </w:pPr>
      <w:r>
        <w:rPr>
          <w:rFonts w:ascii="宋体" w:hAnsi="宋体" w:cs="宋体"/>
          <w:color w:val="auto"/>
          <w:szCs w:val="21"/>
          <w:highlight w:val="none"/>
        </w:rPr>
        <w:t>8.3 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800DF7D">
      <w:pPr>
        <w:adjustRightInd w:val="0"/>
        <w:snapToGrid w:val="0"/>
        <w:spacing w:line="560" w:lineRule="exact"/>
        <w:ind w:firstLine="420" w:firstLineChars="200"/>
        <w:rPr>
          <w:rFonts w:ascii="宋体" w:hAnsi="宋体" w:cs="宋体"/>
          <w:color w:val="auto"/>
          <w:szCs w:val="21"/>
          <w:highlight w:val="none"/>
        </w:rPr>
      </w:pPr>
      <w:r>
        <w:rPr>
          <w:rFonts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AC9FEC">
      <w:pPr>
        <w:adjustRightInd w:val="0"/>
        <w:snapToGrid w:val="0"/>
        <w:spacing w:line="560" w:lineRule="exact"/>
        <w:ind w:firstLine="422" w:firstLineChars="200"/>
        <w:outlineLvl w:val="2"/>
        <w:rPr>
          <w:rFonts w:ascii="宋体" w:hAnsi="宋体" w:cs="宋体"/>
          <w:b/>
          <w:bCs/>
          <w:color w:val="auto"/>
          <w:szCs w:val="21"/>
          <w:highlight w:val="none"/>
        </w:rPr>
      </w:pPr>
      <w:bookmarkStart w:id="812" w:name="_Toc95223442"/>
      <w:bookmarkStart w:id="813" w:name="_Toc7967"/>
      <w:r>
        <w:rPr>
          <w:rFonts w:hint="eastAsia" w:ascii="宋体" w:hAnsi="宋体" w:cs="宋体"/>
          <w:b/>
          <w:bCs/>
          <w:color w:val="auto"/>
          <w:szCs w:val="21"/>
          <w:highlight w:val="none"/>
        </w:rPr>
        <w:t>9.其他</w:t>
      </w:r>
      <w:bookmarkEnd w:id="812"/>
      <w:bookmarkEnd w:id="813"/>
    </w:p>
    <w:p w14:paraId="623F7A54">
      <w:pPr>
        <w:adjustRightInd w:val="0"/>
        <w:snapToGrid w:val="0"/>
        <w:spacing w:line="560" w:lineRule="exact"/>
        <w:ind w:firstLine="420" w:firstLineChars="200"/>
        <w:rPr>
          <w:color w:val="auto"/>
          <w:highlight w:val="none"/>
        </w:rPr>
      </w:pPr>
      <w:r>
        <w:rPr>
          <w:rFonts w:hint="eastAsia" w:ascii="宋体" w:hAnsi="宋体" w:cs="宋体"/>
          <w:color w:val="auto"/>
          <w:szCs w:val="21"/>
          <w:highlight w:val="none"/>
        </w:rPr>
        <w:t>投标人提供的与投标文件有关的各类证书、证明、文件、资料等的真实性、合法性由投标人负全责。</w:t>
      </w:r>
    </w:p>
    <w:p w14:paraId="2AA817DB">
      <w:pPr>
        <w:pStyle w:val="2"/>
        <w:adjustRightInd w:val="0"/>
        <w:snapToGrid w:val="0"/>
        <w:spacing w:line="560" w:lineRule="exact"/>
        <w:jc w:val="center"/>
        <w:rPr>
          <w:color w:val="auto"/>
          <w:highlight w:val="none"/>
        </w:rPr>
      </w:pPr>
      <w:bookmarkStart w:id="814" w:name="_Toc95223522"/>
      <w:bookmarkStart w:id="815" w:name="_Toc187"/>
    </w:p>
    <w:p w14:paraId="5FAA3FCC">
      <w:pPr>
        <w:rPr>
          <w:color w:val="auto"/>
          <w:highlight w:val="none"/>
        </w:rPr>
      </w:pPr>
      <w:bookmarkStart w:id="816" w:name="_Toc17852"/>
      <w:bookmarkStart w:id="817" w:name="_Toc95223458"/>
      <w:r>
        <w:rPr>
          <w:rFonts w:hint="eastAsia"/>
          <w:color w:val="auto"/>
          <w:highlight w:val="none"/>
        </w:rPr>
        <w:br w:type="page"/>
      </w:r>
    </w:p>
    <w:p w14:paraId="221432F5">
      <w:pPr>
        <w:pStyle w:val="2"/>
        <w:adjustRightInd w:val="0"/>
        <w:snapToGrid w:val="0"/>
        <w:spacing w:line="560" w:lineRule="exact"/>
        <w:jc w:val="center"/>
        <w:rPr>
          <w:color w:val="auto"/>
          <w:highlight w:val="none"/>
        </w:rPr>
      </w:pPr>
      <w:bookmarkStart w:id="818" w:name="_Toc25012"/>
      <w:r>
        <w:rPr>
          <w:rFonts w:hint="eastAsia"/>
          <w:color w:val="auto"/>
          <w:highlight w:val="none"/>
        </w:rPr>
        <w:t>第五章 合同条款及格式</w:t>
      </w:r>
      <w:bookmarkEnd w:id="816"/>
      <w:bookmarkEnd w:id="817"/>
      <w:bookmarkEnd w:id="818"/>
    </w:p>
    <w:p w14:paraId="779B96E6">
      <w:pPr>
        <w:adjustRightInd w:val="0"/>
        <w:snapToGrid w:val="0"/>
        <w:spacing w:line="560" w:lineRule="exact"/>
        <w:jc w:val="center"/>
        <w:rPr>
          <w:rFonts w:eastAsia="仿宋_GB2312"/>
          <w:bCs/>
          <w:color w:val="auto"/>
          <w:sz w:val="32"/>
          <w:szCs w:val="32"/>
          <w:highlight w:val="none"/>
        </w:rPr>
      </w:pPr>
    </w:p>
    <w:p w14:paraId="01AB5075">
      <w:pPr>
        <w:adjustRightInd w:val="0"/>
        <w:snapToGrid w:val="0"/>
        <w:spacing w:line="560" w:lineRule="exact"/>
        <w:jc w:val="center"/>
        <w:rPr>
          <w:rFonts w:eastAsia="仿宋_GB2312"/>
          <w:bCs/>
          <w:color w:val="auto"/>
          <w:sz w:val="32"/>
          <w:szCs w:val="32"/>
          <w:highlight w:val="none"/>
        </w:rPr>
      </w:pPr>
      <w:bookmarkStart w:id="819" w:name="_Toc54862351"/>
      <w:bookmarkStart w:id="820" w:name="_Toc13369"/>
    </w:p>
    <w:p w14:paraId="5290827E">
      <w:pPr>
        <w:rPr>
          <w:rFonts w:ascii="仿宋_GB2312" w:hAnsi="仿宋_GB2312" w:eastAsia="仿宋_GB2312" w:cs="仿宋_GB2312"/>
          <w:color w:val="auto"/>
          <w:sz w:val="32"/>
          <w:szCs w:val="32"/>
          <w:highlight w:val="none"/>
        </w:rPr>
      </w:pPr>
      <w:bookmarkStart w:id="821" w:name="_Toc25898"/>
      <w:r>
        <w:rPr>
          <w:rFonts w:hint="eastAsia" w:ascii="仿宋_GB2312" w:hAnsi="仿宋_GB2312" w:eastAsia="仿宋_GB2312" w:cs="仿宋_GB2312"/>
          <w:color w:val="auto"/>
          <w:sz w:val="32"/>
          <w:szCs w:val="32"/>
          <w:highlight w:val="none"/>
        </w:rPr>
        <w:t>GF-2020-0216</w:t>
      </w:r>
    </w:p>
    <w:p w14:paraId="074903B7">
      <w:pPr>
        <w:rPr>
          <w:color w:val="auto"/>
          <w:highlight w:val="none"/>
        </w:rPr>
      </w:pPr>
    </w:p>
    <w:p w14:paraId="63A37E13">
      <w:pPr>
        <w:rPr>
          <w:color w:val="auto"/>
          <w:highlight w:val="none"/>
        </w:rPr>
      </w:pPr>
    </w:p>
    <w:p w14:paraId="5202D0AE">
      <w:pPr>
        <w:rPr>
          <w:color w:val="auto"/>
          <w:highlight w:val="none"/>
        </w:rPr>
      </w:pPr>
    </w:p>
    <w:p w14:paraId="08D2DABF">
      <w:pPr>
        <w:rPr>
          <w:color w:val="auto"/>
          <w:highlight w:val="none"/>
        </w:rPr>
      </w:pPr>
    </w:p>
    <w:p w14:paraId="281BA143">
      <w:pPr>
        <w:rPr>
          <w:color w:val="auto"/>
          <w:highlight w:val="none"/>
        </w:rPr>
      </w:pPr>
    </w:p>
    <w:p w14:paraId="04C1A4A9">
      <w:pPr>
        <w:pStyle w:val="37"/>
        <w:spacing w:after="120"/>
        <w:outlineLvl w:val="1"/>
        <w:rPr>
          <w:rFonts w:ascii="方正小标宋简体" w:hAnsi="方正小标宋简体" w:eastAsia="方正小标宋简体" w:cs="方正小标宋简体"/>
          <w:color w:val="auto"/>
          <w:sz w:val="72"/>
          <w:szCs w:val="72"/>
          <w:highlight w:val="none"/>
        </w:rPr>
      </w:pPr>
      <w:bookmarkStart w:id="822" w:name="_Toc7138"/>
      <w:r>
        <w:rPr>
          <w:rFonts w:hint="eastAsia" w:ascii="宋体" w:hAnsi="宋体" w:eastAsia="宋体" w:cs="宋体"/>
          <w:color w:val="auto"/>
          <w:sz w:val="72"/>
          <w:szCs w:val="72"/>
          <w:highlight w:val="none"/>
        </w:rPr>
        <w:t>建设项目工程总承包合同</w:t>
      </w:r>
      <w:bookmarkEnd w:id="822"/>
    </w:p>
    <w:p w14:paraId="20D4F204">
      <w:pPr>
        <w:pStyle w:val="37"/>
        <w:spacing w:after="120"/>
        <w:rPr>
          <w:rFonts w:ascii="华文中宋" w:hAnsi="华文中宋" w:eastAsia="华文中宋"/>
          <w:color w:val="auto"/>
          <w:sz w:val="40"/>
          <w:szCs w:val="40"/>
          <w:highlight w:val="none"/>
        </w:rPr>
      </w:pPr>
    </w:p>
    <w:p w14:paraId="3C475328">
      <w:pPr>
        <w:pStyle w:val="37"/>
        <w:spacing w:after="120"/>
        <w:rPr>
          <w:rFonts w:ascii="华文中宋" w:hAnsi="华文中宋" w:eastAsia="华文中宋"/>
          <w:color w:val="auto"/>
          <w:sz w:val="40"/>
          <w:szCs w:val="40"/>
          <w:highlight w:val="none"/>
        </w:rPr>
      </w:pPr>
    </w:p>
    <w:p w14:paraId="0FD2AC42">
      <w:pPr>
        <w:rPr>
          <w:color w:val="auto"/>
          <w:highlight w:val="none"/>
        </w:rPr>
      </w:pPr>
    </w:p>
    <w:p w14:paraId="5629F69B">
      <w:pPr>
        <w:pStyle w:val="37"/>
        <w:spacing w:after="120"/>
        <w:rPr>
          <w:rFonts w:ascii="华文中宋" w:hAnsi="华文中宋" w:eastAsia="华文中宋"/>
          <w:color w:val="auto"/>
          <w:sz w:val="40"/>
          <w:szCs w:val="40"/>
          <w:highlight w:val="none"/>
        </w:rPr>
      </w:pPr>
    </w:p>
    <w:p w14:paraId="2F9C7C20">
      <w:pPr>
        <w:rPr>
          <w:rFonts w:ascii="华文中宋" w:hAnsi="华文中宋" w:eastAsia="华文中宋"/>
          <w:color w:val="auto"/>
          <w:sz w:val="40"/>
          <w:szCs w:val="40"/>
          <w:highlight w:val="none"/>
        </w:rPr>
      </w:pPr>
    </w:p>
    <w:p w14:paraId="0145C3F7">
      <w:pPr>
        <w:pStyle w:val="3"/>
        <w:rPr>
          <w:rFonts w:ascii="华文中宋" w:hAnsi="华文中宋" w:eastAsia="华文中宋"/>
          <w:color w:val="auto"/>
          <w:sz w:val="40"/>
          <w:szCs w:val="40"/>
          <w:highlight w:val="none"/>
        </w:rPr>
      </w:pPr>
    </w:p>
    <w:p w14:paraId="3A0448F9">
      <w:pPr>
        <w:rPr>
          <w:color w:val="auto"/>
          <w:highlight w:val="none"/>
        </w:rPr>
      </w:pPr>
    </w:p>
    <w:p w14:paraId="4D1BFF8B">
      <w:pPr>
        <w:rPr>
          <w:color w:val="auto"/>
          <w:highlight w:val="none"/>
        </w:rPr>
      </w:pPr>
    </w:p>
    <w:p w14:paraId="383D9317">
      <w:pPr>
        <w:pStyle w:val="37"/>
        <w:spacing w:after="120"/>
        <w:rPr>
          <w:rFonts w:ascii="宋体" w:hAnsi="宋体" w:eastAsia="宋体"/>
          <w:color w:val="auto"/>
          <w:sz w:val="32"/>
          <w:szCs w:val="32"/>
          <w:highlight w:val="none"/>
        </w:rPr>
      </w:pPr>
    </w:p>
    <w:p w14:paraId="504770DF">
      <w:pPr>
        <w:ind w:right="2182" w:rightChars="1039"/>
        <w:jc w:val="distribute"/>
        <w:rPr>
          <w:b/>
          <w:bCs/>
          <w:color w:val="auto"/>
          <w:sz w:val="32"/>
          <w:szCs w:val="32"/>
          <w:highlight w:val="none"/>
        </w:rPr>
      </w:pPr>
      <w:r>
        <w:rPr>
          <w:rFonts w:hint="eastAsia"/>
          <w:b/>
          <w:color w:val="auto"/>
          <w:sz w:val="32"/>
          <w:szCs w:val="28"/>
          <w:highlight w:val="none"/>
        </w:rPr>
        <w:t xml:space="preserve">     </w:t>
      </w:r>
      <w:r>
        <w:rPr>
          <w:b/>
          <w:bCs/>
          <w:color w:val="auto"/>
          <w:sz w:val="32"/>
          <w:szCs w:val="32"/>
          <w:highlight w:val="none"/>
        </w:rPr>
        <mc:AlternateContent>
          <mc:Choice Requires="wps">
            <w:drawing>
              <wp:anchor distT="0" distB="0" distL="114300" distR="114300" simplePos="0" relativeHeight="251663360" behindDoc="0" locked="0" layoutInCell="1" allowOverlap="1">
                <wp:simplePos x="0" y="0"/>
                <wp:positionH relativeFrom="column">
                  <wp:posOffset>3954780</wp:posOffset>
                </wp:positionH>
                <wp:positionV relativeFrom="paragraph">
                  <wp:posOffset>150495</wp:posOffset>
                </wp:positionV>
                <wp:extent cx="754380" cy="1772285"/>
                <wp:effectExtent l="0" t="0" r="7620" b="18415"/>
                <wp:wrapNone/>
                <wp:docPr id="5" name="文本框 5"/>
                <wp:cNvGraphicFramePr/>
                <a:graphic xmlns:a="http://schemas.openxmlformats.org/drawingml/2006/main">
                  <a:graphicData uri="http://schemas.microsoft.com/office/word/2010/wordprocessingShape">
                    <wps:wsp>
                      <wps:cNvSpPr txBox="1"/>
                      <wps:spPr>
                        <a:xfrm>
                          <a:off x="0" y="0"/>
                          <a:ext cx="754380" cy="1772285"/>
                        </a:xfrm>
                        <a:prstGeom prst="rect">
                          <a:avLst/>
                        </a:prstGeom>
                        <a:solidFill>
                          <a:srgbClr val="FFFFFF"/>
                        </a:solidFill>
                        <a:ln>
                          <a:noFill/>
                        </a:ln>
                        <a:effectLst/>
                      </wps:spPr>
                      <wps:txbx>
                        <w:txbxContent>
                          <w:p w14:paraId="044C4C71">
                            <w:pPr>
                              <w:jc w:val="center"/>
                              <w:rPr>
                                <w:b/>
                                <w:bCs/>
                                <w:sz w:val="32"/>
                                <w:szCs w:val="32"/>
                              </w:rPr>
                            </w:pPr>
                            <w:r>
                              <w:rPr>
                                <w:rFonts w:hint="eastAsia"/>
                                <w:b/>
                                <w:bCs/>
                                <w:sz w:val="32"/>
                                <w:szCs w:val="32"/>
                              </w:rPr>
                              <w:t>制定</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11.4pt;margin-top:11.85pt;height:139.55pt;width:59.4pt;z-index:251663360;mso-width-relative:page;mso-height-relative:margin;mso-height-percent:200;" fillcolor="#FFFFFF" filled="t" stroked="f" coordsize="21600,21600" o:gfxdata="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5Ew3gNgAAAAKAQAADwAAAAAAAAABACAA&#10;AAAiAAAAZHJzL2Rvd25yZXYueG1sUEsBAhQAFAAAAAgAh07iQLzDiDfUAQAAnwMAAA4AAAAAAAAA&#10;AQAgAAAAJwEAAGRycy9lMm9Eb2MueG1sUEsFBgAAAAAGAAYAWQEAAG0FAAAAAA==&#10;">
                <v:fill on="t" focussize="0,0"/>
                <v:stroke on="f"/>
                <v:imagedata o:title=""/>
                <o:lock v:ext="edit" aspectratio="f"/>
                <v:textbox style="mso-fit-shape-to-text:t;">
                  <w:txbxContent>
                    <w:p w14:paraId="044C4C71">
                      <w:pPr>
                        <w:jc w:val="center"/>
                        <w:rPr>
                          <w:b/>
                          <w:bCs/>
                          <w:sz w:val="32"/>
                          <w:szCs w:val="32"/>
                        </w:rPr>
                      </w:pPr>
                      <w:r>
                        <w:rPr>
                          <w:rFonts w:hint="eastAsia"/>
                          <w:b/>
                          <w:bCs/>
                          <w:sz w:val="32"/>
                          <w:szCs w:val="32"/>
                        </w:rPr>
                        <w:t>制定</w:t>
                      </w:r>
                    </w:p>
                  </w:txbxContent>
                </v:textbox>
              </v:shape>
            </w:pict>
          </mc:Fallback>
        </mc:AlternateContent>
      </w:r>
      <w:r>
        <w:rPr>
          <w:rFonts w:hint="eastAsia"/>
          <w:b/>
          <w:bCs/>
          <w:color w:val="auto"/>
          <w:sz w:val="32"/>
          <w:szCs w:val="32"/>
          <w:highlight w:val="none"/>
        </w:rPr>
        <w:t>中华人民共和国</w:t>
      </w:r>
      <w:r>
        <w:rPr>
          <w:b/>
          <w:bCs/>
          <w:color w:val="auto"/>
          <w:sz w:val="32"/>
          <w:szCs w:val="32"/>
          <w:highlight w:val="none"/>
        </w:rPr>
        <w:t>住房</w:t>
      </w:r>
      <w:r>
        <w:rPr>
          <w:rFonts w:hint="eastAsia"/>
          <w:b/>
          <w:bCs/>
          <w:color w:val="auto"/>
          <w:sz w:val="32"/>
          <w:szCs w:val="32"/>
          <w:highlight w:val="none"/>
        </w:rPr>
        <w:t>和</w:t>
      </w:r>
      <w:r>
        <w:rPr>
          <w:b/>
          <w:bCs/>
          <w:color w:val="auto"/>
          <w:sz w:val="32"/>
          <w:szCs w:val="32"/>
          <w:highlight w:val="none"/>
        </w:rPr>
        <w:t>城乡建设部</w:t>
      </w:r>
    </w:p>
    <w:p w14:paraId="45FC68A3">
      <w:pPr>
        <w:ind w:right="2182" w:rightChars="1039"/>
        <w:jc w:val="distribute"/>
        <w:rPr>
          <w:b/>
          <w:bCs/>
          <w:color w:val="auto"/>
          <w:sz w:val="32"/>
          <w:szCs w:val="32"/>
          <w:highlight w:val="none"/>
        </w:rPr>
      </w:pPr>
      <w:r>
        <w:rPr>
          <w:rFonts w:hint="eastAsia"/>
          <w:b/>
          <w:color w:val="auto"/>
          <w:sz w:val="32"/>
          <w:szCs w:val="28"/>
          <w:highlight w:val="none"/>
        </w:rPr>
        <w:t xml:space="preserve">     国家</w:t>
      </w:r>
      <w:r>
        <w:rPr>
          <w:rFonts w:hint="eastAsia"/>
          <w:b/>
          <w:bCs/>
          <w:color w:val="auto"/>
          <w:sz w:val="32"/>
          <w:szCs w:val="32"/>
          <w:highlight w:val="none"/>
        </w:rPr>
        <w:t>市场监</w:t>
      </w:r>
      <w:r>
        <w:rPr>
          <w:rFonts w:hint="eastAsia"/>
          <w:b/>
          <w:color w:val="auto"/>
          <w:sz w:val="32"/>
          <w:szCs w:val="28"/>
          <w:highlight w:val="none"/>
        </w:rPr>
        <w:t>督</w:t>
      </w:r>
      <w:r>
        <w:rPr>
          <w:rFonts w:hint="eastAsia"/>
          <w:b/>
          <w:bCs/>
          <w:color w:val="auto"/>
          <w:sz w:val="32"/>
          <w:szCs w:val="32"/>
          <w:highlight w:val="none"/>
        </w:rPr>
        <w:t>管理</w:t>
      </w:r>
      <w:r>
        <w:rPr>
          <w:b/>
          <w:bCs/>
          <w:color w:val="auto"/>
          <w:sz w:val="32"/>
          <w:szCs w:val="32"/>
          <w:highlight w:val="none"/>
        </w:rPr>
        <w:t>总局</w:t>
      </w:r>
    </w:p>
    <w:p w14:paraId="2C5C4D5D">
      <w:pPr>
        <w:ind w:right="2182" w:rightChars="1039"/>
        <w:jc w:val="distribute"/>
        <w:rPr>
          <w:rFonts w:ascii="仿宋_GB2312" w:eastAsia="仿宋_GB2312"/>
          <w:color w:val="auto"/>
          <w:sz w:val="30"/>
          <w:szCs w:val="30"/>
          <w:highlight w:val="none"/>
        </w:rPr>
      </w:pPr>
    </w:p>
    <w:p w14:paraId="04444506">
      <w:pPr>
        <w:ind w:right="2182" w:rightChars="1039"/>
        <w:jc w:val="distribute"/>
        <w:rPr>
          <w:rFonts w:ascii="仿宋_GB2312" w:eastAsia="仿宋_GB2312"/>
          <w:color w:val="auto"/>
          <w:sz w:val="30"/>
          <w:szCs w:val="30"/>
          <w:highlight w:val="none"/>
        </w:rPr>
      </w:pPr>
    </w:p>
    <w:p w14:paraId="54BA022D">
      <w:pPr>
        <w:ind w:right="2182" w:rightChars="1039"/>
        <w:jc w:val="distribute"/>
        <w:rPr>
          <w:rFonts w:ascii="仿宋_GB2312" w:eastAsia="仿宋_GB2312"/>
          <w:color w:val="auto"/>
          <w:sz w:val="30"/>
          <w:szCs w:val="30"/>
          <w:highlight w:val="none"/>
        </w:rPr>
        <w:sectPr>
          <w:footerReference r:id="rId5" w:type="first"/>
          <w:footerReference r:id="rId4" w:type="default"/>
          <w:pgSz w:w="11906" w:h="16838"/>
          <w:pgMar w:top="1440" w:right="1800" w:bottom="1440" w:left="1800" w:header="720" w:footer="998" w:gutter="0"/>
          <w:pgNumType w:start="1"/>
          <w:cols w:space="720" w:num="1"/>
          <w:titlePg/>
          <w:docGrid w:linePitch="326" w:charSpace="0"/>
        </w:sectPr>
      </w:pPr>
    </w:p>
    <w:p w14:paraId="6E38AC2C">
      <w:pPr>
        <w:rPr>
          <w:rFonts w:ascii="仿宋_GB2312" w:eastAsia="仿宋_GB2312"/>
          <w:color w:val="auto"/>
          <w:sz w:val="30"/>
          <w:szCs w:val="30"/>
          <w:highlight w:val="none"/>
        </w:rPr>
      </w:pPr>
    </w:p>
    <w:p w14:paraId="640058BC">
      <w:pPr>
        <w:pStyle w:val="18"/>
        <w:ind w:firstLine="600"/>
        <w:rPr>
          <w:rFonts w:ascii="仿宋_GB2312" w:eastAsia="仿宋_GB2312"/>
          <w:color w:val="auto"/>
          <w:sz w:val="30"/>
          <w:szCs w:val="30"/>
          <w:highlight w:val="none"/>
        </w:rPr>
      </w:pPr>
    </w:p>
    <w:p w14:paraId="4666F8FE">
      <w:pPr>
        <w:rPr>
          <w:color w:val="auto"/>
          <w:highlight w:val="none"/>
        </w:rPr>
        <w:sectPr>
          <w:footerReference r:id="rId6" w:type="default"/>
          <w:type w:val="continuous"/>
          <w:pgSz w:w="11906" w:h="16838"/>
          <w:pgMar w:top="1440" w:right="1800" w:bottom="1440" w:left="1800" w:header="720" w:footer="998" w:gutter="0"/>
          <w:cols w:space="720" w:num="1"/>
          <w:titlePg/>
          <w:docGrid w:linePitch="326" w:charSpace="0"/>
        </w:sectPr>
      </w:pPr>
    </w:p>
    <w:bookmarkEnd w:id="821"/>
    <w:p w14:paraId="57A8F21E">
      <w:pPr>
        <w:pStyle w:val="38"/>
        <w:keepNext w:val="0"/>
        <w:keepLines w:val="0"/>
        <w:widowControl/>
        <w:adjustRightInd w:val="0"/>
        <w:snapToGrid w:val="0"/>
        <w:spacing w:beforeLines="50" w:afterLines="50" w:line="440" w:lineRule="exact"/>
        <w:jc w:val="center"/>
        <w:outlineLvl w:val="1"/>
        <w:rPr>
          <w:rFonts w:cs="宋体"/>
          <w:color w:val="auto"/>
          <w:sz w:val="32"/>
          <w:szCs w:val="32"/>
          <w:highlight w:val="none"/>
        </w:rPr>
      </w:pPr>
      <w:bookmarkStart w:id="823" w:name="_Toc5379"/>
      <w:bookmarkStart w:id="824" w:name="_Toc54862164"/>
      <w:r>
        <w:rPr>
          <w:rFonts w:hint="eastAsia" w:cs="宋体"/>
          <w:color w:val="auto"/>
          <w:sz w:val="32"/>
          <w:szCs w:val="32"/>
          <w:highlight w:val="none"/>
        </w:rPr>
        <w:t>第一部分 合同协议书</w:t>
      </w:r>
      <w:bookmarkEnd w:id="823"/>
      <w:bookmarkEnd w:id="824"/>
    </w:p>
    <w:p w14:paraId="7D6F132D">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发包人（全称）：</w:t>
      </w:r>
    </w:p>
    <w:p w14:paraId="11476BFC">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地址：</w:t>
      </w:r>
    </w:p>
    <w:p w14:paraId="554C374A">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联系人：</w:t>
      </w:r>
    </w:p>
    <w:p w14:paraId="2D0BA505">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联系电话：</w:t>
      </w:r>
    </w:p>
    <w:p w14:paraId="3E8F9583">
      <w:pPr>
        <w:widowControl/>
        <w:adjustRightInd w:val="0"/>
        <w:snapToGrid w:val="0"/>
        <w:spacing w:line="400" w:lineRule="exact"/>
        <w:ind w:firstLine="600"/>
        <w:rPr>
          <w:rFonts w:ascii="宋体" w:hAnsi="宋体" w:cs="宋体"/>
          <w:color w:val="auto"/>
          <w:szCs w:val="21"/>
          <w:highlight w:val="none"/>
        </w:rPr>
      </w:pPr>
    </w:p>
    <w:p w14:paraId="185D3069">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承包人（全称）：</w:t>
      </w:r>
    </w:p>
    <w:p w14:paraId="31E1BA1B">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地址：</w:t>
      </w:r>
    </w:p>
    <w:p w14:paraId="7CF40C1F">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联系人：</w:t>
      </w:r>
    </w:p>
    <w:p w14:paraId="6CC010D6">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联系电话：</w:t>
      </w:r>
    </w:p>
    <w:p w14:paraId="2DC249FF">
      <w:pPr>
        <w:widowControl/>
        <w:adjustRightInd w:val="0"/>
        <w:snapToGrid w:val="0"/>
        <w:spacing w:line="400" w:lineRule="exact"/>
        <w:ind w:firstLine="600"/>
        <w:rPr>
          <w:rFonts w:ascii="宋体" w:hAnsi="宋体" w:cs="宋体"/>
          <w:color w:val="auto"/>
          <w:szCs w:val="21"/>
          <w:highlight w:val="none"/>
        </w:rPr>
      </w:pPr>
    </w:p>
    <w:p w14:paraId="3216A1CF">
      <w:pPr>
        <w:widowControl/>
        <w:spacing w:line="400" w:lineRule="exact"/>
        <w:ind w:right="-420" w:rightChars="-200"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根据《中华人民共和国民法典》、《中华人民共和国建筑法》及有关法律规定，遵循平等、自愿、公平和诚实信用的原则，双方就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滁州工投中都科技产业园（一期）屋面光伏项目EPC项目</w:t>
      </w:r>
      <w:r>
        <w:rPr>
          <w:rFonts w:hint="eastAsia" w:cs="宋体"/>
          <w:color w:val="auto"/>
          <w:szCs w:val="21"/>
          <w:highlight w:val="none"/>
          <w:u w:val="single"/>
        </w:rPr>
        <w:t xml:space="preserve">  </w:t>
      </w:r>
      <w:r>
        <w:rPr>
          <w:rFonts w:hint="eastAsia" w:ascii="宋体" w:hAnsi="宋体" w:cs="宋体"/>
          <w:color w:val="auto"/>
          <w:szCs w:val="21"/>
          <w:highlight w:val="none"/>
        </w:rPr>
        <w:t>的工程总承包及有关事项协商一致，共同达成如下协议：</w:t>
      </w:r>
    </w:p>
    <w:p w14:paraId="26A99F41">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25" w:name="_Toc27217"/>
      <w:bookmarkStart w:id="826" w:name="_Toc54862165"/>
      <w:r>
        <w:rPr>
          <w:rFonts w:hint="eastAsia" w:cs="宋体"/>
          <w:bCs w:val="0"/>
          <w:color w:val="auto"/>
          <w:sz w:val="21"/>
          <w:szCs w:val="21"/>
          <w:highlight w:val="none"/>
        </w:rPr>
        <w:t>一、工程概况</w:t>
      </w:r>
      <w:bookmarkEnd w:id="825"/>
      <w:bookmarkEnd w:id="826"/>
    </w:p>
    <w:p w14:paraId="5FB3A6CE">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1. 工程名称：</w:t>
      </w:r>
      <w:r>
        <w:rPr>
          <w:rFonts w:hint="eastAsia" w:ascii="宋体" w:hAnsi="宋体" w:cs="宋体"/>
          <w:color w:val="auto"/>
          <w:szCs w:val="21"/>
          <w:highlight w:val="none"/>
          <w:u w:val="single"/>
          <w:lang w:eastAsia="zh-CN"/>
        </w:rPr>
        <w:t>滁州工投中都科技产业园（一期）屋面光伏项目EPC项目</w:t>
      </w:r>
      <w:r>
        <w:rPr>
          <w:rFonts w:hint="eastAsia" w:ascii="宋体" w:hAnsi="宋体" w:cs="宋体"/>
          <w:color w:val="auto"/>
          <w:szCs w:val="21"/>
          <w:highlight w:val="none"/>
        </w:rPr>
        <w:t>。</w:t>
      </w:r>
    </w:p>
    <w:p w14:paraId="74EC668E">
      <w:pPr>
        <w:widowControl/>
        <w:adjustRightInd w:val="0"/>
        <w:snapToGrid w:val="0"/>
        <w:spacing w:line="400" w:lineRule="exact"/>
        <w:ind w:firstLine="600"/>
        <w:outlineLvl w:val="3"/>
        <w:rPr>
          <w:rFonts w:ascii="宋体" w:hAnsi="宋体" w:cs="宋体"/>
          <w:color w:val="auto"/>
          <w:szCs w:val="21"/>
          <w:highlight w:val="none"/>
        </w:rPr>
      </w:pPr>
      <w:r>
        <w:rPr>
          <w:rFonts w:hint="eastAsia" w:ascii="宋体" w:hAnsi="宋体" w:cs="宋体"/>
          <w:color w:val="auto"/>
          <w:szCs w:val="21"/>
          <w:highlight w:val="none"/>
        </w:rPr>
        <w:t>2. 工程地点：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滁州市凤阳县</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8C7507D">
      <w:pPr>
        <w:widowControl/>
        <w:adjustRightInd w:val="0"/>
        <w:snapToGrid w:val="0"/>
        <w:spacing w:line="400" w:lineRule="exact"/>
        <w:ind w:firstLine="600"/>
        <w:jc w:val="left"/>
        <w:rPr>
          <w:rFonts w:ascii="宋体" w:hAnsi="宋体" w:cs="宋体"/>
          <w:color w:val="auto"/>
          <w:szCs w:val="21"/>
          <w:highlight w:val="none"/>
          <w:u w:val="single"/>
        </w:rPr>
      </w:pPr>
      <w:r>
        <w:rPr>
          <w:rFonts w:hint="eastAsia" w:ascii="宋体" w:hAnsi="宋体" w:cs="宋体"/>
          <w:color w:val="auto"/>
          <w:szCs w:val="21"/>
          <w:highlight w:val="none"/>
        </w:rPr>
        <w:t>3. 工程审批、核准或备案文号：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BCD4827">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4. 资金来源：</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自筹</w:t>
      </w:r>
      <w:r>
        <w:rPr>
          <w:rFonts w:hint="eastAsia" w:cs="宋体"/>
          <w:color w:val="auto"/>
          <w:szCs w:val="21"/>
          <w:highlight w:val="none"/>
          <w:u w:val="single"/>
        </w:rPr>
        <w:t>资金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E5A7B18">
      <w:pPr>
        <w:widowControl/>
        <w:adjustRightInd w:val="0"/>
        <w:snapToGrid w:val="0"/>
        <w:spacing w:line="400" w:lineRule="exact"/>
        <w:ind w:firstLine="600"/>
        <w:outlineLvl w:val="3"/>
        <w:rPr>
          <w:rFonts w:ascii="宋体" w:hAnsi="宋体" w:cs="宋体"/>
          <w:color w:val="auto"/>
          <w:szCs w:val="21"/>
          <w:highlight w:val="none"/>
        </w:rPr>
      </w:pPr>
      <w:r>
        <w:rPr>
          <w:rFonts w:hint="eastAsia" w:ascii="宋体" w:hAnsi="宋体" w:cs="宋体"/>
          <w:color w:val="auto"/>
          <w:szCs w:val="21"/>
          <w:highlight w:val="none"/>
        </w:rPr>
        <w:t>5. 工程内容及规模：</w:t>
      </w:r>
    </w:p>
    <w:p w14:paraId="574DF9A0">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工程承包范围：</w:t>
      </w:r>
      <w:bookmarkStart w:id="827" w:name="_Toc54862166"/>
      <w:r>
        <w:rPr>
          <w:rFonts w:hint="eastAsia" w:ascii="宋体" w:hAnsi="宋体" w:cs="宋体"/>
          <w:color w:val="auto"/>
          <w:szCs w:val="21"/>
          <w:highlight w:val="none"/>
          <w:lang w:eastAsia="zh-CN"/>
        </w:rPr>
        <w:t>本项目拟在滁州工投中都科技产业园建设规模为交流侧4.78MW/直流侧5.5MWp的一般工商业分布式光伏发电项目。本项目包含项目设计、设备采购供货、屋面结构加固（如有）、</w:t>
      </w:r>
      <w:r>
        <w:rPr>
          <w:rFonts w:hint="eastAsia" w:ascii="宋体" w:hAnsi="宋体" w:cs="宋体"/>
          <w:color w:val="auto"/>
          <w:kern w:val="0"/>
          <w:szCs w:val="21"/>
          <w:highlight w:val="none"/>
          <w:lang w:val="en-US" w:eastAsia="zh-CN"/>
        </w:rPr>
        <w:t>屋面防水工程（如有）、</w:t>
      </w:r>
      <w:r>
        <w:rPr>
          <w:rFonts w:hint="eastAsia" w:ascii="宋体" w:hAnsi="宋体" w:cs="宋体"/>
          <w:color w:val="auto"/>
          <w:szCs w:val="21"/>
          <w:highlight w:val="none"/>
          <w:lang w:eastAsia="zh-CN"/>
        </w:rPr>
        <w:t>管线迁改、土建及安装施工、施工用水、施工用电辅助工程等、地方关系协调、部分建筑改造、本工程内所有设备和系统的供货安装、检验、试验、调试、试运行、竣工验收、整套系统启动的性能保证的考核验收、技术和售后服务、人员培训、直至移交生产所完成的全部工作，并网模式采用“自发自用，余电上网”。并网电压等级为10kV ，采取安装“四可”设备接受电网统一调控等方式确保公共电网安全</w:t>
      </w:r>
      <w:r>
        <w:rPr>
          <w:rFonts w:hint="eastAsia" w:ascii="宋体" w:hAnsi="宋体" w:cs="宋体"/>
          <w:color w:val="auto"/>
          <w:szCs w:val="21"/>
          <w:highlight w:val="none"/>
        </w:rPr>
        <w:t>。</w:t>
      </w:r>
    </w:p>
    <w:p w14:paraId="712E1A8D">
      <w:pPr>
        <w:widowControl/>
        <w:adjustRightInd w:val="0"/>
        <w:snapToGrid w:val="0"/>
        <w:spacing w:line="400" w:lineRule="exact"/>
        <w:ind w:firstLine="600"/>
        <w:rPr>
          <w:rFonts w:hint="eastAsia" w:ascii="宋体" w:hAnsi="宋体" w:cs="宋体"/>
          <w:color w:val="auto"/>
          <w:szCs w:val="21"/>
          <w:highlight w:val="none"/>
        </w:rPr>
      </w:pPr>
      <w:r>
        <w:rPr>
          <w:rFonts w:hint="eastAsia" w:ascii="宋体" w:hAnsi="宋体" w:cs="宋体"/>
          <w:color w:val="auto"/>
          <w:szCs w:val="21"/>
          <w:highlight w:val="none"/>
        </w:rPr>
        <w:t>本次招标范围包括但不限于：</w:t>
      </w:r>
    </w:p>
    <w:p w14:paraId="5E047AF9">
      <w:pPr>
        <w:widowControl/>
        <w:adjustRightInd w:val="0"/>
        <w:snapToGrid w:val="0"/>
        <w:spacing w:line="400" w:lineRule="exact"/>
        <w:ind w:firstLine="600"/>
        <w:rPr>
          <w:rFonts w:hint="eastAsia" w:ascii="宋体" w:hAnsi="宋体" w:cs="宋体"/>
          <w:color w:val="auto"/>
          <w:szCs w:val="21"/>
          <w:highlight w:val="none"/>
        </w:rPr>
      </w:pPr>
      <w:r>
        <w:rPr>
          <w:rFonts w:hint="eastAsia" w:ascii="宋体" w:hAnsi="宋体" w:cs="宋体"/>
          <w:color w:val="auto"/>
          <w:szCs w:val="21"/>
          <w:highlight w:val="none"/>
        </w:rPr>
        <w:t>（1）设计部分：包括但不限于本项目投资分析、可研报告编制、现场勘察、设计方案（含设计基础排布）、屋面荷载鉴定报告、加固设计方案（如需）、施工图设计、竣工图编制、概算编制、图纸审查等，以上如涉及必须提供。</w:t>
      </w:r>
    </w:p>
    <w:p w14:paraId="4D62BCE1">
      <w:pPr>
        <w:widowControl/>
        <w:adjustRightInd w:val="0"/>
        <w:snapToGrid w:val="0"/>
        <w:spacing w:line="400" w:lineRule="exact"/>
        <w:ind w:firstLine="600"/>
        <w:rPr>
          <w:rFonts w:hint="eastAsia" w:ascii="宋体" w:hAnsi="宋体" w:cs="宋体"/>
          <w:color w:val="auto"/>
          <w:szCs w:val="21"/>
          <w:highlight w:val="none"/>
        </w:rPr>
      </w:pPr>
      <w:r>
        <w:rPr>
          <w:rFonts w:hint="eastAsia" w:ascii="宋体" w:hAnsi="宋体" w:cs="宋体"/>
          <w:color w:val="auto"/>
          <w:szCs w:val="21"/>
          <w:highlight w:val="none"/>
        </w:rPr>
        <w:t>（2）施工部分：包括但不限于并网接入等相关手续办理、施工图范围内的所有工作内容、屋顶加固（如需）、屋面瓦更换（如需）、土建及安装施工、部分建筑空间改造等工作、本工程内所有设备和系统的供货安装、检验、试验、竣工验收、全站全容量并网240小时安全稳定试运行(出具试运行报告)、消缺、整套系统启动的性能保证的考核验收、技术和售后服务、人员培训、直至移交等全部工作。本项目的逆变器、数据采集器、远红等设备，由中标单位设计和采购，并负责接入招标人已建或者后续要建设的能源管理平台便于后期统一运营管理，相关费用均在投标报价中。实现实施范围全覆盖的视频监控设备，相关硬件设施费用和网络传输租赁费用（运维期）均在投标报价中。移交前的运维管理，竣工验收交付后，光伏板产品质保10年、逆变器质保5年，其他电设备2年质保，免费运维</w:t>
      </w:r>
      <w:r>
        <w:rPr>
          <w:rFonts w:hint="default" w:ascii="宋体" w:hAnsi="宋体" w:cs="宋体"/>
          <w:color w:val="auto"/>
          <w:szCs w:val="21"/>
          <w:highlight w:val="none"/>
          <w:lang w:val="en-US"/>
        </w:rPr>
        <w:t>2</w:t>
      </w:r>
      <w:r>
        <w:rPr>
          <w:rFonts w:hint="eastAsia" w:ascii="宋体" w:hAnsi="宋体" w:cs="宋体"/>
          <w:color w:val="auto"/>
          <w:szCs w:val="21"/>
          <w:highlight w:val="none"/>
        </w:rPr>
        <w:t>年；具体以招标人实施需求为准。最终以实际完成装机容量为准。</w:t>
      </w:r>
    </w:p>
    <w:p w14:paraId="2B3E278E">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(3)运维部分：按季度覆盖全场站巡检（巡检要求详见附件：巡检检查要求）、按季度清洗光伏组件（连续梅雨季节可顺延）、按半年度检查组件热斑及隐裂、提供由于自然原因导致组件及逆变器损坏的更换及安装服务；高压电力设备及场站故障需满足24小时内的应急处理，提供由于自然原因导致高压电力设备元器件损坏的更换及安装服务。</w:t>
      </w:r>
      <w:r>
        <w:rPr>
          <w:rFonts w:hint="eastAsia" w:ascii="宋体" w:hAnsi="宋体" w:cs="宋体"/>
          <w:color w:val="auto"/>
          <w:kern w:val="0"/>
          <w:szCs w:val="21"/>
          <w:highlight w:val="none"/>
          <w:lang w:val="en-US" w:eastAsia="zh-CN"/>
        </w:rPr>
        <w:t>配合并及时响应电网相关调度。</w:t>
      </w:r>
    </w:p>
    <w:p w14:paraId="15E75B8E">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28" w:name="_Toc16707"/>
      <w:r>
        <w:rPr>
          <w:rFonts w:hint="eastAsia" w:cs="宋体"/>
          <w:bCs w:val="0"/>
          <w:color w:val="auto"/>
          <w:sz w:val="21"/>
          <w:szCs w:val="21"/>
          <w:highlight w:val="none"/>
        </w:rPr>
        <w:t>二、合同工期</w:t>
      </w:r>
      <w:bookmarkEnd w:id="827"/>
      <w:bookmarkEnd w:id="828"/>
    </w:p>
    <w:p w14:paraId="4C09A2A4">
      <w:pPr>
        <w:pStyle w:val="39"/>
        <w:widowControl/>
        <w:adjustRightInd w:val="0"/>
        <w:snapToGrid w:val="0"/>
        <w:spacing w:beforeLines="30" w:afterLines="30" w:line="400" w:lineRule="exact"/>
        <w:ind w:left="0" w:firstLine="422" w:firstLineChars="200"/>
        <w:outlineLvl w:val="2"/>
        <w:rPr>
          <w:rFonts w:hint="eastAsia" w:eastAsia="宋体" w:cs="宋体"/>
          <w:color w:val="auto"/>
          <w:sz w:val="21"/>
          <w:szCs w:val="21"/>
          <w:highlight w:val="none"/>
          <w:lang w:eastAsia="zh-CN"/>
        </w:rPr>
      </w:pPr>
      <w:bookmarkStart w:id="829" w:name="_Toc11532"/>
      <w:bookmarkStart w:id="830" w:name="_Toc54862167"/>
      <w:r>
        <w:rPr>
          <w:rFonts w:hint="eastAsia" w:cs="宋体"/>
          <w:color w:val="auto"/>
          <w:sz w:val="21"/>
          <w:szCs w:val="21"/>
          <w:highlight w:val="none"/>
        </w:rPr>
        <w:t>不超过</w:t>
      </w:r>
      <w:r>
        <w:rPr>
          <w:rFonts w:hint="eastAsia" w:cs="宋体"/>
          <w:color w:val="auto"/>
          <w:sz w:val="21"/>
          <w:szCs w:val="21"/>
          <w:highlight w:val="none"/>
          <w:lang w:val="en-US" w:eastAsia="zh-CN"/>
        </w:rPr>
        <w:t>55</w:t>
      </w:r>
      <w:r>
        <w:rPr>
          <w:rFonts w:hint="eastAsia" w:cs="宋体"/>
          <w:color w:val="auto"/>
          <w:sz w:val="21"/>
          <w:szCs w:val="21"/>
          <w:highlight w:val="none"/>
        </w:rPr>
        <w:t>个日历天。运维服务期自项目验收合格并完成并网起</w:t>
      </w:r>
      <w:r>
        <w:rPr>
          <w:rFonts w:hint="default" w:cs="宋体"/>
          <w:color w:val="auto"/>
          <w:sz w:val="21"/>
          <w:szCs w:val="21"/>
          <w:highlight w:val="none"/>
          <w:lang w:val="en-US"/>
        </w:rPr>
        <w:t>2</w:t>
      </w:r>
      <w:r>
        <w:rPr>
          <w:rFonts w:hint="eastAsia" w:cs="宋体"/>
          <w:color w:val="auto"/>
          <w:sz w:val="21"/>
          <w:szCs w:val="21"/>
          <w:highlight w:val="none"/>
        </w:rPr>
        <w:t>年；工程缺陷责任期为2年。具体以实际情况和招标人要求为准。</w:t>
      </w:r>
      <w:r>
        <w:rPr>
          <w:rFonts w:hint="eastAsia" w:ascii="宋体" w:hAnsi="宋体" w:cs="宋体"/>
          <w:color w:val="auto"/>
          <w:szCs w:val="21"/>
          <w:highlight w:val="none"/>
        </w:rPr>
        <w:t>每延误一天,按5000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元/天处以违约金</w:t>
      </w:r>
      <w:r>
        <w:rPr>
          <w:rFonts w:hint="eastAsia" w:cs="宋体"/>
          <w:color w:val="auto"/>
          <w:szCs w:val="21"/>
          <w:highlight w:val="none"/>
          <w:lang w:eastAsia="zh-CN"/>
        </w:rPr>
        <w:t>。</w:t>
      </w:r>
      <w:bookmarkEnd w:id="829"/>
    </w:p>
    <w:p w14:paraId="4FE88489">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31" w:name="_Toc30793"/>
      <w:r>
        <w:rPr>
          <w:rFonts w:hint="eastAsia" w:cs="宋体"/>
          <w:bCs w:val="0"/>
          <w:color w:val="auto"/>
          <w:sz w:val="21"/>
          <w:szCs w:val="21"/>
          <w:highlight w:val="none"/>
        </w:rPr>
        <w:t>三、质量标准</w:t>
      </w:r>
      <w:bookmarkEnd w:id="830"/>
      <w:bookmarkEnd w:id="831"/>
    </w:p>
    <w:p w14:paraId="55B8EB8F">
      <w:pPr>
        <w:widowControl/>
        <w:adjustRightInd w:val="0"/>
        <w:spacing w:line="400" w:lineRule="exact"/>
        <w:ind w:firstLine="420" w:firstLineChars="200"/>
        <w:rPr>
          <w:rFonts w:ascii="宋体" w:hAnsi="宋体" w:cs="宋体"/>
          <w:color w:val="auto"/>
          <w:szCs w:val="21"/>
          <w:highlight w:val="none"/>
        </w:rPr>
      </w:pPr>
      <w:bookmarkStart w:id="832" w:name="_Toc54862168"/>
      <w:r>
        <w:rPr>
          <w:rFonts w:hint="eastAsia" w:ascii="宋体" w:hAnsi="宋体" w:cs="宋体"/>
          <w:color w:val="auto"/>
          <w:szCs w:val="21"/>
          <w:highlight w:val="none"/>
        </w:rPr>
        <w:t>设计：合格。满足招标人需求，符合现行相应行业最新的设计规范，施工图及预算通过业主和相关部门审查，施工图达到施工深度要求。</w:t>
      </w:r>
    </w:p>
    <w:p w14:paraId="22643FB0">
      <w:pPr>
        <w:widowControl/>
        <w:adjustRightIn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设备材料：合格。满足设计要求、招标人要求，符合约定的参数、品牌（或相当于）要求。</w:t>
      </w:r>
    </w:p>
    <w:p w14:paraId="113EB409">
      <w:pPr>
        <w:widowControl/>
        <w:adjustRightIn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建设质量要求：合格，质量符合 GB/T 50796-2012《光伏发电工程验收规范》，确保通过供电公司验收、并网。 </w:t>
      </w:r>
    </w:p>
    <w:p w14:paraId="0CF458C4">
      <w:pPr>
        <w:widowControl/>
        <w:adjustRightIn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运维质量要求：合格，符合招标人的日常考核。 </w:t>
      </w:r>
    </w:p>
    <w:p w14:paraId="3EE49ADA">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33" w:name="_Toc2426"/>
      <w:r>
        <w:rPr>
          <w:rFonts w:hint="eastAsia" w:cs="宋体"/>
          <w:bCs w:val="0"/>
          <w:color w:val="auto"/>
          <w:sz w:val="21"/>
          <w:szCs w:val="21"/>
          <w:highlight w:val="none"/>
        </w:rPr>
        <w:t>四、签约合同价与合同价格形式</w:t>
      </w:r>
      <w:bookmarkEnd w:id="832"/>
      <w:bookmarkEnd w:id="833"/>
    </w:p>
    <w:p w14:paraId="2F35AA65">
      <w:pPr>
        <w:overflowPunct w:val="0"/>
        <w:autoSpaceDE w:val="0"/>
        <w:autoSpaceDN w:val="0"/>
        <w:adjustRightInd w:val="0"/>
        <w:snapToGrid w:val="0"/>
        <w:spacing w:line="400" w:lineRule="exact"/>
        <w:ind w:firstLine="487" w:firstLineChars="232"/>
        <w:rPr>
          <w:color w:val="auto"/>
          <w:highlight w:val="none"/>
        </w:rPr>
      </w:pPr>
      <w:r>
        <w:rPr>
          <w:rFonts w:hint="eastAsia" w:ascii="宋体" w:hAnsi="宋体" w:cs="宋体"/>
          <w:color w:val="auto"/>
          <w:szCs w:val="21"/>
          <w:highlight w:val="none"/>
        </w:rPr>
        <w:t>1.本合同固定单价：</w:t>
      </w:r>
      <w:r>
        <w:rPr>
          <w:rFonts w:hint="eastAsia" w:ascii="宋体" w:hAnsi="宋体" w:cs="宋体"/>
          <w:color w:val="auto"/>
          <w:kern w:val="0"/>
          <w:szCs w:val="21"/>
          <w:highlight w:val="none"/>
        </w:rPr>
        <w:t>费用</w:t>
      </w:r>
      <w:r>
        <w:rPr>
          <w:rFonts w:hint="eastAsia" w:ascii="宋体" w:hAnsi="宋体" w:cs="宋体"/>
          <w:color w:val="auto"/>
          <w:szCs w:val="21"/>
          <w:highlight w:val="none"/>
        </w:rPr>
        <w:t>为</w:t>
      </w:r>
      <w:r>
        <w:rPr>
          <w:rFonts w:hint="eastAsia" w:ascii="宋体" w:hAnsi="宋体" w:cs="宋体"/>
          <w:color w:val="auto"/>
          <w:szCs w:val="21"/>
          <w:highlight w:val="none"/>
          <w:u w:val="single"/>
        </w:rPr>
        <w:t>人民币【     】</w:t>
      </w:r>
      <w:r>
        <w:rPr>
          <w:rFonts w:hint="eastAsia" w:ascii="宋体" w:hAnsi="宋体" w:cs="宋体"/>
          <w:color w:val="auto"/>
          <w:kern w:val="0"/>
          <w:szCs w:val="21"/>
          <w:highlight w:val="none"/>
        </w:rPr>
        <w:t>元/瓦（直流侧）</w:t>
      </w:r>
      <w:r>
        <w:rPr>
          <w:rFonts w:hint="eastAsia" w:ascii="宋体" w:hAnsi="宋体" w:cs="宋体"/>
          <w:color w:val="auto"/>
          <w:szCs w:val="21"/>
          <w:highlight w:val="none"/>
        </w:rPr>
        <w:t>（含税）。</w:t>
      </w:r>
      <w:r>
        <w:rPr>
          <w:rFonts w:hint="eastAsia"/>
          <w:color w:val="auto"/>
          <w:highlight w:val="none"/>
        </w:rPr>
        <w:t xml:space="preserve">             </w:t>
      </w:r>
    </w:p>
    <w:p w14:paraId="297F64FF">
      <w:pPr>
        <w:widowControl/>
        <w:adjustRightInd w:val="0"/>
        <w:spacing w:line="40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2. 合同价格形式：</w:t>
      </w:r>
    </w:p>
    <w:p w14:paraId="04251CCA">
      <w:pPr>
        <w:widowControl/>
        <w:adjustRightInd w:val="0"/>
        <w:spacing w:line="400" w:lineRule="exact"/>
        <w:ind w:firstLine="420" w:firstLineChars="200"/>
        <w:rPr>
          <w:rFonts w:ascii="宋体" w:hAnsi="宋体" w:cs="宋体"/>
          <w:color w:val="auto"/>
          <w:szCs w:val="21"/>
          <w:highlight w:val="none"/>
        </w:rPr>
      </w:pPr>
      <w:bookmarkStart w:id="834" w:name="_Toc54862169"/>
      <w:r>
        <w:rPr>
          <w:rFonts w:hint="eastAsia" w:ascii="宋体" w:hAnsi="宋体" w:cs="宋体"/>
          <w:color w:val="auto"/>
          <w:szCs w:val="21"/>
          <w:highlight w:val="none"/>
        </w:rPr>
        <w:t>合同价格形式为固定单价合同。</w:t>
      </w:r>
    </w:p>
    <w:p w14:paraId="2D88E649">
      <w:pPr>
        <w:widowControl/>
        <w:adjustRightIn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包含但不限于调查、可研报告、测量、设计方案和施工图设计、材料采购（除甲供材外）、设备采购、施工、调试、验收、档案移交、运维、缺陷责任期内的缺陷修复、保修及施工期间的指导和配合服务等所发生的一切费用（包含但不限于自行收集相关规划资料、设备维护更新、办公费用及人员工资、交通、保险、税费等）、并网验收所涉及全部手续办理费用、临时设施费等以及招标文件规定的与本次招标相关的等所有费用。</w:t>
      </w:r>
    </w:p>
    <w:p w14:paraId="08483D52">
      <w:pPr>
        <w:widowControl/>
        <w:kinsoku w:val="0"/>
        <w:adjustRightInd w:val="0"/>
        <w:snapToGrid w:val="0"/>
        <w:spacing w:line="400" w:lineRule="exact"/>
        <w:ind w:left="263" w:leftChars="125" w:firstLine="210" w:firstLineChars="100"/>
        <w:jc w:val="left"/>
        <w:rPr>
          <w:rFonts w:ascii="宋体" w:hAnsi="宋体" w:cs="宋体"/>
          <w:color w:val="auto"/>
          <w:szCs w:val="21"/>
          <w:highlight w:val="none"/>
        </w:rPr>
      </w:pPr>
      <w:r>
        <w:rPr>
          <w:rFonts w:hint="eastAsia" w:ascii="宋体" w:hAnsi="宋体" w:cs="宋体"/>
          <w:color w:val="auto"/>
          <w:szCs w:val="21"/>
          <w:highlight w:val="none"/>
        </w:rPr>
        <w:t>合同当事人对合同价格形式的其他约定：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详见专用合同条件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C4F50FC">
      <w:pPr>
        <w:widowControl/>
        <w:adjustRightInd w:val="0"/>
        <w:spacing w:line="40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3.项目装机容量</w:t>
      </w:r>
    </w:p>
    <w:p w14:paraId="33FFE5BD">
      <w:pPr>
        <w:pStyle w:val="39"/>
        <w:widowControl/>
        <w:adjustRightInd w:val="0"/>
        <w:snapToGrid w:val="0"/>
        <w:spacing w:beforeLines="30" w:afterLines="30" w:line="400" w:lineRule="exact"/>
        <w:ind w:left="0" w:firstLine="630" w:firstLineChars="300"/>
        <w:rPr>
          <w:rFonts w:cs="宋体"/>
          <w:b w:val="0"/>
          <w:color w:val="auto"/>
          <w:sz w:val="21"/>
          <w:szCs w:val="21"/>
          <w:highlight w:val="none"/>
        </w:rPr>
      </w:pPr>
      <w:bookmarkStart w:id="835" w:name="_Toc24860"/>
      <w:r>
        <w:rPr>
          <w:rFonts w:hint="eastAsia" w:cs="宋体"/>
          <w:b w:val="0"/>
          <w:color w:val="auto"/>
          <w:sz w:val="21"/>
          <w:szCs w:val="21"/>
          <w:highlight w:val="none"/>
        </w:rPr>
        <w:t>项目拟装机容量为【    】，实际装机容量以项目通过竣工验收且并网发电的装机容量为准。</w:t>
      </w:r>
      <w:bookmarkEnd w:id="835"/>
    </w:p>
    <w:p w14:paraId="5CDC4ED4">
      <w:pPr>
        <w:widowControl/>
        <w:kinsoku w:val="0"/>
        <w:adjustRightInd w:val="0"/>
        <w:snapToGrid w:val="0"/>
        <w:spacing w:line="400" w:lineRule="exact"/>
        <w:ind w:left="263" w:leftChars="125" w:firstLine="210" w:firstLineChars="100"/>
        <w:jc w:val="left"/>
        <w:outlineLvl w:val="3"/>
        <w:rPr>
          <w:rFonts w:ascii="宋体" w:hAnsi="宋体" w:cs="宋体"/>
          <w:color w:val="auto"/>
          <w:szCs w:val="21"/>
          <w:highlight w:val="none"/>
        </w:rPr>
      </w:pPr>
      <w:r>
        <w:rPr>
          <w:rFonts w:hint="eastAsia" w:ascii="宋体" w:hAnsi="宋体" w:cs="宋体"/>
          <w:color w:val="auto"/>
          <w:szCs w:val="21"/>
          <w:highlight w:val="none"/>
        </w:rPr>
        <w:t>4.安全目标</w:t>
      </w:r>
    </w:p>
    <w:p w14:paraId="738A5661">
      <w:pPr>
        <w:pStyle w:val="39"/>
        <w:widowControl/>
        <w:adjustRightInd w:val="0"/>
        <w:snapToGrid w:val="0"/>
        <w:spacing w:beforeLines="30" w:afterLines="30" w:line="400" w:lineRule="exact"/>
        <w:ind w:left="0" w:firstLine="630" w:firstLineChars="300"/>
        <w:rPr>
          <w:rFonts w:cs="宋体"/>
          <w:b w:val="0"/>
          <w:color w:val="auto"/>
          <w:sz w:val="21"/>
          <w:szCs w:val="21"/>
          <w:highlight w:val="none"/>
        </w:rPr>
      </w:pPr>
      <w:bookmarkStart w:id="836" w:name="_Toc19650"/>
      <w:r>
        <w:rPr>
          <w:rFonts w:hint="eastAsia" w:cs="宋体"/>
          <w:b w:val="0"/>
          <w:color w:val="auto"/>
          <w:sz w:val="21"/>
          <w:szCs w:val="21"/>
          <w:highlight w:val="none"/>
        </w:rPr>
        <w:t>杜绝人身死亡、伤害事故；杜绝重大机械设备事故；杜绝重大火灾事故；杜绝主要设备的损坏事故；杜绝负主要责任的重大交通事故；杜绝重大环境污染事故；杜绝重大垮（坍）塌事故；避免和严格控制一般安全事故。</w:t>
      </w:r>
      <w:bookmarkEnd w:id="836"/>
    </w:p>
    <w:p w14:paraId="7FD1D829">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37" w:name="_Toc13731"/>
      <w:r>
        <w:rPr>
          <w:rFonts w:hint="eastAsia" w:cs="宋体"/>
          <w:bCs w:val="0"/>
          <w:color w:val="auto"/>
          <w:sz w:val="21"/>
          <w:szCs w:val="21"/>
          <w:highlight w:val="none"/>
        </w:rPr>
        <w:t>五、</w:t>
      </w:r>
      <w:bookmarkEnd w:id="834"/>
      <w:r>
        <w:rPr>
          <w:rFonts w:hint="eastAsia" w:cs="宋体"/>
          <w:bCs w:val="0"/>
          <w:color w:val="auto"/>
          <w:sz w:val="21"/>
          <w:szCs w:val="21"/>
          <w:highlight w:val="none"/>
        </w:rPr>
        <w:t>项目负责人</w:t>
      </w:r>
      <w:bookmarkEnd w:id="837"/>
    </w:p>
    <w:p w14:paraId="2F818CEB">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项目经理：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；设计负责人：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7DB99F5">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38" w:name="_Toc54862170"/>
      <w:bookmarkStart w:id="839" w:name="_Toc11579"/>
      <w:r>
        <w:rPr>
          <w:rFonts w:hint="eastAsia" w:cs="宋体"/>
          <w:bCs w:val="0"/>
          <w:color w:val="auto"/>
          <w:sz w:val="21"/>
          <w:szCs w:val="21"/>
          <w:highlight w:val="none"/>
        </w:rPr>
        <w:t>六、合同文件构成</w:t>
      </w:r>
      <w:bookmarkEnd w:id="838"/>
      <w:bookmarkEnd w:id="839"/>
    </w:p>
    <w:p w14:paraId="67CCEFB2">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 xml:space="preserve">本协议书与下列文件一起构成合同文件： </w:t>
      </w:r>
    </w:p>
    <w:p w14:paraId="63A4B403">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（1） 中标通知书（如果有）；</w:t>
      </w:r>
    </w:p>
    <w:p w14:paraId="50156906">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（2） 投标函及投标函附录（如果有）；</w:t>
      </w:r>
    </w:p>
    <w:p w14:paraId="7AF3E6A0">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（3） 专用合同条件及《发包人要求》等附件；</w:t>
      </w:r>
    </w:p>
    <w:p w14:paraId="0A628415">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（4） 通用合同条件；</w:t>
      </w:r>
    </w:p>
    <w:p w14:paraId="0E1694B2">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 xml:space="preserve">（5） 承包人建议书； </w:t>
      </w:r>
    </w:p>
    <w:p w14:paraId="5314C4D3">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（6） 价格清单；</w:t>
      </w:r>
    </w:p>
    <w:p w14:paraId="66451E75">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（7） 双方约定的其他合同文件。</w:t>
      </w:r>
    </w:p>
    <w:p w14:paraId="5B61388F">
      <w:pPr>
        <w:autoSpaceDE w:val="0"/>
        <w:autoSpaceDN w:val="0"/>
        <w:adjustRightInd w:val="0"/>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在合同订立及履行过程中形成的与合同有关的文件均构成合同文件组成部分。若招标文件与合同不符时，以招标文件为准，若合同专用条款与通用条款不符时，以专用条款为准，补充条款优先于专用条款。</w:t>
      </w:r>
    </w:p>
    <w:p w14:paraId="0E815D42">
      <w:pPr>
        <w:autoSpaceDE w:val="0"/>
        <w:autoSpaceDN w:val="0"/>
        <w:adjustRightInd w:val="0"/>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6A351A67">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40" w:name="_Toc20145"/>
      <w:bookmarkStart w:id="841" w:name="_Toc54862171"/>
      <w:r>
        <w:rPr>
          <w:rFonts w:hint="eastAsia" w:cs="宋体"/>
          <w:bCs w:val="0"/>
          <w:color w:val="auto"/>
          <w:sz w:val="21"/>
          <w:szCs w:val="21"/>
          <w:highlight w:val="none"/>
        </w:rPr>
        <w:t>七、承诺</w:t>
      </w:r>
      <w:bookmarkEnd w:id="840"/>
      <w:bookmarkEnd w:id="841"/>
    </w:p>
    <w:p w14:paraId="78752009">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1.发包人承诺按照在承包人按照合同约定及发包人要求全部履行本合同义务的情况下，发包人按合同约定向承包人支付工程款项。</w:t>
      </w:r>
    </w:p>
    <w:p w14:paraId="63ED5FAD">
      <w:pPr>
        <w:widowControl/>
        <w:adjustRightInd w:val="0"/>
        <w:snapToGrid w:val="0"/>
        <w:spacing w:line="400" w:lineRule="exact"/>
        <w:ind w:firstLine="600"/>
        <w:outlineLvl w:val="3"/>
        <w:rPr>
          <w:rFonts w:ascii="宋体" w:hAnsi="宋体" w:cs="宋体"/>
          <w:color w:val="auto"/>
          <w:szCs w:val="21"/>
          <w:highlight w:val="none"/>
        </w:rPr>
      </w:pPr>
      <w:r>
        <w:rPr>
          <w:rFonts w:hint="eastAsia" w:ascii="宋体" w:hAnsi="宋体" w:cs="宋体"/>
          <w:color w:val="auto"/>
          <w:szCs w:val="21"/>
          <w:highlight w:val="none"/>
        </w:rPr>
        <w:t>2.承包人承诺</w:t>
      </w:r>
    </w:p>
    <w:p w14:paraId="66612778">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承包人必须在施工前和设备采购前向发包人提交施工图和设备采购的技术协议，以便发包人进行审核，经发包人审核同意后才能施工和采购设备。</w:t>
      </w:r>
    </w:p>
    <w:p w14:paraId="25C9DC43">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承包人在施工过程中应接受发包人质监人员的质量抽查，承包人应当予以无条件配合。</w:t>
      </w:r>
    </w:p>
    <w:p w14:paraId="38C0D053">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承包人向发包人承诺，按照合同约定进行设计、采购、施工、竣工验收，并在质量保修内承担工程质量保修责任。</w:t>
      </w:r>
    </w:p>
    <w:p w14:paraId="4EED2205">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3.发包人和承包人通过招投标形式签订合同的，双方理解并承诺不再就同一工程另行签订与合同实质性内容相背离的协议。</w:t>
      </w:r>
    </w:p>
    <w:p w14:paraId="74AA01D0">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42" w:name="_Toc54862172"/>
      <w:bookmarkStart w:id="843" w:name="_Toc13504"/>
      <w:r>
        <w:rPr>
          <w:rFonts w:hint="eastAsia" w:cs="宋体"/>
          <w:bCs w:val="0"/>
          <w:color w:val="auto"/>
          <w:sz w:val="21"/>
          <w:szCs w:val="21"/>
          <w:highlight w:val="none"/>
        </w:rPr>
        <w:t>八、订立时间</w:t>
      </w:r>
      <w:bookmarkEnd w:id="842"/>
      <w:bookmarkEnd w:id="843"/>
    </w:p>
    <w:p w14:paraId="58357963">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本合同于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日订立。</w:t>
      </w:r>
    </w:p>
    <w:p w14:paraId="16DFD47D">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44" w:name="_Toc14765"/>
      <w:bookmarkStart w:id="845" w:name="_Toc54862173"/>
      <w:r>
        <w:rPr>
          <w:rFonts w:hint="eastAsia" w:cs="宋体"/>
          <w:bCs w:val="0"/>
          <w:color w:val="auto"/>
          <w:sz w:val="21"/>
          <w:szCs w:val="21"/>
          <w:highlight w:val="none"/>
        </w:rPr>
        <w:t>九、订立地点</w:t>
      </w:r>
      <w:bookmarkEnd w:id="844"/>
      <w:bookmarkEnd w:id="845"/>
    </w:p>
    <w:p w14:paraId="5E53EF9F">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本合同在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订立。</w:t>
      </w:r>
    </w:p>
    <w:p w14:paraId="38BCC219">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46" w:name="_Toc54862174"/>
      <w:bookmarkStart w:id="847" w:name="_Toc591"/>
      <w:r>
        <w:rPr>
          <w:rFonts w:hint="eastAsia" w:cs="宋体"/>
          <w:bCs w:val="0"/>
          <w:color w:val="auto"/>
          <w:sz w:val="21"/>
          <w:szCs w:val="21"/>
          <w:highlight w:val="none"/>
        </w:rPr>
        <w:t>十、合同生效</w:t>
      </w:r>
      <w:bookmarkEnd w:id="846"/>
      <w:bookmarkEnd w:id="847"/>
    </w:p>
    <w:p w14:paraId="2F8DD3FD">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1）承包人应在签订合同协议书之前，向发包人提交一份履约担保。履约担保应按投标人须知前附表中的要求提交。</w:t>
      </w:r>
    </w:p>
    <w:p w14:paraId="7F0D6C03">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2）本合同经双方法定代表人或委托代理人签字并加盖公章或合同专用章后生效。</w:t>
      </w:r>
    </w:p>
    <w:p w14:paraId="28FCC542">
      <w:pPr>
        <w:pStyle w:val="39"/>
        <w:widowControl/>
        <w:adjustRightInd w:val="0"/>
        <w:snapToGrid w:val="0"/>
        <w:spacing w:beforeLines="30" w:afterLines="30" w:line="400" w:lineRule="exact"/>
        <w:ind w:left="0"/>
        <w:outlineLvl w:val="2"/>
        <w:rPr>
          <w:rFonts w:cs="宋体"/>
          <w:bCs w:val="0"/>
          <w:color w:val="auto"/>
          <w:sz w:val="21"/>
          <w:szCs w:val="21"/>
          <w:highlight w:val="none"/>
        </w:rPr>
      </w:pPr>
      <w:bookmarkStart w:id="848" w:name="_Toc27674"/>
      <w:bookmarkStart w:id="849" w:name="_Toc54862175"/>
      <w:r>
        <w:rPr>
          <w:rFonts w:hint="eastAsia" w:cs="宋体"/>
          <w:bCs w:val="0"/>
          <w:color w:val="auto"/>
          <w:sz w:val="21"/>
          <w:szCs w:val="21"/>
          <w:highlight w:val="none"/>
        </w:rPr>
        <w:t>十一、合同份数</w:t>
      </w:r>
      <w:bookmarkEnd w:id="848"/>
      <w:bookmarkEnd w:id="849"/>
    </w:p>
    <w:p w14:paraId="7DA2B12A">
      <w:pPr>
        <w:widowControl/>
        <w:adjustRightInd w:val="0"/>
        <w:snapToGrid w:val="0"/>
        <w:spacing w:line="400" w:lineRule="exact"/>
        <w:ind w:firstLine="600"/>
        <w:rPr>
          <w:rFonts w:ascii="宋体" w:hAnsi="宋体" w:cs="宋体"/>
          <w:color w:val="auto"/>
          <w:szCs w:val="21"/>
          <w:highlight w:val="none"/>
        </w:rPr>
      </w:pPr>
      <w:r>
        <w:rPr>
          <w:rFonts w:hint="eastAsia" w:ascii="宋体" w:hAnsi="宋体" w:cs="宋体"/>
          <w:color w:val="auto"/>
          <w:szCs w:val="21"/>
          <w:highlight w:val="none"/>
        </w:rPr>
        <w:t>本合同一式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份，均具有同等法律效力，发包人执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份，承包人执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0A1E92C8">
      <w:pPr>
        <w:widowControl/>
        <w:adjustRightInd w:val="0"/>
        <w:snapToGrid w:val="0"/>
        <w:spacing w:line="400" w:lineRule="exact"/>
        <w:ind w:firstLine="600"/>
        <w:rPr>
          <w:rFonts w:ascii="宋体" w:hAnsi="宋体" w:cs="宋体"/>
          <w:color w:val="auto"/>
          <w:szCs w:val="21"/>
          <w:highlight w:val="none"/>
        </w:rPr>
      </w:pPr>
    </w:p>
    <w:tbl>
      <w:tblPr>
        <w:tblStyle w:val="19"/>
        <w:tblpPr w:leftFromText="180" w:rightFromText="180" w:vertAnchor="text" w:horzAnchor="page" w:tblpX="1702" w:tblpY="119"/>
        <w:tblW w:w="9072" w:type="dxa"/>
        <w:tblInd w:w="0" w:type="dxa"/>
        <w:tblLayout w:type="fixed"/>
        <w:tblCellMar>
          <w:top w:w="0" w:type="dxa"/>
          <w:left w:w="108" w:type="dxa"/>
          <w:bottom w:w="0" w:type="dxa"/>
          <w:right w:w="108" w:type="dxa"/>
        </w:tblCellMar>
      </w:tblPr>
      <w:tblGrid>
        <w:gridCol w:w="4507"/>
        <w:gridCol w:w="4565"/>
      </w:tblGrid>
      <w:tr w14:paraId="400F922F">
        <w:tblPrEx>
          <w:tblCellMar>
            <w:top w:w="0" w:type="dxa"/>
            <w:left w:w="108" w:type="dxa"/>
            <w:bottom w:w="0" w:type="dxa"/>
            <w:right w:w="108" w:type="dxa"/>
          </w:tblCellMar>
        </w:tblPrEx>
        <w:trPr>
          <w:trHeight w:val="535" w:hRule="atLeast"/>
        </w:trPr>
        <w:tc>
          <w:tcPr>
            <w:tcW w:w="4507" w:type="dxa"/>
            <w:vAlign w:val="center"/>
          </w:tcPr>
          <w:p w14:paraId="57C784C3">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发包人：（公章）</w:t>
            </w:r>
          </w:p>
        </w:tc>
        <w:tc>
          <w:tcPr>
            <w:tcW w:w="4565" w:type="dxa"/>
            <w:vAlign w:val="center"/>
          </w:tcPr>
          <w:p w14:paraId="2CFD4AC1">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承包人：（公章）</w:t>
            </w:r>
          </w:p>
        </w:tc>
      </w:tr>
      <w:tr w14:paraId="35A52943">
        <w:tblPrEx>
          <w:tblCellMar>
            <w:top w:w="0" w:type="dxa"/>
            <w:left w:w="108" w:type="dxa"/>
            <w:bottom w:w="0" w:type="dxa"/>
            <w:right w:w="108" w:type="dxa"/>
          </w:tblCellMar>
        </w:tblPrEx>
        <w:trPr>
          <w:trHeight w:val="930" w:hRule="atLeast"/>
        </w:trPr>
        <w:tc>
          <w:tcPr>
            <w:tcW w:w="4507" w:type="dxa"/>
            <w:vAlign w:val="center"/>
          </w:tcPr>
          <w:p w14:paraId="017A3FC0">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法定代表人或其委托代理人：</w:t>
            </w:r>
          </w:p>
          <w:p w14:paraId="5A062498">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（签字）</w:t>
            </w:r>
          </w:p>
        </w:tc>
        <w:tc>
          <w:tcPr>
            <w:tcW w:w="4565" w:type="dxa"/>
            <w:vAlign w:val="center"/>
          </w:tcPr>
          <w:p w14:paraId="5B855651">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法定代表人或其委托代理人：</w:t>
            </w:r>
          </w:p>
          <w:p w14:paraId="317C0C9B">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（签字）</w:t>
            </w:r>
          </w:p>
        </w:tc>
      </w:tr>
      <w:tr w14:paraId="6C2F56EA">
        <w:tblPrEx>
          <w:tblCellMar>
            <w:top w:w="0" w:type="dxa"/>
            <w:left w:w="108" w:type="dxa"/>
            <w:bottom w:w="0" w:type="dxa"/>
            <w:right w:w="108" w:type="dxa"/>
          </w:tblCellMar>
        </w:tblPrEx>
        <w:trPr>
          <w:trHeight w:val="4445" w:hRule="atLeast"/>
        </w:trPr>
        <w:tc>
          <w:tcPr>
            <w:tcW w:w="4507" w:type="dxa"/>
          </w:tcPr>
          <w:p w14:paraId="452A7051">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统一社会信用代码：</w:t>
            </w:r>
            <w:r>
              <w:rPr>
                <w:rFonts w:hint="eastAsia" w:hAnsi="宋体" w:cs="宋体"/>
                <w:color w:val="auto"/>
                <w:kern w:val="0"/>
                <w:sz w:val="21"/>
                <w:szCs w:val="21"/>
                <w:highlight w:val="none"/>
                <w:u w:val="single"/>
              </w:rPr>
              <w:t xml:space="preserve">            </w:t>
            </w:r>
          </w:p>
          <w:p w14:paraId="655C53A4">
            <w:pPr>
              <w:widowControl/>
              <w:adjustRightInd w:val="0"/>
              <w:snapToGrid w:val="0"/>
              <w:spacing w:line="560" w:lineRule="exact"/>
              <w:jc w:val="left"/>
              <w:rPr>
                <w:rFonts w:ascii="宋体" w:hAnsi="宋体" w:cs="宋体"/>
                <w:color w:val="auto"/>
                <w:kern w:val="0"/>
                <w:szCs w:val="21"/>
                <w:highlight w:val="none"/>
                <w:u w:val="single"/>
              </w:rPr>
            </w:pPr>
            <w:r>
              <w:rPr>
                <w:rFonts w:hint="eastAsia" w:hAnsi="宋体" w:cs="宋体"/>
                <w:color w:val="auto"/>
                <w:szCs w:val="21"/>
                <w:highlight w:val="none"/>
              </w:rPr>
              <w:t>地址：</w:t>
            </w:r>
            <w:r>
              <w:rPr>
                <w:rFonts w:hint="eastAsia" w:ascii="宋体" w:hAnsi="宋体" w:cs="宋体"/>
                <w:color w:val="auto"/>
                <w:kern w:val="0"/>
                <w:szCs w:val="21"/>
                <w:highlight w:val="none"/>
                <w:u w:val="single"/>
              </w:rPr>
              <w:t xml:space="preserve">                        </w:t>
            </w:r>
          </w:p>
          <w:p w14:paraId="603B12F2">
            <w:pPr>
              <w:pStyle w:val="40"/>
              <w:framePr w:hSpace="0" w:wrap="auto" w:vAnchor="margin" w:hAnchor="text" w:yAlign="inline"/>
              <w:spacing w:line="440" w:lineRule="exact"/>
              <w:rPr>
                <w:rFonts w:hint="default" w:hAnsi="宋体" w:eastAsia="宋体" w:cs="宋体"/>
                <w:color w:val="auto"/>
                <w:sz w:val="21"/>
                <w:szCs w:val="21"/>
                <w:highlight w:val="none"/>
                <w:lang w:val="en-US" w:eastAsia="zh-CN"/>
              </w:rPr>
            </w:pPr>
            <w:r>
              <w:rPr>
                <w:rFonts w:hint="eastAsia" w:hAnsi="宋体" w:cs="宋体"/>
                <w:color w:val="auto"/>
                <w:sz w:val="21"/>
                <w:szCs w:val="21"/>
                <w:highlight w:val="none"/>
              </w:rPr>
              <w:t>邮政编码：</w:t>
            </w:r>
            <w:r>
              <w:rPr>
                <w:rFonts w:hint="eastAsia" w:hAnsi="宋体" w:cs="宋体"/>
                <w:color w:val="auto"/>
                <w:kern w:val="0"/>
                <w:highlight w:val="none"/>
                <w:u w:val="single"/>
                <w:lang w:val="en-US" w:eastAsia="zh-CN"/>
              </w:rPr>
              <w:t xml:space="preserve">                  </w:t>
            </w:r>
          </w:p>
          <w:p w14:paraId="19900072">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法定代表人：</w:t>
            </w:r>
            <w:r>
              <w:rPr>
                <w:rFonts w:hint="eastAsia" w:hAnsi="宋体" w:cs="宋体"/>
                <w:color w:val="auto"/>
                <w:kern w:val="0"/>
                <w:sz w:val="21"/>
                <w:szCs w:val="21"/>
                <w:highlight w:val="none"/>
                <w:u w:val="single"/>
              </w:rPr>
              <w:t xml:space="preserve">                 </w:t>
            </w:r>
          </w:p>
          <w:p w14:paraId="12944138">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委托代理人：</w:t>
            </w:r>
            <w:r>
              <w:rPr>
                <w:rFonts w:hint="eastAsia" w:hAnsi="宋体" w:cs="宋体"/>
                <w:color w:val="auto"/>
                <w:kern w:val="0"/>
                <w:sz w:val="21"/>
                <w:szCs w:val="21"/>
                <w:highlight w:val="none"/>
                <w:u w:val="single"/>
              </w:rPr>
              <w:t xml:space="preserve">                 </w:t>
            </w:r>
          </w:p>
          <w:p w14:paraId="7521F398">
            <w:pPr>
              <w:pStyle w:val="40"/>
              <w:framePr w:hSpace="0" w:wrap="auto" w:vAnchor="margin" w:hAnchor="text" w:yAlign="inline"/>
              <w:spacing w:line="440" w:lineRule="exact"/>
              <w:rPr>
                <w:rFonts w:hint="default" w:hAnsi="宋体" w:eastAsia="宋体" w:cs="宋体"/>
                <w:color w:val="auto"/>
                <w:sz w:val="21"/>
                <w:szCs w:val="21"/>
                <w:highlight w:val="none"/>
                <w:lang w:val="en-US" w:eastAsia="zh-CN"/>
              </w:rPr>
            </w:pPr>
            <w:r>
              <w:rPr>
                <w:rFonts w:hint="eastAsia" w:hAnsi="宋体" w:cs="宋体"/>
                <w:color w:val="auto"/>
                <w:sz w:val="21"/>
                <w:szCs w:val="21"/>
                <w:highlight w:val="none"/>
              </w:rPr>
              <w:t>电话：</w:t>
            </w:r>
            <w:r>
              <w:rPr>
                <w:rFonts w:hint="eastAsia" w:hAnsi="宋体" w:cs="宋体"/>
                <w:color w:val="auto"/>
                <w:kern w:val="0"/>
                <w:sz w:val="21"/>
                <w:szCs w:val="21"/>
                <w:highlight w:val="none"/>
                <w:u w:val="single"/>
                <w:lang w:val="en-US" w:eastAsia="zh-CN"/>
              </w:rPr>
              <w:t xml:space="preserve">                     </w:t>
            </w:r>
          </w:p>
          <w:p w14:paraId="4F71AF4E">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传真：</w:t>
            </w:r>
            <w:r>
              <w:rPr>
                <w:rFonts w:hint="eastAsia" w:hAnsi="宋体" w:cs="宋体"/>
                <w:color w:val="auto"/>
                <w:kern w:val="0"/>
                <w:sz w:val="21"/>
                <w:szCs w:val="21"/>
                <w:highlight w:val="none"/>
                <w:u w:val="single"/>
              </w:rPr>
              <w:t>/</w:t>
            </w:r>
          </w:p>
          <w:p w14:paraId="367F6D79">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电子信箱：</w:t>
            </w:r>
            <w:r>
              <w:rPr>
                <w:rFonts w:hint="eastAsia" w:hAnsi="宋体" w:cs="宋体"/>
                <w:color w:val="auto"/>
                <w:kern w:val="0"/>
                <w:sz w:val="21"/>
                <w:szCs w:val="21"/>
                <w:highlight w:val="none"/>
                <w:u w:val="single"/>
              </w:rPr>
              <w:t>/</w:t>
            </w:r>
          </w:p>
          <w:p w14:paraId="491AAB22">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开户银行：</w:t>
            </w:r>
            <w:r>
              <w:rPr>
                <w:rFonts w:hint="eastAsia" w:hAnsi="宋体" w:cs="宋体"/>
                <w:color w:val="auto"/>
                <w:kern w:val="0"/>
                <w:sz w:val="21"/>
                <w:szCs w:val="21"/>
                <w:highlight w:val="none"/>
                <w:u w:val="single"/>
              </w:rPr>
              <w:t>/</w:t>
            </w:r>
          </w:p>
          <w:p w14:paraId="3A650EA0">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账号：</w:t>
            </w:r>
            <w:r>
              <w:rPr>
                <w:rFonts w:hint="eastAsia" w:hAnsi="宋体" w:cs="宋体"/>
                <w:color w:val="auto"/>
                <w:kern w:val="0"/>
                <w:sz w:val="21"/>
                <w:szCs w:val="21"/>
                <w:highlight w:val="none"/>
                <w:u w:val="single"/>
              </w:rPr>
              <w:t>/</w:t>
            </w:r>
          </w:p>
        </w:tc>
        <w:tc>
          <w:tcPr>
            <w:tcW w:w="4565" w:type="dxa"/>
          </w:tcPr>
          <w:p w14:paraId="42EC47CD">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统一社会信用代码：</w:t>
            </w:r>
            <w:r>
              <w:rPr>
                <w:rFonts w:hint="eastAsia" w:hAnsi="宋体" w:cs="宋体"/>
                <w:color w:val="auto"/>
                <w:kern w:val="0"/>
                <w:sz w:val="21"/>
                <w:szCs w:val="21"/>
                <w:highlight w:val="none"/>
                <w:u w:val="single"/>
              </w:rPr>
              <w:t xml:space="preserve">            </w:t>
            </w:r>
          </w:p>
          <w:p w14:paraId="52908DD4">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地址：</w:t>
            </w:r>
            <w:r>
              <w:rPr>
                <w:rFonts w:hint="eastAsia" w:hAnsi="宋体" w:cs="宋体"/>
                <w:color w:val="auto"/>
                <w:kern w:val="0"/>
                <w:sz w:val="21"/>
                <w:szCs w:val="21"/>
                <w:highlight w:val="none"/>
                <w:u w:val="single"/>
              </w:rPr>
              <w:t xml:space="preserve">                        </w:t>
            </w:r>
          </w:p>
          <w:p w14:paraId="65B9F9A3">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邮政编码：</w:t>
            </w:r>
            <w:r>
              <w:rPr>
                <w:rFonts w:hint="eastAsia" w:hAnsi="宋体" w:cs="宋体"/>
                <w:color w:val="auto"/>
                <w:kern w:val="0"/>
                <w:sz w:val="21"/>
                <w:szCs w:val="21"/>
                <w:highlight w:val="none"/>
                <w:u w:val="single"/>
              </w:rPr>
              <w:t xml:space="preserve">                      </w:t>
            </w:r>
          </w:p>
          <w:p w14:paraId="2C359DD4">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法定代表人：</w:t>
            </w:r>
            <w:r>
              <w:rPr>
                <w:rFonts w:hint="eastAsia" w:hAnsi="宋体" w:cs="宋体"/>
                <w:color w:val="auto"/>
                <w:kern w:val="0"/>
                <w:sz w:val="21"/>
                <w:szCs w:val="21"/>
                <w:highlight w:val="none"/>
                <w:u w:val="single"/>
              </w:rPr>
              <w:t xml:space="preserve">                  </w:t>
            </w:r>
          </w:p>
          <w:p w14:paraId="602F4498">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委托代理人：</w:t>
            </w:r>
            <w:r>
              <w:rPr>
                <w:rFonts w:hint="eastAsia" w:hAnsi="宋体" w:cs="宋体"/>
                <w:color w:val="auto"/>
                <w:kern w:val="0"/>
                <w:sz w:val="21"/>
                <w:szCs w:val="21"/>
                <w:highlight w:val="none"/>
                <w:u w:val="single"/>
              </w:rPr>
              <w:t xml:space="preserve">                 </w:t>
            </w:r>
          </w:p>
          <w:p w14:paraId="0F4FF6FA">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电话：</w:t>
            </w:r>
            <w:r>
              <w:rPr>
                <w:rFonts w:hint="eastAsia" w:hAnsi="宋体" w:cs="宋体"/>
                <w:color w:val="auto"/>
                <w:kern w:val="0"/>
                <w:sz w:val="21"/>
                <w:szCs w:val="21"/>
                <w:highlight w:val="none"/>
                <w:u w:val="single"/>
              </w:rPr>
              <w:t xml:space="preserve">                       </w:t>
            </w:r>
          </w:p>
          <w:p w14:paraId="7B1710D0">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传真：</w:t>
            </w:r>
            <w:r>
              <w:rPr>
                <w:rFonts w:hint="eastAsia" w:hAnsi="宋体" w:cs="宋体"/>
                <w:color w:val="auto"/>
                <w:kern w:val="0"/>
                <w:sz w:val="21"/>
                <w:szCs w:val="21"/>
                <w:highlight w:val="none"/>
                <w:u w:val="single"/>
              </w:rPr>
              <w:t xml:space="preserve">                       </w:t>
            </w:r>
          </w:p>
          <w:p w14:paraId="432A9AEB">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电子信箱：</w:t>
            </w:r>
            <w:r>
              <w:rPr>
                <w:rFonts w:hint="eastAsia" w:hAnsi="宋体" w:cs="宋体"/>
                <w:color w:val="auto"/>
                <w:kern w:val="0"/>
                <w:sz w:val="21"/>
                <w:szCs w:val="21"/>
                <w:highlight w:val="none"/>
                <w:u w:val="single"/>
              </w:rPr>
              <w:t xml:space="preserve">                   </w:t>
            </w:r>
          </w:p>
          <w:p w14:paraId="5AE46CE5">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开户银行：</w:t>
            </w:r>
            <w:r>
              <w:rPr>
                <w:rFonts w:hint="eastAsia" w:hAnsi="宋体" w:cs="宋体"/>
                <w:color w:val="auto"/>
                <w:kern w:val="0"/>
                <w:sz w:val="21"/>
                <w:szCs w:val="21"/>
                <w:highlight w:val="none"/>
                <w:u w:val="single"/>
              </w:rPr>
              <w:t xml:space="preserve">                   </w:t>
            </w:r>
          </w:p>
          <w:p w14:paraId="7590267D">
            <w:pPr>
              <w:pStyle w:val="40"/>
              <w:framePr w:hSpace="0" w:wrap="auto" w:vAnchor="margin" w:hAnchor="text" w:yAlign="inline"/>
              <w:spacing w:line="440" w:lineRule="exact"/>
              <w:rPr>
                <w:rFonts w:hAnsi="宋体" w:cs="宋体"/>
                <w:color w:val="auto"/>
                <w:sz w:val="21"/>
                <w:szCs w:val="21"/>
                <w:highlight w:val="none"/>
              </w:rPr>
            </w:pPr>
            <w:r>
              <w:rPr>
                <w:rFonts w:hint="eastAsia" w:hAnsi="宋体" w:cs="宋体"/>
                <w:color w:val="auto"/>
                <w:sz w:val="21"/>
                <w:szCs w:val="21"/>
                <w:highlight w:val="none"/>
              </w:rPr>
              <w:t>账号：</w:t>
            </w:r>
            <w:r>
              <w:rPr>
                <w:rFonts w:hint="eastAsia" w:hAnsi="宋体" w:cs="宋体"/>
                <w:color w:val="auto"/>
                <w:sz w:val="21"/>
                <w:szCs w:val="21"/>
                <w:highlight w:val="none"/>
                <w:u w:val="single"/>
              </w:rPr>
              <w:t xml:space="preserve">                       </w:t>
            </w:r>
          </w:p>
        </w:tc>
      </w:tr>
    </w:tbl>
    <w:p w14:paraId="1B25D4BD">
      <w:pPr>
        <w:spacing w:line="440" w:lineRule="exact"/>
        <w:rPr>
          <w:color w:val="auto"/>
          <w:highlight w:val="none"/>
        </w:rPr>
        <w:sectPr>
          <w:footerReference r:id="rId7" w:type="default"/>
          <w:pgSz w:w="11906" w:h="16838"/>
          <w:pgMar w:top="1440" w:right="1800" w:bottom="1440" w:left="1800" w:header="720" w:footer="850" w:gutter="0"/>
          <w:cols w:space="720" w:num="1"/>
          <w:docGrid w:linePitch="326" w:charSpace="0"/>
        </w:sectPr>
      </w:pPr>
    </w:p>
    <w:p w14:paraId="1346A083">
      <w:pPr>
        <w:pStyle w:val="38"/>
        <w:keepNext w:val="0"/>
        <w:keepLines w:val="0"/>
        <w:widowControl/>
        <w:tabs>
          <w:tab w:val="left" w:pos="220"/>
        </w:tabs>
        <w:adjustRightInd w:val="0"/>
        <w:snapToGrid w:val="0"/>
        <w:spacing w:beforeLines="50" w:afterLines="50" w:line="440" w:lineRule="exact"/>
        <w:ind w:right="250" w:rightChars="119" w:hanging="15"/>
        <w:jc w:val="center"/>
        <w:outlineLvl w:val="1"/>
        <w:rPr>
          <w:rFonts w:cs="宋体"/>
          <w:color w:val="auto"/>
          <w:sz w:val="32"/>
          <w:szCs w:val="32"/>
          <w:highlight w:val="none"/>
        </w:rPr>
      </w:pPr>
      <w:bookmarkStart w:id="850" w:name="_Toc54862176"/>
      <w:bookmarkStart w:id="851" w:name="_Toc17874"/>
      <w:r>
        <w:rPr>
          <w:rFonts w:hint="eastAsia" w:cs="宋体"/>
          <w:color w:val="auto"/>
          <w:sz w:val="32"/>
          <w:szCs w:val="32"/>
          <w:highlight w:val="none"/>
        </w:rPr>
        <w:t>第二部分 通用合同条件</w:t>
      </w:r>
      <w:bookmarkEnd w:id="850"/>
      <w:bookmarkEnd w:id="851"/>
    </w:p>
    <w:p w14:paraId="19600022">
      <w:pPr>
        <w:pStyle w:val="41"/>
        <w:widowControl/>
        <w:tabs>
          <w:tab w:val="left" w:pos="220"/>
        </w:tabs>
        <w:adjustRightInd w:val="0"/>
        <w:snapToGrid w:val="0"/>
        <w:spacing w:line="440" w:lineRule="exact"/>
        <w:ind w:left="-17" w:right="250" w:rightChars="119" w:firstLine="420" w:firstLineChars="200"/>
        <w:jc w:val="left"/>
        <w:rPr>
          <w:b w:val="0"/>
          <w:color w:val="auto"/>
          <w:highlight w:val="none"/>
        </w:rPr>
      </w:pPr>
      <w:bookmarkStart w:id="852" w:name="_Toc3281"/>
      <w:bookmarkStart w:id="853" w:name="_Ref509040826"/>
      <w:bookmarkStart w:id="854" w:name="_Ref508893699"/>
      <w:bookmarkStart w:id="855" w:name="_Ref509040831"/>
      <w:bookmarkStart w:id="856" w:name="_Toc54862177"/>
      <w:r>
        <w:rPr>
          <w:rFonts w:hint="eastAsia" w:ascii="宋体" w:hAnsi="宋体" w:eastAsia="宋体" w:cs="宋体"/>
          <w:b w:val="0"/>
          <w:color w:val="auto"/>
          <w:sz w:val="21"/>
          <w:szCs w:val="21"/>
          <w:highlight w:val="none"/>
        </w:rPr>
        <w:t>使用住房和城乡建设部、市场监管总局制定的《建设项目工程总承包合同（示范文本）》（GF-2020-0216）第二部分通用合同条件。（因办理施工许可证时需要通用条款，请签订施工合同时，一并打印出来。）</w:t>
      </w:r>
      <w:bookmarkEnd w:id="852"/>
    </w:p>
    <w:bookmarkEnd w:id="853"/>
    <w:bookmarkEnd w:id="854"/>
    <w:bookmarkEnd w:id="855"/>
    <w:bookmarkEnd w:id="856"/>
    <w:p w14:paraId="714FD7D0">
      <w:pPr>
        <w:pStyle w:val="38"/>
        <w:keepNext w:val="0"/>
        <w:keepLines w:val="0"/>
        <w:widowControl/>
        <w:tabs>
          <w:tab w:val="left" w:pos="220"/>
        </w:tabs>
        <w:adjustRightInd w:val="0"/>
        <w:snapToGrid w:val="0"/>
        <w:spacing w:beforeLines="50" w:afterLines="50" w:line="440" w:lineRule="exact"/>
        <w:ind w:right="250" w:rightChars="119" w:hanging="15"/>
        <w:jc w:val="center"/>
        <w:outlineLvl w:val="1"/>
        <w:rPr>
          <w:rFonts w:cs="宋体"/>
          <w:color w:val="auto"/>
          <w:sz w:val="32"/>
          <w:szCs w:val="32"/>
          <w:highlight w:val="none"/>
        </w:rPr>
      </w:pPr>
      <w:bookmarkStart w:id="857" w:name="_Toc54862331"/>
      <w:bookmarkStart w:id="858" w:name="_Toc12041"/>
      <w:r>
        <w:rPr>
          <w:rFonts w:hint="eastAsia" w:cs="宋体"/>
          <w:color w:val="auto"/>
          <w:sz w:val="32"/>
          <w:szCs w:val="32"/>
          <w:highlight w:val="none"/>
        </w:rPr>
        <w:t>第三部分 专用合同条件</w:t>
      </w:r>
      <w:bookmarkEnd w:id="857"/>
      <w:bookmarkEnd w:id="858"/>
    </w:p>
    <w:p w14:paraId="1A922C37">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59" w:name="_Toc18356"/>
      <w:bookmarkStart w:id="860" w:name="_Toc54862332"/>
      <w:r>
        <w:rPr>
          <w:rFonts w:hint="eastAsia" w:cs="宋体"/>
          <w:bCs w:val="0"/>
          <w:color w:val="auto"/>
          <w:sz w:val="21"/>
          <w:szCs w:val="21"/>
          <w:highlight w:val="none"/>
        </w:rPr>
        <w:t>第1条 一般约定</w:t>
      </w:r>
      <w:bookmarkEnd w:id="859"/>
      <w:bookmarkEnd w:id="860"/>
    </w:p>
    <w:p w14:paraId="6D550ED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 词语定义和解释</w:t>
      </w:r>
    </w:p>
    <w:p w14:paraId="3BDF922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1.1.1 合同</w:t>
      </w:r>
    </w:p>
    <w:p w14:paraId="697C605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1.1.1.10 其他合同文件：</w:t>
      </w:r>
      <w:r>
        <w:rPr>
          <w:rFonts w:hint="eastAsia" w:ascii="宋体" w:hAnsi="宋体" w:cs="宋体"/>
          <w:color w:val="auto"/>
          <w:szCs w:val="21"/>
          <w:highlight w:val="none"/>
          <w:u w:val="single"/>
        </w:rPr>
        <w:t xml:space="preserve"> 本项目招标文件、在合同订立及履行过程中形成的与合同有关的文件均构成合同文件组成部分。</w:t>
      </w:r>
    </w:p>
    <w:p w14:paraId="15C9DD5A">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1.1.3 工程和设备</w:t>
      </w:r>
    </w:p>
    <w:p w14:paraId="599CD18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1.1.3.5 单位/区段工程的范围：</w:t>
      </w:r>
      <w:r>
        <w:rPr>
          <w:rFonts w:hint="eastAsia" w:ascii="宋体" w:hAnsi="宋体" w:cs="宋体"/>
          <w:color w:val="auto"/>
          <w:szCs w:val="21"/>
          <w:highlight w:val="none"/>
          <w:u w:val="single"/>
        </w:rPr>
        <w:t>执行通用合同条件</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5853A6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1.1.3.9 作为施工场所组成部分的其他场所包括：</w:t>
      </w:r>
      <w:r>
        <w:rPr>
          <w:rFonts w:hint="eastAsia" w:ascii="宋体" w:hAnsi="宋体" w:cs="宋体"/>
          <w:color w:val="auto"/>
          <w:szCs w:val="21"/>
          <w:highlight w:val="none"/>
          <w:u w:val="single"/>
        </w:rPr>
        <w:t>见施工图纸并现场确定</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2E1057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1.1.3.10 永久占地包括：</w:t>
      </w:r>
      <w:r>
        <w:rPr>
          <w:rFonts w:hint="eastAsia" w:cs="宋体"/>
          <w:color w:val="auto"/>
          <w:szCs w:val="21"/>
          <w:highlight w:val="none"/>
          <w:u w:val="single"/>
        </w:rPr>
        <w:t xml:space="preserve">现场确定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8990F6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1.1.3.11 临时占地包括：</w:t>
      </w:r>
      <w:r>
        <w:rPr>
          <w:rFonts w:hint="eastAsia" w:ascii="宋体" w:hAnsi="宋体" w:cs="宋体"/>
          <w:color w:val="auto"/>
          <w:szCs w:val="21"/>
          <w:highlight w:val="none"/>
          <w:u w:val="single"/>
        </w:rPr>
        <w:t>现场确定</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5E4BD8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1.1.4.1完工验收：又称竣工验收，指按照国家电网有关规定完成项目并网前验收；按照《光伏发电工程验收规范》GB/T50796，完成项目的单位工程、工程启动、工程试运移交生产和工程竣工验收。</w:t>
      </w:r>
    </w:p>
    <w:p w14:paraId="17F28EA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"1.1.4.9" </w:instrText>
      </w:r>
      <w:r>
        <w:rPr>
          <w:color w:val="auto"/>
          <w:highlight w:val="none"/>
        </w:rPr>
        <w:fldChar w:fldCharType="separate"/>
      </w:r>
      <w:r>
        <w:rPr>
          <w:rFonts w:hint="eastAsia" w:ascii="宋体" w:hAnsi="宋体" w:cs="宋体"/>
          <w:color w:val="auto"/>
          <w:szCs w:val="21"/>
          <w:highlight w:val="none"/>
        </w:rPr>
        <w:t>1.1.4.2</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移交验收：又称接收验收，承包人完成本合同规定的所有项目，把本项目移交给发包人前的验收，由发包人组织、相关单位参加，具体单位在移交验收时由发包人确定。</w:t>
      </w:r>
    </w:p>
    <w:p w14:paraId="5FB4A64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"1.1.4.10" </w:instrText>
      </w:r>
      <w:r>
        <w:rPr>
          <w:color w:val="auto"/>
          <w:highlight w:val="none"/>
        </w:rPr>
        <w:fldChar w:fldCharType="separate"/>
      </w:r>
      <w:r>
        <w:rPr>
          <w:rFonts w:hint="eastAsia" w:ascii="宋体" w:hAnsi="宋体" w:cs="宋体"/>
          <w:color w:val="auto"/>
          <w:szCs w:val="21"/>
          <w:highlight w:val="none"/>
        </w:rPr>
        <w:t>1.1.4.3</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竣工后验收：又称履约验收，指竣工验收后，工程的缺陷责任期期满之前，对本工程是否达到相关指标的验收， 确定承包人是否完全履约的验收。</w:t>
      </w:r>
    </w:p>
    <w:p w14:paraId="4379F732">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1.2 语言文字</w:t>
      </w:r>
    </w:p>
    <w:p w14:paraId="5661989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本合同除使用汉语外，还使用</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语言。</w:t>
      </w:r>
    </w:p>
    <w:p w14:paraId="50FF25A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1.3 法律</w:t>
      </w:r>
    </w:p>
    <w:p w14:paraId="2427E56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适用于合同的其他规范性文件：</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4200E7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1.3.1 执行现行包括国家、省和市现行的施工规范、技术规范、质量标准及 有关操作规程。</w:t>
      </w:r>
    </w:p>
    <w:p w14:paraId="5DF9C0E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1.3.2 发包人不承担由于承包人违反或不遵守上述法律而导致的违约金和责任。</w:t>
      </w:r>
    </w:p>
    <w:p w14:paraId="70B69A9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1.3.3 发包人有权按照合同和适用法律规定的标准规范，对承包人的设计、实施提出安全、质量、环境保护和职业健康方面的建议、修改和变更。</w:t>
      </w:r>
    </w:p>
    <w:p w14:paraId="3261AAD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1.4 标准和规范</w:t>
      </w:r>
    </w:p>
    <w:p w14:paraId="51BCC64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1.4.1 适用于本合同的标准、规范（名称）包括：</w:t>
      </w:r>
      <w:r>
        <w:rPr>
          <w:rFonts w:hint="eastAsia" w:ascii="宋体" w:hAnsi="宋体" w:cs="宋体"/>
          <w:color w:val="auto"/>
          <w:szCs w:val="21"/>
          <w:highlight w:val="none"/>
          <w:u w:val="single"/>
        </w:rPr>
        <w:t xml:space="preserve"> 中华人民共和国住房和城乡建设部等部门及省、市发布的有关文件 </w:t>
      </w:r>
      <w:r>
        <w:rPr>
          <w:rFonts w:hint="eastAsia" w:ascii="宋体" w:hAnsi="宋体" w:cs="宋体"/>
          <w:color w:val="auto"/>
          <w:szCs w:val="21"/>
          <w:highlight w:val="none"/>
        </w:rPr>
        <w:t>。</w:t>
      </w:r>
    </w:p>
    <w:p w14:paraId="2128889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1.4.2 发包人提供的国外标准、规范的名称：</w:t>
      </w:r>
      <w:r>
        <w:rPr>
          <w:rFonts w:hint="eastAsia" w:ascii="宋体" w:hAnsi="宋体" w:cs="宋体"/>
          <w:color w:val="auto"/>
          <w:szCs w:val="21"/>
          <w:highlight w:val="none"/>
          <w:u w:val="single"/>
        </w:rPr>
        <w:t>承包人自备国内现行适用的标准、规范</w:t>
      </w:r>
      <w:r>
        <w:rPr>
          <w:rFonts w:hint="eastAsia" w:cs="宋体"/>
          <w:color w:val="auto"/>
          <w:szCs w:val="21"/>
          <w:highlight w:val="none"/>
          <w:u w:val="single"/>
        </w:rPr>
        <w:t xml:space="preserve"> </w:t>
      </w:r>
      <w:r>
        <w:rPr>
          <w:rFonts w:hint="eastAsia" w:ascii="宋体" w:hAnsi="宋体" w:cs="宋体"/>
          <w:color w:val="auto"/>
          <w:szCs w:val="21"/>
          <w:highlight w:val="none"/>
        </w:rPr>
        <w:t>；发包人提供的国外标准、规范的份数：</w:t>
      </w:r>
      <w:r>
        <w:rPr>
          <w:rFonts w:hint="eastAsia" w:ascii="宋体" w:hAnsi="宋体" w:cs="宋体"/>
          <w:color w:val="auto"/>
          <w:szCs w:val="21"/>
          <w:highlight w:val="none"/>
          <w:u w:val="single"/>
        </w:rPr>
        <w:t xml:space="preserve">   </w:t>
      </w:r>
      <w:r>
        <w:rPr>
          <w:rFonts w:hint="eastAsia" w:cs="宋体"/>
          <w:color w:val="auto"/>
          <w:szCs w:val="21"/>
          <w:highlight w:val="none"/>
          <w:u w:val="single"/>
        </w:rPr>
        <w:t>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；发包人提供的国外标准、规范的时间：</w:t>
      </w:r>
      <w:r>
        <w:rPr>
          <w:rFonts w:hint="eastAsia" w:ascii="宋体" w:hAnsi="宋体" w:cs="宋体"/>
          <w:color w:val="auto"/>
          <w:szCs w:val="21"/>
          <w:highlight w:val="none"/>
          <w:u w:val="single"/>
        </w:rPr>
        <w:t xml:space="preserve">   </w:t>
      </w:r>
      <w:r>
        <w:rPr>
          <w:rFonts w:hint="eastAsia" w:cs="宋体"/>
          <w:color w:val="auto"/>
          <w:szCs w:val="21"/>
          <w:highlight w:val="none"/>
          <w:u w:val="single"/>
        </w:rPr>
        <w:t>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C81D93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1.4.3 没有成文规范、标准规定的约定：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无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5B53F9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1.4.4 发包人对于工程的技术标准、功能要求：</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现行规范执行</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08ACEAE">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1.5 合同文件的优先顺序</w:t>
      </w:r>
    </w:p>
    <w:p w14:paraId="568E3CE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合同文件组成及优先顺序为：</w:t>
      </w:r>
      <w:r>
        <w:rPr>
          <w:rFonts w:hint="eastAsia" w:ascii="宋体" w:hAnsi="宋体" w:cs="宋体"/>
          <w:color w:val="auto"/>
          <w:szCs w:val="21"/>
          <w:highlight w:val="none"/>
          <w:u w:val="single"/>
        </w:rPr>
        <w:t xml:space="preserve"> （1）合同协议书；（2）中标通知书；（3）投标函及其附录；（4）招标文件；（5）专用合同条款及其附件；（6）通用合同</w:t>
      </w:r>
      <w:r>
        <w:rPr>
          <w:rFonts w:hint="eastAsia" w:cs="宋体"/>
          <w:color w:val="auto"/>
          <w:szCs w:val="21"/>
          <w:highlight w:val="none"/>
          <w:u w:val="single"/>
        </w:rPr>
        <w:t>条件</w:t>
      </w:r>
      <w:r>
        <w:rPr>
          <w:rFonts w:hint="eastAsia" w:ascii="宋体" w:hAnsi="宋体" w:cs="宋体"/>
          <w:color w:val="auto"/>
          <w:szCs w:val="21"/>
          <w:highlight w:val="none"/>
          <w:u w:val="single"/>
        </w:rPr>
        <w:t>；（7）技术标准和要求；（8）图纸；（9）预算书；（10）其他合同文件</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707BE5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w:t>
      </w:r>
    </w:p>
    <w:p w14:paraId="6E263AC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在合同订立及履行过程中形成的与合同有关的文件均构成合同文件组成部分，并根据其性质确定优先解释顺序。</w:t>
      </w:r>
    </w:p>
    <w:p w14:paraId="030B5C9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1.6 文件的提供和照管</w:t>
      </w:r>
    </w:p>
    <w:p w14:paraId="65B3A3FD">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1.6.1 发包人文件的提供</w:t>
      </w:r>
    </w:p>
    <w:p w14:paraId="608C39F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发包人文件的提供期限、名称、数量和形式：</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4999A1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pacing w:val="5"/>
          <w:szCs w:val="21"/>
          <w:highlight w:val="none"/>
        </w:rPr>
        <w:t>1.6.2本项目由承包人负责按发包</w:t>
      </w:r>
      <w:r>
        <w:rPr>
          <w:rFonts w:hint="eastAsia" w:ascii="宋体" w:hAnsi="宋体" w:cs="宋体"/>
          <w:color w:val="auto"/>
          <w:spacing w:val="4"/>
          <w:szCs w:val="21"/>
          <w:highlight w:val="none"/>
        </w:rPr>
        <w:t>人同意的初步设计方案进行初步设计</w:t>
      </w:r>
      <w:r>
        <w:rPr>
          <w:rFonts w:hint="eastAsia" w:ascii="宋体" w:hAnsi="宋体" w:cs="宋体"/>
          <w:color w:val="auto"/>
          <w:spacing w:val="-6"/>
          <w:szCs w:val="21"/>
          <w:highlight w:val="none"/>
        </w:rPr>
        <w:t>优化和施工图设计。承包人完成施工图设计，经发包人或发包</w:t>
      </w:r>
      <w:r>
        <w:rPr>
          <w:rFonts w:hint="eastAsia" w:ascii="宋体" w:hAnsi="宋体" w:cs="宋体"/>
          <w:color w:val="auto"/>
          <w:spacing w:val="-7"/>
          <w:szCs w:val="21"/>
          <w:highlight w:val="none"/>
        </w:rPr>
        <w:t>人委托的具备相应</w:t>
      </w:r>
      <w:r>
        <w:rPr>
          <w:rFonts w:hint="eastAsia" w:ascii="宋体" w:hAnsi="宋体" w:cs="宋体"/>
          <w:color w:val="auto"/>
          <w:spacing w:val="-2"/>
          <w:szCs w:val="21"/>
          <w:highlight w:val="none"/>
        </w:rPr>
        <w:t>资质的第三方中介机构进行合理性评审后（该合理性评审不减轻原设计责任</w:t>
      </w:r>
      <w:r>
        <w:rPr>
          <w:rFonts w:hint="eastAsia" w:ascii="宋体" w:hAnsi="宋体" w:cs="宋体"/>
          <w:color w:val="auto"/>
          <w:spacing w:val="1"/>
          <w:szCs w:val="21"/>
          <w:highlight w:val="none"/>
        </w:rPr>
        <w:t>），</w:t>
      </w:r>
      <w:r>
        <w:rPr>
          <w:rFonts w:hint="eastAsia" w:ascii="宋体" w:hAnsi="宋体" w:cs="宋体"/>
          <w:color w:val="auto"/>
          <w:spacing w:val="-6"/>
          <w:szCs w:val="21"/>
          <w:highlight w:val="none"/>
        </w:rPr>
        <w:t>方可进行施工图审查工作，并按计划提供经审查后修改完善的</w:t>
      </w:r>
      <w:r>
        <w:rPr>
          <w:rFonts w:hint="eastAsia" w:ascii="宋体" w:hAnsi="宋体" w:cs="宋体"/>
          <w:color w:val="auto"/>
          <w:spacing w:val="-7"/>
          <w:szCs w:val="21"/>
          <w:highlight w:val="none"/>
        </w:rPr>
        <w:t>施工图纸。承包人</w:t>
      </w:r>
      <w:r>
        <w:rPr>
          <w:rFonts w:hint="eastAsia" w:ascii="宋体" w:hAnsi="宋体" w:cs="宋体"/>
          <w:color w:val="auto"/>
          <w:spacing w:val="-3"/>
          <w:szCs w:val="21"/>
          <w:highlight w:val="none"/>
        </w:rPr>
        <w:t>应对其未能按时提交施工图纸而造成的工期延误负责。承包人的设计范围为本项</w:t>
      </w:r>
      <w:r>
        <w:rPr>
          <w:rFonts w:hint="eastAsia" w:ascii="宋体" w:hAnsi="宋体" w:cs="宋体"/>
          <w:color w:val="auto"/>
          <w:spacing w:val="-5"/>
          <w:szCs w:val="21"/>
          <w:highlight w:val="none"/>
        </w:rPr>
        <w:t>目招标范围内的所有设计（完成工程竣工验收所必须的所有设计</w:t>
      </w:r>
      <w:r>
        <w:rPr>
          <w:rFonts w:hint="eastAsia" w:ascii="宋体" w:hAnsi="宋体" w:cs="宋体"/>
          <w:color w:val="auto"/>
          <w:spacing w:val="-8"/>
          <w:szCs w:val="21"/>
          <w:highlight w:val="none"/>
        </w:rPr>
        <w:t>）</w:t>
      </w:r>
      <w:r>
        <w:rPr>
          <w:rFonts w:hint="eastAsia" w:ascii="宋体" w:hAnsi="宋体" w:cs="宋体"/>
          <w:color w:val="auto"/>
          <w:spacing w:val="-43"/>
          <w:szCs w:val="21"/>
          <w:highlight w:val="none"/>
        </w:rPr>
        <w:t xml:space="preserve"> </w:t>
      </w:r>
      <w:r>
        <w:rPr>
          <w:rFonts w:hint="eastAsia" w:ascii="宋体" w:hAnsi="宋体" w:cs="宋体"/>
          <w:color w:val="auto"/>
          <w:spacing w:val="-8"/>
          <w:szCs w:val="21"/>
          <w:highlight w:val="none"/>
        </w:rPr>
        <w:t>，</w:t>
      </w:r>
      <w:r>
        <w:rPr>
          <w:rFonts w:hint="eastAsia" w:ascii="宋体" w:hAnsi="宋体" w:cs="宋体"/>
          <w:color w:val="auto"/>
          <w:spacing w:val="-5"/>
          <w:szCs w:val="21"/>
          <w:highlight w:val="none"/>
        </w:rPr>
        <w:t>包括但不限</w:t>
      </w:r>
      <w:r>
        <w:rPr>
          <w:rFonts w:hint="eastAsia" w:ascii="宋体" w:hAnsi="宋体" w:cs="宋体"/>
          <w:color w:val="auto"/>
          <w:spacing w:val="-1"/>
          <w:szCs w:val="21"/>
          <w:highlight w:val="none"/>
        </w:rPr>
        <w:t>于工程勘察、初步设计、电力接入设计、施</w:t>
      </w:r>
      <w:r>
        <w:rPr>
          <w:rFonts w:hint="eastAsia" w:ascii="宋体" w:hAnsi="宋体" w:cs="宋体"/>
          <w:color w:val="auto"/>
          <w:spacing w:val="-2"/>
          <w:szCs w:val="21"/>
          <w:highlight w:val="none"/>
        </w:rPr>
        <w:t>工图设计、竣工图编制等。</w:t>
      </w:r>
    </w:p>
    <w:p w14:paraId="2135F853">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1.6.2 承包人文件的提供</w:t>
      </w:r>
    </w:p>
    <w:p w14:paraId="6DEBFFD6">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u w:val="single"/>
        </w:rPr>
      </w:pPr>
      <w:r>
        <w:rPr>
          <w:rFonts w:hint="eastAsia" w:ascii="宋体" w:hAnsi="宋体" w:cs="宋体"/>
          <w:color w:val="auto"/>
          <w:spacing w:val="5"/>
          <w:szCs w:val="21"/>
          <w:highlight w:val="none"/>
        </w:rPr>
        <w:t>承包人文件的内容、提供期限、名称、数量和形式：</w:t>
      </w:r>
      <w:r>
        <w:rPr>
          <w:rFonts w:hint="eastAsia" w:ascii="宋体" w:hAnsi="宋体" w:cs="宋体"/>
          <w:color w:val="auto"/>
          <w:spacing w:val="5"/>
          <w:szCs w:val="21"/>
          <w:highlight w:val="none"/>
          <w:u w:val="single"/>
        </w:rPr>
        <w:t>承包人免费向发包人提供由承包人设计的施工图纸和其它技术资料5份（不包含用报规报建的图纸份数，由承包人另行按管理部门要求份数提供） ，并提供装有全部设计资料的电子光盘两套。</w:t>
      </w:r>
    </w:p>
    <w:p w14:paraId="04E4C297">
      <w:pPr>
        <w:widowControl/>
        <w:tabs>
          <w:tab w:val="left" w:pos="220"/>
        </w:tabs>
        <w:adjustRightInd w:val="0"/>
        <w:snapToGrid w:val="0"/>
        <w:spacing w:line="440" w:lineRule="exact"/>
        <w:ind w:right="250" w:rightChars="119" w:hanging="15"/>
        <w:jc w:val="left"/>
        <w:outlineLvl w:val="4"/>
        <w:rPr>
          <w:rFonts w:ascii="宋体" w:hAnsi="宋体" w:cs="宋体"/>
          <w:color w:val="auto"/>
          <w:spacing w:val="5"/>
          <w:szCs w:val="21"/>
          <w:highlight w:val="none"/>
        </w:rPr>
      </w:pPr>
      <w:r>
        <w:rPr>
          <w:rFonts w:hint="eastAsia" w:ascii="宋体" w:hAnsi="宋体" w:cs="宋体"/>
          <w:color w:val="auto"/>
          <w:spacing w:val="5"/>
          <w:szCs w:val="21"/>
          <w:highlight w:val="none"/>
        </w:rPr>
        <w:t>1.6.3承包人提供的文件补充以下内容：</w:t>
      </w:r>
    </w:p>
    <w:p w14:paraId="70CC6CC3">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color w:val="auto"/>
          <w:highlight w:val="none"/>
        </w:rPr>
        <w:fldChar w:fldCharType="begin"/>
      </w:r>
      <w:r>
        <w:rPr>
          <w:color w:val="auto"/>
          <w:highlight w:val="none"/>
        </w:rPr>
        <w:instrText xml:space="preserve"> HYPERLINK "1.6.2.1" </w:instrText>
      </w:r>
      <w:r>
        <w:rPr>
          <w:color w:val="auto"/>
          <w:highlight w:val="none"/>
        </w:rPr>
        <w:fldChar w:fldCharType="separate"/>
      </w:r>
      <w:r>
        <w:rPr>
          <w:rFonts w:hint="eastAsia" w:ascii="宋体" w:hAnsi="宋体" w:cs="宋体"/>
          <w:color w:val="auto"/>
          <w:spacing w:val="5"/>
          <w:szCs w:val="21"/>
          <w:highlight w:val="none"/>
        </w:rPr>
        <w:t>1.6.3.1</w:t>
      </w:r>
      <w:r>
        <w:rPr>
          <w:rFonts w:hint="eastAsia" w:ascii="宋体" w:hAnsi="宋体" w:cs="宋体"/>
          <w:color w:val="auto"/>
          <w:spacing w:val="5"/>
          <w:szCs w:val="21"/>
          <w:highlight w:val="none"/>
        </w:rPr>
        <w:fldChar w:fldCharType="end"/>
      </w:r>
      <w:r>
        <w:rPr>
          <w:rFonts w:hint="eastAsia" w:ascii="宋体" w:hAnsi="宋体" w:cs="宋体"/>
          <w:color w:val="auto"/>
          <w:spacing w:val="5"/>
          <w:szCs w:val="21"/>
          <w:highlight w:val="none"/>
        </w:rPr>
        <w:t xml:space="preserve"> 承包人应自费购买实施本工程所需要的所有标准或规范，并在工地现场保存完整的一套，以备发包人和监理人查阅。</w:t>
      </w:r>
    </w:p>
    <w:p w14:paraId="28946FC8">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color w:val="auto"/>
          <w:highlight w:val="none"/>
        </w:rPr>
        <w:fldChar w:fldCharType="begin"/>
      </w:r>
      <w:r>
        <w:rPr>
          <w:color w:val="auto"/>
          <w:highlight w:val="none"/>
        </w:rPr>
        <w:instrText xml:space="preserve"> HYPERLINK "1.6.2.2" </w:instrText>
      </w:r>
      <w:r>
        <w:rPr>
          <w:color w:val="auto"/>
          <w:highlight w:val="none"/>
        </w:rPr>
        <w:fldChar w:fldCharType="separate"/>
      </w:r>
      <w:r>
        <w:rPr>
          <w:rFonts w:hint="eastAsia" w:ascii="宋体" w:hAnsi="宋体" w:cs="宋体"/>
          <w:color w:val="auto"/>
          <w:spacing w:val="5"/>
          <w:szCs w:val="21"/>
          <w:highlight w:val="none"/>
        </w:rPr>
        <w:t>1.6.3.2</w:t>
      </w:r>
      <w:r>
        <w:rPr>
          <w:rFonts w:hint="eastAsia" w:ascii="宋体" w:hAnsi="宋体" w:cs="宋体"/>
          <w:color w:val="auto"/>
          <w:spacing w:val="5"/>
          <w:szCs w:val="21"/>
          <w:highlight w:val="none"/>
        </w:rPr>
        <w:fldChar w:fldCharType="end"/>
      </w:r>
      <w:r>
        <w:rPr>
          <w:rFonts w:hint="eastAsia" w:ascii="宋体" w:hAnsi="宋体" w:cs="宋体"/>
          <w:color w:val="auto"/>
          <w:spacing w:val="5"/>
          <w:szCs w:val="21"/>
          <w:highlight w:val="none"/>
        </w:rPr>
        <w:t xml:space="preserve"> 如果某工程、工艺或工作国内没有相应标准或规范，承包人应在该工程、工艺或工作开始10天前以书面形式报告监理人，并按监理人的指示执行。</w:t>
      </w:r>
    </w:p>
    <w:p w14:paraId="6473E3BB">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color w:val="auto"/>
          <w:highlight w:val="none"/>
        </w:rPr>
        <w:fldChar w:fldCharType="begin"/>
      </w:r>
      <w:r>
        <w:rPr>
          <w:color w:val="auto"/>
          <w:highlight w:val="none"/>
        </w:rPr>
        <w:instrText xml:space="preserve"> HYPERLINK "1.6.2.3" </w:instrText>
      </w:r>
      <w:r>
        <w:rPr>
          <w:color w:val="auto"/>
          <w:highlight w:val="none"/>
        </w:rPr>
        <w:fldChar w:fldCharType="separate"/>
      </w:r>
      <w:r>
        <w:rPr>
          <w:rFonts w:hint="eastAsia" w:ascii="宋体" w:hAnsi="宋体" w:cs="宋体"/>
          <w:color w:val="auto"/>
          <w:spacing w:val="5"/>
          <w:szCs w:val="21"/>
          <w:highlight w:val="none"/>
        </w:rPr>
        <w:t>1.6.3.3</w:t>
      </w:r>
      <w:r>
        <w:rPr>
          <w:rFonts w:hint="eastAsia" w:ascii="宋体" w:hAnsi="宋体" w:cs="宋体"/>
          <w:color w:val="auto"/>
          <w:spacing w:val="5"/>
          <w:szCs w:val="21"/>
          <w:highlight w:val="none"/>
        </w:rPr>
        <w:fldChar w:fldCharType="end"/>
      </w:r>
      <w:r>
        <w:rPr>
          <w:rFonts w:hint="eastAsia" w:ascii="宋体" w:hAnsi="宋体" w:cs="宋体"/>
          <w:color w:val="auto"/>
          <w:spacing w:val="5"/>
          <w:szCs w:val="21"/>
          <w:highlight w:val="none"/>
        </w:rPr>
        <w:t xml:space="preserve"> 承包人在本工程服务期内需提供；</w:t>
      </w:r>
    </w:p>
    <w:p w14:paraId="6261EB89">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1、图纸资料（根据审查部门的需要提供）。</w:t>
      </w:r>
    </w:p>
    <w:p w14:paraId="7943BCD4">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2、测绘、勘察资料等。</w:t>
      </w:r>
    </w:p>
    <w:p w14:paraId="1A611115">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3、施工图设计文件。</w:t>
      </w:r>
    </w:p>
    <w:p w14:paraId="02FA27B9">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4、竣工图。</w:t>
      </w:r>
    </w:p>
    <w:p w14:paraId="04AA9046">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5、实施性施工组织设计。</w:t>
      </w:r>
    </w:p>
    <w:p w14:paraId="464F3A99">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6、其他按合同要求应由承包人提供的资料。</w:t>
      </w:r>
    </w:p>
    <w:p w14:paraId="696CE16A">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1.6.3.4 图纸的修改</w:t>
      </w:r>
    </w:p>
    <w:p w14:paraId="73C9F2C3">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补充内容：承包人不能以监理人在双方商定的期限内要求修改图纸为由提出除技术标准变化以外的任何索赔，小范围的设计修改以修改通知单的形式进行修改，大范围的设计修改以设计修改图的形式修改。</w:t>
      </w:r>
    </w:p>
    <w:p w14:paraId="52AFC2C5">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在符合国家有关规范的前提下，关于设计及施工过程中，因非承包人原因导致的设计修改需另行收费的情况及范围：无。</w:t>
      </w:r>
    </w:p>
    <w:p w14:paraId="4CA79061">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1.6.3.5 图纸错误（修改）</w:t>
      </w:r>
    </w:p>
    <w:p w14:paraId="340F6160">
      <w:pPr>
        <w:widowControl/>
        <w:tabs>
          <w:tab w:val="left" w:pos="220"/>
        </w:tabs>
        <w:adjustRightInd w:val="0"/>
        <w:snapToGrid w:val="0"/>
        <w:spacing w:line="440" w:lineRule="exact"/>
        <w:ind w:right="250" w:rightChars="119" w:hanging="15"/>
        <w:jc w:val="left"/>
        <w:rPr>
          <w:rFonts w:ascii="宋体" w:hAnsi="宋体" w:cs="宋体"/>
          <w:color w:val="auto"/>
          <w:spacing w:val="5"/>
          <w:szCs w:val="21"/>
          <w:highlight w:val="none"/>
        </w:rPr>
      </w:pPr>
      <w:r>
        <w:rPr>
          <w:rFonts w:hint="eastAsia" w:ascii="宋体" w:hAnsi="宋体" w:cs="宋体"/>
          <w:color w:val="auto"/>
          <w:spacing w:val="5"/>
          <w:szCs w:val="21"/>
          <w:highlight w:val="none"/>
        </w:rPr>
        <w:t>如承包人发现图纸有错误，应及时自费改正，承担相应修改的费用和工期损失，并及时通知发包人和监理人。</w:t>
      </w:r>
    </w:p>
    <w:p w14:paraId="39D752E8">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1.6.4 文件的照管</w:t>
      </w:r>
    </w:p>
    <w:p w14:paraId="474209F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关于现场文件准备的约定：</w:t>
      </w:r>
      <w:r>
        <w:rPr>
          <w:rFonts w:hint="eastAsia" w:ascii="宋体" w:hAnsi="宋体" w:cs="宋体"/>
          <w:color w:val="auto"/>
          <w:szCs w:val="21"/>
          <w:highlight w:val="none"/>
          <w:u w:val="single"/>
        </w:rPr>
        <w:t xml:space="preserve"> 除专用合同条款另有约定外，承包人应在施工现场另外保存一套完整的图纸和承包人文件，供发包人、监理人及有关人员进行工程检查时使用 </w:t>
      </w:r>
      <w:r>
        <w:rPr>
          <w:rFonts w:hint="eastAsia" w:ascii="宋体" w:hAnsi="宋体" w:cs="宋体"/>
          <w:color w:val="auto"/>
          <w:szCs w:val="21"/>
          <w:highlight w:val="none"/>
        </w:rPr>
        <w:t>。</w:t>
      </w:r>
    </w:p>
    <w:p w14:paraId="145CA6D9">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1.7 联络</w:t>
      </w:r>
    </w:p>
    <w:p w14:paraId="6C3870E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1.7.2 发包人指定的送达方式（包括电子传输方</w:t>
      </w:r>
      <w:r>
        <w:rPr>
          <w:rFonts w:hint="eastAsia" w:cs="宋体"/>
          <w:color w:val="auto"/>
          <w:szCs w:val="21"/>
          <w:highlight w:val="none"/>
        </w:rPr>
        <w:t>式）：</w:t>
      </w:r>
      <w:r>
        <w:rPr>
          <w:rFonts w:hint="eastAsia" w:cs="宋体"/>
          <w:color w:val="auto"/>
          <w:szCs w:val="21"/>
          <w:highlight w:val="none"/>
          <w:u w:val="single"/>
        </w:rPr>
        <w:t xml:space="preserve">        </w:t>
      </w:r>
      <w:r>
        <w:rPr>
          <w:rFonts w:hint="eastAsia" w:ascii="宋体" w:hAnsi="宋体" w:cs="宋体"/>
          <w:color w:val="auto"/>
          <w:szCs w:val="21"/>
          <w:highlight w:val="none"/>
          <w:u w:val="single"/>
        </w:rPr>
        <w:t>书面函件</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77E10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发包人的送达地址：</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项目部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CC86DA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承包人指定的送达方式（包括电子传输方</w:t>
      </w:r>
      <w:r>
        <w:rPr>
          <w:rFonts w:hint="eastAsia" w:cs="宋体"/>
          <w:color w:val="auto"/>
          <w:szCs w:val="21"/>
          <w:highlight w:val="none"/>
        </w:rPr>
        <w:t>式）：</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书面函件   </w:t>
      </w:r>
      <w:r>
        <w:rPr>
          <w:rFonts w:hint="eastAsia" w:cs="宋体"/>
          <w:color w:val="auto"/>
          <w:szCs w:val="21"/>
          <w:highlight w:val="none"/>
          <w:u w:val="single"/>
        </w:rPr>
        <w:t xml:space="preserve">          </w:t>
      </w:r>
      <w:r>
        <w:rPr>
          <w:rFonts w:hint="eastAsia" w:cs="宋体"/>
          <w:color w:val="auto"/>
          <w:szCs w:val="21"/>
          <w:highlight w:val="none"/>
        </w:rPr>
        <w:t>。</w:t>
      </w:r>
    </w:p>
    <w:p w14:paraId="720A420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承包人的送达地址：</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项目部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CCABE90">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1.10 知识产权</w:t>
      </w:r>
    </w:p>
    <w:p w14:paraId="4848553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1.10.1 由发包人（或以发包人名义）编制的《发包人要求》和其他文件的著作权归</w:t>
      </w:r>
      <w:r>
        <w:rPr>
          <w:rFonts w:hint="eastAsia" w:cs="宋体"/>
          <w:color w:val="auto"/>
          <w:szCs w:val="21"/>
          <w:highlight w:val="none"/>
        </w:rPr>
        <w:t>属：</w:t>
      </w:r>
      <w:r>
        <w:rPr>
          <w:rFonts w:hint="eastAsia" w:cs="宋体"/>
          <w:color w:val="auto"/>
          <w:szCs w:val="21"/>
          <w:highlight w:val="none"/>
          <w:u w:val="single"/>
        </w:rPr>
        <w:t>发包人。</w:t>
      </w:r>
    </w:p>
    <w:p w14:paraId="6D1E0EB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1.10.2 由承包人（或以承包人名义）为实施工程所编制的文件、承包人完成的设计工作成果和建造完成的建筑物的知识产权归属：</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C8A6EC6">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1.10.4 承包人在投标文件中采用的专利、专有技术、技术秘密的使用费的承担方</w:t>
      </w:r>
      <w:r>
        <w:rPr>
          <w:rFonts w:hint="eastAsia" w:cs="宋体"/>
          <w:color w:val="auto"/>
          <w:szCs w:val="21"/>
          <w:highlight w:val="none"/>
        </w:rPr>
        <w:t>式：</w:t>
      </w:r>
      <w:r>
        <w:rPr>
          <w:rFonts w:hint="eastAsia" w:cs="宋体"/>
          <w:color w:val="auto"/>
          <w:szCs w:val="21"/>
          <w:highlight w:val="none"/>
          <w:u w:val="single"/>
        </w:rPr>
        <w:t>该费用已包含在签约合同价中。</w:t>
      </w:r>
    </w:p>
    <w:p w14:paraId="20877FC8">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交通运输</w:t>
      </w:r>
    </w:p>
    <w:p w14:paraId="615C79EA">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1.10.1 出入现场的权利</w:t>
      </w:r>
    </w:p>
    <w:p w14:paraId="699908B5">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关于出入现场的权利的约定： 按有关规定办理有关施工场地交通、环卫和施工噪音管理等手续，费用由承包人负责。施工中建筑垃圾需运出施工现场外时，承包人需到城管部门办理相关手续并按城管部门指定地点放置。承包人违反城管、环卫等有关管理的规定，被处以罚款的，由承包人承担。</w:t>
      </w:r>
    </w:p>
    <w:p w14:paraId="4A4FC8AC">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施工前应开设 1-2 个固定施工通道，通道位置由发包人和承包人现场共同确认，确定后不得移动并采取有效硬化措施。不得损坏道路路面路侧石、人行道板、雨水井、雨水篦、绿化带、通缆、燃气管道、供电等公共设施，如因工程需要，确需损坏少量公共设施的，施工方应办理相关手续，在完工后必须恢复原状或按照有关部门核定的价格赔偿。以上均为工程验收内容，若施工方有损毁不及时修复，发包人有权委托其他施工方进行维修，发生的费用从承包人工程款中直接扣除，并在每阶段付款节点顺延三个月支付。施工过程中，应办理渣土运输证件，保持开发区道路清洁，如有抛撒滴漏，应及时清扫。否则发包人对承包人进行处罚。施工方应确保施工安全,若施工过程中出现工伤事故及由此产生的所有经济赔偿由施工方负责,与发包人无关。</w:t>
      </w:r>
    </w:p>
    <w:p w14:paraId="57A828DF">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在本工程施工期间，施工单位使用的运输车辆须满足公安、市容城管、交通管理部门等的规定并按要求依法遵照有关规定办理运输许可证，严禁使用无牌无证车辆进行施工，若因以上原因造成的各种行政罚款等费用，由施工单位自行承担，发包人不具有协调等责任义务。如由此造成影响导致业主声誉受损，发包人将向承包人收取违约金 5000 元/次1.10.3 场内交通关于场外交通和场内交通的边界的约定： 场内交通设施和道路由承包人负责建设，发包人不另支付费用，场内交通边界现场确定。</w:t>
      </w:r>
    </w:p>
    <w:p w14:paraId="4D647124">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关于发包人向承包人免费提供满足工程施工需要的场内道路和交通设施的约定： 承包人自行踏勘，自行解决。</w:t>
      </w:r>
    </w:p>
    <w:p w14:paraId="394631EB">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1.10.4 超大件和超重件的运输</w:t>
      </w:r>
    </w:p>
    <w:p w14:paraId="3318012C">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运输超大件或超重件所需的道路和桥梁临时加固改造费用和其他有关费用由 承包人</w:t>
      </w:r>
    </w:p>
    <w:p w14:paraId="7C8C97DE">
      <w:pPr>
        <w:widowControl/>
        <w:tabs>
          <w:tab w:val="left" w:pos="220"/>
        </w:tabs>
        <w:adjustRightInd w:val="0"/>
        <w:snapToGrid w:val="0"/>
        <w:spacing w:line="440" w:lineRule="exact"/>
        <w:ind w:right="250" w:rightChars="119" w:hanging="15"/>
        <w:jc w:val="left"/>
        <w:outlineLvl w:val="3"/>
        <w:rPr>
          <w:rFonts w:hint="eastAsia" w:ascii="宋体" w:hAnsi="宋体" w:cs="宋体"/>
          <w:color w:val="auto"/>
          <w:szCs w:val="21"/>
          <w:highlight w:val="none"/>
        </w:rPr>
      </w:pPr>
      <w:r>
        <w:rPr>
          <w:rFonts w:hint="eastAsia" w:ascii="宋体" w:hAnsi="宋体" w:cs="宋体"/>
          <w:color w:val="auto"/>
          <w:szCs w:val="21"/>
          <w:highlight w:val="none"/>
        </w:rPr>
        <w:t>承担。</w:t>
      </w:r>
    </w:p>
    <w:p w14:paraId="677DAE0A">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1.11 保密</w:t>
      </w:r>
    </w:p>
    <w:p w14:paraId="360AADE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双方订立的商业保密协议（名称）：</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无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，作为本合同附件。</w:t>
      </w:r>
    </w:p>
    <w:p w14:paraId="2D52B76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双方订立的技术保密协议（名称）：</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无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，作为本合同附件。</w:t>
      </w:r>
    </w:p>
    <w:p w14:paraId="5D2884AB">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1.13 责任限制</w:t>
      </w:r>
    </w:p>
    <w:p w14:paraId="72442AA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承包人对发包人赔偿责任的最高限额为</w:t>
      </w:r>
      <w:r>
        <w:rPr>
          <w:rFonts w:hint="eastAsia" w:ascii="宋体" w:hAnsi="宋体" w:cs="宋体"/>
          <w:color w:val="auto"/>
          <w:szCs w:val="21"/>
          <w:highlight w:val="none"/>
          <w:u w:val="single"/>
        </w:rPr>
        <w:t xml:space="preserve"> </w:t>
      </w:r>
      <w:r>
        <w:rPr>
          <w:rFonts w:hint="eastAsia" w:cs="宋体"/>
          <w:color w:val="auto"/>
          <w:szCs w:val="21"/>
          <w:highlight w:val="none"/>
          <w:u w:val="single"/>
        </w:rPr>
        <w:t>不应超过签约合同价，但对于因欺诈、犯罪、故意、重大过失、人身伤害等不当行为造成的损失，赔偿的责任限度不受最高限额的限制</w:t>
      </w:r>
      <w:r>
        <w:rPr>
          <w:rFonts w:hint="eastAsia" w:ascii="宋体" w:hAnsi="宋体" w:cs="宋体"/>
          <w:color w:val="auto"/>
          <w:szCs w:val="21"/>
          <w:highlight w:val="none"/>
        </w:rPr>
        <w:t>。</w:t>
      </w:r>
    </w:p>
    <w:p w14:paraId="2577FA0A">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1.14 建筑信息模型技术的应用</w:t>
      </w:r>
    </w:p>
    <w:p w14:paraId="5D62AF3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关于建筑信息模型技术的开发、使用、存储、传输、交付及费用约定如</w:t>
      </w:r>
      <w:r>
        <w:rPr>
          <w:rFonts w:hint="eastAsia" w:cs="宋体"/>
          <w:color w:val="auto"/>
          <w:szCs w:val="21"/>
          <w:highlight w:val="none"/>
        </w:rPr>
        <w:t>下：</w:t>
      </w:r>
      <w:r>
        <w:rPr>
          <w:rFonts w:hint="eastAsia" w:cs="宋体"/>
          <w:color w:val="auto"/>
          <w:szCs w:val="21"/>
          <w:highlight w:val="none"/>
          <w:u w:val="single"/>
        </w:rPr>
        <w:t xml:space="preserve">              </w:t>
      </w:r>
      <w:r>
        <w:rPr>
          <w:rFonts w:hint="eastAsia" w:cs="宋体"/>
          <w:color w:val="auto"/>
          <w:szCs w:val="21"/>
          <w:highlight w:val="none"/>
        </w:rPr>
        <w:t>。</w:t>
      </w:r>
    </w:p>
    <w:p w14:paraId="68645733">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61" w:name="_Toc4331"/>
      <w:bookmarkStart w:id="862" w:name="_Toc54862333"/>
      <w:r>
        <w:rPr>
          <w:rFonts w:hint="eastAsia" w:cs="宋体"/>
          <w:bCs w:val="0"/>
          <w:color w:val="auto"/>
          <w:sz w:val="21"/>
          <w:szCs w:val="21"/>
          <w:highlight w:val="none"/>
        </w:rPr>
        <w:t>第2条 发包人</w:t>
      </w:r>
      <w:bookmarkEnd w:id="861"/>
      <w:bookmarkEnd w:id="862"/>
    </w:p>
    <w:p w14:paraId="46C6BB37">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2.2 提供施工现场和工作条件</w:t>
      </w:r>
    </w:p>
    <w:p w14:paraId="3D925DF1">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2.2.1 提供施工现场</w:t>
      </w:r>
    </w:p>
    <w:p w14:paraId="3A5726A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施工场地与公共道路的通道开通要求：由承包人自行解决并承担一切费用。</w:t>
      </w:r>
    </w:p>
    <w:p w14:paraId="236EF8DA">
      <w:pPr>
        <w:widowControl/>
        <w:numPr>
          <w:ilvl w:val="0"/>
          <w:numId w:val="6"/>
        </w:numPr>
        <w:tabs>
          <w:tab w:val="left" w:pos="220"/>
          <w:tab w:val="clear" w:pos="312"/>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施工现场与现有市政道路的连通，道路的状况承包人已在投标前的现场考察中了解。承包人应结合工程施工场地及周边道路状况，自主确定利用现有路网还是开避其它临时通道，该项作为承包人的措施项目，其与之相关产生的费用 （维护修复费、完工恢复等所有费用）已包干使用。</w:t>
      </w:r>
    </w:p>
    <w:p w14:paraId="37C41C9C">
      <w:pPr>
        <w:widowControl/>
        <w:numPr>
          <w:ilvl w:val="0"/>
          <w:numId w:val="6"/>
        </w:numPr>
        <w:tabs>
          <w:tab w:val="left" w:pos="220"/>
          <w:tab w:val="clear" w:pos="312"/>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如果承包人需要施工临时堆场（含材料、设备等）或其它临时用地，其土地临时占用费、土地恢复费等在 承包人投标费率报价中综合考虑。</w:t>
      </w:r>
    </w:p>
    <w:p w14:paraId="3F3B8542">
      <w:pPr>
        <w:widowControl/>
        <w:tabs>
          <w:tab w:val="left" w:pos="220"/>
        </w:tabs>
        <w:adjustRightInd w:val="0"/>
        <w:snapToGrid w:val="0"/>
        <w:spacing w:line="440" w:lineRule="exact"/>
        <w:ind w:left="-15" w:right="250" w:rightChars="119"/>
        <w:jc w:val="left"/>
        <w:rPr>
          <w:rFonts w:ascii="宋体" w:hAnsi="宋体" w:cs="宋体"/>
          <w:color w:val="auto"/>
          <w:szCs w:val="21"/>
          <w:highlight w:val="none"/>
        </w:rPr>
      </w:pPr>
      <w:r>
        <w:rPr>
          <w:rFonts w:hint="eastAsia" w:ascii="宋体" w:hAnsi="宋体" w:cs="宋体"/>
          <w:color w:val="auto"/>
          <w:szCs w:val="21"/>
          <w:highlight w:val="none"/>
        </w:rPr>
        <w:t>C.施工现场的施工围墙、道路、临舍、机械设备基础等施工临时设施的费用（包含施工、拆除恢复、场地租赁等所有费用）均已在承包人投标报价中综合考虑。</w:t>
      </w:r>
    </w:p>
    <w:p w14:paraId="56861DC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2.2.2 工程地质和地下管线资料：施工场地范围内的地下管线、地下设施资料等数据、资料由承包人自行搜集并对真实性负责，发包人有权对相关资料进行审核，承包人在既有条件下收集、整理、购买到的技术成果均已在承包人投标报价中综合考虑。</w:t>
      </w:r>
    </w:p>
    <w:p w14:paraId="5AAB567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2.2.3水准点与座标控制点交验要求：于开工前7个工作日内，由发包人或其委托的监理人联系勘察测绘部门向承包人提供水准点与座标控制点等书面资料，交付承包人后由承包人负责保管。若涉及保护费用含在承包人投标报价中已综合考虑包干使用。</w:t>
      </w:r>
    </w:p>
    <w:p w14:paraId="4B5B2397">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2.3组织设计交底</w:t>
      </w:r>
    </w:p>
    <w:p w14:paraId="6AEC594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承包人应对施工图进行技术交底。</w:t>
      </w:r>
    </w:p>
    <w:p w14:paraId="40741C51">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2.4其他义务</w:t>
      </w:r>
    </w:p>
    <w:p w14:paraId="32AAE09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2.4.1发包人作为现场负责的技术部门，负责按照国家相关部门的管理规定，履行发包人对工程质量、进度、安全文明施工及工程造价的管理、协调、控制和外部工作的协调等进行详尽、实事求是的控制、审核并签字确认。</w:t>
      </w:r>
    </w:p>
    <w:p w14:paraId="06D17227">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2.5 支付合同价款</w:t>
      </w:r>
    </w:p>
    <w:p w14:paraId="175E512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2.5.2 发包人提供资金来源证明及资金安排的期限要求：在取得施工许可证的3个月内办结工程款支付担保。施工单位在收到工程款支付担保后3日内将相关资料上传至至项目所在地农民工工资支付监管平台，未按时按承诺提交工程款支付担保的工程建设项目，将视作建设资金未落实。</w:t>
      </w:r>
    </w:p>
    <w:p w14:paraId="7445374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2.5.3 发包人提供支付担保的形式、期限、金额（或比例）：提供支付担保。</w:t>
      </w:r>
    </w:p>
    <w:p w14:paraId="08EB458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工程款支付担保可以采用银行保函、保证保险、工程担保公司担保等方式。银行保函、保证保险和工程担保保单应当为不可撤销的保证。发包人应当向承包人提供签约合同价8%的工程款支付担保。</w:t>
      </w:r>
    </w:p>
    <w:p w14:paraId="3731228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对于政府投资的工程建设项目，发包人可以提供财政等政府有权部门出具的落实项目建设资金保障证明作为工程款支付担保凭证。工程款支付担保保证期限原则上应与施工合同约定的期限保持一致（采用分阶段担保的，建设单位支付相应的工程款后，当期工程款支付担保解除，进入下一阶段工程款支付担保）。施工工期延期的，建设单位应在保证期限到期前 30 天，办理保函、保单延期手续。</w:t>
      </w:r>
    </w:p>
    <w:p w14:paraId="1CAC438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款支付担保保证有效期内，建设单位未按照规定向农民工工资专用账户拨付工资性工程款或者未按照合同约定支付施工进度款的，施工总承包企业（包括专业承包企业，下同）可以要求保证人履行保证责任，同时将拖欠信息报送工程所在地住房城乡建设主管部门和人力资源社会保障主管部门。</w:t>
      </w:r>
    </w:p>
    <w:p w14:paraId="0CCEA5C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在我省开展工程款支付担保业务的保证人应向有关主管部门提供担保凭证网络验证途径。</w:t>
      </w:r>
    </w:p>
    <w:p w14:paraId="77A83BA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2.7 其他义务</w:t>
      </w:r>
    </w:p>
    <w:p w14:paraId="2A5291B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发包人应履行的其他义务：</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58B97C7">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63" w:name="_Toc54862334"/>
      <w:bookmarkStart w:id="864" w:name="_Toc2063"/>
      <w:r>
        <w:rPr>
          <w:rFonts w:hint="eastAsia" w:cs="宋体"/>
          <w:bCs w:val="0"/>
          <w:color w:val="auto"/>
          <w:sz w:val="21"/>
          <w:szCs w:val="21"/>
          <w:highlight w:val="none"/>
        </w:rPr>
        <w:t>第3条 发包人的管理</w:t>
      </w:r>
      <w:bookmarkEnd w:id="863"/>
      <w:bookmarkEnd w:id="864"/>
    </w:p>
    <w:p w14:paraId="1E87207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3.1 发包人代表</w:t>
      </w:r>
    </w:p>
    <w:p w14:paraId="780F2AF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发包人代表的姓名：</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6DB774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发包人代表的身份证号：</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607FB5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发包人代表的职务：</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1BF2A3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发包人代表的联系电话：</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001841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发包人代表的电子邮箱：</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738F10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发包人代表的通信地址：</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71A6D1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发包人对发包人代表的授权范围如下：</w:t>
      </w:r>
      <w:r>
        <w:rPr>
          <w:rFonts w:hint="eastAsia" w:ascii="宋体" w:hAnsi="宋体" w:cs="宋体"/>
          <w:color w:val="auto"/>
          <w:szCs w:val="21"/>
          <w:highlight w:val="none"/>
          <w:u w:val="single"/>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p>
    <w:p w14:paraId="4ED1B1F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发包人代表的职责：</w:t>
      </w:r>
      <w:r>
        <w:rPr>
          <w:rFonts w:hint="eastAsia" w:ascii="宋体" w:hAnsi="宋体" w:cs="宋体"/>
          <w:color w:val="auto"/>
          <w:szCs w:val="21"/>
          <w:highlight w:val="none"/>
          <w:u w:val="single"/>
        </w:rPr>
        <w:t xml:space="preserve">             执行通用合同条件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D440732">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3.2 发包人人员</w:t>
      </w:r>
    </w:p>
    <w:p w14:paraId="7FCD15D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发包人人员姓名：</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0F48A6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发包人人员职务：</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cs="宋体"/>
          <w:color w:val="auto"/>
          <w:szCs w:val="21"/>
          <w:highlight w:val="none"/>
        </w:rPr>
        <w:t xml:space="preserve"> </w:t>
      </w:r>
    </w:p>
    <w:p w14:paraId="13D39A7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发包人人员职责：</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62F578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3.3 工程师（注册监理工程师）</w:t>
      </w:r>
    </w:p>
    <w:p w14:paraId="48F86C3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3.3.1 工程师姓名：</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335D86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工程师监督管理范围、内</w:t>
      </w:r>
      <w:r>
        <w:rPr>
          <w:rFonts w:hint="eastAsia" w:cs="宋体"/>
          <w:color w:val="auto"/>
          <w:szCs w:val="21"/>
          <w:highlight w:val="none"/>
        </w:rPr>
        <w:t>容：</w:t>
      </w:r>
      <w:r>
        <w:rPr>
          <w:rFonts w:hint="eastAsia" w:cs="宋体"/>
          <w:color w:val="auto"/>
          <w:szCs w:val="21"/>
          <w:highlight w:val="none"/>
          <w:u w:val="single"/>
        </w:rPr>
        <w:t xml:space="preserve">   详见监理合同                           </w:t>
      </w:r>
      <w:r>
        <w:rPr>
          <w:rFonts w:hint="eastAsia" w:ascii="宋体" w:hAnsi="宋体" w:cs="宋体"/>
          <w:color w:val="auto"/>
          <w:szCs w:val="21"/>
          <w:highlight w:val="none"/>
        </w:rPr>
        <w:t>；</w:t>
      </w:r>
    </w:p>
    <w:p w14:paraId="09D65AE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工程师权限：</w:t>
      </w:r>
      <w:r>
        <w:rPr>
          <w:rFonts w:hint="eastAsia" w:ascii="宋体" w:hAnsi="宋体" w:cs="宋体"/>
          <w:color w:val="auto"/>
          <w:szCs w:val="21"/>
          <w:highlight w:val="none"/>
          <w:u w:val="single"/>
        </w:rPr>
        <w:t>须经发包人事先批准行使的权力：涉及工程开工、竣工、工期变化、工程变更、工程范围变化、工程计量、工程费用变化的事项须发包人事先批准。发包人在合同履行期间有权根据具体情况调整监理人须经发包人批准的权力范 围并及时通知承包人。尽管有以上规定，但当监理人认为出现了危及生命、工程或毗邻财产等安全的紧急事件时， 在不免除合同规定的承包人责任的情况下，监理人可以指示承包人实施为消除或减少这种危险所必须进行的工作，即使没有发包人的事先批准，承包人也应立即遵照执行。监理人应公正地履行职责，在按合同要求由监理人发出指示、表示意见、审批文件、确定价格以及采取可能涉及发包人或承包人的义务和权利的行动时，应认真查清事实，并与双方充分协商后作出公正的决定。</w:t>
      </w:r>
    </w:p>
    <w:p w14:paraId="321F38B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3.6 商定或确定</w:t>
      </w:r>
    </w:p>
    <w:p w14:paraId="4421009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3.6.2 关于商定时间限制的具体约定：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执行通用合同条件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41E140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3.6.3 关于商定或确定效力的具体约定：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执行通用合同条件   </w:t>
      </w:r>
      <w:r>
        <w:rPr>
          <w:rFonts w:hint="eastAsia" w:ascii="宋体" w:hAnsi="宋体" w:cs="宋体"/>
          <w:color w:val="auto"/>
          <w:szCs w:val="21"/>
          <w:highlight w:val="none"/>
        </w:rPr>
        <w:t>；关于对工程师的确定提出异议的具体约定：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任何一方对工程师的确定有异议的，应在收到确定的结果后28天内向另一方发出书面异议通知并抄送工程师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7EB561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3.7 会议</w:t>
      </w:r>
    </w:p>
    <w:p w14:paraId="76E5029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3.7.1 关于召开会议的具体约定：</w:t>
      </w:r>
      <w:r>
        <w:rPr>
          <w:rFonts w:hint="eastAsia" w:ascii="宋体" w:hAnsi="宋体" w:cs="宋体"/>
          <w:color w:val="auto"/>
          <w:szCs w:val="21"/>
          <w:highlight w:val="none"/>
          <w:u w:val="single"/>
        </w:rPr>
        <w:t xml:space="preserve"> 按招标人相关规定执行   </w:t>
      </w:r>
      <w:r>
        <w:rPr>
          <w:rFonts w:hint="eastAsia" w:ascii="宋体" w:hAnsi="宋体" w:cs="宋体"/>
          <w:color w:val="auto"/>
          <w:szCs w:val="21"/>
          <w:highlight w:val="none"/>
        </w:rPr>
        <w:t>。</w:t>
      </w:r>
    </w:p>
    <w:p w14:paraId="78FE177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3.7.2 关于保存和提供会议纪要的具体约定：</w:t>
      </w:r>
      <w:r>
        <w:rPr>
          <w:rFonts w:hint="eastAsia" w:ascii="宋体" w:hAnsi="宋体" w:cs="宋体"/>
          <w:color w:val="auto"/>
          <w:szCs w:val="21"/>
          <w:highlight w:val="none"/>
          <w:u w:val="single"/>
        </w:rPr>
        <w:t xml:space="preserve">按招标人相关规定执行 </w:t>
      </w:r>
      <w:r>
        <w:rPr>
          <w:rFonts w:hint="eastAsia" w:ascii="宋体" w:hAnsi="宋体" w:cs="宋体"/>
          <w:color w:val="auto"/>
          <w:szCs w:val="21"/>
          <w:highlight w:val="none"/>
        </w:rPr>
        <w:t>。</w:t>
      </w:r>
    </w:p>
    <w:p w14:paraId="233ED9D7">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65" w:name="_Toc17662"/>
      <w:bookmarkStart w:id="866" w:name="_Toc54862335"/>
      <w:r>
        <w:rPr>
          <w:rFonts w:hint="eastAsia" w:cs="宋体"/>
          <w:bCs w:val="0"/>
          <w:color w:val="auto"/>
          <w:sz w:val="21"/>
          <w:szCs w:val="21"/>
          <w:highlight w:val="none"/>
        </w:rPr>
        <w:t>第4条 承包人</w:t>
      </w:r>
      <w:bookmarkEnd w:id="865"/>
      <w:bookmarkEnd w:id="866"/>
    </w:p>
    <w:p w14:paraId="18D5AFDA">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4.1 承包人的一般义务</w:t>
      </w:r>
    </w:p>
    <w:p w14:paraId="7A05FCAD">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承包人应履行的其他义务：</w:t>
      </w:r>
      <w:r>
        <w:rPr>
          <w:rFonts w:hint="eastAsia" w:cs="宋体"/>
          <w:color w:val="auto"/>
          <w:szCs w:val="21"/>
          <w:highlight w:val="none"/>
          <w:u w:val="single"/>
        </w:rPr>
        <w:t>①合同签订后，承包人应按投标文件承诺指定负责本工程的项目经理，成立相应的项目组（设计组、勘察组、施工组等） ，集中满足工程建设需要的工程技术人员， 负责协调承包人在工程全过程的各项协调配合工作，如工程勘察进度、工程方案设计进度、初步设计进度、施工图设计进度、图纸文件、工程施工组织等， 并在发包人要求的时间内完成本项目工程全部工程内容并通过竣工验收；②承包人应按照合同勘察、设计、实施和完成工程，并修补工程中的任何缺陷；③无合同纠纷等原因拖欠农民工工资、材料款，出现群访及时处理；④施工现场服从调度或工程进度不超过合同工期或按合同期限按时移交的；⑤月工程量进度及时完成；⑥按规定提供工程资料并及时归档的；⑦承包人应根据政府相关规定，缴纳相关税费，若承包人违反相关规定，拒不缴纳相关税费，发包人有权代扣代缴；⑧其余均按合同通用条款执行。</w:t>
      </w:r>
    </w:p>
    <w:p w14:paraId="48EC0B1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4.1.2承包人应提供合同规定的生产设备和承包人文件，以及勘察、设计、施工、竣工和修补缺陷所需的所有临时性或永久性的承包人人员、货物、消耗品及其他物品和服务。承包人应对所有施工作业和施工方法的完备性和安全可靠性负责，并于开工前五个工作日向监理人递交在投标技术方案总体框架和原则下经细化的施工组织设计。经监理人和发包人审批同意的施工组织设计作为本工程建设的实施性工程计划。</w:t>
      </w:r>
    </w:p>
    <w:p w14:paraId="07C6CED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当发包人提出要求时，承包人应提交其建议采用的工程施工安排和方法的细节。事先未通知发包人，对这些安排和方法不得做重要改变。</w:t>
      </w:r>
    </w:p>
    <w:p w14:paraId="77E1B67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"4.1.7.3" </w:instrText>
      </w:r>
      <w:r>
        <w:rPr>
          <w:color w:val="auto"/>
          <w:highlight w:val="none"/>
        </w:rPr>
        <w:fldChar w:fldCharType="separate"/>
      </w:r>
      <w:r>
        <w:rPr>
          <w:rFonts w:hint="eastAsia" w:ascii="宋体" w:hAnsi="宋体" w:cs="宋体"/>
          <w:color w:val="auto"/>
          <w:szCs w:val="21"/>
          <w:highlight w:val="none"/>
        </w:rPr>
        <w:t>4.1.3</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承包人应避免施工对邻近房产和群众的干扰，在合同许可的范围内，实施和完成本合同工程及缺陷修复工程中的一切施工作业，应不影响邻近建筑物、构造物的安全与正常使用，也不干扰群众的通行方便（难以避免的一定程度的干扰除外）。如果发生上述情况，并由此导致索赔、赔偿、诉讼费用及其他开支时，应由承包人承担一切责任及费用。</w:t>
      </w:r>
    </w:p>
    <w:p w14:paraId="641318C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"4.1.7.4" </w:instrText>
      </w:r>
      <w:r>
        <w:rPr>
          <w:color w:val="auto"/>
          <w:highlight w:val="none"/>
        </w:rPr>
        <w:fldChar w:fldCharType="separate"/>
      </w:r>
      <w:r>
        <w:rPr>
          <w:rFonts w:hint="eastAsia" w:ascii="宋体" w:hAnsi="宋体" w:cs="宋体"/>
          <w:color w:val="auto"/>
          <w:szCs w:val="21"/>
          <w:highlight w:val="none"/>
        </w:rPr>
        <w:t>4.1.4</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需办理的有关施工场地交通、环卫和施工噪音管理等手续：由承包人在开工前按有关城市管理、环卫、公安部门规定办理完毕，如需办理夜间施工，由承包人办理夜间施工批准手续，其费用已包含在承包人投标报价中综合考虑。如果因承包人自身原因违反上述有关规定，承包人将承担由此带来的一切损失和相关处罚。</w:t>
      </w:r>
    </w:p>
    <w:p w14:paraId="0C497FD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"4.1.7.5" </w:instrText>
      </w:r>
      <w:r>
        <w:rPr>
          <w:color w:val="auto"/>
          <w:highlight w:val="none"/>
        </w:rPr>
        <w:fldChar w:fldCharType="separate"/>
      </w:r>
      <w:r>
        <w:rPr>
          <w:rFonts w:hint="eastAsia" w:ascii="宋体" w:hAnsi="宋体" w:cs="宋体"/>
          <w:color w:val="auto"/>
          <w:szCs w:val="21"/>
          <w:highlight w:val="none"/>
        </w:rPr>
        <w:t>4.1.5</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承包人应负责本工程自来水给水、送配电、燃气等工程施工前的审查报建手续。在办理手续中涉及到的协调费用由投标人在报价中自行综合考虑。</w:t>
      </w:r>
    </w:p>
    <w:p w14:paraId="49B1F12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"4.1.7.6" </w:instrText>
      </w:r>
      <w:r>
        <w:rPr>
          <w:color w:val="auto"/>
          <w:highlight w:val="none"/>
        </w:rPr>
        <w:fldChar w:fldCharType="separate"/>
      </w:r>
      <w:r>
        <w:rPr>
          <w:rFonts w:hint="eastAsia" w:ascii="宋体" w:hAnsi="宋体" w:cs="宋体"/>
          <w:color w:val="auto"/>
          <w:szCs w:val="21"/>
          <w:highlight w:val="none"/>
        </w:rPr>
        <w:t>4.1.6</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承包人自行解决弃土（或临时回填土方堆放场地）场地，费用已包含在承包人投标报价中综合考虑，包干使用。同时还包括：1、现场考察：应认为，承包人在项目实施之前，已进行了现场考察，对现场和其周围环境以及可得到的有关资料进行了查看和核查，在考察时间允许的情况下已经查明以下方面：①现场的地形地貌和特征，包括地表以下的情况；②水文和气候条件；③实施和完成本合同工程及其保修的工作范围、性质和所需用的材料采购 和加工场地；④取土场、弃土场位置与状况，土方堆土、弃土场承包人自行解决，运距 已全部包含在报价中；⑤进出场道路、施工便道、便桥以及打围封闭等和水、电、食宿供应条件，该费用已全部包含在报价中；⑥当地的乡规民约和风俗习惯。还应认为，承包人已取得可能对投标有影响或起作用的风险、意外等必要资料；因此认为，承包人的投标文件是以发包人所提供资料和他自己察看和核查为依据的。</w:t>
      </w:r>
    </w:p>
    <w:p w14:paraId="3CF2E87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"4.1.7.7" </w:instrText>
      </w:r>
      <w:r>
        <w:rPr>
          <w:color w:val="auto"/>
          <w:highlight w:val="none"/>
        </w:rPr>
        <w:fldChar w:fldCharType="separate"/>
      </w:r>
      <w:r>
        <w:rPr>
          <w:rFonts w:hint="eastAsia" w:ascii="宋体" w:hAnsi="宋体" w:cs="宋体"/>
          <w:color w:val="auto"/>
          <w:szCs w:val="21"/>
          <w:highlight w:val="none"/>
        </w:rPr>
        <w:t>4.1.7</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承包人为保证本工程顺利进行须自备施工发电机，确保施工用电，由此产生的所有费用及税均已包含在承包人投标报价中，一个月内累计7天或7天以内停电工期不顺延。</w:t>
      </w:r>
    </w:p>
    <w:p w14:paraId="23083590">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4.1.8 他人提供方便</w:t>
      </w:r>
    </w:p>
    <w:p w14:paraId="73108DE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"4.1.8.1" </w:instrText>
      </w:r>
      <w:r>
        <w:rPr>
          <w:color w:val="auto"/>
          <w:highlight w:val="none"/>
        </w:rPr>
        <w:fldChar w:fldCharType="separate"/>
      </w:r>
      <w:r>
        <w:rPr>
          <w:rFonts w:hint="eastAsia" w:ascii="宋体" w:hAnsi="宋体" w:cs="宋体"/>
          <w:color w:val="auto"/>
          <w:szCs w:val="21"/>
          <w:highlight w:val="none"/>
        </w:rPr>
        <w:t>4.1.8.1</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承包人须在施工现场随时保留一整套图纸及设计变更等相关技术资料，以供发包人、监理或相关管理监督单位查阅。</w:t>
      </w:r>
    </w:p>
    <w:p w14:paraId="4B38B0F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"4.1.8.2" </w:instrText>
      </w:r>
      <w:r>
        <w:rPr>
          <w:color w:val="auto"/>
          <w:highlight w:val="none"/>
        </w:rPr>
        <w:fldChar w:fldCharType="separate"/>
      </w:r>
      <w:r>
        <w:rPr>
          <w:rFonts w:hint="eastAsia" w:ascii="宋体" w:hAnsi="宋体" w:cs="宋体"/>
          <w:color w:val="auto"/>
          <w:szCs w:val="21"/>
          <w:highlight w:val="none"/>
        </w:rPr>
        <w:t>4.1.8.2</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承包人为他人提供条件可能发生费用的处理方法：承包人已在投标报价中综合考虑了可能发生的费用，因此不再另计费用。（包括满足本项目实现功能所需的所有由发包人进行专业分包的项目和工序，按监理工程师安排进场施工时承包人应提供的相应配合条件。）</w:t>
      </w:r>
    </w:p>
    <w:p w14:paraId="194712E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color w:val="auto"/>
          <w:highlight w:val="none"/>
        </w:rPr>
        <w:fldChar w:fldCharType="begin"/>
      </w:r>
      <w:r>
        <w:rPr>
          <w:color w:val="auto"/>
          <w:highlight w:val="none"/>
        </w:rPr>
        <w:instrText xml:space="preserve"> HYPERLINK "4.1.8.3" </w:instrText>
      </w:r>
      <w:r>
        <w:rPr>
          <w:color w:val="auto"/>
          <w:highlight w:val="none"/>
        </w:rPr>
        <w:fldChar w:fldCharType="separate"/>
      </w:r>
      <w:r>
        <w:rPr>
          <w:rFonts w:hint="eastAsia" w:ascii="宋体" w:hAnsi="宋体" w:cs="宋体"/>
          <w:color w:val="auto"/>
          <w:szCs w:val="21"/>
          <w:highlight w:val="none"/>
        </w:rPr>
        <w:t>4.1.8.3</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向业主、项目审计单位、监理单位提供符合要求的现场办公室。其费用由承包人承担。</w:t>
      </w:r>
    </w:p>
    <w:p w14:paraId="245349F2">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4.1.9 工程的维护和照管</w:t>
      </w:r>
    </w:p>
    <w:p w14:paraId="658EC70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从开工之日起，工程接收证书颁发前，承包人应负责照管和维护工程。工程接收证书颁发时尚有部分未竣工工程的，承包人还应负责该未竣工工程的照管和维护工作，直至竣工后移交给发包人为止。</w:t>
      </w:r>
    </w:p>
    <w:p w14:paraId="06255E2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如果在承包人负责照管期间，由于不可抗力以外的原因，致使工程、货物、或承包人文件发生任何损失或损害，承包人应自行承担风险和费用，修正该项损失或损害，使工程、货物和承包人文件符合合同要求。</w:t>
      </w:r>
    </w:p>
    <w:p w14:paraId="736ACBB7">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4.1.10 临水临电</w:t>
      </w:r>
    </w:p>
    <w:p w14:paraId="3A75172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本项目临水临电由承包人实施并承担相应费用。</w:t>
      </w:r>
    </w:p>
    <w:p w14:paraId="1964D7D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负责在开工前提供施工用水、用电的接口，承包人承担水管、供电线路和计量仪表的安装费用，水、电费由承包人自行承担并已在承包人投标报价中综合考虑。施工用水、用电费用由承包人向相关部门或相关单位缴纳。若承包人未按时缴纳，且影响发包人其它工程建设时，经监理、发包人现场负责人签字确认后，发包人有权直接从承包人工程进度款或工程竣工结算款中扣除后缴纳（不论承包人是否签字确认）。</w:t>
      </w:r>
    </w:p>
    <w:p w14:paraId="5E3D15C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4.1.12 如因需要配合发包人确定的商家前期进场装修，承包人不得另行收取总承包配合费及其他索赔。</w:t>
      </w:r>
    </w:p>
    <w:p w14:paraId="1B56079E">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4.2 履约担保</w:t>
      </w:r>
    </w:p>
    <w:p w14:paraId="07BA1BD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承包人是否提供履约担保：</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是</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C598FEF">
      <w:pPr>
        <w:wordWrap w:val="0"/>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履约担保的方式、金额及期限:</w:t>
      </w:r>
      <w:r>
        <w:rPr>
          <w:rFonts w:hint="eastAsia" w:ascii="宋体" w:hAnsi="宋体" w:cs="宋体"/>
          <w:color w:val="auto"/>
          <w:szCs w:val="21"/>
          <w:highlight w:val="none"/>
          <w:u w:val="single"/>
        </w:rPr>
        <w:t xml:space="preserve"> 方式：        ；金额：中标单价×直流侧</w:t>
      </w:r>
      <w:r>
        <w:rPr>
          <w:rFonts w:hint="eastAsia" w:ascii="宋体" w:hAnsi="宋体" w:cs="宋体"/>
          <w:color w:val="auto"/>
          <w:szCs w:val="21"/>
          <w:highlight w:val="none"/>
          <w:u w:val="single"/>
          <w:lang w:val="en-US" w:eastAsia="zh-CN"/>
        </w:rPr>
        <w:t>容量</w:t>
      </w:r>
      <w:r>
        <w:rPr>
          <w:rFonts w:hint="eastAsia" w:ascii="宋体" w:hAnsi="宋体" w:cs="宋体"/>
          <w:color w:val="auto"/>
          <w:szCs w:val="21"/>
          <w:highlight w:val="none"/>
          <w:u w:val="single"/>
        </w:rPr>
        <w:t>×2%，取整到千位；期限：中标人须在中标通知书后30个日历天内缴纳履约保证金及签订合同。 退还时间：履约保证金有效期满7日内。</w:t>
      </w:r>
    </w:p>
    <w:p w14:paraId="64FC07AE">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4.3 工程总承包项目经理（项目经理（建造师），下同）</w:t>
      </w:r>
    </w:p>
    <w:p w14:paraId="3566361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4.3.1 工程总承包项目经理姓名：</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BD7BB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执业资格或职称类型：</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95B11F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执业资格证或职称证号码：</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E44C36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B818D6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63708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3C48BF8">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承包人未提交劳动合同，以及没有为工程总承包项目经理（建造师）缴纳社会保险证明的违约责</w:t>
      </w:r>
      <w:r>
        <w:rPr>
          <w:rFonts w:hint="eastAsia" w:cs="宋体"/>
          <w:color w:val="auto"/>
          <w:szCs w:val="21"/>
          <w:highlight w:val="none"/>
        </w:rPr>
        <w:t>任：</w:t>
      </w:r>
      <w:r>
        <w:rPr>
          <w:rFonts w:hint="eastAsia" w:cs="宋体"/>
          <w:color w:val="auto"/>
          <w:szCs w:val="21"/>
          <w:highlight w:val="none"/>
          <w:u w:val="single"/>
        </w:rPr>
        <w:t xml:space="preserve"> 签订本合同前提供，资格审查时已提供的，不再重复提供 </w:t>
      </w:r>
      <w:r>
        <w:rPr>
          <w:rFonts w:hint="eastAsia" w:cs="宋体"/>
          <w:color w:val="auto"/>
          <w:szCs w:val="21"/>
          <w:highlight w:val="none"/>
        </w:rPr>
        <w:t>。</w:t>
      </w:r>
    </w:p>
    <w:p w14:paraId="14CCD60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4.3.2 工程总承包项目经理每月在现场的时间要</w:t>
      </w:r>
      <w:r>
        <w:rPr>
          <w:rFonts w:hint="eastAsia" w:cs="宋体"/>
          <w:color w:val="auto"/>
          <w:szCs w:val="21"/>
          <w:highlight w:val="none"/>
        </w:rPr>
        <w:t>求：</w:t>
      </w:r>
      <w:r>
        <w:rPr>
          <w:rFonts w:hint="eastAsia" w:cs="宋体"/>
          <w:color w:val="auto"/>
          <w:szCs w:val="21"/>
          <w:highlight w:val="none"/>
          <w:u w:val="single"/>
        </w:rPr>
        <w:t xml:space="preserve"> 项目经理、技术负责人每月在岗时间不得少于20个工作日，施工现场其他管理人员每月在岗时间不得少于22个工作日。</w:t>
      </w:r>
    </w:p>
    <w:p w14:paraId="2349532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工程总承包项目经理未经批准擅自离开施工现场的违约责</w:t>
      </w:r>
      <w:r>
        <w:rPr>
          <w:rFonts w:hint="eastAsia" w:cs="宋体"/>
          <w:color w:val="auto"/>
          <w:szCs w:val="21"/>
          <w:highlight w:val="none"/>
        </w:rPr>
        <w:t>任：</w:t>
      </w:r>
      <w:r>
        <w:rPr>
          <w:rFonts w:hint="eastAsia" w:cs="宋体"/>
          <w:color w:val="auto"/>
          <w:szCs w:val="21"/>
          <w:highlight w:val="none"/>
          <w:u w:val="single"/>
        </w:rPr>
        <w:t xml:space="preserve"> 未按规定在岗履责的，对项目经理和技术负责人处以2000元/人·天的违约金，对施工现场其他管理人员处以1000元/人·天的违约金。项目部关键岗位人员离岗必须向发包人项目组长履行请假手续，若被我单位和相关部门日常检查和随机抽查中发现不在岗的，又未履行请假手续的，处以5000元/人·次的违约金 </w:t>
      </w:r>
      <w:r>
        <w:rPr>
          <w:rFonts w:hint="eastAsia" w:cs="宋体"/>
          <w:color w:val="auto"/>
          <w:szCs w:val="21"/>
          <w:highlight w:val="none"/>
        </w:rPr>
        <w:t>。</w:t>
      </w:r>
    </w:p>
    <w:p w14:paraId="45DD24D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4.3.3 承包人对工程总承包项目经理（建造师）的授权范</w:t>
      </w:r>
      <w:r>
        <w:rPr>
          <w:rFonts w:hint="eastAsia" w:cs="宋体"/>
          <w:color w:val="auto"/>
          <w:szCs w:val="21"/>
          <w:highlight w:val="none"/>
        </w:rPr>
        <w:t>围：</w:t>
      </w:r>
      <w:r>
        <w:rPr>
          <w:rFonts w:hint="eastAsia" w:cs="宋体"/>
          <w:color w:val="auto"/>
          <w:szCs w:val="21"/>
          <w:highlight w:val="none"/>
          <w:u w:val="single"/>
        </w:rPr>
        <w:t xml:space="preserve"> 由承包人明确授权范围 </w:t>
      </w:r>
      <w:r>
        <w:rPr>
          <w:rFonts w:hint="eastAsia" w:cs="宋体"/>
          <w:color w:val="auto"/>
          <w:szCs w:val="21"/>
          <w:highlight w:val="none"/>
        </w:rPr>
        <w:t>。</w:t>
      </w:r>
    </w:p>
    <w:p w14:paraId="542E160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4.3.4 承包人擅自更换工程总承包项目经理（建造师）的违约责</w:t>
      </w:r>
      <w:r>
        <w:rPr>
          <w:rFonts w:hint="eastAsia" w:cs="宋体"/>
          <w:color w:val="auto"/>
          <w:szCs w:val="21"/>
          <w:highlight w:val="none"/>
        </w:rPr>
        <w:t>任：</w:t>
      </w:r>
      <w:r>
        <w:rPr>
          <w:rFonts w:hint="eastAsia" w:cs="宋体"/>
          <w:color w:val="auto"/>
          <w:szCs w:val="21"/>
          <w:highlight w:val="none"/>
          <w:u w:val="single"/>
        </w:rPr>
        <w:t>项目经理变更必须经发包人批准，并满足《关于进一步加强建筑施工现场项目负责人变更行为管理的通知》及滁州市其他相关规定要求，除</w:t>
      </w:r>
      <w:r>
        <w:rPr>
          <w:rFonts w:hint="eastAsia" w:ascii="宋体" w:hAnsi="宋体" w:cs="宋体"/>
          <w:color w:val="auto"/>
          <w:szCs w:val="21"/>
          <w:highlight w:val="none"/>
          <w:u w:val="single"/>
        </w:rPr>
        <w:t>①患重病、发生意外等身体原因不能在施工现场进行管理的</w:t>
      </w:r>
      <w:r>
        <w:rPr>
          <w:rFonts w:hint="eastAsia" w:cs="宋体"/>
          <w:color w:val="auto"/>
          <w:szCs w:val="21"/>
          <w:highlight w:val="none"/>
          <w:u w:val="single"/>
        </w:rPr>
        <w:t>；②</w:t>
      </w:r>
      <w:r>
        <w:rPr>
          <w:rFonts w:hint="eastAsia" w:ascii="宋体" w:hAnsi="宋体" w:cs="宋体"/>
          <w:color w:val="auto"/>
          <w:szCs w:val="21"/>
          <w:highlight w:val="none"/>
          <w:u w:val="single"/>
        </w:rPr>
        <w:t>离职的</w:t>
      </w:r>
      <w:r>
        <w:rPr>
          <w:rFonts w:hint="eastAsia" w:cs="宋体"/>
          <w:color w:val="auto"/>
          <w:szCs w:val="21"/>
          <w:highlight w:val="none"/>
          <w:u w:val="single"/>
        </w:rPr>
        <w:t>；</w:t>
      </w:r>
      <w:r>
        <w:rPr>
          <w:rFonts w:hint="eastAsia" w:ascii="宋体" w:hAnsi="宋体" w:cs="宋体"/>
          <w:color w:val="auto"/>
          <w:szCs w:val="21"/>
          <w:highlight w:val="none"/>
          <w:u w:val="single"/>
        </w:rPr>
        <w:t>③违法违规行为不能继续从事施工现场管理工作的</w:t>
      </w:r>
      <w:r>
        <w:rPr>
          <w:rFonts w:hint="eastAsia" w:cs="宋体"/>
          <w:color w:val="auto"/>
          <w:szCs w:val="21"/>
          <w:highlight w:val="none"/>
          <w:u w:val="single"/>
        </w:rPr>
        <w:t>；</w:t>
      </w:r>
      <w:r>
        <w:rPr>
          <w:rFonts w:hint="eastAsia" w:ascii="宋体" w:hAnsi="宋体" w:cs="宋体"/>
          <w:color w:val="auto"/>
          <w:szCs w:val="21"/>
          <w:highlight w:val="none"/>
          <w:u w:val="single"/>
        </w:rPr>
        <w:t>④无能力履行合同责任义务被建设行政主管部门或建设单位责令更换的等原因外</w:t>
      </w:r>
      <w:r>
        <w:rPr>
          <w:rFonts w:hint="eastAsia" w:cs="宋体"/>
          <w:color w:val="auto"/>
          <w:szCs w:val="21"/>
          <w:highlight w:val="none"/>
          <w:u w:val="single"/>
        </w:rPr>
        <w:t xml:space="preserve">，原则上不得变更。其中亡故的需提供公安部门开具的死亡证明，重大疾病的需提供三甲及以上医院证明；出国、辞职等原因提出变更的，除需提供相关证明外，还须缴纳50万元违约金，否则不得变更。变更后的项目负责人必须符合本项目招标文件和投标承诺配备的同等条件人员 </w:t>
      </w:r>
      <w:r>
        <w:rPr>
          <w:rFonts w:hint="eastAsia" w:cs="宋体"/>
          <w:color w:val="auto"/>
          <w:szCs w:val="21"/>
          <w:highlight w:val="none"/>
        </w:rPr>
        <w:t>。</w:t>
      </w:r>
    </w:p>
    <w:p w14:paraId="4F839C4F">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4.3.5 承包人无正当理由拒绝更换工程总承包项目经理的违约责</w:t>
      </w:r>
      <w:r>
        <w:rPr>
          <w:rFonts w:hint="eastAsia" w:cs="宋体"/>
          <w:color w:val="auto"/>
          <w:szCs w:val="21"/>
          <w:highlight w:val="none"/>
        </w:rPr>
        <w:t>任：</w:t>
      </w:r>
      <w:r>
        <w:rPr>
          <w:rFonts w:hint="eastAsia" w:cs="宋体"/>
          <w:color w:val="auto"/>
          <w:szCs w:val="21"/>
          <w:highlight w:val="none"/>
          <w:u w:val="single"/>
        </w:rPr>
        <w:t xml:space="preserve"> 发包人将组织对项目经理（建造师）进行业务能力考核，对未按投标文件配备或经考核不合格要求更换人员的，承包人7日内必须整改调整到位。否则，对于项目经理（建造师）和技术负责人，按照2000元/人·天处以违约金，对于施工现场其他管理人员按照1000元/人·天处以违约金。28日内未整改调整到位的，发包人有权终止合同，并提请相关行政主管部门对企业和人员进行“黑名单”处罚。</w:t>
      </w:r>
    </w:p>
    <w:p w14:paraId="6EE5331B">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4.4 承包人人员</w:t>
      </w:r>
    </w:p>
    <w:p w14:paraId="10ECCBD7">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4.4.1 人员安排</w:t>
      </w:r>
    </w:p>
    <w:p w14:paraId="7D4D876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承包人提交项目管理机构及施工现场人员安排的报告的期</w:t>
      </w:r>
      <w:r>
        <w:rPr>
          <w:rFonts w:hint="eastAsia" w:cs="宋体"/>
          <w:color w:val="auto"/>
          <w:szCs w:val="21"/>
          <w:highlight w:val="none"/>
        </w:rPr>
        <w:t>限：</w:t>
      </w:r>
      <w:r>
        <w:rPr>
          <w:rFonts w:hint="eastAsia" w:cs="宋体"/>
          <w:color w:val="auto"/>
          <w:szCs w:val="21"/>
          <w:highlight w:val="none"/>
          <w:u w:val="single"/>
        </w:rPr>
        <w:t xml:space="preserve"> 承包人应在合同签订后7日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6E27D21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承包人提交关键人员信息及注册执业资格等证明其具备担任关键人员能力的相关文件的期</w:t>
      </w:r>
      <w:r>
        <w:rPr>
          <w:rFonts w:hint="eastAsia" w:cs="宋体"/>
          <w:color w:val="auto"/>
          <w:szCs w:val="21"/>
          <w:highlight w:val="none"/>
        </w:rPr>
        <w:t>限:</w:t>
      </w:r>
      <w:r>
        <w:rPr>
          <w:rFonts w:hint="eastAsia" w:cs="宋体"/>
          <w:color w:val="auto"/>
          <w:szCs w:val="21"/>
          <w:highlight w:val="none"/>
          <w:u w:val="single"/>
        </w:rPr>
        <w:t xml:space="preserve"> 承包人应在合同签订后7日内。</w:t>
      </w:r>
    </w:p>
    <w:p w14:paraId="5AC11D4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4.4.2 关键人员更换</w:t>
      </w:r>
    </w:p>
    <w:p w14:paraId="5A3785A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承包人擅自更换关键人员的违约责任：</w:t>
      </w:r>
      <w:r>
        <w:rPr>
          <w:rFonts w:hint="eastAsia" w:cs="宋体"/>
          <w:color w:val="auto"/>
          <w:szCs w:val="21"/>
          <w:highlight w:val="none"/>
          <w:u w:val="single"/>
        </w:rPr>
        <w:t xml:space="preserve">     </w:t>
      </w:r>
      <w:r>
        <w:rPr>
          <w:rFonts w:hint="eastAsia" w:ascii="宋体" w:hAnsi="宋体" w:cs="宋体"/>
          <w:color w:val="auto"/>
          <w:szCs w:val="21"/>
          <w:highlight w:val="none"/>
          <w:u w:val="single"/>
        </w:rPr>
        <w:t>按照未按规定在岗履责进行处罚</w:t>
      </w:r>
      <w:r>
        <w:rPr>
          <w:rFonts w:hint="eastAsia" w:cs="宋体"/>
          <w:color w:val="auto"/>
          <w:szCs w:val="21"/>
          <w:highlight w:val="none"/>
          <w:u w:val="single"/>
        </w:rPr>
        <w:t xml:space="preserve">。            </w:t>
      </w:r>
    </w:p>
    <w:p w14:paraId="14C036F6">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承包人无正当理由拒绝撤换关键人员的违约责</w:t>
      </w:r>
      <w:r>
        <w:rPr>
          <w:rFonts w:hint="eastAsia" w:cs="宋体"/>
          <w:color w:val="auto"/>
          <w:szCs w:val="21"/>
          <w:highlight w:val="none"/>
        </w:rPr>
        <w:t>任：</w:t>
      </w:r>
      <w:r>
        <w:rPr>
          <w:rFonts w:hint="eastAsia" w:cs="宋体"/>
          <w:color w:val="auto"/>
          <w:szCs w:val="21"/>
          <w:highlight w:val="none"/>
          <w:u w:val="single"/>
        </w:rPr>
        <w:t>发包人将组织对人员进行业务能力考核，对未按投标文件配备或经考核不合格要求更换人员的，承包人7日内必须整改调整到位。否则，对于项目经理和技术负责人，按照2000元/人˙天处以违约金，对于施工现场其他管理人员按照1000元/人·天处以违约金。28日内未整改调整到位的，发包人有权终止合同。</w:t>
      </w:r>
    </w:p>
    <w:p w14:paraId="7C3209DC">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4.4.3 现场管理关键人员在岗要求</w:t>
      </w:r>
    </w:p>
    <w:p w14:paraId="4388477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承包人现场管理关键人员离开施工现场的批准要</w:t>
      </w:r>
      <w:r>
        <w:rPr>
          <w:rFonts w:hint="eastAsia" w:cs="宋体"/>
          <w:color w:val="auto"/>
          <w:szCs w:val="21"/>
          <w:highlight w:val="none"/>
        </w:rPr>
        <w:t>求：</w:t>
      </w:r>
      <w:r>
        <w:rPr>
          <w:rFonts w:hint="eastAsia" w:cs="宋体"/>
          <w:color w:val="auto"/>
          <w:szCs w:val="21"/>
          <w:highlight w:val="none"/>
          <w:u w:val="single"/>
        </w:rPr>
        <w:t>项目部关键岗位人员离岗必须向发包人项目组履行请假手续，经批准后方可离开施工现场。</w:t>
      </w:r>
    </w:p>
    <w:p w14:paraId="5CA5228F">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承包人现场管理关键人员擅自离开施工现场的违约责</w:t>
      </w:r>
      <w:r>
        <w:rPr>
          <w:rFonts w:hint="eastAsia" w:cs="宋体"/>
          <w:color w:val="auto"/>
          <w:szCs w:val="21"/>
          <w:highlight w:val="none"/>
        </w:rPr>
        <w:t>任：</w:t>
      </w:r>
      <w:r>
        <w:rPr>
          <w:rFonts w:hint="eastAsia" w:cs="宋体"/>
          <w:color w:val="auto"/>
          <w:szCs w:val="21"/>
          <w:highlight w:val="none"/>
          <w:u w:val="single"/>
        </w:rPr>
        <w:t>未按规定在岗履责的，对项目经理和技术负责人按2000元/人˙天处以违约金，对施工现场其他管理人员按1000元/人˙天处以违约金。项目部关键岗位人员离岗必须向发包人项目组履行请假手续，若被我单位和相关部门日常检查和随机抽查中发现不在岗的，又未履行请假手续的，按5000元/人·次处以违约金。</w:t>
      </w:r>
    </w:p>
    <w:p w14:paraId="14E2C99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4.6 承包人人员的管理</w:t>
      </w:r>
    </w:p>
    <w:p w14:paraId="3D62DFC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4.6.1为完成合同约定的各项工作， 承包人应向现场派驻为实施和完成本合同工程及其缺陷的修复而需要的下述人员，所派往本工程的人员条件应与投标文件相符；</w:t>
      </w:r>
    </w:p>
    <w:p w14:paraId="5ADAB37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⑴ 按投标书附表中所报名单的各类专业技术人员、质检人员和管理人员，未经发包人的批准，这些人员必须及时到位，不得替换；若确实无法到位或需替换，需经发包人批准、审核后，用同等资质和经历的人员替换；</w:t>
      </w:r>
    </w:p>
    <w:p w14:paraId="589410E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⑵ 其他满足本合同工程施工需要的在本行业中技术熟练、经验丰富的各类专业人员、质检人员、管理人员和有能力进行施工管理、并指导作业的工长以及 适应本工程需要的各类熟练技工、半熟练技工和普通工。</w:t>
      </w:r>
    </w:p>
    <w:p w14:paraId="64BECDF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⑶ 配备专职的安全员，且安全员人数满足国家相关法律法规要求；</w:t>
      </w:r>
    </w:p>
    <w:p w14:paraId="655BE8F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⑷ 尽管承包人已按投标书附表中所列的数量派遣了上述各类人员，但若监理人或发包人认为这些人员仍不足以适应现场施工的需要并不能保证工程质量时，有权要求承包人继续增派或雇用这类人员，并书面通知承包人。承包人在接到上述通知后应立即执行监理人或发包人的上述指示，不得无故拖延。</w:t>
      </w:r>
    </w:p>
    <w:p w14:paraId="5746152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4.6.2 承包人安排在工地的主要管理人员和专业技术骨干应专职在岗，不得兼任其他项任何职务，如需对人员安排作变更，必须提前一周以书面形式上报监理人，并经发包人同意方可执行。</w:t>
      </w:r>
    </w:p>
    <w:p w14:paraId="7B819E1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4.6.3 特殊工种（电工、起重工、电焊工、驾驶员等） 要经专业培训，并持有合格证上岗；承包人应在按第4.6.1款要求提交的人员情况报告中，说明承包人人员持有上岗资格证明的情况。监理人有权随时检查承包人人员的上岗资格证明。</w:t>
      </w:r>
    </w:p>
    <w:p w14:paraId="6A1F94E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承包人中的设计团队必须常驻项目现场进行服务，否则发包人有权解除合同，承包人承担由此造成的全部损失，并向发包人支付违约金。</w:t>
      </w:r>
    </w:p>
    <w:p w14:paraId="4DA20B94">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4.5 分包</w:t>
      </w:r>
    </w:p>
    <w:p w14:paraId="20842FDD">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4.5.1 一般约定</w:t>
      </w:r>
    </w:p>
    <w:p w14:paraId="6385F91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禁止分包的工程包括：</w:t>
      </w:r>
      <w:r>
        <w:rPr>
          <w:rFonts w:hint="eastAsia" w:ascii="宋体" w:hAnsi="宋体" w:cs="宋体"/>
          <w:color w:val="auto"/>
          <w:szCs w:val="21"/>
          <w:highlight w:val="none"/>
          <w:u w:val="single"/>
        </w:rPr>
        <w:t>主体结构、关键性工作</w:t>
      </w:r>
      <w:r>
        <w:rPr>
          <w:rFonts w:hint="eastAsia" w:cs="宋体"/>
          <w:color w:val="auto"/>
          <w:szCs w:val="21"/>
          <w:highlight w:val="none"/>
          <w:u w:val="single"/>
        </w:rPr>
        <w:t xml:space="preserve">    </w:t>
      </w:r>
      <w:r>
        <w:rPr>
          <w:rFonts w:hint="eastAsia" w:ascii="宋体" w:hAnsi="宋体" w:cs="宋体"/>
          <w:color w:val="auto"/>
          <w:szCs w:val="21"/>
          <w:highlight w:val="none"/>
        </w:rPr>
        <w:t>。</w:t>
      </w:r>
    </w:p>
    <w:p w14:paraId="1A931E5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4.5.2 分包的确定</w:t>
      </w:r>
    </w:p>
    <w:p w14:paraId="0C3BE7D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允许分包的工程包括：</w:t>
      </w:r>
      <w:r>
        <w:rPr>
          <w:rFonts w:hint="eastAsia" w:ascii="宋体" w:hAnsi="宋体" w:cs="宋体"/>
          <w:color w:val="auto"/>
          <w:szCs w:val="21"/>
          <w:highlight w:val="none"/>
          <w:u w:val="single"/>
        </w:rPr>
        <w:t xml:space="preserve">  主体结构、关键性工作的范围以外的专业工程 。</w:t>
      </w:r>
    </w:p>
    <w:p w14:paraId="74A51F6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其他关于分包的约定：</w:t>
      </w:r>
      <w:r>
        <w:rPr>
          <w:rFonts w:hint="eastAsia" w:ascii="宋体" w:hAnsi="宋体" w:cs="宋体"/>
          <w:color w:val="auto"/>
          <w:szCs w:val="21"/>
          <w:highlight w:val="none"/>
          <w:u w:val="single"/>
        </w:rPr>
        <w:t xml:space="preserve"> 承包人不得以劳务分包的名义转包或违法分包工程。发包人在施工进场第一个月或施工过程中发现承包人转包、挂靠等行为的，发包人立即解除合同，清退出场，承包人已完合格工程量按合同价款60%进行结算。</w:t>
      </w:r>
    </w:p>
    <w:p w14:paraId="0079ACA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4.5.5 分包合同价款支付</w:t>
      </w:r>
    </w:p>
    <w:p w14:paraId="4282556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关于分包合同价款支付的约定：</w:t>
      </w:r>
      <w:r>
        <w:rPr>
          <w:rFonts w:hint="eastAsia" w:ascii="宋体" w:hAnsi="宋体" w:cs="宋体"/>
          <w:color w:val="auto"/>
          <w:szCs w:val="21"/>
          <w:highlight w:val="none"/>
          <w:u w:val="single"/>
        </w:rPr>
        <w:t xml:space="preserve"> （1）除本项第（2）和（3）条约定的情况外，分包合同价款由承包人与分包人结算，未经承包人同意，发包人不得向分包人支付分包工程价款；（2）生效法律文书要求发包人向分包人支付分包合同价款的，发包人有权从应付承包人工程款中扣除该部分款项 ；（3）恶意拖欠农民工工资，并经人力资源和社会保障部门核实的，发包人有权从应付承包人工程款中代付</w:t>
      </w:r>
      <w:r>
        <w:rPr>
          <w:rFonts w:hint="eastAsia" w:ascii="宋体" w:hAnsi="宋体" w:cs="宋体"/>
          <w:color w:val="auto"/>
          <w:szCs w:val="21"/>
          <w:highlight w:val="none"/>
        </w:rPr>
        <w:t>。</w:t>
      </w:r>
    </w:p>
    <w:p w14:paraId="4D785C4E">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4.6 联合体</w:t>
      </w:r>
    </w:p>
    <w:p w14:paraId="22E0925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4.6.2 联合体各成员的分工、费用收取、发票开具等事</w:t>
      </w:r>
      <w:r>
        <w:rPr>
          <w:rFonts w:hint="eastAsia" w:cs="宋体"/>
          <w:color w:val="auto"/>
          <w:szCs w:val="21"/>
          <w:highlight w:val="none"/>
        </w:rPr>
        <w:t>项：</w:t>
      </w:r>
      <w:r>
        <w:rPr>
          <w:rFonts w:hint="eastAsia" w:cs="宋体"/>
          <w:color w:val="auto"/>
          <w:szCs w:val="21"/>
          <w:highlight w:val="none"/>
          <w:u w:val="single"/>
        </w:rPr>
        <w:t xml:space="preserve">  由承包人明确  。</w:t>
      </w:r>
    </w:p>
    <w:p w14:paraId="20B78AB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4.7 承包人现场查勘</w:t>
      </w:r>
    </w:p>
    <w:p w14:paraId="2D20E95B">
      <w:pPr>
        <w:widowControl/>
        <w:tabs>
          <w:tab w:val="left" w:pos="220"/>
        </w:tabs>
        <w:adjustRightInd w:val="0"/>
        <w:snapToGrid w:val="0"/>
        <w:spacing w:line="440" w:lineRule="exact"/>
        <w:ind w:right="250" w:rightChars="119" w:hanging="15"/>
        <w:jc w:val="left"/>
        <w:rPr>
          <w:rFonts w:cs="宋体"/>
          <w:color w:val="auto"/>
          <w:szCs w:val="21"/>
          <w:highlight w:val="none"/>
        </w:rPr>
      </w:pPr>
      <w:r>
        <w:rPr>
          <w:rFonts w:hint="eastAsia" w:ascii="宋体" w:hAnsi="宋体" w:cs="宋体"/>
          <w:color w:val="auto"/>
          <w:szCs w:val="21"/>
          <w:highlight w:val="none"/>
        </w:rPr>
        <w:t>4.7.1 双方当事人对现场查勘的责任承担的约</w:t>
      </w:r>
      <w:r>
        <w:rPr>
          <w:rFonts w:hint="eastAsia" w:cs="宋体"/>
          <w:color w:val="auto"/>
          <w:szCs w:val="21"/>
          <w:highlight w:val="none"/>
        </w:rPr>
        <w:t>定：</w:t>
      </w:r>
      <w:r>
        <w:rPr>
          <w:rFonts w:hint="eastAsia" w:cs="宋体"/>
          <w:color w:val="auto"/>
          <w:szCs w:val="21"/>
          <w:highlight w:val="none"/>
          <w:u w:val="single"/>
        </w:rPr>
        <w:t xml:space="preserve">  承包人自行承担        。</w:t>
      </w:r>
      <w:r>
        <w:rPr>
          <w:rFonts w:hint="eastAsia" w:cs="宋体"/>
          <w:color w:val="auto"/>
          <w:szCs w:val="21"/>
          <w:highlight w:val="none"/>
        </w:rPr>
        <w:t xml:space="preserve">   </w:t>
      </w:r>
    </w:p>
    <w:p w14:paraId="2BF2396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4.8 不可预见的困难</w:t>
      </w:r>
      <w:r>
        <w:rPr>
          <w:rFonts w:hint="eastAsia" w:cs="宋体"/>
          <w:color w:val="auto"/>
          <w:szCs w:val="21"/>
          <w:highlight w:val="none"/>
        </w:rPr>
        <w:t xml:space="preserve"> </w:t>
      </w:r>
    </w:p>
    <w:p w14:paraId="2A85BB1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不可预见的困难包括：</w:t>
      </w:r>
      <w:r>
        <w:rPr>
          <w:rFonts w:hint="eastAsia" w:cs="宋体"/>
          <w:color w:val="auto"/>
          <w:szCs w:val="21"/>
          <w:highlight w:val="none"/>
          <w:u w:val="single"/>
        </w:rPr>
        <w:t>执行通用条合同条件约定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2AA6DBF">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67" w:name="_Toc5903"/>
      <w:bookmarkStart w:id="868" w:name="_Toc54862336"/>
      <w:r>
        <w:rPr>
          <w:rFonts w:hint="eastAsia" w:cs="宋体"/>
          <w:bCs w:val="0"/>
          <w:color w:val="auto"/>
          <w:sz w:val="21"/>
          <w:szCs w:val="21"/>
          <w:highlight w:val="none"/>
        </w:rPr>
        <w:t>第5条 设计</w:t>
      </w:r>
      <w:bookmarkEnd w:id="867"/>
      <w:bookmarkEnd w:id="868"/>
    </w:p>
    <w:p w14:paraId="1031E85D">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5.2 承包人文件审查</w:t>
      </w:r>
    </w:p>
    <w:p w14:paraId="683E232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5.2.1 承包人文件审查的期限：</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发包人对承包人文件审查不超过21天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E7C232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5.2.2 审查会议的审查形式和时间安排为：</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，审查会议的相关费用由</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承包人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承担。</w:t>
      </w:r>
    </w:p>
    <w:p w14:paraId="16CAD1A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5.2.3 关于第三方审查单位的约定：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执行通用条合同条件约定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961B9F">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5.2.4工程设计图</w:t>
      </w:r>
    </w:p>
    <w:p w14:paraId="366CFB4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5.2.4.1 承包人设计义务一般要求</w:t>
      </w:r>
    </w:p>
    <w:p w14:paraId="75ABD11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承包人被视为已仔细审查了发包人要求(包括设计标准和计算，如果有)。</w:t>
      </w:r>
    </w:p>
    <w:p w14:paraId="2C872E4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承包人负责“技术标准及要求 ”中所列工程相关的技术方案、技术规范和要求、设计标准、设计计算以及关于该工程设计、执行的全部现场资料与文件的正确性，并对上述技术文件的正确性和合理性承担责任。</w:t>
      </w:r>
    </w:p>
    <w:p w14:paraId="43FFAE8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承包人在设计完成后，提供概算。</w:t>
      </w:r>
    </w:p>
    <w:p w14:paraId="7FDAD69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承包人应负责工程的设计，并在除下列发包人应负责的部分外，对发包人要求(包括设计标准和计算)的其它内容的设计正确性负责。</w:t>
      </w:r>
    </w:p>
    <w:p w14:paraId="2F16A45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发包人应对由发包人提供的下列数据和资料的正确性负责：</w:t>
      </w:r>
    </w:p>
    <w:p w14:paraId="055AB25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1）在合同中规定的由发包人负责的部分、数据和资料；</w:t>
      </w:r>
    </w:p>
    <w:p w14:paraId="7D92535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2）对工程或其任何部分的预期目的的说明；</w:t>
      </w:r>
    </w:p>
    <w:p w14:paraId="0213778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3）竣工工程的验收标准；</w:t>
      </w:r>
    </w:p>
    <w:p w14:paraId="540C6C8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4）除合同另有说明外，承包人不能核实的部分、数据和资料。</w:t>
      </w:r>
    </w:p>
    <w:p w14:paraId="5A8357E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应负责工程设计的组织、协调、进度控制等所有相关设计工作，并负责对该工程的所有设计工作进行审查，对所有相关设计文件的正确性承担责任。并按合同中承包人文件的有关要求，提供全部的承包人设计文件最终版。</w:t>
      </w:r>
    </w:p>
    <w:p w14:paraId="51CEDF3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5.2.4.2承包人设计文件应包括发包人要求中规定的技术文件、为满足所有规章要求报批的文件、以及竣工文件。</w:t>
      </w:r>
    </w:p>
    <w:p w14:paraId="7C5F673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承包人应编制所有的承包人文件，还应编制指导承包人人员所需要的任何其他文件。</w:t>
      </w:r>
    </w:p>
    <w:p w14:paraId="26F5DF5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5.2.4.3承包人承诺其设计、承包人文件、实施和竣工的工程符合：《光伏发电站设计规范》（GB 50797）、《光伏发电站施工规范》（GB50794）、《光伏发电工程施工组织设计规范》（GB/T 50795）、《光伏发电工程验收规范》（GB/T 50796）和电站所在地环保、消防、建筑、防雷、劳动安全卫生监察等主管部门 的规定及国家强制性标准条文。</w:t>
      </w:r>
    </w:p>
    <w:p w14:paraId="6740CEC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5.2.4.4 设计、承包人文件、施工和竣工工程，均应符合国家的技术标准、建筑、施工与环境方面的法律、以及发包人要求中提出的适用于工程、或适用法律规定的其他标准。</w:t>
      </w:r>
    </w:p>
    <w:p w14:paraId="15E8787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5.2.4.5 承包人应编制并随时更新一套完整的、有关工程施工情况的“竣工” 记录，如实记载竣工工程的准确位置、尺寸和实施工作的详细说明。上述竣工记录应保存在现场，并仅限用于本款的目的。应在竣工验收开始前，提交两套副本给发包人。</w:t>
      </w:r>
    </w:p>
    <w:p w14:paraId="7C20D55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承包人应编制项目施工的音像档案资料，该资料必须符合相关档案管理部门的技术要求。</w:t>
      </w:r>
    </w:p>
    <w:p w14:paraId="6DE656E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此外，承包人应负责绘制并向发包人提供工程的竣工图，表明整个工程的施工完毕的实际情况，提交发包人根据设计文件的规定进行审核。承包人应取得发包人对他们的尺寸、基准系统、及其他相关细节的同意。</w:t>
      </w:r>
    </w:p>
    <w:p w14:paraId="72852AF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在颁发任何移交证书前，承包人应按照发包人要求中规定的份数和复制形式，向发包人提交上述相关的竣工图和竣工质保资料，该资料必须符合和满足相关档案管理部门的技术要求。在发包人收到这些文件前，不应认为工程已经按照单位工程验收规定的接收要求竣工。</w:t>
      </w:r>
    </w:p>
    <w:p w14:paraId="091F7162">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5.5.8 设计期</w:t>
      </w:r>
    </w:p>
    <w:p w14:paraId="3F9CAD8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（1）时间表和里程碑</w:t>
      </w:r>
    </w:p>
    <w:tbl>
      <w:tblPr>
        <w:tblStyle w:val="43"/>
        <w:tblW w:w="85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3"/>
        <w:gridCol w:w="3707"/>
        <w:gridCol w:w="2274"/>
        <w:gridCol w:w="1674"/>
      </w:tblGrid>
      <w:tr w14:paraId="1A02A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863" w:type="dxa"/>
          </w:tcPr>
          <w:p w14:paraId="1BA62E3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序号</w:t>
            </w:r>
          </w:p>
        </w:tc>
        <w:tc>
          <w:tcPr>
            <w:tcW w:w="3707" w:type="dxa"/>
          </w:tcPr>
          <w:p w14:paraId="08248A4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项目名称</w:t>
            </w:r>
          </w:p>
        </w:tc>
        <w:tc>
          <w:tcPr>
            <w:tcW w:w="2274" w:type="dxa"/>
          </w:tcPr>
          <w:p w14:paraId="7314138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完成时间</w:t>
            </w:r>
          </w:p>
        </w:tc>
        <w:tc>
          <w:tcPr>
            <w:tcW w:w="1674" w:type="dxa"/>
          </w:tcPr>
          <w:p w14:paraId="2CD3087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备注</w:t>
            </w:r>
          </w:p>
        </w:tc>
      </w:tr>
      <w:tr w14:paraId="73A1F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863" w:type="dxa"/>
          </w:tcPr>
          <w:p w14:paraId="063D4CB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w:t>
            </w:r>
          </w:p>
        </w:tc>
        <w:tc>
          <w:tcPr>
            <w:tcW w:w="3707" w:type="dxa"/>
          </w:tcPr>
          <w:p w14:paraId="2666860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可研报告</w:t>
            </w:r>
          </w:p>
        </w:tc>
        <w:tc>
          <w:tcPr>
            <w:tcW w:w="2274" w:type="dxa"/>
          </w:tcPr>
          <w:p w14:paraId="7C5311F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p>
        </w:tc>
        <w:tc>
          <w:tcPr>
            <w:tcW w:w="1674" w:type="dxa"/>
          </w:tcPr>
          <w:p w14:paraId="5EE597D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p>
        </w:tc>
      </w:tr>
      <w:tr w14:paraId="31742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863" w:type="dxa"/>
          </w:tcPr>
          <w:p w14:paraId="1AB3137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w:t>
            </w:r>
          </w:p>
        </w:tc>
        <w:tc>
          <w:tcPr>
            <w:tcW w:w="3707" w:type="dxa"/>
          </w:tcPr>
          <w:p w14:paraId="022F61B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初步设计（包括施工图设计概算）</w:t>
            </w:r>
          </w:p>
        </w:tc>
        <w:tc>
          <w:tcPr>
            <w:tcW w:w="2274" w:type="dxa"/>
          </w:tcPr>
          <w:p w14:paraId="34CE0A8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p>
        </w:tc>
        <w:tc>
          <w:tcPr>
            <w:tcW w:w="1674" w:type="dxa"/>
          </w:tcPr>
          <w:p w14:paraId="5347263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（如需要）</w:t>
            </w:r>
          </w:p>
        </w:tc>
      </w:tr>
      <w:tr w14:paraId="3609A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863" w:type="dxa"/>
          </w:tcPr>
          <w:p w14:paraId="7C1E3F2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w:t>
            </w:r>
          </w:p>
        </w:tc>
        <w:tc>
          <w:tcPr>
            <w:tcW w:w="3707" w:type="dxa"/>
          </w:tcPr>
          <w:p w14:paraId="1714FB6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施工图设计</w:t>
            </w:r>
          </w:p>
        </w:tc>
        <w:tc>
          <w:tcPr>
            <w:tcW w:w="2274" w:type="dxa"/>
          </w:tcPr>
          <w:p w14:paraId="1F3EE92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p>
        </w:tc>
        <w:tc>
          <w:tcPr>
            <w:tcW w:w="1674" w:type="dxa"/>
          </w:tcPr>
          <w:p w14:paraId="7F04CEF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p>
        </w:tc>
      </w:tr>
      <w:tr w14:paraId="42042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863" w:type="dxa"/>
          </w:tcPr>
          <w:p w14:paraId="7BA48F5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w:t>
            </w:r>
          </w:p>
        </w:tc>
        <w:tc>
          <w:tcPr>
            <w:tcW w:w="3707" w:type="dxa"/>
          </w:tcPr>
          <w:p w14:paraId="4D207E9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w:t>
            </w:r>
          </w:p>
        </w:tc>
        <w:tc>
          <w:tcPr>
            <w:tcW w:w="2274" w:type="dxa"/>
          </w:tcPr>
          <w:p w14:paraId="69875A5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p>
        </w:tc>
        <w:tc>
          <w:tcPr>
            <w:tcW w:w="1674" w:type="dxa"/>
          </w:tcPr>
          <w:p w14:paraId="272E1BD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p>
        </w:tc>
      </w:tr>
    </w:tbl>
    <w:p w14:paraId="316EC7E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（2）技术规范和承包人义务</w:t>
      </w:r>
    </w:p>
    <w:p w14:paraId="3B6422B4">
      <w:pPr>
        <w:widowControl/>
        <w:tabs>
          <w:tab w:val="left" w:pos="220"/>
        </w:tabs>
        <w:adjustRightInd w:val="0"/>
        <w:snapToGrid w:val="0"/>
        <w:spacing w:line="440" w:lineRule="exact"/>
        <w:ind w:right="250" w:rightChars="119" w:hanging="15"/>
        <w:jc w:val="left"/>
        <w:outlineLvl w:val="5"/>
        <w:rPr>
          <w:rFonts w:ascii="宋体" w:hAnsi="宋体" w:cs="宋体"/>
          <w:color w:val="auto"/>
          <w:szCs w:val="21"/>
          <w:highlight w:val="none"/>
        </w:rPr>
      </w:pPr>
      <w:r>
        <w:rPr>
          <w:rFonts w:hint="eastAsia" w:ascii="宋体" w:hAnsi="宋体" w:cs="宋体"/>
          <w:color w:val="auto"/>
          <w:szCs w:val="21"/>
          <w:highlight w:val="none"/>
        </w:rPr>
        <w:t>1) 承包人必须按照以下文件，完成项目施工图设计。</w:t>
      </w:r>
    </w:p>
    <w:p w14:paraId="0FC2C32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(a)有关部门、单位及发包人通过的方案设计文件；</w:t>
      </w:r>
    </w:p>
    <w:p w14:paraId="52091F3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(b)政府或政府指定或委托的机构出具统一标准或技术要求；</w:t>
      </w:r>
    </w:p>
    <w:p w14:paraId="132CCC8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(c)适合本项目的技术规范和要求；</w:t>
      </w:r>
    </w:p>
    <w:p w14:paraId="587712C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 xml:space="preserve">(d)有关中国国家标准（GB）及其他相关行业标准、法律、法规和规范； </w:t>
      </w:r>
    </w:p>
    <w:p w14:paraId="067BC512">
      <w:pPr>
        <w:widowControl/>
        <w:tabs>
          <w:tab w:val="left" w:pos="220"/>
        </w:tabs>
        <w:adjustRightInd w:val="0"/>
        <w:snapToGrid w:val="0"/>
        <w:spacing w:line="440" w:lineRule="exact"/>
        <w:ind w:right="250" w:rightChars="119" w:hanging="15"/>
        <w:jc w:val="left"/>
        <w:outlineLvl w:val="5"/>
        <w:rPr>
          <w:rFonts w:ascii="宋体" w:hAnsi="宋体" w:cs="宋体"/>
          <w:color w:val="auto"/>
          <w:szCs w:val="21"/>
          <w:highlight w:val="none"/>
        </w:rPr>
      </w:pPr>
      <w:r>
        <w:rPr>
          <w:rFonts w:hint="eastAsia" w:ascii="宋体" w:hAnsi="宋体" w:cs="宋体"/>
          <w:color w:val="auto"/>
          <w:szCs w:val="21"/>
          <w:highlight w:val="none"/>
        </w:rPr>
        <w:t>2)承包人负责在规定时间内保证工程设计符合以下要求：</w:t>
      </w:r>
    </w:p>
    <w:p w14:paraId="635D0D1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1、施工图纸通过相关审查。并根据审查结论负责做必要调整补充。</w:t>
      </w:r>
    </w:p>
    <w:p w14:paraId="7005692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发包人的合理要求，这些要求须是与本合同一致的，如与合同不一致时，承包人需与发包人另行协商。</w:t>
      </w:r>
    </w:p>
    <w:p w14:paraId="4D661F4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5.3 培训</w:t>
      </w:r>
    </w:p>
    <w:p w14:paraId="4AE57AFD">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培训的时长为</w:t>
      </w:r>
      <w:r>
        <w:rPr>
          <w:rFonts w:hint="eastAsia" w:ascii="宋体" w:hAnsi="宋体" w:cs="宋体"/>
          <w:color w:val="auto"/>
          <w:szCs w:val="21"/>
          <w:highlight w:val="none"/>
          <w:u w:val="single"/>
        </w:rPr>
        <w:t xml:space="preserve"> 以发包人需求为准</w:t>
      </w:r>
      <w:r>
        <w:rPr>
          <w:rFonts w:hint="eastAsia" w:ascii="宋体" w:hAnsi="宋体" w:cs="宋体"/>
          <w:color w:val="auto"/>
          <w:szCs w:val="21"/>
          <w:highlight w:val="none"/>
        </w:rPr>
        <w:t>，承包人应为培训提供的人员、设施和其它必要条件</w:t>
      </w:r>
      <w:r>
        <w:rPr>
          <w:rFonts w:hint="eastAsia" w:cs="宋体"/>
          <w:color w:val="auto"/>
          <w:szCs w:val="21"/>
          <w:highlight w:val="none"/>
        </w:rPr>
        <w:t>为</w:t>
      </w:r>
      <w:r>
        <w:rPr>
          <w:rFonts w:hint="eastAsia" w:cs="宋体"/>
          <w:color w:val="auto"/>
          <w:szCs w:val="21"/>
          <w:highlight w:val="none"/>
          <w:u w:val="single"/>
        </w:rPr>
        <w:t xml:space="preserve"> 另行协商确定 。</w:t>
      </w:r>
    </w:p>
    <w:p w14:paraId="4F2DEAE4">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5.4 竣工文件</w:t>
      </w:r>
    </w:p>
    <w:p w14:paraId="02866D15">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5.4.1 竣工文件的形式、提供的份数、技术标准以及其它相关要</w:t>
      </w:r>
      <w:r>
        <w:rPr>
          <w:rFonts w:hint="eastAsia" w:cs="宋体"/>
          <w:color w:val="auto"/>
          <w:szCs w:val="21"/>
          <w:highlight w:val="none"/>
        </w:rPr>
        <w:t>求</w:t>
      </w:r>
      <w:r>
        <w:rPr>
          <w:rFonts w:hint="eastAsia" w:cs="宋体"/>
          <w:color w:val="auto"/>
          <w:szCs w:val="21"/>
          <w:highlight w:val="none"/>
          <w:u w:val="single"/>
        </w:rPr>
        <w:t xml:space="preserve"> 执行发包人统一内容格式   。</w:t>
      </w:r>
    </w:p>
    <w:p w14:paraId="72C5E4C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5.4.3 关于竣工文件的其他约定：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执行发包人统一内容格式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2CBBB5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5.5 操作和维修手册</w:t>
      </w:r>
    </w:p>
    <w:p w14:paraId="6BE7F4F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5.5.3 对最终操作和维修手册的约定：</w:t>
      </w:r>
      <w:r>
        <w:rPr>
          <w:rFonts w:hint="eastAsia" w:cs="宋体"/>
          <w:color w:val="auto"/>
          <w:szCs w:val="21"/>
          <w:highlight w:val="none"/>
          <w:u w:val="single"/>
        </w:rPr>
        <w:t xml:space="preserve"> /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872EF4F">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69" w:name="_Toc54862337"/>
      <w:bookmarkStart w:id="870" w:name="_Toc30321"/>
      <w:r>
        <w:rPr>
          <w:rFonts w:hint="eastAsia" w:cs="宋体"/>
          <w:bCs w:val="0"/>
          <w:color w:val="auto"/>
          <w:sz w:val="21"/>
          <w:szCs w:val="21"/>
          <w:highlight w:val="none"/>
        </w:rPr>
        <w:t>第6条 材料、工程设备</w:t>
      </w:r>
      <w:bookmarkEnd w:id="869"/>
      <w:bookmarkEnd w:id="870"/>
    </w:p>
    <w:p w14:paraId="6A6FB5F2">
      <w:pPr>
        <w:pStyle w:val="42"/>
        <w:widowControl/>
        <w:tabs>
          <w:tab w:val="left" w:pos="220"/>
        </w:tabs>
        <w:adjustRightInd w:val="0"/>
        <w:snapToGrid w:val="0"/>
        <w:spacing w:beforeLines="30" w:afterLines="30" w:line="440" w:lineRule="exact"/>
        <w:ind w:right="250" w:rightChars="119" w:hanging="15"/>
        <w:jc w:val="left"/>
        <w:outlineLvl w:val="3"/>
        <w:rPr>
          <w:rFonts w:cs="宋体"/>
          <w:bCs w:val="0"/>
          <w:color w:val="auto"/>
          <w:sz w:val="21"/>
          <w:szCs w:val="21"/>
          <w:highlight w:val="none"/>
        </w:rPr>
      </w:pPr>
      <w:r>
        <w:rPr>
          <w:rFonts w:hint="eastAsia" w:cs="宋体"/>
          <w:bCs w:val="0"/>
          <w:color w:val="auto"/>
          <w:sz w:val="21"/>
          <w:szCs w:val="21"/>
          <w:highlight w:val="none"/>
        </w:rPr>
        <w:t>6.1 实施方法</w:t>
      </w:r>
    </w:p>
    <w:p w14:paraId="2CAE37A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双方当事人约定的实施方法、设备、设施和材</w:t>
      </w:r>
      <w:r>
        <w:rPr>
          <w:rFonts w:hint="eastAsia" w:cs="宋体"/>
          <w:color w:val="auto"/>
          <w:szCs w:val="21"/>
          <w:highlight w:val="none"/>
        </w:rPr>
        <w:t>料：</w:t>
      </w:r>
      <w:r>
        <w:rPr>
          <w:rFonts w:hint="eastAsia" w:cs="宋体"/>
          <w:color w:val="auto"/>
          <w:szCs w:val="21"/>
          <w:highlight w:val="none"/>
          <w:u w:val="single"/>
        </w:rPr>
        <w:t xml:space="preserve">执行通用条合同条件约定      </w:t>
      </w:r>
      <w:r>
        <w:rPr>
          <w:rFonts w:hint="eastAsia" w:cs="宋体"/>
          <w:color w:val="auto"/>
          <w:szCs w:val="21"/>
          <w:highlight w:val="none"/>
        </w:rPr>
        <w:t xml:space="preserve"> 。</w:t>
      </w:r>
    </w:p>
    <w:p w14:paraId="327234C6">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6.2 材料和工程设备</w:t>
      </w:r>
    </w:p>
    <w:p w14:paraId="2CAFE69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6.2.1 发包人提供的材料和工程设备</w:t>
      </w:r>
    </w:p>
    <w:p w14:paraId="2910662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发包人提供的材料和工程设备验收后，由</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承包人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负责接收、运输和保管。</w:t>
      </w:r>
    </w:p>
    <w:p w14:paraId="479690A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6.2.2 承包人提供的材料和工程设备</w:t>
      </w:r>
    </w:p>
    <w:p w14:paraId="334D219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材料和工程设备的类别、估算数量：</w:t>
      </w:r>
      <w:r>
        <w:rPr>
          <w:rFonts w:hint="eastAsia" w:ascii="宋体" w:hAnsi="宋体" w:cs="宋体"/>
          <w:color w:val="auto"/>
          <w:szCs w:val="21"/>
          <w:highlight w:val="none"/>
          <w:u w:val="single"/>
        </w:rPr>
        <w:t xml:space="preserve">    根据项目实际情况另行约定     </w:t>
      </w:r>
      <w:r>
        <w:rPr>
          <w:rFonts w:hint="eastAsia" w:ascii="宋体" w:hAnsi="宋体" w:cs="宋体"/>
          <w:color w:val="auto"/>
          <w:szCs w:val="21"/>
          <w:highlight w:val="none"/>
        </w:rPr>
        <w:t>。</w:t>
      </w:r>
    </w:p>
    <w:p w14:paraId="49E6078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竣工后试验的生产性材料的类别或（和）清</w:t>
      </w:r>
      <w:r>
        <w:rPr>
          <w:rFonts w:hint="eastAsia" w:cs="宋体"/>
          <w:color w:val="auto"/>
          <w:szCs w:val="21"/>
          <w:highlight w:val="none"/>
        </w:rPr>
        <w:t>单：</w:t>
      </w:r>
      <w:r>
        <w:rPr>
          <w:rFonts w:hint="eastAsia" w:cs="宋体"/>
          <w:color w:val="auto"/>
          <w:szCs w:val="21"/>
          <w:highlight w:val="none"/>
          <w:u w:val="single"/>
        </w:rPr>
        <w:t xml:space="preserve">   </w:t>
      </w:r>
      <w:r>
        <w:rPr>
          <w:rFonts w:hint="eastAsia" w:ascii="宋体" w:hAnsi="宋体" w:cs="宋体"/>
          <w:color w:val="auto"/>
          <w:szCs w:val="21"/>
          <w:highlight w:val="none"/>
          <w:u w:val="single"/>
        </w:rPr>
        <w:t>根据项目实际情况另行约定</w:t>
      </w:r>
      <w:r>
        <w:rPr>
          <w:rFonts w:hint="eastAsia" w:cs="宋体"/>
          <w:color w:val="auto"/>
          <w:szCs w:val="21"/>
          <w:highlight w:val="none"/>
          <w:u w:val="single"/>
        </w:rPr>
        <w:t xml:space="preserve">     。</w:t>
      </w:r>
    </w:p>
    <w:p w14:paraId="6D194C93">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6.2.3 材料和工程设备的保管</w:t>
      </w:r>
    </w:p>
    <w:p w14:paraId="454F834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发包人供应的材料和工程设备的保管费用由</w:t>
      </w:r>
      <w:r>
        <w:rPr>
          <w:rFonts w:hint="eastAsia" w:ascii="宋体" w:hAnsi="宋体" w:cs="宋体"/>
          <w:color w:val="auto"/>
          <w:szCs w:val="21"/>
          <w:highlight w:val="none"/>
          <w:u w:val="single"/>
        </w:rPr>
        <w:t xml:space="preserve">   </w:t>
      </w:r>
      <w:r>
        <w:rPr>
          <w:rFonts w:hint="eastAsia" w:cs="宋体"/>
          <w:color w:val="auto"/>
          <w:szCs w:val="21"/>
          <w:highlight w:val="none"/>
          <w:u w:val="single"/>
        </w:rPr>
        <w:t>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承担。按照材料设备总价款的1.3%计取，支付给承包人，纳入项目结算，但超出施工合理损耗之外部分，不计保管费，且材料设备费用由承包人承担。</w:t>
      </w:r>
    </w:p>
    <w:p w14:paraId="7E16F78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承包人提交保管、维护方案的时间：</w:t>
      </w:r>
      <w:r>
        <w:rPr>
          <w:rFonts w:hint="eastAsia" w:ascii="宋体" w:hAnsi="宋体" w:cs="宋体"/>
          <w:color w:val="auto"/>
          <w:szCs w:val="21"/>
          <w:highlight w:val="none"/>
          <w:u w:val="single"/>
        </w:rPr>
        <w:t xml:space="preserve">     根据项目实际情况另行约定</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151626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发包人提供的库房、堆场、设施和设备：</w:t>
      </w:r>
      <w:r>
        <w:rPr>
          <w:rFonts w:hint="eastAsia" w:ascii="宋体" w:hAnsi="宋体" w:cs="宋体"/>
          <w:color w:val="auto"/>
          <w:szCs w:val="21"/>
          <w:highlight w:val="none"/>
          <w:u w:val="single"/>
        </w:rPr>
        <w:t xml:space="preserve">   根据项目实际情况另行约定</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D42BA0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6.3 样品</w:t>
      </w:r>
    </w:p>
    <w:p w14:paraId="7AD22C3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6.3.1 样品的报送与封存</w:t>
      </w:r>
    </w:p>
    <w:p w14:paraId="259F7E9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需要承包人报送样品的材料或工程设备，样品种类、名称、规格、数</w:t>
      </w:r>
      <w:r>
        <w:rPr>
          <w:rFonts w:hint="eastAsia" w:cs="宋体"/>
          <w:color w:val="auto"/>
          <w:szCs w:val="21"/>
          <w:highlight w:val="none"/>
        </w:rPr>
        <w:t>量：</w:t>
      </w:r>
      <w:r>
        <w:rPr>
          <w:rFonts w:hint="eastAsia" w:cs="宋体"/>
          <w:color w:val="auto"/>
          <w:szCs w:val="21"/>
          <w:highlight w:val="none"/>
          <w:u w:val="single"/>
        </w:rPr>
        <w:t xml:space="preserve"> </w:t>
      </w:r>
      <w:r>
        <w:rPr>
          <w:rFonts w:hint="eastAsia" w:ascii="宋体" w:hAnsi="宋体" w:cs="宋体"/>
          <w:color w:val="auto"/>
          <w:szCs w:val="21"/>
          <w:highlight w:val="none"/>
          <w:u w:val="single"/>
        </w:rPr>
        <w:t>根据项目实际情况另行约定</w:t>
      </w:r>
      <w:r>
        <w:rPr>
          <w:rFonts w:hint="eastAsia" w:cs="宋体"/>
          <w:color w:val="auto"/>
          <w:szCs w:val="21"/>
          <w:highlight w:val="none"/>
          <w:u w:val="single"/>
        </w:rPr>
        <w:t xml:space="preserve"> 。 </w:t>
      </w:r>
    </w:p>
    <w:p w14:paraId="001AFE5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6.4 质量检查</w:t>
      </w:r>
    </w:p>
    <w:p w14:paraId="10BAD8CE">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6.4.1 工程质量要求</w:t>
      </w:r>
    </w:p>
    <w:p w14:paraId="7C65451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工程质量的特殊标准或要求：</w:t>
      </w:r>
      <w:r>
        <w:rPr>
          <w:rFonts w:hint="eastAsia" w:ascii="宋体" w:hAnsi="宋体" w:cs="宋体"/>
          <w:color w:val="auto"/>
          <w:szCs w:val="21"/>
          <w:highlight w:val="none"/>
          <w:u w:val="single"/>
        </w:rPr>
        <w:t xml:space="preserve"> 工程质量必须达到国家工程施工质量验收合格标准。</w:t>
      </w:r>
    </w:p>
    <w:p w14:paraId="538133CC">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6.4.2 质量检查</w:t>
      </w:r>
    </w:p>
    <w:p w14:paraId="09DB2CFF">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除通用合同条件已列明的质量检查的地点外，发包人有权进行质量检查的其他地</w:t>
      </w:r>
      <w:r>
        <w:rPr>
          <w:rFonts w:hint="eastAsia" w:cs="宋体"/>
          <w:color w:val="auto"/>
          <w:szCs w:val="21"/>
          <w:highlight w:val="none"/>
        </w:rPr>
        <w:t>点：</w:t>
      </w:r>
      <w:r>
        <w:rPr>
          <w:rFonts w:hint="eastAsia" w:cs="宋体"/>
          <w:color w:val="auto"/>
          <w:szCs w:val="21"/>
          <w:highlight w:val="none"/>
          <w:u w:val="single"/>
        </w:rPr>
        <w:t xml:space="preserve"> 执行通用合同条件 </w:t>
      </w:r>
      <w:r>
        <w:rPr>
          <w:rFonts w:hint="eastAsia" w:cs="宋体"/>
          <w:color w:val="auto"/>
          <w:szCs w:val="21"/>
          <w:highlight w:val="none"/>
        </w:rPr>
        <w:t>。</w:t>
      </w:r>
    </w:p>
    <w:p w14:paraId="35529DE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6.4.3 隐蔽工程检查</w:t>
      </w:r>
    </w:p>
    <w:p w14:paraId="7D55655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关于隐蔽工程的特别约定：</w:t>
      </w:r>
      <w:r>
        <w:rPr>
          <w:rFonts w:hint="eastAsia" w:ascii="宋体" w:hAnsi="宋体" w:cs="宋体"/>
          <w:color w:val="auto"/>
          <w:szCs w:val="21"/>
          <w:highlight w:val="none"/>
          <w:u w:val="single"/>
        </w:rPr>
        <w:t>隐蔽工程在隐蔽前12小时内、其它项目(分部、分项工程)完工后12小时内，承包人将验收内容、时间和地点以书面形式通知工程师到现场验收，验收合格后 12 小时内，工程师在验收记录上签字后，承包人可继续施工；验收不合格，承包人在发包人限定的时间内整改后重新验收。当发包人要求对已经隐蔽的工程重新检验时，承包人应按其要求进行剥离或开孔，并在检验后重新覆盖或修复。检验合格，发包人承担由此发生的全部费用，赔偿承包人损失，并相应顺延工期；检验不合格，承包人承担由此发生的全部费用，工期不予顺延。</w:t>
      </w:r>
    </w:p>
    <w:p w14:paraId="008EFA16">
      <w:pPr>
        <w:widowControl/>
        <w:tabs>
          <w:tab w:val="left" w:pos="220"/>
        </w:tabs>
        <w:adjustRightInd w:val="0"/>
        <w:snapToGrid w:val="0"/>
        <w:spacing w:line="440" w:lineRule="exact"/>
        <w:ind w:left="-17" w:right="250" w:rightChars="119" w:firstLine="420" w:firstLineChars="200"/>
        <w:jc w:val="left"/>
        <w:rPr>
          <w:color w:val="auto"/>
          <w:highlight w:val="none"/>
        </w:rPr>
      </w:pPr>
      <w:r>
        <w:rPr>
          <w:rFonts w:hint="eastAsia" w:ascii="宋体" w:hAnsi="宋体" w:cs="宋体"/>
          <w:color w:val="auto"/>
          <w:szCs w:val="21"/>
          <w:highlight w:val="none"/>
          <w:u w:val="single"/>
        </w:rPr>
        <w:t>承包人应认真按照行业标准、规范、设计标准的要求以及发包人代表依据合同发出的指令施工，随时接受发包人代表及其委派人员检查检验，为检查检验提供便利条件。由承包人原因引起的质量问题，发包人代表及其委派人员的有权要求返工、修改，由此而导致返工、修改的费用，承包人全部承担，工期不予顺延。</w:t>
      </w:r>
    </w:p>
    <w:p w14:paraId="3D56BE2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12小时。</w:t>
      </w:r>
    </w:p>
    <w:p w14:paraId="6B9B8DF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6.5 由承包人试验和检验</w:t>
      </w:r>
    </w:p>
    <w:p w14:paraId="2C2DFAB0">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6.5.1试验设备与试验人员</w:t>
      </w:r>
    </w:p>
    <w:p w14:paraId="6B31981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试验的内容、时间和地点：</w:t>
      </w:r>
      <w:r>
        <w:rPr>
          <w:rFonts w:hint="eastAsia" w:ascii="宋体" w:hAnsi="宋体" w:cs="宋体"/>
          <w:color w:val="auto"/>
          <w:szCs w:val="21"/>
          <w:highlight w:val="none"/>
          <w:u w:val="single"/>
        </w:rPr>
        <w:t xml:space="preserve">根据质量检测及验收相关规定和现场实际情况确定  </w:t>
      </w:r>
      <w:r>
        <w:rPr>
          <w:rFonts w:hint="eastAsia" w:ascii="宋体" w:hAnsi="宋体" w:cs="宋体"/>
          <w:color w:val="auto"/>
          <w:szCs w:val="21"/>
          <w:highlight w:val="none"/>
        </w:rPr>
        <w:t>。</w:t>
      </w:r>
    </w:p>
    <w:p w14:paraId="1B87B65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试验所需要的试验设备、取样装置、试验场所和试验条</w:t>
      </w:r>
      <w:r>
        <w:rPr>
          <w:rFonts w:hint="eastAsia" w:cs="宋体"/>
          <w:color w:val="auto"/>
          <w:szCs w:val="21"/>
          <w:highlight w:val="none"/>
        </w:rPr>
        <w:t>件：</w:t>
      </w:r>
      <w:r>
        <w:rPr>
          <w:rFonts w:hint="eastAsia" w:ascii="宋体" w:hAnsi="宋体" w:cs="宋体"/>
          <w:color w:val="auto"/>
          <w:szCs w:val="21"/>
          <w:highlight w:val="none"/>
          <w:u w:val="single"/>
        </w:rPr>
        <w:t>根据质量检测及验收相关规定和现场实际情况确定</w:t>
      </w:r>
      <w:r>
        <w:rPr>
          <w:rFonts w:hint="eastAsia" w:cs="宋体"/>
          <w:color w:val="auto"/>
          <w:szCs w:val="21"/>
          <w:highlight w:val="none"/>
          <w:u w:val="single"/>
        </w:rPr>
        <w:t>。</w:t>
      </w:r>
    </w:p>
    <w:p w14:paraId="0ED068D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试验和检验费用的计价原则：</w:t>
      </w:r>
      <w:r>
        <w:rPr>
          <w:rFonts w:hint="eastAsia" w:ascii="宋体" w:hAnsi="宋体" w:cs="宋体"/>
          <w:color w:val="auto"/>
          <w:szCs w:val="21"/>
          <w:highlight w:val="none"/>
          <w:u w:val="single"/>
        </w:rPr>
        <w:t xml:space="preserve"> </w:t>
      </w:r>
      <w:r>
        <w:rPr>
          <w:rFonts w:hint="eastAsia" w:cs="宋体"/>
          <w:color w:val="auto"/>
          <w:szCs w:val="21"/>
          <w:highlight w:val="none"/>
          <w:u w:val="single"/>
        </w:rPr>
        <w:t>由承包人自理，在投标价中自行考虑</w:t>
      </w:r>
      <w:r>
        <w:rPr>
          <w:rFonts w:hint="eastAsia" w:ascii="宋体" w:hAnsi="宋体" w:cs="宋体"/>
          <w:color w:val="auto"/>
          <w:szCs w:val="21"/>
          <w:highlight w:val="none"/>
        </w:rPr>
        <w:t>。</w:t>
      </w:r>
    </w:p>
    <w:p w14:paraId="3A02860C">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71" w:name="_Toc54862338"/>
      <w:bookmarkStart w:id="872" w:name="_Toc18170"/>
      <w:r>
        <w:rPr>
          <w:rFonts w:hint="eastAsia" w:cs="宋体"/>
          <w:bCs w:val="0"/>
          <w:color w:val="auto"/>
          <w:sz w:val="21"/>
          <w:szCs w:val="21"/>
          <w:highlight w:val="none"/>
        </w:rPr>
        <w:t>第7条 施工</w:t>
      </w:r>
      <w:bookmarkEnd w:id="871"/>
      <w:bookmarkEnd w:id="872"/>
    </w:p>
    <w:p w14:paraId="475D796A">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7.1 交通运输</w:t>
      </w:r>
    </w:p>
    <w:p w14:paraId="581C2B3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7.1.1 出入现场的权利</w:t>
      </w:r>
    </w:p>
    <w:p w14:paraId="1BECFF3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关于出入现场的权利的约定：</w:t>
      </w:r>
      <w:r>
        <w:rPr>
          <w:rFonts w:hint="eastAsia" w:ascii="宋体" w:hAnsi="宋体" w:cs="宋体"/>
          <w:color w:val="auto"/>
          <w:szCs w:val="21"/>
          <w:highlight w:val="none"/>
          <w:u w:val="single"/>
        </w:rPr>
        <w:t>发包人应根据施工需要，负责取得出入施工现场所需的批准手续和全部权利，以及取得因施工所需修建道路、桥梁以及其他基础设施的权利，并承担相关手续费用和建设费用，若该费用已包含在本项目发包范围，则由承包人自行解决并承担费用。承包人应协助发包人办理修建场内外道路、桥梁以及其他基础设施的手续。</w:t>
      </w:r>
    </w:p>
    <w:p w14:paraId="1AD274D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u w:val="single"/>
        </w:rPr>
        <w:t>承包人应在订立合同前查勘施工现场，并根据工程规模及技术参数合理预见工程施工所需的进出施工现场的方式、手段、路径等。因承包人未合理预见所增加的费用和（或）延误的工期由承包人承担。</w:t>
      </w:r>
    </w:p>
    <w:p w14:paraId="5389D77A">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7.1.2 场外交通</w:t>
      </w:r>
    </w:p>
    <w:p w14:paraId="0A0731E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关于场外交通的特别约定：</w:t>
      </w:r>
      <w:r>
        <w:rPr>
          <w:rFonts w:hint="eastAsia" w:ascii="宋体" w:hAnsi="宋体" w:cs="宋体"/>
          <w:color w:val="auto"/>
          <w:szCs w:val="21"/>
          <w:highlight w:val="none"/>
          <w:u w:val="single"/>
        </w:rPr>
        <w:t xml:space="preserve">  自行踏勘，自行解决   </w:t>
      </w:r>
      <w:r>
        <w:rPr>
          <w:rFonts w:hint="eastAsia" w:ascii="宋体" w:hAnsi="宋体" w:cs="宋体"/>
          <w:color w:val="auto"/>
          <w:szCs w:val="21"/>
          <w:highlight w:val="none"/>
        </w:rPr>
        <w:t>。</w:t>
      </w:r>
    </w:p>
    <w:p w14:paraId="63DDCD04">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7.1.3 场内交通</w:t>
      </w:r>
    </w:p>
    <w:p w14:paraId="7A5873B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关于场内交通的特别约定：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自行踏勘，自行解决    </w:t>
      </w:r>
      <w:r>
        <w:rPr>
          <w:rFonts w:hint="eastAsia" w:ascii="宋体" w:hAnsi="宋体" w:cs="宋体"/>
          <w:color w:val="auto"/>
          <w:szCs w:val="21"/>
          <w:highlight w:val="none"/>
        </w:rPr>
        <w:t>。</w:t>
      </w:r>
    </w:p>
    <w:p w14:paraId="1E1D5BC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关于场内交通与场外交通边界的约定：</w:t>
      </w:r>
      <w:r>
        <w:rPr>
          <w:rFonts w:hint="eastAsia" w:ascii="宋体" w:hAnsi="宋体" w:cs="宋体"/>
          <w:color w:val="auto"/>
          <w:szCs w:val="21"/>
          <w:highlight w:val="none"/>
          <w:u w:val="single"/>
        </w:rPr>
        <w:t xml:space="preserve">场内交通设施和道路由承包人负责建设，发包人不另支付费用，场内交通边界现场确定。 </w:t>
      </w:r>
    </w:p>
    <w:p w14:paraId="7D7E1715">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7.1.4 超大件和超重件的运输</w:t>
      </w:r>
    </w:p>
    <w:p w14:paraId="31302B9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运输超大件或超重件所需的道路和桥梁临时加固改造费用和其他有关费用由</w:t>
      </w:r>
      <w:r>
        <w:rPr>
          <w:rFonts w:hint="eastAsia" w:ascii="宋体" w:hAnsi="宋体" w:cs="宋体"/>
          <w:color w:val="auto"/>
          <w:szCs w:val="21"/>
          <w:highlight w:val="none"/>
          <w:u w:val="single"/>
        </w:rPr>
        <w:t xml:space="preserve">  </w:t>
      </w:r>
      <w:r>
        <w:rPr>
          <w:rFonts w:hint="eastAsia" w:cs="宋体"/>
          <w:color w:val="auto"/>
          <w:szCs w:val="21"/>
          <w:highlight w:val="none"/>
          <w:u w:val="single"/>
        </w:rPr>
        <w:t>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承担。</w:t>
      </w:r>
    </w:p>
    <w:p w14:paraId="566478C2">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7.2 施工设备和临时设施</w:t>
      </w:r>
    </w:p>
    <w:p w14:paraId="027884A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7.2.1 承包人提供的施工设备和临时设施</w:t>
      </w:r>
    </w:p>
    <w:p w14:paraId="0B675DC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临时设施的费用和临时占地手续和费用承担的特别约定：</w:t>
      </w:r>
      <w:r>
        <w:rPr>
          <w:rFonts w:hint="eastAsia" w:ascii="宋体" w:hAnsi="宋体" w:cs="宋体"/>
          <w:color w:val="auto"/>
          <w:szCs w:val="21"/>
          <w:highlight w:val="none"/>
          <w:u w:val="single"/>
        </w:rPr>
        <w:t xml:space="preserve">  由承包人自行承担费用   </w:t>
      </w:r>
      <w:r>
        <w:rPr>
          <w:rFonts w:hint="eastAsia" w:ascii="宋体" w:hAnsi="宋体" w:cs="宋体"/>
          <w:color w:val="auto"/>
          <w:szCs w:val="21"/>
          <w:highlight w:val="none"/>
        </w:rPr>
        <w:t>。</w:t>
      </w:r>
    </w:p>
    <w:p w14:paraId="1703818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7.2.2 发包人提供的施工设备和临时设施</w:t>
      </w:r>
    </w:p>
    <w:p w14:paraId="504D820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发包人提供的施工设备或临时设施范围：</w:t>
      </w:r>
      <w:r>
        <w:rPr>
          <w:rFonts w:hint="eastAsia" w:ascii="宋体" w:hAnsi="宋体" w:cs="宋体"/>
          <w:color w:val="auto"/>
          <w:szCs w:val="21"/>
          <w:highlight w:val="none"/>
          <w:u w:val="single"/>
        </w:rPr>
        <w:t xml:space="preserve">       </w:t>
      </w:r>
      <w:r>
        <w:rPr>
          <w:rFonts w:hint="eastAsia" w:ascii="宋体" w:hAnsi="宋体" w:cs="宋体"/>
          <w:color w:val="auto"/>
          <w:sz w:val="20"/>
          <w:szCs w:val="20"/>
          <w:highlight w:val="none"/>
          <w:u w:val="single"/>
        </w:rPr>
        <w:t xml:space="preserve"> </w:t>
      </w:r>
      <w:r>
        <w:rPr>
          <w:rFonts w:hint="eastAsia" w:cs="宋体"/>
          <w:color w:val="auto"/>
          <w:sz w:val="20"/>
          <w:szCs w:val="20"/>
          <w:highlight w:val="none"/>
          <w:u w:val="single"/>
        </w:rPr>
        <w:t xml:space="preserve">无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5383C34">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7.3 现场合作</w:t>
      </w:r>
    </w:p>
    <w:p w14:paraId="048EC20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关于现场合作费用的特别约定：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由承包人自行承担费用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9BD6E3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7.4 测量放线</w:t>
      </w:r>
    </w:p>
    <w:p w14:paraId="372AFB4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7.4.1 关于测量放线的特别约定的技术规范：</w:t>
      </w:r>
      <w:r>
        <w:rPr>
          <w:rFonts w:hint="eastAsia" w:cs="宋体"/>
          <w:color w:val="auto"/>
          <w:szCs w:val="21"/>
          <w:highlight w:val="none"/>
          <w:u w:val="single"/>
        </w:rPr>
        <w:t>根据国家测绘基准、测绘系统和工程测量技术规范，按基准点（线）以及合同工程精度要求，测设施工控制网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。施工控制网资料的告知期限：</w:t>
      </w:r>
      <w:r>
        <w:rPr>
          <w:rFonts w:hint="eastAsia" w:cs="宋体"/>
          <w:color w:val="auto"/>
          <w:szCs w:val="21"/>
          <w:highlight w:val="none"/>
          <w:u w:val="single"/>
        </w:rPr>
        <w:t>在满足发包人实际要求的期限内将施工控制网资料报送工程师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2F8D610">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7.5 现场劳动用工</w:t>
      </w:r>
    </w:p>
    <w:p w14:paraId="3D75176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7.5.2 合同当事人对建筑工人工资清偿事宜和违约责任的约定：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53BE3BE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7.6 安全文明施工</w:t>
      </w:r>
    </w:p>
    <w:p w14:paraId="337211C3">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7.6.1 安全生产要求</w:t>
      </w:r>
    </w:p>
    <w:p w14:paraId="41BB912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合同当事人对安全施工的要求：</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执行国家、省、市的相关规定和招标文件</w:t>
      </w:r>
      <w:r>
        <w:rPr>
          <w:rFonts w:hint="eastAsia" w:cs="宋体"/>
          <w:color w:val="auto"/>
          <w:szCs w:val="21"/>
          <w:highlight w:val="none"/>
          <w:u w:val="single"/>
        </w:rPr>
        <w:t xml:space="preserve">      </w:t>
      </w:r>
      <w:r>
        <w:rPr>
          <w:rFonts w:hint="eastAsia" w:ascii="宋体" w:hAnsi="宋体" w:cs="宋体"/>
          <w:color w:val="auto"/>
          <w:szCs w:val="21"/>
          <w:highlight w:val="none"/>
        </w:rPr>
        <w:t>。</w:t>
      </w:r>
    </w:p>
    <w:p w14:paraId="0E961738">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7.6.3 文明施工</w:t>
      </w:r>
    </w:p>
    <w:p w14:paraId="3C27A21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合同当事人对文明施工的要求：</w:t>
      </w:r>
      <w:r>
        <w:rPr>
          <w:rFonts w:hint="eastAsia" w:ascii="宋体" w:hAnsi="宋体" w:cs="宋体"/>
          <w:color w:val="auto"/>
          <w:szCs w:val="21"/>
          <w:highlight w:val="none"/>
          <w:u w:val="single"/>
        </w:rPr>
        <w:t xml:space="preserve">  执行国家、省、市的相关规定和招标文件</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4D9932E">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7.9 临时性公用设施</w:t>
      </w:r>
    </w:p>
    <w:p w14:paraId="2FA5FEF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关于临时性公用设施的特别约定：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现场已完成三通一平  </w:t>
      </w:r>
      <w:r>
        <w:rPr>
          <w:rFonts w:hint="eastAsia" w:ascii="宋体" w:hAnsi="宋体" w:cs="宋体"/>
          <w:color w:val="auto"/>
          <w:szCs w:val="21"/>
          <w:highlight w:val="none"/>
        </w:rPr>
        <w:t>。</w:t>
      </w:r>
    </w:p>
    <w:p w14:paraId="53BFB7B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7.10 现场安保</w:t>
      </w:r>
    </w:p>
    <w:p w14:paraId="2808DF1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承包人现场安保义务的特别约定：</w:t>
      </w:r>
      <w:r>
        <w:rPr>
          <w:rFonts w:hint="eastAsia" w:ascii="宋体" w:hAnsi="宋体" w:cs="宋体"/>
          <w:color w:val="auto"/>
          <w:szCs w:val="21"/>
          <w:highlight w:val="none"/>
          <w:u w:val="single"/>
        </w:rPr>
        <w:t xml:space="preserve">承包人承担所有安保责任，发包人负责做好与当地公安部门协调工作。承包人应在工程开工后7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 </w:t>
      </w:r>
    </w:p>
    <w:p w14:paraId="5D259FEC">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73" w:name="_Toc31487"/>
      <w:bookmarkStart w:id="874" w:name="_Toc54862339"/>
      <w:r>
        <w:rPr>
          <w:rFonts w:hint="eastAsia" w:cs="宋体"/>
          <w:bCs w:val="0"/>
          <w:color w:val="auto"/>
          <w:sz w:val="21"/>
          <w:szCs w:val="21"/>
          <w:highlight w:val="none"/>
        </w:rPr>
        <w:t>第8条 工期和进度</w:t>
      </w:r>
      <w:bookmarkEnd w:id="873"/>
      <w:bookmarkEnd w:id="874"/>
    </w:p>
    <w:p w14:paraId="5031DDA9">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8.1 开始工作</w:t>
      </w:r>
    </w:p>
    <w:p w14:paraId="588767C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8.1.1 开始准备工作：</w:t>
      </w:r>
      <w:r>
        <w:rPr>
          <w:rFonts w:hint="eastAsia" w:ascii="宋体" w:hAnsi="宋体" w:cs="宋体"/>
          <w:color w:val="auto"/>
          <w:szCs w:val="21"/>
          <w:highlight w:val="none"/>
          <w:u w:val="single"/>
        </w:rPr>
        <w:t xml:space="preserve">中标公示期满且无异议后立即开展施工准备工作 </w:t>
      </w:r>
      <w:r>
        <w:rPr>
          <w:rFonts w:hint="eastAsia" w:ascii="宋体" w:hAnsi="宋体" w:cs="宋体"/>
          <w:color w:val="auto"/>
          <w:szCs w:val="21"/>
          <w:highlight w:val="none"/>
        </w:rPr>
        <w:t>。</w:t>
      </w:r>
    </w:p>
    <w:p w14:paraId="2CF2719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bookmarkStart w:id="875" w:name="_Hlk73873366"/>
      <w:r>
        <w:rPr>
          <w:rFonts w:hint="eastAsia" w:ascii="宋体" w:hAnsi="宋体" w:cs="宋体"/>
          <w:color w:val="auto"/>
          <w:szCs w:val="21"/>
          <w:highlight w:val="none"/>
        </w:rPr>
        <w:t>8.1.2 发包人可在计划开始工作之日起3日后发出开始工作通知的特殊情形：</w:t>
      </w:r>
      <w:r>
        <w:rPr>
          <w:rFonts w:hint="eastAsia" w:ascii="宋体" w:hAnsi="宋体" w:cs="宋体"/>
          <w:color w:val="auto"/>
          <w:szCs w:val="21"/>
          <w:highlight w:val="none"/>
          <w:u w:val="single"/>
        </w:rPr>
        <w:t>根据项目实际情况另行约定 。</w:t>
      </w:r>
    </w:p>
    <w:bookmarkEnd w:id="875"/>
    <w:p w14:paraId="4F2A06A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8.2 竣工日期</w:t>
      </w:r>
    </w:p>
    <w:p w14:paraId="3314B40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竣工日期的约定：</w:t>
      </w:r>
      <w:r>
        <w:rPr>
          <w:rFonts w:hint="eastAsia" w:cs="宋体"/>
          <w:color w:val="auto"/>
          <w:szCs w:val="21"/>
          <w:highlight w:val="none"/>
          <w:u w:val="single"/>
        </w:rPr>
        <w:t xml:space="preserve">整体工程完工后组织竣工验收，验收合格之日作为竣工日期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6CC7C0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8.3 项目实施计划</w:t>
      </w:r>
    </w:p>
    <w:p w14:paraId="15F21FC5">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8.3.1 项目实施计划的内容</w:t>
      </w:r>
    </w:p>
    <w:p w14:paraId="28BBC52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项目实施计划的内容：</w:t>
      </w:r>
      <w:r>
        <w:rPr>
          <w:rFonts w:hint="eastAsia" w:cs="宋体"/>
          <w:color w:val="auto"/>
          <w:szCs w:val="21"/>
          <w:highlight w:val="none"/>
          <w:u w:val="single"/>
        </w:rPr>
        <w:t xml:space="preserve">本工程需按照总进度计划编制每月施工进度计划，经监理、发包人审批后作为进度考核和进度款支付的依据 </w:t>
      </w:r>
      <w:r>
        <w:rPr>
          <w:rFonts w:hint="eastAsia" w:ascii="宋体" w:hAnsi="宋体" w:cs="宋体"/>
          <w:color w:val="auto"/>
          <w:szCs w:val="21"/>
          <w:highlight w:val="none"/>
        </w:rPr>
        <w:t>。</w:t>
      </w:r>
    </w:p>
    <w:p w14:paraId="33851233">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8.3.2 项目实施计划的提交和修改</w:t>
      </w:r>
    </w:p>
    <w:p w14:paraId="63E58FC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项目实施计划的提交及修改期限：</w:t>
      </w:r>
      <w:r>
        <w:rPr>
          <w:rFonts w:hint="eastAsia" w:cs="宋体"/>
          <w:color w:val="auto"/>
          <w:szCs w:val="21"/>
          <w:highlight w:val="none"/>
          <w:u w:val="single"/>
        </w:rPr>
        <w:t>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 。</w:t>
      </w:r>
    </w:p>
    <w:p w14:paraId="48C7D9AB">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8.4 项目进度计划</w:t>
      </w:r>
    </w:p>
    <w:p w14:paraId="4A12B5E6">
      <w:pPr>
        <w:widowControl/>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8.4.1 工程师在收到进度计划后确认或提出修改意见的期限：</w:t>
      </w:r>
      <w:r>
        <w:rPr>
          <w:rFonts w:hint="eastAsia" w:cs="宋体"/>
          <w:color w:val="auto"/>
          <w:szCs w:val="21"/>
          <w:highlight w:val="none"/>
          <w:u w:val="single"/>
        </w:rPr>
        <w:t>发包人和监理人应在收到修订的施工进度计划后7天内完成审核和批准或提出修改意见。发包人和监理人对承包人提交的施工进度计划的确认，不能减轻或免除承包人根据法律规定和合同约定应承担的任何责任或义务。承包人必须按照批准的进度计划组织施工，接受发包人对进度的检查、监督，工程实际进展与进度计划不符时，应提供修改，调整后的进度计划及相应的措施报发包人批准后执行。</w:t>
      </w:r>
    </w:p>
    <w:p w14:paraId="1B3C0AEA">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8.4.2 进度计划的具体要求：</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5DE19E3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关键路径及关键路径变化的确定原则：</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701043D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承包人提交项目进度计划的份数和时间：</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1574FB38">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8.4.3 进度计划的修订</w:t>
      </w:r>
    </w:p>
    <w:p w14:paraId="245A373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承包人提交修订项目进度计划申请报告的期限：</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53640FE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发包人批复修订项目进度计划申请报告的期限：</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2B69F55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承包人答复发包人提出修订合同计划的期限：</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40716126">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8.5 进度报告</w:t>
      </w:r>
    </w:p>
    <w:p w14:paraId="283E8CB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进度报告的具体要求：</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32D26FFA">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8.7 工期延误</w:t>
      </w:r>
    </w:p>
    <w:p w14:paraId="612ABB97">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8.7.2 因承包人原因导致工期延误</w:t>
      </w:r>
    </w:p>
    <w:p w14:paraId="4921392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u w:val="single"/>
        </w:rPr>
        <w:t>每延期一天将处以5</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000元违约金。工期提前不奖励。</w:t>
      </w:r>
    </w:p>
    <w:p w14:paraId="20D3168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8.7.3 行政审批迟延</w:t>
      </w:r>
    </w:p>
    <w:p w14:paraId="08C5041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行政审批报送的职责分工：</w:t>
      </w:r>
      <w:r>
        <w:rPr>
          <w:rFonts w:hint="eastAsia" w:ascii="宋体" w:hAnsi="宋体" w:cs="宋体"/>
          <w:color w:val="auto"/>
          <w:szCs w:val="21"/>
          <w:highlight w:val="none"/>
          <w:u w:val="single"/>
        </w:rPr>
        <w:t xml:space="preserve">  根据发包人要求，承包人配合   </w:t>
      </w:r>
      <w:r>
        <w:rPr>
          <w:rFonts w:hint="eastAsia" w:ascii="宋体" w:hAnsi="宋体" w:cs="宋体"/>
          <w:color w:val="auto"/>
          <w:szCs w:val="21"/>
          <w:highlight w:val="none"/>
        </w:rPr>
        <w:t>。</w:t>
      </w:r>
    </w:p>
    <w:p w14:paraId="0076871E">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8.7.4 异常恶劣的气候条件</w:t>
      </w:r>
    </w:p>
    <w:p w14:paraId="4EDD051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双方约定视为异常恶劣的气候条件的情形：</w:t>
      </w:r>
      <w:r>
        <w:rPr>
          <w:rFonts w:hint="eastAsia" w:ascii="宋体" w:hAnsi="宋体" w:cs="宋体"/>
          <w:color w:val="auto"/>
          <w:szCs w:val="21"/>
          <w:highlight w:val="none"/>
          <w:u w:val="single"/>
        </w:rPr>
        <w:t xml:space="preserve">    </w:t>
      </w:r>
      <w:r>
        <w:rPr>
          <w:rFonts w:hint="eastAsia" w:cs="宋体"/>
          <w:color w:val="auto"/>
          <w:szCs w:val="21"/>
          <w:highlight w:val="none"/>
          <w:u w:val="single"/>
        </w:rPr>
        <w:t>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A85C7B">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8.8 工期提前</w:t>
      </w:r>
    </w:p>
    <w:p w14:paraId="704529B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8.8.2 承包人提前竣工的奖励：</w:t>
      </w:r>
      <w:r>
        <w:rPr>
          <w:rFonts w:hint="eastAsia" w:ascii="宋体" w:hAnsi="宋体" w:cs="宋体"/>
          <w:color w:val="auto"/>
          <w:szCs w:val="21"/>
          <w:highlight w:val="none"/>
          <w:u w:val="single"/>
        </w:rPr>
        <w:t xml:space="preserve">   提前无奖励    </w:t>
      </w:r>
      <w:r>
        <w:rPr>
          <w:rFonts w:hint="eastAsia" w:ascii="宋体" w:hAnsi="宋体" w:cs="宋体"/>
          <w:color w:val="auto"/>
          <w:szCs w:val="21"/>
          <w:highlight w:val="none"/>
        </w:rPr>
        <w:t>。</w:t>
      </w:r>
    </w:p>
    <w:p w14:paraId="31603451">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76" w:name="_Toc22791"/>
      <w:bookmarkStart w:id="877" w:name="_Toc54862340"/>
      <w:r>
        <w:rPr>
          <w:rFonts w:hint="eastAsia" w:cs="宋体"/>
          <w:bCs w:val="0"/>
          <w:color w:val="auto"/>
          <w:sz w:val="21"/>
          <w:szCs w:val="21"/>
          <w:highlight w:val="none"/>
        </w:rPr>
        <w:t>第9条 竣工试验</w:t>
      </w:r>
      <w:bookmarkEnd w:id="876"/>
      <w:bookmarkEnd w:id="877"/>
    </w:p>
    <w:p w14:paraId="548B88FA">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9.1 竣工试验的义务</w:t>
      </w:r>
    </w:p>
    <w:p w14:paraId="5AC483A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9.1.3 竣工试验的阶段、内容和顺序：</w:t>
      </w:r>
      <w:r>
        <w:rPr>
          <w:rFonts w:hint="eastAsia" w:ascii="宋体" w:hAnsi="宋体" w:cs="宋体"/>
          <w:color w:val="auto"/>
          <w:szCs w:val="21"/>
          <w:highlight w:val="none"/>
          <w:u w:val="single"/>
        </w:rPr>
        <w:t xml:space="preserve">  执行国家、省、市的相关规定 。</w:t>
      </w:r>
    </w:p>
    <w:p w14:paraId="4083C0E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竣工试验的操作要求：</w:t>
      </w:r>
      <w:r>
        <w:rPr>
          <w:rFonts w:hint="eastAsia" w:ascii="宋体" w:hAnsi="宋体" w:cs="宋体"/>
          <w:color w:val="auto"/>
          <w:szCs w:val="21"/>
          <w:highlight w:val="none"/>
          <w:u w:val="single"/>
        </w:rPr>
        <w:t xml:space="preserve">   执行国家、省、市的相关规定    </w:t>
      </w:r>
      <w:r>
        <w:rPr>
          <w:rFonts w:hint="eastAsia" w:ascii="宋体" w:hAnsi="宋体" w:cs="宋体"/>
          <w:color w:val="auto"/>
          <w:szCs w:val="21"/>
          <w:highlight w:val="none"/>
        </w:rPr>
        <w:t>。</w:t>
      </w:r>
    </w:p>
    <w:p w14:paraId="7F2B06E3">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78" w:name="_Toc20444"/>
      <w:bookmarkStart w:id="879" w:name="_Toc54862341"/>
      <w:r>
        <w:rPr>
          <w:rFonts w:hint="eastAsia" w:cs="宋体"/>
          <w:bCs w:val="0"/>
          <w:color w:val="auto"/>
          <w:sz w:val="21"/>
          <w:szCs w:val="21"/>
          <w:highlight w:val="none"/>
        </w:rPr>
        <w:t>第10条 验收和工程接收</w:t>
      </w:r>
      <w:bookmarkEnd w:id="878"/>
      <w:bookmarkEnd w:id="879"/>
    </w:p>
    <w:p w14:paraId="4CB9119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10.1 竣工验收</w:t>
      </w:r>
    </w:p>
    <w:p w14:paraId="7AA4FE1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10.1.2 关于竣工验收程序的约定：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执行国家、省、市的相关规定    </w:t>
      </w:r>
      <w:r>
        <w:rPr>
          <w:rFonts w:hint="eastAsia" w:ascii="宋体" w:hAnsi="宋体" w:cs="宋体"/>
          <w:color w:val="auto"/>
          <w:szCs w:val="21"/>
          <w:highlight w:val="none"/>
        </w:rPr>
        <w:t>。</w:t>
      </w:r>
    </w:p>
    <w:p w14:paraId="3F2DC47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bookmarkStart w:id="880" w:name="_Hlk46406260"/>
      <w:r>
        <w:rPr>
          <w:rFonts w:hint="eastAsia" w:ascii="宋体" w:hAnsi="宋体" w:cs="宋体"/>
          <w:color w:val="auto"/>
          <w:szCs w:val="21"/>
          <w:highlight w:val="none"/>
        </w:rPr>
        <w:t>发包人不按照合同约定组织竣工验收、颁发工程接受证书的违约金的计算方式：</w:t>
      </w:r>
      <w:r>
        <w:rPr>
          <w:rFonts w:hint="eastAsia" w:cs="宋体"/>
          <w:color w:val="auto"/>
          <w:szCs w:val="21"/>
          <w:highlight w:val="none"/>
          <w:u w:val="single"/>
        </w:rPr>
        <w:t>不考虑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bookmarkEnd w:id="880"/>
    <w:p w14:paraId="0D65AD49">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10.3工程的接收</w:t>
      </w:r>
    </w:p>
    <w:p w14:paraId="41B1ECB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10.3.1工程接收的先后顺序、时间安排和其他要求：</w:t>
      </w:r>
      <w:r>
        <w:rPr>
          <w:rFonts w:hint="eastAsia" w:ascii="宋体" w:hAnsi="宋体" w:cs="宋体"/>
          <w:color w:val="auto"/>
          <w:szCs w:val="21"/>
          <w:highlight w:val="none"/>
          <w:u w:val="single"/>
        </w:rPr>
        <w:t xml:space="preserve"> 承包人应当无条件配合发包人在30日内完成工程移交。</w:t>
      </w:r>
    </w:p>
    <w:p w14:paraId="4AB9999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10.3.2 接受工程时承包人需提交竣工验收资料的类别、内容、份数和提交时间：</w:t>
      </w:r>
      <w:r>
        <w:rPr>
          <w:rFonts w:hint="eastAsia" w:ascii="宋体" w:hAnsi="宋体" w:cs="宋体"/>
          <w:color w:val="auto"/>
          <w:szCs w:val="21"/>
          <w:highlight w:val="none"/>
          <w:u w:val="single"/>
        </w:rPr>
        <w:t xml:space="preserve">  </w:t>
      </w:r>
      <w:r>
        <w:rPr>
          <w:rFonts w:hint="eastAsia" w:cs="宋体"/>
          <w:color w:val="auto"/>
          <w:szCs w:val="21"/>
          <w:highlight w:val="none"/>
          <w:u w:val="single"/>
        </w:rPr>
        <w:t>执行发包人同意内容格式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9021B2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10.3.3 发包人逾期接收工程的违约责任：</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4F7160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10.3.4 承包人无正当理由不移交工程的违约责任：</w:t>
      </w:r>
      <w:r>
        <w:rPr>
          <w:rFonts w:hint="eastAsia" w:ascii="宋体" w:hAnsi="宋体" w:cs="宋体"/>
          <w:color w:val="auto"/>
          <w:szCs w:val="21"/>
          <w:highlight w:val="none"/>
          <w:u w:val="single"/>
        </w:rPr>
        <w:t xml:space="preserve"> 因承包人原因，未按合同期限按时移交的，暂停工程款支付，发包人可动用质保金，用于工程质量整改。</w:t>
      </w:r>
    </w:p>
    <w:p w14:paraId="52C2ABE0">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10.4 接收证书</w:t>
      </w:r>
    </w:p>
    <w:p w14:paraId="02E06424">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10.4.1 工程接收证书颁发时间：</w:t>
      </w:r>
      <w:r>
        <w:rPr>
          <w:rFonts w:hint="eastAsia" w:ascii="宋体" w:hAnsi="宋体" w:cs="宋体"/>
          <w:color w:val="auto"/>
          <w:szCs w:val="21"/>
          <w:highlight w:val="none"/>
          <w:u w:val="single"/>
        </w:rPr>
        <w:t xml:space="preserve"> </w:t>
      </w:r>
      <w:r>
        <w:rPr>
          <w:rFonts w:hint="eastAsia" w:cs="宋体"/>
          <w:color w:val="auto"/>
          <w:szCs w:val="21"/>
          <w:highlight w:val="none"/>
          <w:u w:val="single"/>
        </w:rPr>
        <w:t>执行通用合同条件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02510A5">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10.5 竣工退场</w:t>
      </w:r>
    </w:p>
    <w:p w14:paraId="17A6761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10.5.1 竣工退场的相关约定：</w:t>
      </w:r>
      <w:r>
        <w:rPr>
          <w:rFonts w:hint="eastAsia" w:ascii="宋体" w:hAnsi="宋体" w:cs="宋体"/>
          <w:color w:val="auto"/>
          <w:szCs w:val="21"/>
          <w:highlight w:val="none"/>
          <w:u w:val="single"/>
        </w:rPr>
        <w:t xml:space="preserve">  工程竣工合格后，7天内退场。</w:t>
      </w:r>
    </w:p>
    <w:p w14:paraId="16B1A31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10.5.3人员撤离</w:t>
      </w:r>
    </w:p>
    <w:p w14:paraId="4CBACD0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工程师同意需在缺陷责任期内继续工作和使用的人员、施工设备和临时工程的内容：</w:t>
      </w:r>
      <w:r>
        <w:rPr>
          <w:rFonts w:hint="eastAsia" w:ascii="宋体" w:hAnsi="宋体" w:cs="宋体"/>
          <w:color w:val="auto"/>
          <w:szCs w:val="21"/>
          <w:highlight w:val="none"/>
          <w:u w:val="single"/>
        </w:rPr>
        <w:t xml:space="preserve"> </w:t>
      </w:r>
      <w:r>
        <w:rPr>
          <w:rFonts w:hint="eastAsia" w:cs="宋体"/>
          <w:color w:val="auto"/>
          <w:szCs w:val="21"/>
          <w:highlight w:val="none"/>
          <w:u w:val="single"/>
        </w:rPr>
        <w:t>满足缺陷责任期内继续工作的使用要求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0B8BAC9">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81" w:name="_Toc31491"/>
      <w:bookmarkStart w:id="882" w:name="_Toc54862342"/>
      <w:r>
        <w:rPr>
          <w:rFonts w:hint="eastAsia" w:cs="宋体"/>
          <w:bCs w:val="0"/>
          <w:color w:val="auto"/>
          <w:sz w:val="21"/>
          <w:szCs w:val="21"/>
          <w:highlight w:val="none"/>
        </w:rPr>
        <w:t>第11条 缺陷责任与保修</w:t>
      </w:r>
      <w:bookmarkEnd w:id="881"/>
      <w:bookmarkEnd w:id="882"/>
    </w:p>
    <w:p w14:paraId="3E0F90C2">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11.2 缺陷责任期</w:t>
      </w:r>
    </w:p>
    <w:p w14:paraId="3863BE8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缺陷责任期的期限：</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869321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11.3 缺陷调查</w:t>
      </w:r>
    </w:p>
    <w:p w14:paraId="557CB21D">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11.3.4 修复通知</w:t>
      </w:r>
    </w:p>
    <w:p w14:paraId="0C3D7E7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承包人收到保修通知并到达工程现场的合理时间：</w:t>
      </w:r>
      <w:r>
        <w:rPr>
          <w:rStyle w:val="44"/>
          <w:rFonts w:hint="eastAsia" w:eastAsia="宋体" w:cs="宋体"/>
          <w:b/>
          <w:bCs/>
          <w:color w:val="auto"/>
          <w:sz w:val="21"/>
          <w:szCs w:val="21"/>
          <w:highlight w:val="none"/>
          <w:u w:val="single"/>
        </w:rPr>
        <w:t>按照本合同附件《质量管理协议》中约定的条款执行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3D55C77">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11.6 缺陷责任期终止证书</w:t>
      </w:r>
    </w:p>
    <w:p w14:paraId="77855DE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承包人应于缺陷责任期届满后</w:t>
      </w:r>
      <w:r>
        <w:rPr>
          <w:rFonts w:hint="eastAsia" w:ascii="宋体" w:hAnsi="宋体" w:cs="宋体"/>
          <w:color w:val="auto"/>
          <w:szCs w:val="21"/>
          <w:highlight w:val="none"/>
          <w:u w:val="single"/>
        </w:rPr>
        <w:t xml:space="preserve">  </w:t>
      </w:r>
      <w:r>
        <w:rPr>
          <w:rFonts w:hint="eastAsia" w:cs="宋体"/>
          <w:color w:val="auto"/>
          <w:szCs w:val="21"/>
          <w:highlight w:val="none"/>
          <w:u w:val="single"/>
        </w:rPr>
        <w:t>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天内向发包人发出缺陷责任期届满通知，发包人应在收到缺陷责任期满通知后</w:t>
      </w:r>
      <w:r>
        <w:rPr>
          <w:rFonts w:hint="eastAsia" w:ascii="宋体" w:hAnsi="宋体" w:cs="宋体"/>
          <w:color w:val="auto"/>
          <w:szCs w:val="21"/>
          <w:highlight w:val="none"/>
          <w:u w:val="single"/>
        </w:rPr>
        <w:t xml:space="preserve">  </w:t>
      </w:r>
      <w:r>
        <w:rPr>
          <w:rFonts w:hint="eastAsia" w:cs="宋体"/>
          <w:color w:val="auto"/>
          <w:szCs w:val="21"/>
          <w:highlight w:val="none"/>
          <w:u w:val="single"/>
        </w:rPr>
        <w:t>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天内核实承包人是否履行缺陷修复义务，承包人未能履行缺陷修复义务的，发包人有权扣除相应金额的维修费用。发包人应在收到缺陷责任期届满通知，经现场回访合格后</w:t>
      </w:r>
      <w:r>
        <w:rPr>
          <w:rFonts w:hint="eastAsia" w:ascii="宋体" w:hAnsi="宋体" w:cs="宋体"/>
          <w:color w:val="auto"/>
          <w:szCs w:val="21"/>
          <w:highlight w:val="none"/>
          <w:u w:val="single"/>
        </w:rPr>
        <w:t xml:space="preserve"> </w:t>
      </w:r>
      <w:r>
        <w:rPr>
          <w:rFonts w:hint="eastAsia" w:cs="宋体"/>
          <w:color w:val="auto"/>
          <w:szCs w:val="21"/>
          <w:highlight w:val="none"/>
          <w:u w:val="single"/>
        </w:rPr>
        <w:t>28</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天内，向承包人颁发缺陷责任期终止证书。</w:t>
      </w:r>
    </w:p>
    <w:p w14:paraId="3BBE00BE">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11.7 保修责任</w:t>
      </w:r>
    </w:p>
    <w:p w14:paraId="1DE6525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工程质量保修范围、期限和责任为：</w:t>
      </w:r>
      <w:r>
        <w:rPr>
          <w:rStyle w:val="44"/>
          <w:rFonts w:hint="eastAsia" w:eastAsia="宋体" w:cs="宋体"/>
          <w:b/>
          <w:bCs/>
          <w:color w:val="auto"/>
          <w:sz w:val="21"/>
          <w:szCs w:val="21"/>
          <w:highlight w:val="none"/>
          <w:u w:val="single"/>
        </w:rPr>
        <w:t>按照本合同附件《质量管理协议》中约定的条款执行</w:t>
      </w:r>
      <w:r>
        <w:rPr>
          <w:rFonts w:hint="eastAsia" w:ascii="宋体" w:hAnsi="宋体" w:cs="宋体"/>
          <w:b/>
          <w:bCs/>
          <w:color w:val="auto"/>
          <w:szCs w:val="21"/>
          <w:highlight w:val="none"/>
          <w:u w:val="single"/>
        </w:rPr>
        <w:t xml:space="preserve"> </w:t>
      </w:r>
      <w:r>
        <w:rPr>
          <w:rFonts w:hint="eastAsia" w:ascii="宋体" w:hAnsi="宋体" w:cs="宋体"/>
          <w:color w:val="auto"/>
          <w:szCs w:val="21"/>
          <w:highlight w:val="none"/>
        </w:rPr>
        <w:t>。</w:t>
      </w:r>
    </w:p>
    <w:p w14:paraId="7D7D9390">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83" w:name="_Toc17226"/>
      <w:bookmarkStart w:id="884" w:name="_Toc54862343"/>
      <w:r>
        <w:rPr>
          <w:rFonts w:hint="eastAsia" w:cs="宋体"/>
          <w:bCs w:val="0"/>
          <w:color w:val="auto"/>
          <w:sz w:val="21"/>
          <w:szCs w:val="21"/>
          <w:highlight w:val="none"/>
        </w:rPr>
        <w:t>第12条 竣工后试验</w:t>
      </w:r>
      <w:bookmarkEnd w:id="883"/>
      <w:bookmarkEnd w:id="884"/>
    </w:p>
    <w:p w14:paraId="01521E4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本合同工程是否包含竣工后试验：</w:t>
      </w:r>
      <w:r>
        <w:rPr>
          <w:rFonts w:hint="eastAsia" w:ascii="宋体" w:hAnsi="宋体" w:cs="宋体"/>
          <w:color w:val="auto"/>
          <w:szCs w:val="21"/>
          <w:highlight w:val="none"/>
          <w:u w:val="single"/>
        </w:rPr>
        <w:t xml:space="preserve">   是                  </w:t>
      </w:r>
      <w:r>
        <w:rPr>
          <w:rFonts w:hint="eastAsia" w:ascii="宋体" w:hAnsi="宋体" w:cs="宋体"/>
          <w:color w:val="auto"/>
          <w:szCs w:val="21"/>
          <w:highlight w:val="none"/>
        </w:rPr>
        <w:t>。</w:t>
      </w:r>
    </w:p>
    <w:p w14:paraId="1350471B">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12.1 竣工后试验的程序</w:t>
      </w:r>
    </w:p>
    <w:p w14:paraId="51C5923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12.1.2 竣工后试验全部电力、水、污水处理、燃料、消耗品和材料，以及全部其他仪器、协助、文件或其他信息、设备、工具、劳力，启动工程设备，并组织安排有适当资质、经验和能力的工作人员等必要条件的提供方：</w:t>
      </w:r>
      <w:r>
        <w:rPr>
          <w:rFonts w:hint="eastAsia" w:ascii="宋体" w:hAnsi="宋体" w:cs="宋体"/>
          <w:color w:val="auto"/>
          <w:szCs w:val="21"/>
          <w:highlight w:val="none"/>
          <w:u w:val="single"/>
        </w:rPr>
        <w:t xml:space="preserve">承包人   </w:t>
      </w:r>
      <w:r>
        <w:rPr>
          <w:rFonts w:hint="eastAsia" w:ascii="宋体" w:hAnsi="宋体" w:cs="宋体"/>
          <w:color w:val="auto"/>
          <w:szCs w:val="21"/>
          <w:highlight w:val="none"/>
        </w:rPr>
        <w:t>。</w:t>
      </w:r>
    </w:p>
    <w:p w14:paraId="78C7588D">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85" w:name="_Toc54862344"/>
      <w:bookmarkStart w:id="886" w:name="_Toc25392"/>
      <w:r>
        <w:rPr>
          <w:rFonts w:hint="eastAsia" w:cs="宋体"/>
          <w:bCs w:val="0"/>
          <w:color w:val="auto"/>
          <w:sz w:val="21"/>
          <w:szCs w:val="21"/>
          <w:highlight w:val="none"/>
        </w:rPr>
        <w:t>第13条 变更与调整</w:t>
      </w:r>
      <w:bookmarkEnd w:id="885"/>
      <w:bookmarkEnd w:id="886"/>
    </w:p>
    <w:p w14:paraId="1280D2BD">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13.2 承包人的合理化建议</w:t>
      </w:r>
    </w:p>
    <w:p w14:paraId="09A4BF5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13.2.2 工程师应在收到承包人提交的合理化建议后</w:t>
      </w:r>
      <w:r>
        <w:rPr>
          <w:rFonts w:hint="eastAsia" w:ascii="宋体" w:hAnsi="宋体" w:cs="宋体"/>
          <w:color w:val="auto"/>
          <w:szCs w:val="21"/>
          <w:highlight w:val="none"/>
          <w:u w:val="single"/>
        </w:rPr>
        <w:t xml:space="preserve"> </w:t>
      </w:r>
      <w:r>
        <w:rPr>
          <w:rFonts w:hint="eastAsia" w:cs="宋体"/>
          <w:color w:val="auto"/>
          <w:szCs w:val="21"/>
          <w:highlight w:val="none"/>
          <w:u w:val="single"/>
        </w:rPr>
        <w:t>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日内审查完毕并报送发包人，发现其中存在技术上的缺陷，应通知承包人修改。发包人应在收到工程师报送的合理化建议后</w:t>
      </w:r>
      <w:r>
        <w:rPr>
          <w:rFonts w:hint="eastAsia" w:ascii="宋体" w:hAnsi="宋体" w:cs="宋体"/>
          <w:color w:val="auto"/>
          <w:szCs w:val="21"/>
          <w:highlight w:val="none"/>
          <w:u w:val="single"/>
        </w:rPr>
        <w:t xml:space="preserve">  </w:t>
      </w:r>
      <w:r>
        <w:rPr>
          <w:rFonts w:hint="eastAsia" w:cs="宋体"/>
          <w:color w:val="auto"/>
          <w:szCs w:val="21"/>
          <w:highlight w:val="none"/>
          <w:u w:val="single"/>
        </w:rPr>
        <w:t>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日内审批完毕。合理化建议经发包人批准的，工程师应及时发出变更指示，由此引起的合同价格调整按照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执行。发包人不同意变更的，工程师应书面通知承包人</w:t>
      </w:r>
    </w:p>
    <w:p w14:paraId="15BAE45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13.2.3 承包人提出的合理化变更建议的利益分享约定：</w:t>
      </w:r>
      <w:r>
        <w:rPr>
          <w:rFonts w:hint="eastAsia" w:ascii="宋体" w:hAnsi="宋体" w:cs="宋体"/>
          <w:color w:val="auto"/>
          <w:szCs w:val="21"/>
          <w:highlight w:val="none"/>
          <w:u w:val="single"/>
        </w:rPr>
        <w:t xml:space="preserve"> 由发包人根据合同价格降低额或工程经济效益提高</w:t>
      </w:r>
      <w:r>
        <w:rPr>
          <w:rFonts w:hint="eastAsia" w:cs="宋体"/>
          <w:color w:val="auto"/>
          <w:szCs w:val="21"/>
          <w:highlight w:val="none"/>
          <w:u w:val="single"/>
        </w:rPr>
        <w:t>程度</w:t>
      </w:r>
      <w:r>
        <w:rPr>
          <w:rFonts w:hint="eastAsia" w:ascii="宋体" w:hAnsi="宋体" w:cs="宋体"/>
          <w:color w:val="auto"/>
          <w:szCs w:val="21"/>
          <w:highlight w:val="none"/>
          <w:u w:val="single"/>
        </w:rPr>
        <w:t>，结合项目考勤、质量、安全、进度等实际情况综合考虑。</w:t>
      </w:r>
    </w:p>
    <w:p w14:paraId="2600DFF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13.3 变更程序</w:t>
      </w:r>
    </w:p>
    <w:p w14:paraId="2E32E79F">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13.3.3 变更估价</w:t>
      </w:r>
    </w:p>
    <w:p w14:paraId="6315169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13.3.3.1 变更估价原则</w:t>
      </w:r>
    </w:p>
    <w:p w14:paraId="31974347">
      <w:pPr>
        <w:pStyle w:val="18"/>
        <w:tabs>
          <w:tab w:val="left" w:pos="220"/>
        </w:tabs>
        <w:spacing w:line="420" w:lineRule="exact"/>
        <w:ind w:left="0" w:leftChars="0" w:right="250" w:rightChars="119" w:hanging="15" w:firstLineChars="0"/>
        <w:rPr>
          <w:color w:val="auto"/>
          <w:highlight w:val="none"/>
          <w:u w:val="single"/>
        </w:rPr>
      </w:pPr>
      <w:r>
        <w:rPr>
          <w:rFonts w:hint="eastAsia" w:hAnsi="宋体" w:cs="宋体"/>
          <w:color w:val="auto"/>
          <w:szCs w:val="21"/>
          <w:highlight w:val="none"/>
        </w:rPr>
        <w:t>关于变更估价原则的约定：</w:t>
      </w:r>
      <w:r>
        <w:rPr>
          <w:rFonts w:hint="eastAsia" w:ascii="宋体" w:hAnsi="宋体" w:cs="宋体"/>
          <w:color w:val="auto"/>
          <w:szCs w:val="21"/>
          <w:highlight w:val="none"/>
          <w:u w:val="single"/>
        </w:rPr>
        <w:t>/。</w:t>
      </w:r>
    </w:p>
    <w:p w14:paraId="614AD58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13.4 暂估价</w:t>
      </w:r>
    </w:p>
    <w:p w14:paraId="34749B3D">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13.4.1 依法必须招标的暂估价项目</w:t>
      </w:r>
    </w:p>
    <w:p w14:paraId="4A58E47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承包人可以参与投标的暂估价项目范围：</w:t>
      </w:r>
      <w:r>
        <w:rPr>
          <w:rFonts w:hint="eastAsia" w:ascii="宋体" w:hAnsi="宋体" w:cs="宋体"/>
          <w:color w:val="auto"/>
          <w:szCs w:val="21"/>
          <w:highlight w:val="none"/>
          <w:u w:val="single"/>
        </w:rPr>
        <w:t xml:space="preserve">  承包人资质符合要求且自愿参与投标的项目    </w:t>
      </w:r>
      <w:r>
        <w:rPr>
          <w:rFonts w:hint="eastAsia" w:ascii="宋体" w:hAnsi="宋体" w:cs="宋体"/>
          <w:color w:val="auto"/>
          <w:szCs w:val="21"/>
          <w:highlight w:val="none"/>
        </w:rPr>
        <w:t>。</w:t>
      </w:r>
    </w:p>
    <w:p w14:paraId="29D9D7D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承包人不得参与投标的暂估价项目范围：</w:t>
      </w:r>
      <w:r>
        <w:rPr>
          <w:rFonts w:hint="eastAsia" w:ascii="宋体" w:hAnsi="宋体" w:cs="宋体"/>
          <w:color w:val="auto"/>
          <w:szCs w:val="21"/>
          <w:highlight w:val="none"/>
          <w:u w:val="single"/>
        </w:rPr>
        <w:t xml:space="preserve">  承包人资质不符合要求或不愿参与投标的项目    </w:t>
      </w:r>
      <w:r>
        <w:rPr>
          <w:rFonts w:hint="eastAsia" w:ascii="宋体" w:hAnsi="宋体" w:cs="宋体"/>
          <w:color w:val="auto"/>
          <w:szCs w:val="21"/>
          <w:highlight w:val="none"/>
        </w:rPr>
        <w:t>。</w:t>
      </w:r>
    </w:p>
    <w:p w14:paraId="4A90A01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招投标程序及其他约定：</w:t>
      </w:r>
      <w:r>
        <w:rPr>
          <w:rFonts w:hint="eastAsia" w:ascii="宋体" w:hAnsi="宋体" w:cs="宋体"/>
          <w:color w:val="auto"/>
          <w:szCs w:val="21"/>
          <w:highlight w:val="none"/>
          <w:u w:val="single"/>
        </w:rPr>
        <w:t xml:space="preserve">  按法律法规规定及省、市相关文件执行    </w:t>
      </w:r>
      <w:r>
        <w:rPr>
          <w:rFonts w:hint="eastAsia" w:ascii="宋体" w:hAnsi="宋体" w:cs="宋体"/>
          <w:color w:val="auto"/>
          <w:szCs w:val="21"/>
          <w:highlight w:val="none"/>
        </w:rPr>
        <w:t>。</w:t>
      </w:r>
    </w:p>
    <w:p w14:paraId="3595731A">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13.4.2 不属于依法必须招标的暂估价项目</w:t>
      </w:r>
    </w:p>
    <w:p w14:paraId="1A6B0FA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不属于依法必须招标的暂估价项目的协商及估价的约定：</w:t>
      </w:r>
      <w:r>
        <w:rPr>
          <w:rFonts w:hint="eastAsia" w:ascii="宋体" w:hAnsi="宋体" w:cs="宋体"/>
          <w:color w:val="auto"/>
          <w:szCs w:val="21"/>
          <w:highlight w:val="none"/>
          <w:u w:val="single"/>
        </w:rPr>
        <w:t>对于不属于依法必须招标的暂估价项目的确认和批准采取询价或招标采购方式确定。</w:t>
      </w:r>
    </w:p>
    <w:p w14:paraId="126265E5">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13.5 暂列金额</w:t>
      </w:r>
    </w:p>
    <w:p w14:paraId="67F793F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其他关于暂列金额使用的约定：</w:t>
      </w:r>
      <w:r>
        <w:rPr>
          <w:rFonts w:hint="eastAsia" w:ascii="宋体" w:hAnsi="宋体" w:cs="宋体"/>
          <w:color w:val="auto"/>
          <w:szCs w:val="21"/>
          <w:highlight w:val="none"/>
          <w:u w:val="single"/>
        </w:rPr>
        <w:t>暂列金额应按照发包人的要求使用 。</w:t>
      </w:r>
    </w:p>
    <w:p w14:paraId="59DD345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13.8 市场价格波动引起的调整</w:t>
      </w:r>
    </w:p>
    <w:p w14:paraId="722264E4">
      <w:pPr>
        <w:pStyle w:val="42"/>
        <w:widowControl/>
        <w:tabs>
          <w:tab w:val="left" w:pos="220"/>
        </w:tabs>
        <w:adjustRightInd w:val="0"/>
        <w:snapToGrid w:val="0"/>
        <w:spacing w:beforeLines="30" w:afterLines="30" w:line="440" w:lineRule="exact"/>
        <w:ind w:right="250" w:rightChars="119" w:hanging="15"/>
        <w:jc w:val="left"/>
        <w:outlineLvl w:val="4"/>
        <w:rPr>
          <w:rFonts w:cs="宋体"/>
          <w:b w:val="0"/>
          <w:bCs w:val="0"/>
          <w:color w:val="auto"/>
          <w:sz w:val="21"/>
          <w:szCs w:val="21"/>
          <w:highlight w:val="none"/>
        </w:rPr>
      </w:pPr>
      <w:bookmarkStart w:id="887" w:name="_Toc54862345"/>
      <w:r>
        <w:rPr>
          <w:rFonts w:hint="eastAsia" w:cs="宋体"/>
          <w:color w:val="auto"/>
          <w:sz w:val="21"/>
          <w:szCs w:val="21"/>
          <w:highlight w:val="none"/>
        </w:rPr>
        <w:t>1</w:t>
      </w:r>
      <w:r>
        <w:rPr>
          <w:rFonts w:hint="eastAsia" w:cs="宋体"/>
          <w:b w:val="0"/>
          <w:bCs w:val="0"/>
          <w:color w:val="auto"/>
          <w:sz w:val="21"/>
          <w:szCs w:val="21"/>
          <w:highlight w:val="none"/>
        </w:rPr>
        <w:t>3.8.2 关于是否采用《价格指数权重表》的约定：</w:t>
      </w:r>
      <w:r>
        <w:rPr>
          <w:rFonts w:hint="eastAsia" w:cs="宋体"/>
          <w:b w:val="0"/>
          <w:bCs w:val="0"/>
          <w:color w:val="auto"/>
          <w:sz w:val="21"/>
          <w:szCs w:val="21"/>
          <w:highlight w:val="none"/>
          <w:u w:val="single"/>
        </w:rPr>
        <w:t xml:space="preserve"> 不采用      </w:t>
      </w:r>
      <w:r>
        <w:rPr>
          <w:rFonts w:hint="eastAsia" w:cs="宋体"/>
          <w:b w:val="0"/>
          <w:bCs w:val="0"/>
          <w:color w:val="auto"/>
          <w:sz w:val="21"/>
          <w:szCs w:val="21"/>
          <w:highlight w:val="none"/>
        </w:rPr>
        <w:t xml:space="preserve"> 。</w:t>
      </w:r>
    </w:p>
    <w:p w14:paraId="5068FB3B">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88" w:name="_Toc22399"/>
      <w:r>
        <w:rPr>
          <w:rFonts w:hint="eastAsia" w:cs="宋体"/>
          <w:bCs w:val="0"/>
          <w:color w:val="auto"/>
          <w:sz w:val="21"/>
          <w:szCs w:val="21"/>
          <w:highlight w:val="none"/>
        </w:rPr>
        <w:t>第14条 合同价格与支付</w:t>
      </w:r>
      <w:bookmarkEnd w:id="887"/>
      <w:bookmarkEnd w:id="888"/>
    </w:p>
    <w:p w14:paraId="099063F1">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14.1 合同价格形式</w:t>
      </w:r>
    </w:p>
    <w:p w14:paraId="3D98DB9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14.1.1 关于合同价格形式的约定：</w:t>
      </w:r>
      <w:r>
        <w:rPr>
          <w:rFonts w:hint="eastAsia" w:ascii="宋体" w:hAnsi="宋体" w:cs="宋体"/>
          <w:color w:val="auto"/>
          <w:szCs w:val="21"/>
          <w:highlight w:val="none"/>
          <w:u w:val="single"/>
        </w:rPr>
        <w:t xml:space="preserve">  固定单价合同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5494B11">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u w:val="single"/>
        </w:rPr>
      </w:pPr>
      <w:r>
        <w:rPr>
          <w:rFonts w:hint="eastAsia" w:ascii="宋体" w:hAnsi="宋体" w:cs="宋体"/>
          <w:color w:val="auto"/>
          <w:szCs w:val="21"/>
          <w:highlight w:val="none"/>
        </w:rPr>
        <w:t>14.1.2 关于合同价格调整的约定：</w:t>
      </w:r>
    </w:p>
    <w:p w14:paraId="66B60A0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cs="宋体"/>
          <w:color w:val="auto"/>
          <w:szCs w:val="21"/>
          <w:highlight w:val="none"/>
        </w:rPr>
        <w:t>1、</w:t>
      </w:r>
      <w:r>
        <w:rPr>
          <w:rFonts w:ascii="宋体" w:hAnsi="宋体" w:cs="宋体"/>
          <w:color w:val="auto"/>
          <w:szCs w:val="21"/>
          <w:highlight w:val="none"/>
        </w:rPr>
        <w:t>工程量清单错误的修正</w:t>
      </w:r>
    </w:p>
    <w:p w14:paraId="53B80E5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ascii="宋体" w:hAnsi="宋体" w:cs="宋体"/>
          <w:color w:val="auto"/>
          <w:szCs w:val="21"/>
          <w:highlight w:val="none"/>
        </w:rPr>
        <w:t>出现工程量清单错误时，是否调整合同价格：</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不</w:t>
      </w:r>
      <w:r>
        <w:rPr>
          <w:rFonts w:ascii="宋体" w:hAnsi="宋体" w:cs="宋体"/>
          <w:color w:val="auto"/>
          <w:szCs w:val="21"/>
          <w:highlight w:val="none"/>
          <w:u w:val="single"/>
        </w:rPr>
        <w:t xml:space="preserve">调整  </w:t>
      </w:r>
      <w:r>
        <w:rPr>
          <w:rFonts w:ascii="宋体" w:hAnsi="宋体" w:cs="宋体"/>
          <w:color w:val="auto"/>
          <w:szCs w:val="21"/>
          <w:highlight w:val="none"/>
        </w:rPr>
        <w:t>。</w:t>
      </w:r>
    </w:p>
    <w:p w14:paraId="01AAF71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ascii="宋体" w:hAnsi="宋体" w:cs="宋体"/>
          <w:color w:val="auto"/>
          <w:szCs w:val="21"/>
          <w:highlight w:val="none"/>
        </w:rPr>
        <w:t>允许调整合同价格的工程量偏差范围：</w:t>
      </w:r>
      <w:r>
        <w:rPr>
          <w:rFonts w:hint="eastAsia" w:ascii="宋体" w:hAnsi="宋体" w:cs="宋体"/>
          <w:color w:val="auto"/>
          <w:szCs w:val="21"/>
          <w:highlight w:val="none"/>
          <w:u w:val="single"/>
        </w:rPr>
        <w:t>/。</w:t>
      </w:r>
    </w:p>
    <w:p w14:paraId="1731603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ascii="宋体" w:hAnsi="宋体" w:cs="宋体"/>
          <w:color w:val="auto"/>
          <w:szCs w:val="21"/>
          <w:highlight w:val="none"/>
        </w:rPr>
        <w:t>技术措施费调整：</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3A57A6A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ascii="宋体" w:hAnsi="宋体" w:cs="宋体"/>
          <w:color w:val="auto"/>
          <w:szCs w:val="21"/>
          <w:highlight w:val="none"/>
        </w:rPr>
        <w:t>组织措施费调整：</w:t>
      </w:r>
      <w:r>
        <w:rPr>
          <w:rFonts w:hint="eastAsia" w:ascii="宋体" w:hAnsi="宋体" w:cs="宋体"/>
          <w:color w:val="auto"/>
          <w:szCs w:val="21"/>
          <w:highlight w:val="none"/>
          <w:u w:val="single"/>
        </w:rPr>
        <w:t>/</w:t>
      </w:r>
      <w:r>
        <w:rPr>
          <w:rFonts w:ascii="宋体" w:hAnsi="宋体" w:cs="宋体"/>
          <w:color w:val="auto"/>
          <w:szCs w:val="21"/>
          <w:highlight w:val="none"/>
        </w:rPr>
        <w:t>。</w:t>
      </w:r>
    </w:p>
    <w:p w14:paraId="63E62B88">
      <w:pPr>
        <w:widowControl/>
        <w:numPr>
          <w:ilvl w:val="0"/>
          <w:numId w:val="7"/>
        </w:numPr>
        <w:tabs>
          <w:tab w:val="left" w:pos="220"/>
        </w:tabs>
        <w:adjustRightInd w:val="0"/>
        <w:snapToGrid w:val="0"/>
        <w:spacing w:line="440" w:lineRule="exact"/>
        <w:ind w:right="250" w:rightChars="119" w:hanging="15"/>
        <w:jc w:val="left"/>
        <w:rPr>
          <w:rFonts w:cs="宋体"/>
          <w:color w:val="auto"/>
          <w:szCs w:val="21"/>
          <w:highlight w:val="none"/>
          <w:u w:val="single"/>
        </w:rPr>
      </w:pPr>
      <w:r>
        <w:rPr>
          <w:rFonts w:hint="eastAsia" w:ascii="宋体" w:hAnsi="宋体" w:cs="宋体"/>
          <w:color w:val="auto"/>
          <w:szCs w:val="21"/>
          <w:highlight w:val="none"/>
        </w:rPr>
        <w:t>市场价格波动引起的调整</w:t>
      </w:r>
      <w:r>
        <w:rPr>
          <w:rFonts w:hint="eastAsia" w:cs="宋体"/>
          <w:color w:val="auto"/>
          <w:szCs w:val="21"/>
          <w:highlight w:val="none"/>
        </w:rPr>
        <w:t>：</w:t>
      </w:r>
      <w:r>
        <w:rPr>
          <w:rFonts w:hint="eastAsia" w:cs="宋体"/>
          <w:color w:val="auto"/>
          <w:szCs w:val="21"/>
          <w:highlight w:val="none"/>
          <w:u w:val="single"/>
        </w:rPr>
        <w:t>详见第13.8款内容。</w:t>
      </w:r>
    </w:p>
    <w:p w14:paraId="4A0B0716">
      <w:pPr>
        <w:widowControl/>
        <w:numPr>
          <w:ilvl w:val="0"/>
          <w:numId w:val="7"/>
        </w:numPr>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风险费用的计算方法：</w:t>
      </w:r>
      <w:r>
        <w:rPr>
          <w:rFonts w:hint="eastAsia" w:ascii="宋体" w:hAnsi="宋体" w:cs="宋体"/>
          <w:color w:val="auto"/>
          <w:szCs w:val="21"/>
          <w:highlight w:val="none"/>
          <w:u w:val="single"/>
        </w:rPr>
        <w:t xml:space="preserve"> 不考虑  </w:t>
      </w:r>
      <w:r>
        <w:rPr>
          <w:rFonts w:hint="eastAsia" w:cs="宋体"/>
          <w:color w:val="auto"/>
          <w:szCs w:val="21"/>
          <w:highlight w:val="none"/>
          <w:u w:val="single"/>
        </w:rPr>
        <w:t>。</w:t>
      </w:r>
    </w:p>
    <w:p w14:paraId="6A3475B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14.1.3 按实际完成的工程量支付工程价款的计量方法、估价方法：</w:t>
      </w:r>
      <w:r>
        <w:rPr>
          <w:rFonts w:hint="eastAsia"/>
          <w:color w:val="auto"/>
          <w:highlight w:val="none"/>
          <w:u w:val="single"/>
        </w:rPr>
        <w:t>因招标人指令引起工程量的增减或变更，按实结算。</w:t>
      </w:r>
    </w:p>
    <w:p w14:paraId="1D3D70B0">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14.2 预付款</w:t>
      </w:r>
    </w:p>
    <w:p w14:paraId="643F59CC">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14.2.1 预付款支付比例或金额：</w:t>
      </w:r>
      <w:r>
        <w:rPr>
          <w:rFonts w:hint="eastAsia"/>
          <w:color w:val="auto"/>
          <w:highlight w:val="none"/>
        </w:rPr>
        <w:t>合同总价（扣除暂列金额）的10%</w:t>
      </w:r>
      <w:r>
        <w:rPr>
          <w:rFonts w:hint="eastAsia" w:ascii="宋体" w:hAnsi="宋体" w:cs="宋体"/>
          <w:color w:val="auto"/>
          <w:szCs w:val="21"/>
          <w:highlight w:val="none"/>
        </w:rPr>
        <w:t>。</w:t>
      </w:r>
    </w:p>
    <w:p w14:paraId="3ABCC9F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预付款支付期限：在具备施工条件的前提下，发包人在合同签订后一个月内或不迟于约定的开工日期前 7 天内预付工程款。</w:t>
      </w:r>
    </w:p>
    <w:p w14:paraId="6693314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预付款扣回的方式：在支付工程进度款中按比例扣除，扣完为止。</w:t>
      </w:r>
    </w:p>
    <w:p w14:paraId="06637AC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14.2.2预付款担保</w:t>
      </w:r>
    </w:p>
    <w:p w14:paraId="30BD7D7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提供预付款担保期限：</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B06799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预付款担保形式：</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142913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14.3 工程进度款</w:t>
      </w:r>
    </w:p>
    <w:p w14:paraId="1766463D">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14.3.1 工程进度付款申请</w:t>
      </w:r>
    </w:p>
    <w:p w14:paraId="4DC1A72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工程进度付款申请方式：</w:t>
      </w:r>
      <w:r>
        <w:rPr>
          <w:rFonts w:hint="eastAsia" w:cs="宋体"/>
          <w:color w:val="auto"/>
          <w:szCs w:val="21"/>
          <w:highlight w:val="none"/>
          <w:u w:val="single"/>
        </w:rPr>
        <w:t>详见支付方式</w:t>
      </w:r>
      <w:r>
        <w:rPr>
          <w:rFonts w:hint="eastAsia" w:ascii="宋体" w:hAnsi="宋体" w:cs="宋体"/>
          <w:color w:val="auto"/>
          <w:szCs w:val="21"/>
          <w:highlight w:val="none"/>
          <w:u w:val="single"/>
        </w:rPr>
        <w:t xml:space="preserve"> 。</w:t>
      </w:r>
    </w:p>
    <w:p w14:paraId="0F2567E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承包人提交进度付款申请单的格式、内容、份数和时间：</w:t>
      </w:r>
      <w:r>
        <w:rPr>
          <w:rFonts w:hint="eastAsia" w:ascii="宋体" w:hAnsi="宋体" w:cs="宋体"/>
          <w:color w:val="auto"/>
          <w:szCs w:val="21"/>
          <w:highlight w:val="none"/>
          <w:u w:val="single"/>
        </w:rPr>
        <w:t>执行发包人统一内容格式 。</w:t>
      </w:r>
    </w:p>
    <w:p w14:paraId="58E0F21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进度付款申请单应包括的内容：</w:t>
      </w:r>
      <w:r>
        <w:rPr>
          <w:rFonts w:hint="eastAsia" w:ascii="宋体" w:hAnsi="宋体" w:cs="宋体"/>
          <w:color w:val="auto"/>
          <w:szCs w:val="21"/>
          <w:highlight w:val="none"/>
          <w:u w:val="single"/>
        </w:rPr>
        <w:t xml:space="preserve">  执行发包人统一内容格式    。</w:t>
      </w:r>
    </w:p>
    <w:p w14:paraId="32518611">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14.3.2 进度付款审核和支付</w:t>
      </w:r>
    </w:p>
    <w:p w14:paraId="42DB7E0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在具备施工条件的前提下，发包人在合同签订后一个月内或不迟于约定的开工日期前 7 天内预付工程款为合同总价（扣除暂列金额）的10%；施工过程结算款支付比例不低于85%，</w:t>
      </w:r>
      <w:r>
        <w:rPr>
          <w:rStyle w:val="44"/>
          <w:rFonts w:hint="eastAsia" w:eastAsia="宋体" w:cs="宋体"/>
          <w:bCs/>
          <w:color w:val="auto"/>
          <w:sz w:val="21"/>
          <w:szCs w:val="21"/>
          <w:highlight w:val="none"/>
        </w:rPr>
        <w:t>施工完成并通过审计竣工验收</w:t>
      </w:r>
      <w:r>
        <w:rPr>
          <w:rStyle w:val="44"/>
          <w:rFonts w:hint="eastAsia" w:cs="宋体"/>
          <w:bCs/>
          <w:color w:val="auto"/>
          <w:sz w:val="21"/>
          <w:szCs w:val="21"/>
          <w:highlight w:val="none"/>
          <w:lang w:val="en-US" w:eastAsia="zh-CN"/>
        </w:rPr>
        <w:t>和</w:t>
      </w:r>
      <w:r>
        <w:rPr>
          <w:rStyle w:val="44"/>
          <w:rFonts w:hint="eastAsia" w:eastAsia="宋体" w:cs="宋体"/>
          <w:bCs/>
          <w:color w:val="auto"/>
          <w:sz w:val="21"/>
          <w:szCs w:val="21"/>
          <w:highlight w:val="none"/>
        </w:rPr>
        <w:t>国网并网验收后付至已完成合格结算价款工程量的98%</w:t>
      </w:r>
      <w:r>
        <w:rPr>
          <w:rFonts w:hint="eastAsia" w:ascii="宋体" w:hAnsi="宋体" w:cs="宋体"/>
          <w:color w:val="auto"/>
          <w:szCs w:val="21"/>
          <w:highlight w:val="none"/>
        </w:rPr>
        <w:t>，剩余</w:t>
      </w:r>
      <w:r>
        <w:rPr>
          <w:rFonts w:ascii="宋体" w:hAnsi="宋体" w:cs="宋体"/>
          <w:color w:val="auto"/>
          <w:szCs w:val="21"/>
          <w:highlight w:val="none"/>
        </w:rPr>
        <w:t>2%</w:t>
      </w:r>
      <w:r>
        <w:rPr>
          <w:rFonts w:hint="eastAsia" w:ascii="宋体" w:hAnsi="宋体" w:cs="宋体"/>
          <w:color w:val="auto"/>
          <w:szCs w:val="21"/>
          <w:highlight w:val="none"/>
        </w:rPr>
        <w:t xml:space="preserve">作为质保金，工程缺陷责任期 </w:t>
      </w:r>
      <w:r>
        <w:rPr>
          <w:rFonts w:ascii="宋体" w:hAnsi="宋体" w:cs="宋体"/>
          <w:color w:val="auto"/>
          <w:szCs w:val="21"/>
          <w:highlight w:val="none"/>
        </w:rPr>
        <w:t>(</w:t>
      </w:r>
      <w:r>
        <w:rPr>
          <w:rFonts w:hint="eastAsia" w:ascii="宋体" w:hAnsi="宋体" w:cs="宋体"/>
          <w:color w:val="auto"/>
          <w:szCs w:val="21"/>
          <w:highlight w:val="none"/>
        </w:rPr>
        <w:t>自竣工验收合格之日起满2年</w:t>
      </w:r>
      <w:r>
        <w:rPr>
          <w:rFonts w:ascii="宋体" w:hAnsi="宋体" w:cs="宋体"/>
          <w:color w:val="auto"/>
          <w:szCs w:val="21"/>
          <w:highlight w:val="none"/>
        </w:rPr>
        <w:t>)</w:t>
      </w:r>
      <w:r>
        <w:rPr>
          <w:rFonts w:hint="eastAsia" w:ascii="宋体" w:hAnsi="宋体" w:cs="宋体"/>
          <w:color w:val="auto"/>
          <w:szCs w:val="21"/>
          <w:highlight w:val="none"/>
        </w:rPr>
        <w:t>满后付清余款。质量保证金支持保函（银行保函、担保机构担保、保证保险）使用。采用保函的不再从工程进度款中扣留质量保证金，保函有效期须与工程缺陷责任期截止时间保持一致。</w:t>
      </w:r>
    </w:p>
    <w:p w14:paraId="77B1A7A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发包人应在进度款支付证书或临时进度款支付证书签发后的</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发票送达7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天内完成支付，发包人逾期支付进度款的，应按照</w:t>
      </w:r>
      <w:r>
        <w:rPr>
          <w:rFonts w:hint="eastAsia" w:ascii="宋体" w:hAnsi="宋体" w:cs="宋体"/>
          <w:color w:val="auto"/>
          <w:szCs w:val="21"/>
          <w:highlight w:val="none"/>
          <w:u w:val="single"/>
        </w:rPr>
        <w:t xml:space="preserve">  不采用  </w:t>
      </w:r>
      <w:r>
        <w:rPr>
          <w:rFonts w:hint="eastAsia" w:ascii="宋体" w:hAnsi="宋体" w:cs="宋体"/>
          <w:color w:val="auto"/>
          <w:szCs w:val="21"/>
          <w:highlight w:val="none"/>
        </w:rPr>
        <w:t>支付违约金。</w:t>
      </w:r>
    </w:p>
    <w:p w14:paraId="77F72089">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关于付款周期的其他约定：</w:t>
      </w:r>
      <w:r>
        <w:rPr>
          <w:rFonts w:hint="eastAsia" w:ascii="宋体" w:hAnsi="宋体" w:cs="宋体"/>
          <w:color w:val="auto"/>
          <w:szCs w:val="21"/>
          <w:highlight w:val="none"/>
          <w:u w:val="single"/>
        </w:rPr>
        <w:t>施工过程结算款按期支付</w:t>
      </w:r>
      <w:r>
        <w:rPr>
          <w:rFonts w:hint="eastAsia" w:ascii="宋体" w:hAnsi="宋体" w:cs="宋体"/>
          <w:color w:val="auto"/>
          <w:szCs w:val="21"/>
          <w:highlight w:val="none"/>
        </w:rPr>
        <w:t>。</w:t>
      </w:r>
    </w:p>
    <w:p w14:paraId="2F85D93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工程进度付款申请方式：</w:t>
      </w:r>
      <w:r>
        <w:rPr>
          <w:rFonts w:hint="eastAsia" w:ascii="宋体" w:hAnsi="宋体" w:cs="宋体"/>
          <w:color w:val="auto"/>
          <w:kern w:val="0"/>
          <w:szCs w:val="21"/>
          <w:highlight w:val="none"/>
          <w:u w:val="single"/>
        </w:rPr>
        <w:t>按发包人及监理要求</w:t>
      </w:r>
      <w:r>
        <w:rPr>
          <w:rFonts w:hint="eastAsia" w:ascii="宋体" w:hAnsi="宋体" w:cs="宋体"/>
          <w:color w:val="auto"/>
          <w:szCs w:val="21"/>
          <w:highlight w:val="none"/>
        </w:rPr>
        <w:t xml:space="preserve">                                。</w:t>
      </w:r>
    </w:p>
    <w:p w14:paraId="2C10E98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承包人提交进度付款申请单的格式、内容、份数和时间：</w:t>
      </w:r>
      <w:r>
        <w:rPr>
          <w:rFonts w:hint="eastAsia" w:ascii="宋体" w:hAnsi="宋体" w:cs="宋体"/>
          <w:color w:val="auto"/>
          <w:kern w:val="0"/>
          <w:szCs w:val="21"/>
          <w:highlight w:val="none"/>
          <w:u w:val="single"/>
        </w:rPr>
        <w:t>按发包人及监理要求</w:t>
      </w:r>
      <w:r>
        <w:rPr>
          <w:rFonts w:hint="eastAsia" w:ascii="宋体" w:hAnsi="宋体" w:cs="宋体"/>
          <w:color w:val="auto"/>
          <w:szCs w:val="21"/>
          <w:highlight w:val="none"/>
        </w:rPr>
        <w:t xml:space="preserve">   。</w:t>
      </w:r>
    </w:p>
    <w:p w14:paraId="57BC2493">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进度付款申请单应包括的内容：</w:t>
      </w:r>
      <w:r>
        <w:rPr>
          <w:rFonts w:hint="eastAsia" w:ascii="宋体" w:hAnsi="宋体" w:cs="宋体"/>
          <w:color w:val="auto"/>
          <w:kern w:val="0"/>
          <w:szCs w:val="21"/>
          <w:highlight w:val="none"/>
          <w:u w:val="single"/>
        </w:rPr>
        <w:t>按发包人及监理要求</w:t>
      </w:r>
      <w:r>
        <w:rPr>
          <w:rFonts w:hint="eastAsia" w:ascii="宋体" w:hAnsi="宋体" w:cs="宋体"/>
          <w:color w:val="auto"/>
          <w:szCs w:val="21"/>
          <w:highlight w:val="none"/>
        </w:rPr>
        <w:t xml:space="preserve"> 。</w:t>
      </w:r>
    </w:p>
    <w:p w14:paraId="07916822">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14.4 付款计划表</w:t>
      </w:r>
    </w:p>
    <w:p w14:paraId="5DB9A42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14.4.1 付款计划表的编制要求：</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执行发包人统一内容格式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2ECE999">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14.4.2 付款计划表的编制与审批</w:t>
      </w:r>
    </w:p>
    <w:p w14:paraId="7F060B0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付款计划表的编制：</w:t>
      </w:r>
      <w:r>
        <w:rPr>
          <w:rFonts w:hint="eastAsia" w:ascii="宋体" w:hAnsi="宋体" w:cs="宋体"/>
          <w:color w:val="auto"/>
          <w:szCs w:val="21"/>
          <w:highlight w:val="none"/>
          <w:u w:val="single"/>
        </w:rPr>
        <w:t xml:space="preserve">    不采用        </w:t>
      </w:r>
      <w:r>
        <w:rPr>
          <w:rFonts w:hint="eastAsia" w:ascii="宋体" w:hAnsi="宋体" w:cs="宋体"/>
          <w:color w:val="auto"/>
          <w:szCs w:val="21"/>
          <w:highlight w:val="none"/>
        </w:rPr>
        <w:t>。</w:t>
      </w:r>
    </w:p>
    <w:p w14:paraId="5A5CDB32">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14.5 竣工结算</w:t>
      </w:r>
    </w:p>
    <w:p w14:paraId="6D653DFE">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14.5.1竣工结算申请</w:t>
      </w:r>
    </w:p>
    <w:p w14:paraId="498E170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承包人提交竣工结算申请的时间：</w:t>
      </w:r>
      <w:r>
        <w:rPr>
          <w:rFonts w:hint="eastAsia" w:ascii="宋体" w:hAnsi="宋体" w:cs="宋体"/>
          <w:color w:val="auto"/>
          <w:szCs w:val="21"/>
          <w:highlight w:val="none"/>
          <w:u w:val="single"/>
        </w:rPr>
        <w:t>承包人须于竣工验收合格后60日内完成竣工结算报告和完整结算资料上报,特殊情况,经发包人批准的可以延长。凡因承包人原因,未能在规定时间内上报竣工结算的,处以10万元/月的违约金。在发包人下达书面通知后承包人拒不配合的,发包人有权按已有资料或按已付款委托跟踪审计单位办理结算。</w:t>
      </w:r>
    </w:p>
    <w:p w14:paraId="607B237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竣工结算申请的资料清单和份数：</w:t>
      </w:r>
      <w:r>
        <w:rPr>
          <w:rFonts w:hint="eastAsia" w:ascii="宋体" w:hAnsi="宋体" w:cs="宋体"/>
          <w:color w:val="auto"/>
          <w:szCs w:val="21"/>
          <w:highlight w:val="none"/>
          <w:u w:val="single"/>
        </w:rPr>
        <w:t xml:space="preserve"> 执行发包人统一内容格式  </w:t>
      </w:r>
      <w:r>
        <w:rPr>
          <w:rFonts w:hint="eastAsia" w:ascii="宋体" w:hAnsi="宋体" w:cs="宋体"/>
          <w:color w:val="auto"/>
          <w:szCs w:val="21"/>
          <w:highlight w:val="none"/>
        </w:rPr>
        <w:t>。</w:t>
      </w:r>
    </w:p>
    <w:p w14:paraId="6B7A981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竣工结算申请单的内容应包括：</w:t>
      </w:r>
      <w:r>
        <w:rPr>
          <w:rFonts w:hint="eastAsia" w:ascii="宋体" w:hAnsi="宋体" w:cs="宋体"/>
          <w:color w:val="auto"/>
          <w:szCs w:val="21"/>
          <w:highlight w:val="none"/>
          <w:u w:val="single"/>
        </w:rPr>
        <w:t xml:space="preserve">  执行发包人统一内容格式  </w:t>
      </w:r>
      <w:r>
        <w:rPr>
          <w:rFonts w:hint="eastAsia" w:ascii="宋体" w:hAnsi="宋体" w:cs="宋体"/>
          <w:color w:val="auto"/>
          <w:szCs w:val="21"/>
          <w:highlight w:val="none"/>
        </w:rPr>
        <w:t>。</w:t>
      </w:r>
    </w:p>
    <w:p w14:paraId="03ED08B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14.5.2 竣工结算审核</w:t>
      </w:r>
    </w:p>
    <w:p w14:paraId="6386B9F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发包人审批竣工付款申请单的期限：</w:t>
      </w:r>
      <w:r>
        <w:rPr>
          <w:rFonts w:hint="eastAsia" w:ascii="宋体" w:hAnsi="宋体" w:cs="宋体"/>
          <w:color w:val="auto"/>
          <w:szCs w:val="21"/>
          <w:highlight w:val="none"/>
          <w:u w:val="single"/>
        </w:rPr>
        <w:t xml:space="preserve"> 经审计部门审核确认后7天内完成审批并签发结算款支付证书。</w:t>
      </w:r>
    </w:p>
    <w:p w14:paraId="06B67A0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发包人完成竣工付款的期限：</w:t>
      </w:r>
      <w:r>
        <w:rPr>
          <w:rFonts w:hint="eastAsia" w:ascii="宋体" w:hAnsi="宋体" w:cs="宋体"/>
          <w:color w:val="auto"/>
          <w:szCs w:val="21"/>
          <w:highlight w:val="none"/>
          <w:u w:val="single"/>
        </w:rPr>
        <w:t xml:space="preserve">  发包人在发票送达一周内完成支付 </w:t>
      </w:r>
      <w:r>
        <w:rPr>
          <w:rFonts w:hint="eastAsia" w:ascii="宋体" w:hAnsi="宋体" w:cs="宋体"/>
          <w:color w:val="auto"/>
          <w:szCs w:val="21"/>
          <w:highlight w:val="none"/>
        </w:rPr>
        <w:t>。</w:t>
      </w:r>
    </w:p>
    <w:p w14:paraId="2919F44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关于竣工付款证书异议部分复核的方式和程序：</w:t>
      </w:r>
      <w:r>
        <w:rPr>
          <w:rFonts w:hint="eastAsia" w:ascii="宋体" w:hAnsi="宋体" w:cs="宋体"/>
          <w:color w:val="auto"/>
          <w:szCs w:val="21"/>
          <w:highlight w:val="none"/>
          <w:u w:val="single"/>
        </w:rPr>
        <w:t xml:space="preserve">   按照第20条〔争议解决〕约定处理   </w:t>
      </w:r>
      <w:r>
        <w:rPr>
          <w:rFonts w:hint="eastAsia" w:ascii="宋体" w:hAnsi="宋体" w:cs="宋体"/>
          <w:color w:val="auto"/>
          <w:szCs w:val="21"/>
          <w:highlight w:val="none"/>
        </w:rPr>
        <w:t>。</w:t>
      </w:r>
    </w:p>
    <w:p w14:paraId="62798F01">
      <w:pPr>
        <w:widowControl/>
        <w:tabs>
          <w:tab w:val="left" w:pos="220"/>
        </w:tabs>
        <w:adjustRightInd w:val="0"/>
        <w:snapToGrid w:val="0"/>
        <w:spacing w:line="440" w:lineRule="exact"/>
        <w:ind w:right="250" w:rightChars="119"/>
        <w:jc w:val="left"/>
        <w:rPr>
          <w:rFonts w:ascii="宋体" w:hAnsi="宋体" w:cs="宋体"/>
          <w:color w:val="auto"/>
          <w:szCs w:val="21"/>
          <w:highlight w:val="none"/>
        </w:rPr>
      </w:pPr>
      <w:r>
        <w:rPr>
          <w:color w:val="auto"/>
          <w:highlight w:val="none"/>
        </w:rPr>
        <w:t>项目结算付款单位根据审计结果将此部分费用缴纳至指定账户，不提供票据。</w:t>
      </w:r>
      <w:r>
        <w:rPr>
          <w:rFonts w:hint="eastAsia"/>
          <w:color w:val="auto"/>
          <w:highlight w:val="none"/>
        </w:rPr>
        <w:t>另外扣减结算费用。</w:t>
      </w:r>
    </w:p>
    <w:p w14:paraId="5F0B5C7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14.6 质量保证金</w:t>
      </w:r>
    </w:p>
    <w:p w14:paraId="7CC5059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14.6 质量保证金（质量保证金支持保函使用）</w:t>
      </w:r>
    </w:p>
    <w:p w14:paraId="10BCAD1B">
      <w:pPr>
        <w:spacing w:line="440" w:lineRule="exact"/>
        <w:jc w:val="left"/>
        <w:outlineLvl w:val="4"/>
        <w:rPr>
          <w:rFonts w:ascii="宋体" w:hAnsi="宋体" w:cs="宋体"/>
          <w:color w:val="auto"/>
          <w:szCs w:val="21"/>
          <w:highlight w:val="none"/>
        </w:rPr>
      </w:pPr>
      <w:r>
        <w:rPr>
          <w:rFonts w:hint="eastAsia" w:ascii="宋体" w:hAnsi="宋体" w:cs="宋体"/>
          <w:color w:val="auto"/>
          <w:szCs w:val="21"/>
          <w:highlight w:val="none"/>
        </w:rPr>
        <w:t>14.6.1 承包人提供质量保证金的方式</w:t>
      </w:r>
    </w:p>
    <w:p w14:paraId="7DDA2A6B">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质量保证金采用以下第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w:t>
      </w:r>
    </w:p>
    <w:p w14:paraId="0E9D4516">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(1) 工程质量保证担保，保证金额为：</w:t>
      </w:r>
      <w:r>
        <w:rPr>
          <w:rFonts w:hint="eastAsia" w:ascii="宋体" w:hAnsi="宋体" w:cs="宋体"/>
          <w:color w:val="auto"/>
          <w:szCs w:val="21"/>
          <w:highlight w:val="none"/>
          <w:u w:val="single"/>
        </w:rPr>
        <w:t>2%的工程款</w:t>
      </w:r>
      <w:r>
        <w:rPr>
          <w:rFonts w:hint="eastAsia" w:ascii="宋体" w:hAnsi="宋体" w:cs="宋体"/>
          <w:color w:val="auto"/>
          <w:szCs w:val="21"/>
          <w:highlight w:val="none"/>
        </w:rPr>
        <w:t>；</w:t>
      </w:r>
    </w:p>
    <w:p w14:paraId="279781D4">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rPr>
        <w:t>2%</w:t>
      </w:r>
      <w:r>
        <w:rPr>
          <w:rFonts w:hint="eastAsia" w:ascii="宋体" w:hAnsi="宋体" w:cs="宋体"/>
          <w:color w:val="auto"/>
          <w:szCs w:val="21"/>
          <w:highlight w:val="none"/>
        </w:rPr>
        <w:t>的工程款；</w:t>
      </w:r>
    </w:p>
    <w:p w14:paraId="58CBA5DE">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(3) 其他方式：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62934F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14.6.2 质量保证金的预留</w:t>
      </w:r>
    </w:p>
    <w:p w14:paraId="5D539DE9">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质量保证金的扣留采取以下方式：</w:t>
      </w:r>
    </w:p>
    <w:p w14:paraId="7ECED247">
      <w:pPr>
        <w:widowControl/>
        <w:adjustRightInd w:val="0"/>
        <w:snapToGrid w:val="0"/>
        <w:spacing w:line="440" w:lineRule="exact"/>
        <w:ind w:right="-307" w:rightChars="-146"/>
        <w:jc w:val="left"/>
        <w:rPr>
          <w:rFonts w:ascii="宋体" w:hAnsi="宋体" w:cs="宋体"/>
          <w:color w:val="auto"/>
          <w:szCs w:val="21"/>
          <w:highlight w:val="none"/>
        </w:rPr>
      </w:pPr>
      <w:r>
        <w:rPr>
          <w:rFonts w:hint="eastAsia" w:ascii="宋体" w:hAnsi="宋体" w:cs="宋体"/>
          <w:color w:val="auto"/>
          <w:szCs w:val="21"/>
          <w:highlight w:val="none"/>
        </w:rPr>
        <w:t>(1) 在支付工程进度款时逐次扣留，在此情形下，质量保证金的计算基数不包括预付款的支付、扣回以及价格调整的金额；</w:t>
      </w:r>
    </w:p>
    <w:p w14:paraId="407652C5">
      <w:pPr>
        <w:widowControl/>
        <w:adjustRightInd w:val="0"/>
        <w:snapToGrid w:val="0"/>
        <w:spacing w:line="440" w:lineRule="exact"/>
        <w:ind w:right="-307" w:rightChars="-146"/>
        <w:jc w:val="left"/>
        <w:rPr>
          <w:rFonts w:ascii="宋体" w:hAnsi="宋体" w:cs="宋体"/>
          <w:color w:val="auto"/>
          <w:szCs w:val="21"/>
          <w:highlight w:val="none"/>
        </w:rPr>
      </w:pPr>
      <w:r>
        <w:rPr>
          <w:rFonts w:hint="eastAsia" w:ascii="宋体" w:hAnsi="宋体" w:cs="宋体"/>
          <w:color w:val="auto"/>
          <w:szCs w:val="21"/>
          <w:highlight w:val="none"/>
        </w:rPr>
        <w:t>(2) 工程竣工结算时一次性扣留质量保证金；</w:t>
      </w:r>
    </w:p>
    <w:p w14:paraId="08F78707">
      <w:pPr>
        <w:widowControl/>
        <w:adjustRightInd w:val="0"/>
        <w:snapToGrid w:val="0"/>
        <w:spacing w:line="440" w:lineRule="exact"/>
        <w:ind w:right="-307" w:rightChars="-146"/>
        <w:jc w:val="left"/>
        <w:rPr>
          <w:rFonts w:ascii="宋体" w:hAnsi="宋体" w:cs="宋体"/>
          <w:color w:val="auto"/>
          <w:szCs w:val="21"/>
          <w:highlight w:val="none"/>
        </w:rPr>
      </w:pPr>
      <w:r>
        <w:rPr>
          <w:rFonts w:hint="eastAsia" w:ascii="宋体" w:hAnsi="宋体" w:cs="宋体"/>
          <w:color w:val="auto"/>
          <w:szCs w:val="21"/>
          <w:highlight w:val="none"/>
        </w:rPr>
        <w:t xml:space="preserve">(3) 其他预留方式: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ECFB477">
      <w:pPr>
        <w:widowControl/>
        <w:adjustRightInd w:val="0"/>
        <w:snapToGrid w:val="0"/>
        <w:spacing w:line="440" w:lineRule="exact"/>
        <w:ind w:right="-307" w:rightChars="-146"/>
        <w:jc w:val="left"/>
        <w:rPr>
          <w:rFonts w:cs="宋体"/>
          <w:color w:val="auto"/>
          <w:szCs w:val="21"/>
          <w:highlight w:val="none"/>
          <w:u w:val="single"/>
        </w:rPr>
      </w:pPr>
      <w:r>
        <w:rPr>
          <w:rFonts w:hint="eastAsia" w:ascii="宋体" w:hAnsi="宋体" w:cs="宋体"/>
          <w:color w:val="auto"/>
          <w:szCs w:val="21"/>
          <w:highlight w:val="none"/>
        </w:rPr>
        <w:t>关于质量保证金的补充约定：</w:t>
      </w:r>
      <w:r>
        <w:rPr>
          <w:rFonts w:hint="eastAsia" w:ascii="宋体" w:hAnsi="宋体" w:cs="宋体"/>
          <w:color w:val="auto"/>
          <w:kern w:val="0"/>
          <w:highlight w:val="none"/>
          <w:u w:val="single"/>
        </w:rPr>
        <w:t>质量保证金支持保函（银行保函、担保机构担保、保证保险）使用。采用保函的，保函有效期须与缺陷责任期截止时间保持一致</w:t>
      </w:r>
      <w:r>
        <w:rPr>
          <w:rFonts w:hint="eastAsia" w:cs="宋体"/>
          <w:color w:val="auto"/>
          <w:szCs w:val="21"/>
          <w:highlight w:val="none"/>
          <w:u w:val="single"/>
        </w:rPr>
        <w:t>。</w:t>
      </w:r>
    </w:p>
    <w:p w14:paraId="628FCF89">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14.7 最终结清</w:t>
      </w:r>
    </w:p>
    <w:p w14:paraId="54916164">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14.7.1 最终结清申请单</w:t>
      </w:r>
    </w:p>
    <w:p w14:paraId="4BCD957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当事人双方关于最终结清申请的其他约定：</w:t>
      </w:r>
      <w:r>
        <w:rPr>
          <w:rFonts w:hint="eastAsia" w:ascii="宋体" w:hAnsi="宋体" w:cs="宋体"/>
          <w:color w:val="auto"/>
          <w:szCs w:val="21"/>
          <w:highlight w:val="none"/>
          <w:u w:val="single"/>
        </w:rPr>
        <w:t xml:space="preserve">缺陷责任期满经回访合格后7天内承包人提交最终结算申请单 </w:t>
      </w:r>
      <w:r>
        <w:rPr>
          <w:rFonts w:hint="eastAsia" w:ascii="宋体" w:hAnsi="宋体" w:cs="宋体"/>
          <w:color w:val="auto"/>
          <w:szCs w:val="21"/>
          <w:highlight w:val="none"/>
        </w:rPr>
        <w:t>。</w:t>
      </w:r>
    </w:p>
    <w:p w14:paraId="754EC678">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14.7.2 最终结清证书和支付</w:t>
      </w:r>
    </w:p>
    <w:p w14:paraId="0BB1175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当事人双方关于最终结清支付的其他约定：</w:t>
      </w:r>
      <w:r>
        <w:rPr>
          <w:rFonts w:hint="eastAsia" w:ascii="宋体" w:hAnsi="宋体" w:cs="宋体"/>
          <w:color w:val="auto"/>
          <w:szCs w:val="21"/>
          <w:highlight w:val="none"/>
          <w:u w:val="single"/>
        </w:rPr>
        <w:t xml:space="preserve"> 缺陷责任期满经回访合格后14天内发包人完成最终结清申请单的审批并颁发最终结清证书。发包人在发票送达一周内完成支付 。</w:t>
      </w:r>
    </w:p>
    <w:p w14:paraId="5531422E">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89" w:name="_Toc54862346"/>
      <w:bookmarkStart w:id="890" w:name="_Toc1018"/>
      <w:r>
        <w:rPr>
          <w:rFonts w:hint="eastAsia" w:cs="宋体"/>
          <w:bCs w:val="0"/>
          <w:color w:val="auto"/>
          <w:sz w:val="21"/>
          <w:szCs w:val="21"/>
          <w:highlight w:val="none"/>
        </w:rPr>
        <w:t>第15条 违约</w:t>
      </w:r>
      <w:bookmarkEnd w:id="889"/>
      <w:bookmarkEnd w:id="890"/>
    </w:p>
    <w:p w14:paraId="7767D7F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15.1发包人违约</w:t>
      </w:r>
    </w:p>
    <w:p w14:paraId="73BDB428">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15.1.1 发包人违约的情形</w:t>
      </w:r>
    </w:p>
    <w:p w14:paraId="46230C7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发包人违约的其他情形</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无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D11E2FA">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15.1.3 发包人违约的责任</w:t>
      </w:r>
    </w:p>
    <w:p w14:paraId="1301CE1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发包人违约责任的承担方式和计算方法：</w:t>
      </w:r>
    </w:p>
    <w:p w14:paraId="631BE73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（1）因发包人原因未能在计划开工日期前7天内下达开工通知的违约责任：</w:t>
      </w:r>
      <w:r>
        <w:rPr>
          <w:rFonts w:hint="eastAsia" w:ascii="宋体" w:hAnsi="宋体" w:cs="宋体"/>
          <w:color w:val="auto"/>
          <w:szCs w:val="21"/>
          <w:highlight w:val="none"/>
          <w:u w:val="single"/>
        </w:rPr>
        <w:t xml:space="preserve"> 对工期造成影响的可顺延工期  。</w:t>
      </w:r>
    </w:p>
    <w:p w14:paraId="69B7ED0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（2）因发包人原因未能按合同约定支付合同价款的违约责任：</w:t>
      </w:r>
      <w:r>
        <w:rPr>
          <w:rFonts w:hint="eastAsia" w:ascii="宋体" w:hAnsi="宋体" w:cs="宋体"/>
          <w:color w:val="auto"/>
          <w:szCs w:val="21"/>
          <w:highlight w:val="none"/>
          <w:u w:val="single"/>
        </w:rPr>
        <w:t xml:space="preserve"> 可按照中国人民银行发布的同期同类贷款基准利率支付违约金。</w:t>
      </w:r>
    </w:p>
    <w:p w14:paraId="58E92D7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（3）发包人违反“取消合同中任何工作，但转由他人实施的工作除外”约定，自行实施被取消的工作或转由他人实施的违约责任：</w:t>
      </w:r>
      <w:r>
        <w:rPr>
          <w:rFonts w:hint="eastAsia" w:ascii="宋体" w:hAnsi="宋体" w:cs="宋体"/>
          <w:color w:val="auto"/>
          <w:szCs w:val="21"/>
          <w:highlight w:val="none"/>
          <w:u w:val="single"/>
        </w:rPr>
        <w:t xml:space="preserve">发包人可追加与被取消的工作造价相当的额外工作做为补偿   </w:t>
      </w:r>
      <w:r>
        <w:rPr>
          <w:rFonts w:hint="eastAsia" w:ascii="宋体" w:hAnsi="宋体" w:cs="宋体"/>
          <w:color w:val="auto"/>
          <w:szCs w:val="21"/>
          <w:highlight w:val="none"/>
        </w:rPr>
        <w:t>。</w:t>
      </w:r>
    </w:p>
    <w:p w14:paraId="0CD9C88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szCs w:val="21"/>
          <w:highlight w:val="none"/>
          <w:u w:val="single"/>
        </w:rPr>
        <w:t>发包人可补足或更换材料、工程设备；对工期造成延误的可以顺延；增加承包人成本的可予以补偿  。</w:t>
      </w:r>
    </w:p>
    <w:p w14:paraId="2B5EE05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（5）因发包人违反合同约定造成暂停施工的违约责任：</w:t>
      </w:r>
      <w:r>
        <w:rPr>
          <w:rFonts w:hint="eastAsia" w:ascii="宋体" w:hAnsi="宋体" w:cs="宋体"/>
          <w:color w:val="auto"/>
          <w:szCs w:val="21"/>
          <w:highlight w:val="none"/>
          <w:u w:val="single"/>
        </w:rPr>
        <w:t xml:space="preserve">  可顺延工期  </w:t>
      </w:r>
      <w:r>
        <w:rPr>
          <w:rFonts w:hint="eastAsia" w:ascii="宋体" w:hAnsi="宋体" w:cs="宋体"/>
          <w:color w:val="auto"/>
          <w:szCs w:val="21"/>
          <w:highlight w:val="none"/>
        </w:rPr>
        <w:t>。</w:t>
      </w:r>
    </w:p>
    <w:p w14:paraId="7091A36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（6）发包人无正当理由没有在约定期限内发出复工指示，导致承包人无法复工的违约责任：</w:t>
      </w:r>
      <w:r>
        <w:rPr>
          <w:rFonts w:hint="eastAsia" w:ascii="宋体" w:hAnsi="宋体" w:cs="宋体"/>
          <w:color w:val="auto"/>
          <w:szCs w:val="21"/>
          <w:highlight w:val="none"/>
          <w:u w:val="single"/>
        </w:rPr>
        <w:t xml:space="preserve"> 对工期造成影响的可顺延工期  。</w:t>
      </w:r>
    </w:p>
    <w:p w14:paraId="7F28FC5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（7）其他：</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770E3439">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15.2 承包人违约</w:t>
      </w:r>
    </w:p>
    <w:p w14:paraId="4248E267">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15.2.1 承包人违约的情形</w:t>
      </w:r>
    </w:p>
    <w:p w14:paraId="2E851F6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承包人违约的其他情形：</w:t>
      </w:r>
      <w:r>
        <w:rPr>
          <w:rFonts w:hint="eastAsia" w:ascii="宋体" w:hAnsi="宋体" w:cs="宋体"/>
          <w:color w:val="auto"/>
          <w:szCs w:val="21"/>
          <w:highlight w:val="none"/>
          <w:u w:val="single"/>
        </w:rPr>
        <w:t xml:space="preserve">   执行补充条款      </w:t>
      </w:r>
      <w:r>
        <w:rPr>
          <w:rFonts w:hint="eastAsia" w:ascii="宋体" w:hAnsi="宋体" w:cs="宋体"/>
          <w:color w:val="auto"/>
          <w:szCs w:val="21"/>
          <w:highlight w:val="none"/>
        </w:rPr>
        <w:t>。</w:t>
      </w:r>
    </w:p>
    <w:p w14:paraId="69CADD92">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15.2.2 通知改正</w:t>
      </w:r>
    </w:p>
    <w:p w14:paraId="666B443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工程师通知承包人改正的合理期限是：</w:t>
      </w:r>
      <w:r>
        <w:rPr>
          <w:rFonts w:hint="eastAsia" w:ascii="宋体" w:hAnsi="宋体" w:cs="宋体"/>
          <w:color w:val="auto"/>
          <w:szCs w:val="21"/>
          <w:highlight w:val="none"/>
          <w:u w:val="single"/>
        </w:rPr>
        <w:t xml:space="preserve"> 执行国家、省、市有关规定  </w:t>
      </w:r>
      <w:r>
        <w:rPr>
          <w:rFonts w:hint="eastAsia" w:ascii="宋体" w:hAnsi="宋体" w:cs="宋体"/>
          <w:color w:val="auto"/>
          <w:szCs w:val="21"/>
          <w:highlight w:val="none"/>
        </w:rPr>
        <w:t>。</w:t>
      </w:r>
    </w:p>
    <w:p w14:paraId="38C1AF1E">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15.2.3 承包人违约的责任</w:t>
      </w:r>
    </w:p>
    <w:p w14:paraId="7C9B856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承包人违约责任的承担方式和计算方法：</w:t>
      </w:r>
      <w:r>
        <w:rPr>
          <w:rFonts w:hint="eastAsia" w:ascii="宋体" w:hAnsi="宋体" w:cs="宋体"/>
          <w:color w:val="auto"/>
          <w:szCs w:val="21"/>
          <w:highlight w:val="none"/>
          <w:u w:val="single"/>
        </w:rPr>
        <w:t xml:space="preserve">  执行补充条款  </w:t>
      </w:r>
      <w:r>
        <w:rPr>
          <w:rFonts w:hint="eastAsia" w:ascii="宋体" w:hAnsi="宋体" w:cs="宋体"/>
          <w:color w:val="auto"/>
          <w:szCs w:val="21"/>
          <w:highlight w:val="none"/>
        </w:rPr>
        <w:t>。</w:t>
      </w:r>
    </w:p>
    <w:p w14:paraId="5CBDFAEA">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91" w:name="_Toc54862347"/>
      <w:bookmarkStart w:id="892" w:name="_Toc24184"/>
      <w:r>
        <w:rPr>
          <w:rFonts w:hint="eastAsia" w:cs="宋体"/>
          <w:bCs w:val="0"/>
          <w:color w:val="auto"/>
          <w:sz w:val="21"/>
          <w:szCs w:val="21"/>
          <w:highlight w:val="none"/>
        </w:rPr>
        <w:t>第16条 合同解除</w:t>
      </w:r>
      <w:bookmarkEnd w:id="891"/>
      <w:bookmarkEnd w:id="892"/>
    </w:p>
    <w:p w14:paraId="5B2A203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bookmarkStart w:id="893" w:name="_Toc54862348"/>
      <w:r>
        <w:rPr>
          <w:rFonts w:hint="eastAsia" w:ascii="宋体" w:hAnsi="宋体" w:cs="宋体"/>
          <w:color w:val="auto"/>
          <w:szCs w:val="21"/>
          <w:highlight w:val="none"/>
        </w:rPr>
        <w:t>16.1 合同解除的因素：</w:t>
      </w:r>
    </w:p>
    <w:p w14:paraId="7F6A46E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发包人和承包人双方协商一致，可解除合同，解除合同应采用书面形式。</w:t>
      </w:r>
    </w:p>
    <w:p w14:paraId="2BFFE196">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16.2 发生下列情形之一的,守约方可以解除合同:</w:t>
      </w:r>
    </w:p>
    <w:p w14:paraId="35A1FCD8">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1）因不可抗力,致使合同目的不能实现；</w:t>
      </w:r>
    </w:p>
    <w:p w14:paraId="01B10B5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2）承包人未按合同约定期限完成验收并移交生产,经催告后20个工作日内仍未补救；</w:t>
      </w:r>
    </w:p>
    <w:p w14:paraId="2115443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3）承包人采购的设备质量不符合约定，且承包人未按发包人要求采取必要补救措施的，发包人有权解除合同，承包人须就发包人所遭受的损失承担全部赔偿责任；</w:t>
      </w:r>
    </w:p>
    <w:p w14:paraId="7956278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4）工程发生安全事故或发生造成发包人直接经济损失50万（含）以上的质量事故，且承包人故意推脱，不积极配合发包人进行事故处理的；</w:t>
      </w:r>
    </w:p>
    <w:p w14:paraId="2509574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5）承包人违反本合同第十六条约定，发包人有权解除合同, 承包人须就发包人所遭受的损失承担全部赔偿责任；</w:t>
      </w:r>
    </w:p>
    <w:p w14:paraId="046E504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6）承包人态度恶劣或辱骂、恐吓、 殴打发包人员工；</w:t>
      </w:r>
    </w:p>
    <w:p w14:paraId="1C3F8A3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7）因一方违约致使合同无法履行；</w:t>
      </w:r>
    </w:p>
    <w:p w14:paraId="147185C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8）发生《生产安全事故报告和调查处理条例》规定的一般及以上等级的生产安全事故或一般及以上工程质量事故的，发包人有权解除合同；</w:t>
      </w:r>
    </w:p>
    <w:p w14:paraId="2C6A1E3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9) 承包人未取得合法有效的安全生产许可证，或承包人安全生产许可证在本合同履行期间内失效未及时补办的，发包人有权解除合同；</w:t>
      </w:r>
    </w:p>
    <w:p w14:paraId="61FA331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10) 承包人未投保安全生产责任保险或安全生产责任保险在发包人颁发最终竣工验收证书之前失效且未能及时续保的，发包人有权解除合同；</w:t>
      </w:r>
    </w:p>
    <w:p w14:paraId="5F70B56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11) 因承包人原因导致其分包商、设备材料供应商、农民工等上访、闹事、妨碍发包人及其关联方的正常经营的，承包人在收到发包人书面通知之日起的三个工作日内未进行妥善处理的，发包人有权解除合同；</w:t>
      </w:r>
    </w:p>
    <w:p w14:paraId="7CF25384">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16.3合同解除的处理：</w:t>
      </w:r>
    </w:p>
    <w:p w14:paraId="1B438915">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16.3.1 一方要求解除合同的，应在10个工作日内以书面形式向对方发出解除通知，通知到达时合同解除。对解除合同有争议的，按第十五条约定处理。</w:t>
      </w:r>
    </w:p>
    <w:p w14:paraId="1416AA0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16.3.2 合同解除后的善后工作，双方另行约定协商。</w:t>
      </w:r>
    </w:p>
    <w:p w14:paraId="4A9DC69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16.4 承包人将工程交付发包人后，在发包人支付完毕全部竣工结算款，除有关争议解决、质量保证、售后服务条款、保密条款仍然生效外，其它条款即告终止。</w:t>
      </w:r>
    </w:p>
    <w:p w14:paraId="229DDCD4">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94" w:name="_Toc17061"/>
      <w:r>
        <w:rPr>
          <w:rFonts w:hint="eastAsia" w:cs="宋体"/>
          <w:bCs w:val="0"/>
          <w:color w:val="auto"/>
          <w:sz w:val="21"/>
          <w:szCs w:val="21"/>
          <w:highlight w:val="none"/>
        </w:rPr>
        <w:t>第17条 不可抗力</w:t>
      </w:r>
      <w:bookmarkEnd w:id="893"/>
      <w:bookmarkEnd w:id="894"/>
    </w:p>
    <w:p w14:paraId="7844047D">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17.1 不可抗力的定义</w:t>
      </w:r>
    </w:p>
    <w:p w14:paraId="2D03F614">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除通用合同条件约定的不可抗力事件之外，视为不可抗力的其他情形：</w:t>
      </w:r>
      <w:r>
        <w:rPr>
          <w:rFonts w:hint="eastAsia" w:ascii="宋体" w:hAnsi="宋体" w:cs="宋体"/>
          <w:color w:val="auto"/>
          <w:szCs w:val="21"/>
          <w:highlight w:val="none"/>
          <w:u w:val="single"/>
        </w:rPr>
        <w:t xml:space="preserve">   </w:t>
      </w:r>
      <w:r>
        <w:rPr>
          <w:rFonts w:hint="eastAsia" w:cs="宋体"/>
          <w:color w:val="auto"/>
          <w:szCs w:val="21"/>
          <w:highlight w:val="none"/>
          <w:u w:val="single"/>
        </w:rPr>
        <w:t>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2AEBEF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17.6 因不可抗力解除合同</w:t>
      </w:r>
    </w:p>
    <w:p w14:paraId="24B620E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合同解除后，发包人应当在商定或确定发包人应支付款项后的</w:t>
      </w:r>
      <w:r>
        <w:rPr>
          <w:rFonts w:hint="eastAsia" w:ascii="宋体" w:hAnsi="宋体" w:cs="宋体"/>
          <w:color w:val="auto"/>
          <w:szCs w:val="21"/>
          <w:highlight w:val="none"/>
          <w:u w:val="single"/>
        </w:rPr>
        <w:t xml:space="preserve">  </w:t>
      </w:r>
      <w:r>
        <w:rPr>
          <w:rFonts w:hint="eastAsia" w:cs="宋体"/>
          <w:color w:val="auto"/>
          <w:szCs w:val="21"/>
          <w:highlight w:val="none"/>
          <w:u w:val="single"/>
        </w:rPr>
        <w:t>发票送达7</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天内完成款项的支付。</w:t>
      </w:r>
    </w:p>
    <w:p w14:paraId="2983D744">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95" w:name="_Toc29138"/>
      <w:bookmarkStart w:id="896" w:name="_Toc54862349"/>
      <w:r>
        <w:rPr>
          <w:rFonts w:hint="eastAsia" w:cs="宋体"/>
          <w:bCs w:val="0"/>
          <w:color w:val="auto"/>
          <w:sz w:val="21"/>
          <w:szCs w:val="21"/>
          <w:highlight w:val="none"/>
        </w:rPr>
        <w:t>第18条 保险</w:t>
      </w:r>
      <w:bookmarkEnd w:id="895"/>
      <w:bookmarkEnd w:id="896"/>
    </w:p>
    <w:p w14:paraId="35C4D58B">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18.1 设计和工程保险</w:t>
      </w:r>
    </w:p>
    <w:p w14:paraId="5EC9EEB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18.1.1 双方当事人关于设计和工程保险的特别约定：</w:t>
      </w:r>
      <w:r>
        <w:rPr>
          <w:rFonts w:hint="eastAsia" w:cs="宋体"/>
          <w:color w:val="auto"/>
          <w:szCs w:val="21"/>
          <w:highlight w:val="none"/>
          <w:u w:val="single"/>
        </w:rPr>
        <w:t xml:space="preserve"> 执行国家、省、市有关规定 </w:t>
      </w:r>
      <w:r>
        <w:rPr>
          <w:rFonts w:hint="eastAsia" w:ascii="宋体" w:hAnsi="宋体" w:cs="宋体"/>
          <w:color w:val="auto"/>
          <w:szCs w:val="21"/>
          <w:highlight w:val="none"/>
        </w:rPr>
        <w:t>。</w:t>
      </w:r>
    </w:p>
    <w:p w14:paraId="15D66CE8">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18.1.2 双方当事人关于第三方责任险的特别约定：</w:t>
      </w:r>
      <w:r>
        <w:rPr>
          <w:rFonts w:hint="eastAsia" w:ascii="宋体" w:hAnsi="宋体" w:cs="宋体"/>
          <w:color w:val="auto"/>
          <w:szCs w:val="21"/>
          <w:highlight w:val="none"/>
          <w:u w:val="single"/>
        </w:rPr>
        <w:t xml:space="preserve">           另行协商         </w:t>
      </w:r>
      <w:r>
        <w:rPr>
          <w:rFonts w:hint="eastAsia" w:ascii="宋体" w:hAnsi="宋体" w:cs="宋体"/>
          <w:color w:val="auto"/>
          <w:szCs w:val="21"/>
          <w:highlight w:val="none"/>
        </w:rPr>
        <w:t>。</w:t>
      </w:r>
    </w:p>
    <w:p w14:paraId="728139A1">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18.2 工伤和意外伤害保险</w:t>
      </w:r>
    </w:p>
    <w:p w14:paraId="6D5C9AE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18.2.3 关于工伤保险和意外伤害保险的特别约定：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执行国家、省、市有关规定  </w:t>
      </w:r>
      <w:r>
        <w:rPr>
          <w:rFonts w:hint="eastAsia" w:ascii="宋体" w:hAnsi="宋体" w:cs="宋体"/>
          <w:color w:val="auto"/>
          <w:szCs w:val="21"/>
          <w:highlight w:val="none"/>
        </w:rPr>
        <w:t>。</w:t>
      </w:r>
    </w:p>
    <w:p w14:paraId="7BD1AD4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18.3 货物保险</w:t>
      </w:r>
    </w:p>
    <w:p w14:paraId="4B8D494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关于承包人应为其施工设备、材料、工程设备和临时工程等办理财产保险的特别约定：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另行协商</w:t>
      </w:r>
      <w:r>
        <w:rPr>
          <w:rFonts w:hint="eastAsia" w:ascii="宋体" w:hAnsi="宋体" w:cs="宋体"/>
          <w:color w:val="auto"/>
          <w:szCs w:val="21"/>
          <w:highlight w:val="none"/>
        </w:rPr>
        <w:t>。</w:t>
      </w:r>
    </w:p>
    <w:p w14:paraId="6D9BB2AF">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18.4 其他保险</w:t>
      </w:r>
    </w:p>
    <w:p w14:paraId="087FCB0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关于其他保险的约定：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执行国家、省、市有关规定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E10C027">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18.5 对各项保险的一般要求</w:t>
      </w:r>
    </w:p>
    <w:p w14:paraId="779ABA90">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18.5.2 保险凭证</w:t>
      </w:r>
    </w:p>
    <w:p w14:paraId="0607B7CD">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保险单的条件：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BED0191">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18.5.4 通知义务</w:t>
      </w:r>
    </w:p>
    <w:p w14:paraId="26D9D6B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u w:val="single"/>
        </w:rPr>
      </w:pPr>
      <w:r>
        <w:rPr>
          <w:rFonts w:hint="eastAsia" w:ascii="宋体" w:hAnsi="宋体" w:cs="宋体"/>
          <w:color w:val="auto"/>
          <w:szCs w:val="21"/>
          <w:highlight w:val="none"/>
        </w:rPr>
        <w:t>关于变更保险合同时的通知义务的约定：</w:t>
      </w:r>
      <w:r>
        <w:rPr>
          <w:rFonts w:hint="eastAsia" w:ascii="宋体" w:hAnsi="宋体" w:cs="宋体"/>
          <w:color w:val="auto"/>
          <w:szCs w:val="21"/>
          <w:highlight w:val="none"/>
          <w:u w:val="single"/>
        </w:rPr>
        <w:t xml:space="preserve"> 发包人变更除工伤保险之外的保险合同时，应事先征得承包人同意，并通知监理人；承包人变更除工伤保险之外的保险合同时，应事先征得发包人同意，并通知监理人。</w:t>
      </w:r>
    </w:p>
    <w:p w14:paraId="50A89D4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u w:val="single"/>
        </w:rPr>
        <w:t>保险事故发生时，投保人应按照保险合同规定的条件和期限及时向保险人报告。发包人和承包人应当在知道保险事故发生后及时通知对方</w:t>
      </w:r>
      <w:r>
        <w:rPr>
          <w:rFonts w:hint="eastAsia" w:ascii="宋体" w:hAnsi="宋体" w:cs="宋体"/>
          <w:color w:val="auto"/>
          <w:szCs w:val="21"/>
          <w:highlight w:val="none"/>
        </w:rPr>
        <w:t>。</w:t>
      </w:r>
    </w:p>
    <w:p w14:paraId="21C46F1A">
      <w:pPr>
        <w:pStyle w:val="42"/>
        <w:widowControl/>
        <w:tabs>
          <w:tab w:val="left" w:pos="220"/>
        </w:tabs>
        <w:adjustRightInd w:val="0"/>
        <w:snapToGrid w:val="0"/>
        <w:spacing w:beforeLines="30" w:afterLines="30" w:line="440" w:lineRule="exact"/>
        <w:ind w:right="250" w:rightChars="119" w:hanging="15"/>
        <w:jc w:val="left"/>
        <w:outlineLvl w:val="2"/>
        <w:rPr>
          <w:rFonts w:cs="宋体"/>
          <w:bCs w:val="0"/>
          <w:color w:val="auto"/>
          <w:sz w:val="21"/>
          <w:szCs w:val="21"/>
          <w:highlight w:val="none"/>
        </w:rPr>
      </w:pPr>
      <w:bookmarkStart w:id="897" w:name="_Toc54862350"/>
      <w:bookmarkStart w:id="898" w:name="_Toc26586"/>
      <w:r>
        <w:rPr>
          <w:rFonts w:hint="eastAsia" w:cs="宋体"/>
          <w:bCs w:val="0"/>
          <w:color w:val="auto"/>
          <w:sz w:val="21"/>
          <w:szCs w:val="21"/>
          <w:highlight w:val="none"/>
        </w:rPr>
        <w:t>第20条 争议解决</w:t>
      </w:r>
      <w:bookmarkEnd w:id="897"/>
      <w:bookmarkEnd w:id="898"/>
    </w:p>
    <w:p w14:paraId="567F3559">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20.3 争议评审</w:t>
      </w:r>
    </w:p>
    <w:p w14:paraId="4A48198A">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 xml:space="preserve">合同当事人是否同意将工程争议提交争议评审小组决定：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否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7037C72">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20.3.1 争议评审小组的确定</w:t>
      </w:r>
    </w:p>
    <w:p w14:paraId="33268BC3">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争议评审小组成员的人数：</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442E7CF">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争议评审小组成员的确定：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1023D12">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选定争议避免/评审组的期限：</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5D5A3B7">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评审机构：</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05AF5C6">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其他事项的约定：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3783E51">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争议评审员报酬的承担人：</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CDEA920">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20.3.2 争议的避免</w:t>
      </w:r>
    </w:p>
    <w:p w14:paraId="2BB5431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发包人和承包人是否均出席争议避免的非正式讨论：</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361996">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20.3.3 争议评审小组的决定</w:t>
      </w:r>
    </w:p>
    <w:p w14:paraId="25C9920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关于争议评审小组的决定的特别约定：</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F7237E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20.4 仲裁或诉讼</w:t>
      </w:r>
    </w:p>
    <w:p w14:paraId="410AFD9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w:t>
      </w:r>
      <w:r>
        <w:rPr>
          <w:rFonts w:hint="eastAsia" w:cs="宋体"/>
          <w:color w:val="auto"/>
          <w:szCs w:val="21"/>
          <w:highlight w:val="none"/>
          <w:u w:val="single"/>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种方式解决：</w:t>
      </w:r>
    </w:p>
    <w:p w14:paraId="76342B7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（1）向</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滁州 </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仲裁委员会申请仲裁；</w:t>
      </w:r>
    </w:p>
    <w:p w14:paraId="2C26B820">
      <w:pPr>
        <w:widowControl/>
        <w:tabs>
          <w:tab w:val="left" w:pos="220"/>
        </w:tabs>
        <w:adjustRightInd w:val="0"/>
        <w:snapToGrid w:val="0"/>
        <w:spacing w:line="440" w:lineRule="exact"/>
        <w:ind w:right="250" w:rightChars="119" w:hanging="15"/>
        <w:jc w:val="left"/>
        <w:outlineLvl w:val="4"/>
        <w:rPr>
          <w:rFonts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w:t>
      </w:r>
      <w:r>
        <w:rPr>
          <w:rFonts w:hint="eastAsia" w:cs="宋体"/>
          <w:color w:val="auto"/>
          <w:szCs w:val="21"/>
          <w:highlight w:val="none"/>
          <w:u w:val="single"/>
        </w:rPr>
        <w:t xml:space="preserve"> 发包人所在地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人民法院起诉。</w:t>
      </w:r>
    </w:p>
    <w:p w14:paraId="044B23F6">
      <w:pPr>
        <w:adjustRightInd w:val="0"/>
        <w:snapToGrid w:val="0"/>
        <w:spacing w:line="360" w:lineRule="auto"/>
        <w:rPr>
          <w:rFonts w:ascii="宋体" w:hAnsi="宋体" w:cs="宋体"/>
          <w:color w:val="auto"/>
          <w:highlight w:val="none"/>
        </w:rPr>
      </w:pPr>
    </w:p>
    <w:p w14:paraId="55ADEC8C">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发包人：  (公章)                           承包人：  (公章)</w:t>
      </w:r>
    </w:p>
    <w:p w14:paraId="65B156FB">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法定代表人或其委托代理人：                 法定代表人或其委托代理人：</w:t>
      </w:r>
    </w:p>
    <w:p w14:paraId="38939826">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（签字）                                  （签字）</w:t>
      </w:r>
    </w:p>
    <w:p w14:paraId="554C2C6D">
      <w:pPr>
        <w:adjustRightInd w:val="0"/>
        <w:snapToGrid w:val="0"/>
        <w:spacing w:line="360" w:lineRule="auto"/>
        <w:rPr>
          <w:rFonts w:ascii="宋体" w:hAnsi="宋体" w:cs="宋体"/>
          <w:color w:val="auto"/>
          <w:highlight w:val="none"/>
          <w:u w:val="single"/>
        </w:rPr>
      </w:pPr>
      <w:r>
        <w:rPr>
          <w:rFonts w:hint="eastAsia" w:ascii="宋体" w:hAnsi="宋体" w:cs="宋体"/>
          <w:color w:val="auto"/>
          <w:highlight w:val="none"/>
        </w:rPr>
        <w:t>组织机构代码：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组织机构代码：</w:t>
      </w:r>
      <w:r>
        <w:rPr>
          <w:rFonts w:hint="eastAsia" w:ascii="宋体" w:hAnsi="宋体" w:cs="宋体"/>
          <w:color w:val="auto"/>
          <w:highlight w:val="none"/>
          <w:u w:val="single"/>
        </w:rPr>
        <w:t xml:space="preserve">          </w:t>
      </w:r>
    </w:p>
    <w:p w14:paraId="271042FD">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xml:space="preserve">            </w:t>
      </w:r>
      <w:r>
        <w:rPr>
          <w:rFonts w:hint="eastAsia" w:ascii="宋体" w:hAnsi="宋体" w:cs="宋体"/>
          <w:color w:val="auto"/>
          <w:kern w:val="0"/>
          <w:szCs w:val="21"/>
          <w:highlight w:val="none"/>
          <w:lang w:val="en-US" w:eastAsia="zh-CN"/>
        </w:rPr>
        <w:t xml:space="preserve">             </w:t>
      </w: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p>
    <w:p w14:paraId="2A3BB9BF">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邮政编码：</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02DA7851">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法定代表人：</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法定代表人：</w:t>
      </w:r>
      <w:r>
        <w:rPr>
          <w:rFonts w:hint="eastAsia" w:ascii="宋体" w:hAnsi="宋体" w:cs="宋体"/>
          <w:color w:val="auto"/>
          <w:highlight w:val="none"/>
          <w:u w:val="single"/>
        </w:rPr>
        <w:t xml:space="preserve">            </w:t>
      </w:r>
    </w:p>
    <w:p w14:paraId="4F951420">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委托代理人：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委托代理人：</w:t>
      </w:r>
      <w:r>
        <w:rPr>
          <w:rFonts w:hint="eastAsia" w:ascii="宋体" w:hAnsi="宋体" w:cs="宋体"/>
          <w:color w:val="auto"/>
          <w:highlight w:val="none"/>
          <w:u w:val="single"/>
        </w:rPr>
        <w:t xml:space="preserve">                </w:t>
      </w:r>
    </w:p>
    <w:p w14:paraId="0AA6398A">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p>
    <w:p w14:paraId="07FD2C79">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w:t>
      </w:r>
      <w:r>
        <w:rPr>
          <w:rFonts w:hint="eastAsia" w:ascii="宋体" w:hAnsi="宋体" w:cs="宋体"/>
          <w:color w:val="auto"/>
          <w:highlight w:val="none"/>
        </w:rPr>
        <w:t xml:space="preserve">                                   传  真：</w:t>
      </w:r>
      <w:r>
        <w:rPr>
          <w:rFonts w:hint="eastAsia" w:ascii="宋体" w:hAnsi="宋体" w:cs="宋体"/>
          <w:color w:val="auto"/>
          <w:highlight w:val="none"/>
          <w:u w:val="single"/>
        </w:rPr>
        <w:t xml:space="preserve">                   </w:t>
      </w:r>
    </w:p>
    <w:p w14:paraId="6537405F">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w:t>
      </w:r>
      <w:r>
        <w:rPr>
          <w:rFonts w:hint="eastAsia" w:ascii="宋体" w:hAnsi="宋体" w:cs="宋体"/>
          <w:color w:val="auto"/>
          <w:highlight w:val="none"/>
        </w:rPr>
        <w:t xml:space="preserve">                                 电子信箱：</w:t>
      </w:r>
      <w:r>
        <w:rPr>
          <w:rFonts w:hint="eastAsia" w:ascii="宋体" w:hAnsi="宋体" w:cs="宋体"/>
          <w:color w:val="auto"/>
          <w:highlight w:val="none"/>
          <w:u w:val="single"/>
        </w:rPr>
        <w:t xml:space="preserve">                   </w:t>
      </w:r>
    </w:p>
    <w:p w14:paraId="3FDB6DBC">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w:t>
      </w:r>
      <w:r>
        <w:rPr>
          <w:rFonts w:hint="eastAsia" w:ascii="宋体" w:hAnsi="宋体" w:cs="宋体"/>
          <w:color w:val="auto"/>
          <w:highlight w:val="none"/>
        </w:rPr>
        <w:t xml:space="preserve">                                 开户银行：</w:t>
      </w:r>
      <w:r>
        <w:rPr>
          <w:rFonts w:hint="eastAsia" w:ascii="宋体" w:hAnsi="宋体" w:cs="宋体"/>
          <w:color w:val="auto"/>
          <w:highlight w:val="none"/>
          <w:u w:val="single"/>
        </w:rPr>
        <w:t xml:space="preserve">                   </w:t>
      </w:r>
    </w:p>
    <w:p w14:paraId="4C2E620F">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账  号：</w:t>
      </w:r>
      <w:r>
        <w:rPr>
          <w:rFonts w:hint="eastAsia" w:ascii="宋体" w:hAnsi="宋体" w:cs="宋体"/>
          <w:color w:val="auto"/>
          <w:highlight w:val="none"/>
          <w:u w:val="single"/>
        </w:rPr>
        <w:t>/</w:t>
      </w:r>
      <w:r>
        <w:rPr>
          <w:rFonts w:hint="eastAsia" w:ascii="宋体" w:hAnsi="宋体" w:cs="宋体"/>
          <w:color w:val="auto"/>
          <w:highlight w:val="none"/>
        </w:rPr>
        <w:t xml:space="preserve">                                   账  号：</w:t>
      </w:r>
      <w:r>
        <w:rPr>
          <w:rFonts w:hint="eastAsia" w:ascii="宋体" w:hAnsi="宋体" w:cs="宋体"/>
          <w:color w:val="auto"/>
          <w:highlight w:val="none"/>
          <w:u w:val="single"/>
        </w:rPr>
        <w:t xml:space="preserve">                     </w:t>
      </w:r>
    </w:p>
    <w:p w14:paraId="66757C69">
      <w:pPr>
        <w:rPr>
          <w:rFonts w:cs="宋体"/>
          <w:color w:val="auto"/>
          <w:sz w:val="32"/>
          <w:szCs w:val="32"/>
          <w:highlight w:val="none"/>
        </w:rPr>
      </w:pPr>
      <w:r>
        <w:rPr>
          <w:rFonts w:hint="eastAsia" w:cs="宋体"/>
          <w:color w:val="auto"/>
          <w:sz w:val="32"/>
          <w:szCs w:val="32"/>
          <w:highlight w:val="none"/>
        </w:rPr>
        <w:br w:type="page"/>
      </w:r>
    </w:p>
    <w:p w14:paraId="00B0562D">
      <w:pPr>
        <w:pStyle w:val="38"/>
        <w:keepNext w:val="0"/>
        <w:keepLines w:val="0"/>
        <w:widowControl/>
        <w:adjustRightInd w:val="0"/>
        <w:snapToGrid w:val="0"/>
        <w:spacing w:beforeLines="50" w:afterLines="50" w:line="440" w:lineRule="exact"/>
        <w:jc w:val="center"/>
        <w:outlineLvl w:val="1"/>
        <w:rPr>
          <w:rFonts w:cs="宋体"/>
          <w:color w:val="auto"/>
          <w:sz w:val="32"/>
          <w:szCs w:val="32"/>
          <w:highlight w:val="none"/>
        </w:rPr>
      </w:pPr>
      <w:bookmarkStart w:id="899" w:name="_Toc30471"/>
      <w:r>
        <w:rPr>
          <w:rFonts w:hint="eastAsia" w:cs="宋体"/>
          <w:color w:val="auto"/>
          <w:sz w:val="32"/>
          <w:szCs w:val="32"/>
          <w:highlight w:val="none"/>
        </w:rPr>
        <w:t>第四部分 补充条款</w:t>
      </w:r>
      <w:bookmarkEnd w:id="899"/>
    </w:p>
    <w:p w14:paraId="7E5ECE66">
      <w:pPr>
        <w:widowControl/>
        <w:tabs>
          <w:tab w:val="left" w:pos="220"/>
        </w:tabs>
        <w:adjustRightInd w:val="0"/>
        <w:snapToGrid w:val="0"/>
        <w:spacing w:line="440" w:lineRule="exact"/>
        <w:ind w:right="250" w:rightChars="119" w:hanging="15"/>
        <w:jc w:val="left"/>
        <w:outlineLvl w:val="2"/>
        <w:rPr>
          <w:rFonts w:ascii="宋体" w:hAnsi="宋体" w:cs="宋体"/>
          <w:color w:val="auto"/>
          <w:szCs w:val="21"/>
          <w:highlight w:val="none"/>
        </w:rPr>
      </w:pPr>
      <w:bookmarkStart w:id="900" w:name="_Toc16864"/>
      <w:r>
        <w:rPr>
          <w:rFonts w:hint="eastAsia" w:ascii="宋体" w:hAnsi="宋体" w:cs="宋体"/>
          <w:color w:val="auto"/>
          <w:szCs w:val="21"/>
          <w:highlight w:val="none"/>
        </w:rPr>
        <w:t>1、承包人提供的设计成果通过发包人审批方可施工；</w:t>
      </w:r>
      <w:bookmarkEnd w:id="900"/>
    </w:p>
    <w:p w14:paraId="4A2E6389">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2、承包人在施工过程中须有保障安全的措施。该项费用由承包人自行承担。如合同履行期间对发包人或第三人带来损害：承包人将承担由此带来的一切责任；</w:t>
      </w:r>
    </w:p>
    <w:p w14:paraId="11E0E90C">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3、施工完成后，承包人须配合发包人完成国网接入，直至竣工验收；</w:t>
      </w:r>
    </w:p>
    <w:p w14:paraId="5FFFB06B">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4、承包人在施工过程中，不得对既有建筑物造成损坏，不得对既有建筑物的屋面排水造成影响，不得影响正常办公，因承包人原因造成的一切损失由承包人自行承担；</w:t>
      </w:r>
    </w:p>
    <w:p w14:paraId="076CE9AE">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5、其他有关安全生产管理的内容：施工完成后，承包人应对设备进行相关的安全系数检测（风荷载、雪荷载）、发电效率检测等，并由有资质的第三方出具检测报告（相关费用均已包含在合同单价中，不另行计费）；</w:t>
      </w:r>
    </w:p>
    <w:p w14:paraId="69BE8CA6">
      <w:pPr>
        <w:widowControl/>
        <w:tabs>
          <w:tab w:val="left" w:pos="220"/>
        </w:tabs>
        <w:adjustRightInd w:val="0"/>
        <w:snapToGrid w:val="0"/>
        <w:spacing w:line="440" w:lineRule="exact"/>
        <w:ind w:right="250" w:rightChars="119" w:hanging="15"/>
        <w:jc w:val="left"/>
        <w:outlineLvl w:val="2"/>
        <w:rPr>
          <w:rFonts w:ascii="宋体" w:hAnsi="宋体" w:cs="宋体"/>
          <w:color w:val="auto"/>
          <w:szCs w:val="21"/>
          <w:highlight w:val="none"/>
        </w:rPr>
      </w:pPr>
      <w:bookmarkStart w:id="901" w:name="_Toc21413"/>
      <w:r>
        <w:rPr>
          <w:rFonts w:hint="eastAsia" w:ascii="宋体" w:hAnsi="宋体" w:cs="宋体"/>
          <w:color w:val="auto"/>
          <w:szCs w:val="21"/>
          <w:highlight w:val="none"/>
        </w:rPr>
        <w:t>6、其他要求</w:t>
      </w:r>
      <w:bookmarkEnd w:id="901"/>
    </w:p>
    <w:p w14:paraId="603921BC">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（1）承包人须根据发包人要求向当地税务部门缴纳相关税费。</w:t>
      </w:r>
    </w:p>
    <w:p w14:paraId="2A326C48">
      <w:pPr>
        <w:widowControl/>
        <w:tabs>
          <w:tab w:val="left" w:pos="220"/>
        </w:tabs>
        <w:adjustRightInd w:val="0"/>
        <w:snapToGrid w:val="0"/>
        <w:spacing w:line="440" w:lineRule="exact"/>
        <w:ind w:right="250" w:rightChars="119" w:hanging="15"/>
        <w:jc w:val="left"/>
        <w:outlineLvl w:val="3"/>
        <w:rPr>
          <w:rFonts w:ascii="宋体" w:hAnsi="宋体" w:cs="宋体"/>
          <w:color w:val="auto"/>
          <w:szCs w:val="21"/>
          <w:highlight w:val="none"/>
        </w:rPr>
      </w:pPr>
      <w:r>
        <w:rPr>
          <w:rFonts w:hint="eastAsia" w:ascii="宋体" w:hAnsi="宋体" w:cs="宋体"/>
          <w:color w:val="auto"/>
          <w:szCs w:val="21"/>
          <w:highlight w:val="none"/>
        </w:rPr>
        <w:t>（2）承包人结合项目实际情况编制运维方案，递交发包人审核确认。项目运维期间涉及的应由承包人购买的保险（财产综合险、公共责任险等，且不低于发包人在运营光伏项目保险相关参数）已包含在投标报价中，统一由承包人购买并支付相关费用，且保险期限应包含整个运维期。</w:t>
      </w:r>
    </w:p>
    <w:p w14:paraId="019E9980">
      <w:pPr>
        <w:widowControl/>
        <w:tabs>
          <w:tab w:val="left" w:pos="220"/>
        </w:tabs>
        <w:adjustRightInd w:val="0"/>
        <w:snapToGrid w:val="0"/>
        <w:spacing w:line="440" w:lineRule="exact"/>
        <w:ind w:right="250" w:rightChars="119" w:hanging="15"/>
        <w:jc w:val="left"/>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kern w:val="0"/>
          <w:szCs w:val="21"/>
          <w:highlight w:val="none"/>
        </w:rPr>
        <w:t>光伏系统设计及安装过程中需考虑光伏电能无功功率波动，本次招标项目乙方所建设完成的光伏电站，不得对电网功率因数造成影响。运维期内，若因光伏电站功率因数波动造成罚款，由乙方全额承担。</w:t>
      </w:r>
    </w:p>
    <w:p w14:paraId="6DFF9CE1">
      <w:pPr>
        <w:rPr>
          <w:rFonts w:ascii="黑体" w:hAnsi="黑体" w:eastAsia="黑体"/>
          <w:b/>
          <w:bCs/>
          <w:color w:val="auto"/>
          <w:kern w:val="44"/>
          <w:sz w:val="30"/>
          <w:szCs w:val="30"/>
          <w:highlight w:val="none"/>
          <w:lang w:val="zh-CN"/>
        </w:rPr>
      </w:pPr>
      <w:r>
        <w:rPr>
          <w:rFonts w:hint="eastAsia" w:ascii="黑体" w:hAnsi="黑体" w:eastAsia="黑体"/>
          <w:b/>
          <w:bCs/>
          <w:color w:val="auto"/>
          <w:kern w:val="44"/>
          <w:sz w:val="30"/>
          <w:szCs w:val="30"/>
          <w:highlight w:val="none"/>
          <w:lang w:val="zh-CN"/>
        </w:rPr>
        <w:br w:type="page"/>
      </w:r>
    </w:p>
    <w:p w14:paraId="4A11093C">
      <w:pPr>
        <w:widowControl/>
        <w:tabs>
          <w:tab w:val="left" w:leader="underscore" w:pos="6300"/>
        </w:tabs>
        <w:adjustRightInd w:val="0"/>
        <w:snapToGrid w:val="0"/>
        <w:spacing w:after="50" w:line="360" w:lineRule="auto"/>
        <w:jc w:val="center"/>
        <w:rPr>
          <w:rFonts w:ascii="黑体" w:hAnsi="黑体" w:eastAsia="黑体"/>
          <w:b/>
          <w:bCs/>
          <w:color w:val="auto"/>
          <w:kern w:val="44"/>
          <w:sz w:val="30"/>
          <w:szCs w:val="30"/>
          <w:highlight w:val="none"/>
          <w:lang w:val="zh-CN"/>
        </w:rPr>
      </w:pPr>
    </w:p>
    <w:p w14:paraId="4035E628">
      <w:pPr>
        <w:widowControl/>
        <w:tabs>
          <w:tab w:val="left" w:leader="underscore" w:pos="6300"/>
        </w:tabs>
        <w:adjustRightInd w:val="0"/>
        <w:snapToGrid w:val="0"/>
        <w:spacing w:after="50" w:line="360" w:lineRule="auto"/>
        <w:jc w:val="center"/>
        <w:outlineLvl w:val="2"/>
        <w:rPr>
          <w:rFonts w:ascii="黑体" w:hAnsi="黑体" w:eastAsia="黑体"/>
          <w:b/>
          <w:bCs/>
          <w:color w:val="auto"/>
          <w:kern w:val="44"/>
          <w:sz w:val="28"/>
          <w:szCs w:val="28"/>
          <w:highlight w:val="none"/>
          <w:lang w:val="zh-CN"/>
        </w:rPr>
      </w:pPr>
      <w:bookmarkStart w:id="902" w:name="_Toc29976"/>
      <w:r>
        <w:rPr>
          <w:rFonts w:hint="eastAsia" w:ascii="黑体" w:hAnsi="黑体" w:eastAsia="黑体"/>
          <w:b/>
          <w:bCs/>
          <w:color w:val="auto"/>
          <w:kern w:val="44"/>
          <w:sz w:val="30"/>
          <w:szCs w:val="30"/>
          <w:highlight w:val="none"/>
          <w:lang w:val="zh-CN"/>
        </w:rPr>
        <w:t>专用合同条件附件</w:t>
      </w:r>
      <w:bookmarkEnd w:id="819"/>
      <w:bookmarkEnd w:id="820"/>
      <w:bookmarkEnd w:id="902"/>
    </w:p>
    <w:p w14:paraId="47CA9EB8">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附件1：发包人要求</w:t>
      </w:r>
    </w:p>
    <w:p w14:paraId="409705ED">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附件2：安全生产合同</w:t>
      </w:r>
    </w:p>
    <w:p w14:paraId="0206D7F2">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附件3：工程质量保修书</w:t>
      </w:r>
    </w:p>
    <w:p w14:paraId="6E74742D">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附件4：承包人设计、施工人员配备一览表</w:t>
      </w:r>
    </w:p>
    <w:p w14:paraId="5A61DFBC">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附件5：总承包管理配合义务</w:t>
      </w:r>
    </w:p>
    <w:p w14:paraId="5D513139">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附件6：履约保函示范文本</w:t>
      </w:r>
    </w:p>
    <w:p w14:paraId="247BC8A3">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附件7：预付款保函示范文本</w:t>
      </w:r>
    </w:p>
    <w:p w14:paraId="53CDF28A">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附件8：支付保函示范文本</w:t>
      </w:r>
    </w:p>
    <w:p w14:paraId="1B800823">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附件9：项目经理质量终身责任制</w:t>
      </w:r>
    </w:p>
    <w:p w14:paraId="3F482AAF">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附件10：廉政建设责任书</w:t>
      </w:r>
    </w:p>
    <w:p w14:paraId="37C9DF7D">
      <w:pPr>
        <w:tabs>
          <w:tab w:val="left" w:leader="underscore" w:pos="6300"/>
        </w:tabs>
        <w:snapToGrid w:val="0"/>
        <w:spacing w:line="360" w:lineRule="auto"/>
        <w:ind w:firstLine="420" w:firstLineChars="200"/>
        <w:rPr>
          <w:color w:val="auto"/>
          <w:szCs w:val="21"/>
          <w:highlight w:val="none"/>
        </w:rPr>
        <w:sectPr>
          <w:footerReference r:id="rId8" w:type="default"/>
          <w:pgSz w:w="11906" w:h="16838"/>
          <w:pgMar w:top="1440" w:right="1800" w:bottom="1440" w:left="1800" w:header="720" w:footer="998" w:gutter="0"/>
          <w:cols w:space="720" w:num="1"/>
          <w:docGrid w:linePitch="326" w:charSpace="0"/>
        </w:sectPr>
      </w:pPr>
    </w:p>
    <w:p w14:paraId="74F8C2E1">
      <w:pPr>
        <w:keepNext/>
        <w:keepLines/>
        <w:widowControl/>
        <w:tabs>
          <w:tab w:val="left" w:pos="1134"/>
          <w:tab w:val="left" w:leader="underscore" w:pos="6300"/>
        </w:tabs>
        <w:topLinePunct/>
        <w:adjustRightInd w:val="0"/>
        <w:snapToGrid w:val="0"/>
        <w:spacing w:afterLines="50" w:line="360" w:lineRule="auto"/>
        <w:jc w:val="center"/>
        <w:outlineLvl w:val="1"/>
        <w:rPr>
          <w:rFonts w:ascii="黑体" w:hAnsi="黑体" w:eastAsia="黑体"/>
          <w:b/>
          <w:color w:val="auto"/>
          <w:kern w:val="0"/>
          <w:sz w:val="30"/>
          <w:szCs w:val="30"/>
          <w:highlight w:val="none"/>
        </w:rPr>
      </w:pPr>
      <w:bookmarkStart w:id="903" w:name="_Toc54862352"/>
      <w:bookmarkStart w:id="904" w:name="_Toc17258"/>
      <w:bookmarkStart w:id="905" w:name="_Hlk38571789"/>
      <w:bookmarkStart w:id="906" w:name="_Toc95223515"/>
      <w:bookmarkStart w:id="907" w:name="_Toc4767"/>
      <w:r>
        <w:rPr>
          <w:rFonts w:hint="eastAsia" w:ascii="黑体" w:hAnsi="黑体" w:eastAsia="黑体"/>
          <w:b/>
          <w:color w:val="auto"/>
          <w:kern w:val="0"/>
          <w:sz w:val="30"/>
          <w:szCs w:val="30"/>
          <w:highlight w:val="none"/>
        </w:rPr>
        <w:t>附件1</w:t>
      </w:r>
      <w:r>
        <w:rPr>
          <w:rFonts w:ascii="黑体" w:hAnsi="黑体" w:eastAsia="黑体"/>
          <w:b/>
          <w:color w:val="auto"/>
          <w:kern w:val="0"/>
          <w:sz w:val="30"/>
          <w:szCs w:val="30"/>
          <w:highlight w:val="none"/>
        </w:rPr>
        <w:t xml:space="preserve"> </w:t>
      </w:r>
      <w:r>
        <w:rPr>
          <w:rFonts w:hint="eastAsia" w:ascii="黑体" w:hAnsi="黑体" w:eastAsia="黑体"/>
          <w:b/>
          <w:color w:val="auto"/>
          <w:kern w:val="0"/>
          <w:sz w:val="30"/>
          <w:szCs w:val="30"/>
          <w:highlight w:val="none"/>
        </w:rPr>
        <w:t>《发包人要求》</w:t>
      </w:r>
      <w:bookmarkEnd w:id="903"/>
      <w:bookmarkEnd w:id="904"/>
    </w:p>
    <w:p w14:paraId="36EB8E92">
      <w:pPr>
        <w:tabs>
          <w:tab w:val="left" w:leader="underscore" w:pos="6300"/>
        </w:tabs>
        <w:snapToGrid w:val="0"/>
        <w:spacing w:line="360" w:lineRule="auto"/>
        <w:ind w:firstLine="420" w:firstLineChars="200"/>
        <w:rPr>
          <w:color w:val="auto"/>
          <w:szCs w:val="21"/>
          <w:highlight w:val="none"/>
        </w:rPr>
      </w:pPr>
      <w:r>
        <w:rPr>
          <w:rFonts w:hint="eastAsia"/>
          <w:color w:val="auto"/>
          <w:szCs w:val="21"/>
          <w:highlight w:val="none"/>
        </w:rPr>
        <w:t>见招标文件内容。</w:t>
      </w:r>
    </w:p>
    <w:bookmarkEnd w:id="905"/>
    <w:p w14:paraId="40175891">
      <w:pPr>
        <w:widowControl/>
        <w:tabs>
          <w:tab w:val="left" w:leader="underscore" w:pos="6300"/>
        </w:tabs>
        <w:adjustRightInd w:val="0"/>
        <w:snapToGrid w:val="0"/>
        <w:spacing w:afterLines="50" w:line="360" w:lineRule="auto"/>
        <w:jc w:val="center"/>
        <w:rPr>
          <w:rFonts w:ascii="仿宋_GB2312" w:hAnsi="仿宋_GB2312" w:eastAsia="仿宋_GB2312" w:cs="仿宋_GB2312"/>
          <w:color w:val="auto"/>
          <w:kern w:val="0"/>
          <w:sz w:val="30"/>
          <w:szCs w:val="30"/>
          <w:highlight w:val="none"/>
        </w:rPr>
        <w:sectPr>
          <w:pgSz w:w="11906" w:h="16838"/>
          <w:pgMar w:top="1440" w:right="1800" w:bottom="1440" w:left="1800" w:header="720" w:footer="998" w:gutter="0"/>
          <w:cols w:space="720" w:num="1"/>
          <w:docGrid w:linePitch="326" w:charSpace="0"/>
        </w:sectPr>
      </w:pPr>
    </w:p>
    <w:p w14:paraId="1CAC789C">
      <w:pPr>
        <w:keepNext/>
        <w:keepLines/>
        <w:widowControl/>
        <w:tabs>
          <w:tab w:val="left" w:pos="1134"/>
          <w:tab w:val="left" w:leader="underscore" w:pos="6300"/>
        </w:tabs>
        <w:topLinePunct/>
        <w:adjustRightInd w:val="0"/>
        <w:snapToGrid w:val="0"/>
        <w:spacing w:afterLines="50" w:line="360" w:lineRule="auto"/>
        <w:jc w:val="center"/>
        <w:outlineLvl w:val="1"/>
        <w:rPr>
          <w:rFonts w:ascii="黑体" w:hAnsi="黑体" w:eastAsia="黑体"/>
          <w:b/>
          <w:color w:val="auto"/>
          <w:kern w:val="0"/>
          <w:sz w:val="30"/>
          <w:szCs w:val="30"/>
          <w:highlight w:val="none"/>
        </w:rPr>
      </w:pPr>
      <w:bookmarkStart w:id="908" w:name="_Toc20171894"/>
      <w:bookmarkStart w:id="909" w:name="_Toc54862353"/>
      <w:bookmarkStart w:id="910" w:name="_Toc23454"/>
      <w:r>
        <w:rPr>
          <w:rFonts w:hint="eastAsia" w:ascii="黑体" w:hAnsi="黑体" w:eastAsia="黑体"/>
          <w:b/>
          <w:color w:val="auto"/>
          <w:kern w:val="0"/>
          <w:sz w:val="30"/>
          <w:szCs w:val="30"/>
          <w:highlight w:val="none"/>
        </w:rPr>
        <w:t>附件2</w:t>
      </w:r>
      <w:r>
        <w:rPr>
          <w:rFonts w:ascii="黑体" w:hAnsi="黑体" w:eastAsia="黑体"/>
          <w:b/>
          <w:color w:val="auto"/>
          <w:kern w:val="0"/>
          <w:sz w:val="30"/>
          <w:szCs w:val="30"/>
          <w:highlight w:val="none"/>
        </w:rPr>
        <w:t xml:space="preserve"> </w:t>
      </w:r>
      <w:bookmarkEnd w:id="908"/>
      <w:bookmarkEnd w:id="909"/>
      <w:r>
        <w:rPr>
          <w:rFonts w:hint="eastAsia" w:ascii="黑体" w:hAnsi="黑体" w:eastAsia="黑体"/>
          <w:b/>
          <w:color w:val="auto"/>
          <w:kern w:val="0"/>
          <w:sz w:val="30"/>
          <w:szCs w:val="30"/>
          <w:highlight w:val="none"/>
        </w:rPr>
        <w:t>安全生产合同</w:t>
      </w:r>
      <w:bookmarkEnd w:id="910"/>
    </w:p>
    <w:p w14:paraId="4681EB16">
      <w:pPr>
        <w:tabs>
          <w:tab w:val="left" w:leader="underscore" w:pos="6300"/>
        </w:tabs>
        <w:spacing w:line="360" w:lineRule="auto"/>
        <w:jc w:val="center"/>
        <w:rPr>
          <w:color w:val="auto"/>
          <w:szCs w:val="21"/>
          <w:highlight w:val="none"/>
        </w:rPr>
      </w:pPr>
      <w:r>
        <w:rPr>
          <w:color w:val="auto"/>
          <w:szCs w:val="21"/>
          <w:highlight w:val="none"/>
        </w:rPr>
        <w:t>安全生产合同</w:t>
      </w:r>
    </w:p>
    <w:p w14:paraId="6DDC6750">
      <w:pPr>
        <w:tabs>
          <w:tab w:val="left" w:leader="underscore" w:pos="6300"/>
        </w:tabs>
        <w:spacing w:line="400" w:lineRule="exact"/>
        <w:ind w:firstLine="420" w:firstLineChars="200"/>
        <w:rPr>
          <w:color w:val="auto"/>
          <w:szCs w:val="21"/>
          <w:highlight w:val="none"/>
        </w:rPr>
      </w:pPr>
      <w:r>
        <w:rPr>
          <w:color w:val="auto"/>
          <w:szCs w:val="21"/>
          <w:highlight w:val="none"/>
        </w:rPr>
        <w:t>为在</w:t>
      </w: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（标段）施工合同的实施过程中创造安全、高效的施工环境，切实搞好本项目的安全管理工作，本项目发包人</w:t>
      </w:r>
      <w:r>
        <w:rPr>
          <w:color w:val="auto"/>
          <w:szCs w:val="21"/>
          <w:highlight w:val="none"/>
          <w:u w:val="single"/>
        </w:rPr>
        <w:t xml:space="preserve">    </w:t>
      </w:r>
      <w:r>
        <w:rPr>
          <w:color w:val="auto"/>
          <w:szCs w:val="21"/>
          <w:highlight w:val="none"/>
        </w:rPr>
        <w:t>（发包人名称，以下简称“发包人”）与承包人</w:t>
      </w:r>
      <w:r>
        <w:rPr>
          <w:color w:val="auto"/>
          <w:szCs w:val="21"/>
          <w:highlight w:val="none"/>
          <w:u w:val="single"/>
        </w:rPr>
        <w:t xml:space="preserve">    </w:t>
      </w:r>
      <w:r>
        <w:rPr>
          <w:color w:val="auto"/>
          <w:szCs w:val="21"/>
          <w:highlight w:val="none"/>
        </w:rPr>
        <w:t>（承包人名称，以下简称“承包人”）特此签订安全生产合同：</w:t>
      </w:r>
    </w:p>
    <w:p w14:paraId="7AA01C24">
      <w:pPr>
        <w:tabs>
          <w:tab w:val="left" w:leader="underscore" w:pos="6300"/>
        </w:tabs>
        <w:spacing w:line="400" w:lineRule="exact"/>
        <w:ind w:firstLine="420" w:firstLineChars="200"/>
        <w:outlineLvl w:val="2"/>
        <w:rPr>
          <w:color w:val="auto"/>
          <w:szCs w:val="21"/>
          <w:highlight w:val="none"/>
        </w:rPr>
      </w:pPr>
      <w:bookmarkStart w:id="911" w:name="_Toc30711"/>
      <w:r>
        <w:rPr>
          <w:color w:val="auto"/>
          <w:szCs w:val="21"/>
          <w:highlight w:val="none"/>
        </w:rPr>
        <w:t>1.发包人职责</w:t>
      </w:r>
      <w:bookmarkEnd w:id="911"/>
    </w:p>
    <w:p w14:paraId="5290E02A">
      <w:pPr>
        <w:tabs>
          <w:tab w:val="left" w:leader="underscore" w:pos="6300"/>
        </w:tabs>
        <w:spacing w:line="400" w:lineRule="exact"/>
        <w:ind w:firstLine="420" w:firstLineChars="200"/>
        <w:rPr>
          <w:color w:val="auto"/>
          <w:szCs w:val="21"/>
          <w:highlight w:val="none"/>
        </w:rPr>
      </w:pPr>
      <w:r>
        <w:rPr>
          <w:color w:val="auto"/>
          <w:szCs w:val="21"/>
          <w:highlight w:val="none"/>
        </w:rPr>
        <w:t>（1）严格遵守国家有关安全生产的法律法规，认真执行工程承包合同中的有关安全要求。</w:t>
      </w:r>
    </w:p>
    <w:p w14:paraId="19164A3F">
      <w:pPr>
        <w:tabs>
          <w:tab w:val="left" w:leader="underscore" w:pos="6300"/>
        </w:tabs>
        <w:spacing w:line="400" w:lineRule="exact"/>
        <w:ind w:firstLine="420" w:firstLineChars="200"/>
        <w:rPr>
          <w:color w:val="auto"/>
          <w:szCs w:val="21"/>
          <w:highlight w:val="none"/>
        </w:rPr>
      </w:pPr>
      <w:r>
        <w:rPr>
          <w:color w:val="auto"/>
          <w:szCs w:val="21"/>
          <w:highlight w:val="none"/>
        </w:rPr>
        <w:t>（2）按照“安全第一、预防为主”和坚持“管生产必须管安全”的原则进行安全生产管理，做到生产与安全工作同时计划、布置、检查、总结和评比。</w:t>
      </w:r>
    </w:p>
    <w:p w14:paraId="4B8096E7">
      <w:pPr>
        <w:tabs>
          <w:tab w:val="left" w:leader="underscore" w:pos="6300"/>
        </w:tabs>
        <w:spacing w:line="400" w:lineRule="exact"/>
        <w:ind w:firstLine="420" w:firstLineChars="200"/>
        <w:rPr>
          <w:color w:val="auto"/>
          <w:szCs w:val="21"/>
          <w:highlight w:val="none"/>
        </w:rPr>
      </w:pPr>
      <w:r>
        <w:rPr>
          <w:color w:val="auto"/>
          <w:szCs w:val="21"/>
          <w:highlight w:val="none"/>
        </w:rPr>
        <w:t>（3）重要的安全设施必须坚持与主体工程“三同时”的原则，即：同时设计、审批，同时施工，同时验收，投入使用。</w:t>
      </w:r>
    </w:p>
    <w:p w14:paraId="0898578F">
      <w:pPr>
        <w:tabs>
          <w:tab w:val="left" w:leader="underscore" w:pos="6300"/>
        </w:tabs>
        <w:spacing w:line="400" w:lineRule="exact"/>
        <w:ind w:firstLine="420" w:firstLineChars="200"/>
        <w:rPr>
          <w:color w:val="auto"/>
          <w:szCs w:val="21"/>
          <w:highlight w:val="none"/>
        </w:rPr>
      </w:pPr>
      <w:r>
        <w:rPr>
          <w:color w:val="auto"/>
          <w:szCs w:val="21"/>
          <w:highlight w:val="none"/>
        </w:rPr>
        <w:t>（4）定期召开安全生产调度会，及时传达中央及地方有关安全生产的精神。</w:t>
      </w:r>
    </w:p>
    <w:p w14:paraId="3C79CB06">
      <w:pPr>
        <w:tabs>
          <w:tab w:val="left" w:leader="underscore" w:pos="6300"/>
        </w:tabs>
        <w:spacing w:line="400" w:lineRule="exact"/>
        <w:ind w:firstLine="420" w:firstLineChars="200"/>
        <w:rPr>
          <w:color w:val="auto"/>
          <w:szCs w:val="21"/>
          <w:highlight w:val="none"/>
        </w:rPr>
      </w:pPr>
      <w:r>
        <w:rPr>
          <w:color w:val="auto"/>
          <w:szCs w:val="21"/>
          <w:highlight w:val="none"/>
        </w:rPr>
        <w:t>（5）组织对承包人施工现场安全生产检查，监督承包人及时处理发现的各种安全隐患。</w:t>
      </w:r>
    </w:p>
    <w:p w14:paraId="00D904B2">
      <w:pPr>
        <w:tabs>
          <w:tab w:val="left" w:leader="underscore" w:pos="6300"/>
        </w:tabs>
        <w:spacing w:line="400" w:lineRule="exact"/>
        <w:ind w:firstLine="420" w:firstLineChars="200"/>
        <w:outlineLvl w:val="2"/>
        <w:rPr>
          <w:color w:val="auto"/>
          <w:szCs w:val="21"/>
          <w:highlight w:val="none"/>
        </w:rPr>
      </w:pPr>
      <w:bookmarkStart w:id="912" w:name="_Toc26811"/>
      <w:r>
        <w:rPr>
          <w:color w:val="auto"/>
          <w:szCs w:val="21"/>
          <w:highlight w:val="none"/>
        </w:rPr>
        <w:t>2.承包人职责</w:t>
      </w:r>
      <w:bookmarkEnd w:id="912"/>
    </w:p>
    <w:p w14:paraId="74349D50">
      <w:pPr>
        <w:tabs>
          <w:tab w:val="left" w:leader="underscore" w:pos="6300"/>
        </w:tabs>
        <w:spacing w:line="400" w:lineRule="exact"/>
        <w:ind w:firstLine="420" w:firstLineChars="200"/>
        <w:rPr>
          <w:color w:val="auto"/>
          <w:szCs w:val="21"/>
          <w:highlight w:val="none"/>
        </w:rPr>
      </w:pPr>
      <w:r>
        <w:rPr>
          <w:color w:val="auto"/>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410A2CE6">
      <w:pPr>
        <w:tabs>
          <w:tab w:val="left" w:leader="underscore" w:pos="6300"/>
        </w:tabs>
        <w:spacing w:line="400" w:lineRule="exact"/>
        <w:ind w:firstLine="420" w:firstLineChars="200"/>
        <w:rPr>
          <w:color w:val="auto"/>
          <w:szCs w:val="21"/>
          <w:highlight w:val="none"/>
        </w:rPr>
      </w:pPr>
      <w:r>
        <w:rPr>
          <w:color w:val="auto"/>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57912C9D">
      <w:pPr>
        <w:tabs>
          <w:tab w:val="left" w:leader="underscore" w:pos="6300"/>
        </w:tabs>
        <w:spacing w:line="400" w:lineRule="exact"/>
        <w:ind w:firstLine="420" w:firstLineChars="200"/>
        <w:rPr>
          <w:color w:val="auto"/>
          <w:szCs w:val="21"/>
          <w:highlight w:val="none"/>
        </w:rPr>
      </w:pPr>
      <w:r>
        <w:rPr>
          <w:color w:val="auto"/>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规定的最低数量和资质条件配备专职安全生产管理人员，专职负责所有员工的安全和治安保卫工作及预防事故的发生。安全机构人员有权按有关规定发布指令，并采取保护性措施防止事故发生。</w:t>
      </w:r>
    </w:p>
    <w:p w14:paraId="135C8376">
      <w:pPr>
        <w:tabs>
          <w:tab w:val="left" w:leader="underscore" w:pos="6300"/>
        </w:tabs>
        <w:spacing w:line="400" w:lineRule="exact"/>
        <w:ind w:firstLine="420" w:firstLineChars="200"/>
        <w:rPr>
          <w:color w:val="auto"/>
          <w:szCs w:val="21"/>
          <w:highlight w:val="none"/>
        </w:rPr>
      </w:pPr>
      <w:r>
        <w:rPr>
          <w:color w:val="auto"/>
          <w:szCs w:val="21"/>
          <w:highlight w:val="none"/>
        </w:rPr>
        <w:t>（4）承包人在任何时候都应采取各种合理的预防措施，防止其员工发生任何违法、违禁、暴力或妨碍治安的行为。</w:t>
      </w:r>
    </w:p>
    <w:p w14:paraId="7FB31615">
      <w:pPr>
        <w:tabs>
          <w:tab w:val="left" w:leader="underscore" w:pos="6300"/>
        </w:tabs>
        <w:spacing w:line="400" w:lineRule="exact"/>
        <w:ind w:firstLine="420" w:firstLineChars="200"/>
        <w:rPr>
          <w:color w:val="auto"/>
          <w:szCs w:val="21"/>
          <w:highlight w:val="none"/>
        </w:rPr>
      </w:pPr>
      <w:r>
        <w:rPr>
          <w:color w:val="auto"/>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715B8B9">
      <w:pPr>
        <w:tabs>
          <w:tab w:val="left" w:leader="underscore" w:pos="6300"/>
        </w:tabs>
        <w:spacing w:line="400" w:lineRule="exact"/>
        <w:ind w:firstLine="420" w:firstLineChars="200"/>
        <w:rPr>
          <w:color w:val="auto"/>
          <w:szCs w:val="21"/>
          <w:highlight w:val="none"/>
        </w:rPr>
      </w:pPr>
      <w:r>
        <w:rPr>
          <w:color w:val="auto"/>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19705076">
      <w:pPr>
        <w:tabs>
          <w:tab w:val="left" w:leader="underscore" w:pos="6300"/>
        </w:tabs>
        <w:spacing w:line="400" w:lineRule="exact"/>
        <w:ind w:firstLine="420" w:firstLineChars="200"/>
        <w:rPr>
          <w:color w:val="auto"/>
          <w:szCs w:val="21"/>
          <w:highlight w:val="none"/>
        </w:rPr>
      </w:pPr>
      <w:r>
        <w:rPr>
          <w:color w:val="auto"/>
          <w:szCs w:val="21"/>
          <w:highlight w:val="none"/>
        </w:rPr>
        <w:t>（7）操作人员上岗，必须按规定穿戴防护用品。施工负责人和安全检查员应随时检查劳动防护用品的穿戴情况，不按规定穿戴防护用品的人员不得上岗。</w:t>
      </w:r>
    </w:p>
    <w:p w14:paraId="0C9147E7">
      <w:pPr>
        <w:tabs>
          <w:tab w:val="left" w:leader="underscore" w:pos="6300"/>
        </w:tabs>
        <w:spacing w:line="400" w:lineRule="exact"/>
        <w:ind w:firstLine="420" w:firstLineChars="200"/>
        <w:rPr>
          <w:color w:val="auto"/>
          <w:szCs w:val="21"/>
          <w:highlight w:val="none"/>
        </w:rPr>
      </w:pPr>
      <w:r>
        <w:rPr>
          <w:color w:val="auto"/>
          <w:szCs w:val="21"/>
          <w:highlight w:val="none"/>
        </w:rPr>
        <w:t>（8）所有施工机具设备和高空作业的设备均应定期检查，并有安全员的签字记录，保证其经常处于完好状态；不合格的机具、设备和劳动保护用品严禁使用：</w:t>
      </w:r>
    </w:p>
    <w:p w14:paraId="25EAF4C3">
      <w:pPr>
        <w:tabs>
          <w:tab w:val="left" w:leader="underscore" w:pos="6300"/>
        </w:tabs>
        <w:spacing w:line="400" w:lineRule="exact"/>
        <w:ind w:firstLine="420" w:firstLineChars="200"/>
        <w:rPr>
          <w:color w:val="auto"/>
          <w:szCs w:val="21"/>
          <w:highlight w:val="none"/>
        </w:rPr>
      </w:pPr>
      <w:r>
        <w:rPr>
          <w:color w:val="auto"/>
          <w:szCs w:val="21"/>
          <w:highlight w:val="none"/>
        </w:rPr>
        <w:t>（9）施工中采用新技术、新工艺、新设备、新材料时，必须制定相应的安全技术措施，施工现场必须具有相关的安全标志牌。</w:t>
      </w:r>
    </w:p>
    <w:p w14:paraId="118C4489">
      <w:pPr>
        <w:tabs>
          <w:tab w:val="left" w:leader="underscore" w:pos="6300"/>
        </w:tabs>
        <w:spacing w:line="400" w:lineRule="exact"/>
        <w:ind w:firstLine="420" w:firstLineChars="200"/>
        <w:rPr>
          <w:color w:val="auto"/>
          <w:szCs w:val="21"/>
          <w:highlight w:val="none"/>
        </w:rPr>
      </w:pPr>
      <w:r>
        <w:rPr>
          <w:color w:val="auto"/>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59FA8DE9">
      <w:pPr>
        <w:tabs>
          <w:tab w:val="left" w:leader="underscore" w:pos="6300"/>
        </w:tabs>
        <w:spacing w:line="400" w:lineRule="exact"/>
        <w:ind w:firstLine="420" w:firstLineChars="200"/>
        <w:rPr>
          <w:color w:val="auto"/>
          <w:szCs w:val="21"/>
          <w:highlight w:val="none"/>
        </w:rPr>
      </w:pPr>
      <w:r>
        <w:rPr>
          <w:color w:val="auto"/>
          <w:szCs w:val="21"/>
          <w:highlight w:val="none"/>
        </w:rPr>
        <w:t>（11）安全生产费用按照《建设工程安全生产管理条例》的相关规定使用和管理。</w:t>
      </w:r>
    </w:p>
    <w:p w14:paraId="1282D981">
      <w:pPr>
        <w:tabs>
          <w:tab w:val="left" w:leader="underscore" w:pos="6300"/>
        </w:tabs>
        <w:spacing w:line="400" w:lineRule="exact"/>
        <w:ind w:firstLine="420" w:firstLineChars="200"/>
        <w:outlineLvl w:val="2"/>
        <w:rPr>
          <w:color w:val="auto"/>
          <w:szCs w:val="21"/>
          <w:highlight w:val="none"/>
        </w:rPr>
      </w:pPr>
      <w:bookmarkStart w:id="913" w:name="_Toc9969"/>
      <w:r>
        <w:rPr>
          <w:color w:val="auto"/>
          <w:szCs w:val="21"/>
          <w:highlight w:val="none"/>
        </w:rPr>
        <w:t>3.违约责任</w:t>
      </w:r>
      <w:bookmarkEnd w:id="913"/>
    </w:p>
    <w:p w14:paraId="5735A7F0">
      <w:pPr>
        <w:tabs>
          <w:tab w:val="left" w:leader="underscore" w:pos="6300"/>
        </w:tabs>
        <w:spacing w:line="400" w:lineRule="exact"/>
        <w:ind w:firstLine="420" w:firstLineChars="200"/>
        <w:rPr>
          <w:color w:val="auto"/>
          <w:szCs w:val="21"/>
          <w:highlight w:val="none"/>
        </w:rPr>
      </w:pPr>
      <w:r>
        <w:rPr>
          <w:color w:val="auto"/>
          <w:szCs w:val="21"/>
          <w:highlight w:val="none"/>
        </w:rPr>
        <w:t>如因发包人或承包人违约造成安全事故，将依法追究责任。</w:t>
      </w:r>
    </w:p>
    <w:p w14:paraId="6E53464B">
      <w:pPr>
        <w:tabs>
          <w:tab w:val="left" w:leader="underscore" w:pos="6300"/>
        </w:tabs>
        <w:spacing w:line="400" w:lineRule="exact"/>
        <w:ind w:firstLine="420" w:firstLineChars="200"/>
        <w:rPr>
          <w:color w:val="auto"/>
          <w:szCs w:val="21"/>
          <w:highlight w:val="none"/>
        </w:rPr>
      </w:pPr>
      <w:r>
        <w:rPr>
          <w:color w:val="auto"/>
          <w:szCs w:val="21"/>
          <w:highlight w:val="none"/>
        </w:rPr>
        <w:t>4.本合同由双方法定代表人或其授权的代理人签署并加盖单位章后生效，全部工程竣工验收后失效。</w:t>
      </w:r>
    </w:p>
    <w:p w14:paraId="4CD4F918">
      <w:pPr>
        <w:tabs>
          <w:tab w:val="left" w:leader="underscore" w:pos="6300"/>
        </w:tabs>
        <w:spacing w:line="400" w:lineRule="exact"/>
        <w:ind w:firstLine="420" w:firstLineChars="200"/>
        <w:rPr>
          <w:color w:val="auto"/>
          <w:szCs w:val="21"/>
          <w:highlight w:val="none"/>
        </w:rPr>
      </w:pPr>
      <w:r>
        <w:rPr>
          <w:color w:val="auto"/>
          <w:szCs w:val="21"/>
          <w:highlight w:val="none"/>
        </w:rPr>
        <w:t>5.本合同正本</w:t>
      </w:r>
      <w:r>
        <w:rPr>
          <w:rFonts w:hint="eastAsia"/>
          <w:color w:val="auto"/>
          <w:szCs w:val="21"/>
          <w:highlight w:val="none"/>
        </w:rPr>
        <w:t>一</w:t>
      </w:r>
      <w:r>
        <w:rPr>
          <w:color w:val="auto"/>
          <w:szCs w:val="21"/>
          <w:highlight w:val="none"/>
        </w:rPr>
        <w:t>式二份，副本</w:t>
      </w:r>
      <w:r>
        <w:rPr>
          <w:color w:val="auto"/>
          <w:szCs w:val="21"/>
          <w:highlight w:val="none"/>
          <w:u w:val="single"/>
        </w:rPr>
        <w:t xml:space="preserve">   </w:t>
      </w:r>
      <w:r>
        <w:rPr>
          <w:color w:val="auto"/>
          <w:szCs w:val="21"/>
          <w:highlight w:val="none"/>
        </w:rPr>
        <w:t>份，合同双方各执正本</w:t>
      </w:r>
      <w:r>
        <w:rPr>
          <w:rFonts w:hint="eastAsia"/>
          <w:color w:val="auto"/>
          <w:szCs w:val="21"/>
          <w:highlight w:val="none"/>
        </w:rPr>
        <w:t>一</w:t>
      </w:r>
      <w:r>
        <w:rPr>
          <w:color w:val="auto"/>
          <w:szCs w:val="21"/>
          <w:highlight w:val="none"/>
        </w:rPr>
        <w:t>份，副本</w:t>
      </w:r>
      <w:r>
        <w:rPr>
          <w:color w:val="auto"/>
          <w:szCs w:val="21"/>
          <w:highlight w:val="none"/>
          <w:u w:val="single"/>
        </w:rPr>
        <w:t xml:space="preserve">   </w:t>
      </w:r>
      <w:r>
        <w:rPr>
          <w:color w:val="auto"/>
          <w:szCs w:val="21"/>
          <w:highlight w:val="none"/>
        </w:rPr>
        <w:t>份，当正本与副本的内容不一致时，以正本为准。</w:t>
      </w:r>
    </w:p>
    <w:p w14:paraId="053F23FB">
      <w:pPr>
        <w:tabs>
          <w:tab w:val="left" w:leader="underscore" w:pos="6300"/>
        </w:tabs>
        <w:rPr>
          <w:color w:val="auto"/>
          <w:szCs w:val="21"/>
          <w:highlight w:val="none"/>
        </w:rPr>
      </w:pPr>
    </w:p>
    <w:p w14:paraId="149EB0C7">
      <w:pPr>
        <w:tabs>
          <w:tab w:val="left" w:leader="underscore" w:pos="6300"/>
        </w:tabs>
        <w:rPr>
          <w:color w:val="auto"/>
          <w:szCs w:val="21"/>
          <w:highlight w:val="none"/>
        </w:rPr>
      </w:pPr>
    </w:p>
    <w:p w14:paraId="09ADDE64">
      <w:pPr>
        <w:tabs>
          <w:tab w:val="left" w:leader="underscore" w:pos="6300"/>
        </w:tabs>
        <w:spacing w:line="400" w:lineRule="exact"/>
        <w:rPr>
          <w:color w:val="auto"/>
          <w:szCs w:val="21"/>
          <w:highlight w:val="none"/>
        </w:rPr>
      </w:pPr>
      <w:r>
        <w:rPr>
          <w:color w:val="auto"/>
          <w:szCs w:val="21"/>
          <w:highlight w:val="none"/>
        </w:rPr>
        <w:t>发包人：</w:t>
      </w:r>
      <w:r>
        <w:rPr>
          <w:color w:val="auto"/>
          <w:szCs w:val="21"/>
          <w:highlight w:val="none"/>
          <w:u w:val="single"/>
        </w:rPr>
        <w:t xml:space="preserve">                </w:t>
      </w:r>
      <w:r>
        <w:rPr>
          <w:color w:val="auto"/>
          <w:szCs w:val="21"/>
          <w:highlight w:val="none"/>
        </w:rPr>
        <w:t>（盖单位章）  承包人：</w:t>
      </w:r>
      <w:r>
        <w:rPr>
          <w:color w:val="auto"/>
          <w:szCs w:val="21"/>
          <w:highlight w:val="none"/>
          <w:u w:val="single"/>
        </w:rPr>
        <w:t xml:space="preserve">                </w:t>
      </w:r>
      <w:r>
        <w:rPr>
          <w:color w:val="auto"/>
          <w:szCs w:val="21"/>
          <w:highlight w:val="none"/>
        </w:rPr>
        <w:t xml:space="preserve">（盖单位章） </w:t>
      </w:r>
    </w:p>
    <w:p w14:paraId="50F1B3BB">
      <w:pPr>
        <w:tabs>
          <w:tab w:val="left" w:leader="underscore" w:pos="6300"/>
        </w:tabs>
        <w:spacing w:line="400" w:lineRule="exact"/>
        <w:rPr>
          <w:color w:val="auto"/>
          <w:szCs w:val="21"/>
          <w:highlight w:val="none"/>
        </w:rPr>
      </w:pPr>
      <w:r>
        <w:rPr>
          <w:color w:val="auto"/>
          <w:szCs w:val="21"/>
          <w:highlight w:val="none"/>
        </w:rPr>
        <w:t>法定代表人或其委托代理人：</w:t>
      </w:r>
      <w:r>
        <w:rPr>
          <w:color w:val="auto"/>
          <w:szCs w:val="21"/>
          <w:highlight w:val="none"/>
          <w:u w:val="single"/>
        </w:rPr>
        <w:t xml:space="preserve">  </w:t>
      </w:r>
      <w:r>
        <w:rPr>
          <w:color w:val="auto"/>
          <w:szCs w:val="21"/>
          <w:highlight w:val="none"/>
        </w:rPr>
        <w:t>（签字）  法定代表人或其委托代理人：</w:t>
      </w:r>
      <w:r>
        <w:rPr>
          <w:color w:val="auto"/>
          <w:szCs w:val="21"/>
          <w:highlight w:val="none"/>
          <w:u w:val="single"/>
        </w:rPr>
        <w:t xml:space="preserve">  </w:t>
      </w:r>
      <w:r>
        <w:rPr>
          <w:color w:val="auto"/>
          <w:szCs w:val="21"/>
          <w:highlight w:val="none"/>
        </w:rPr>
        <w:t>（签字）</w:t>
      </w:r>
    </w:p>
    <w:p w14:paraId="1DB3C80C">
      <w:pPr>
        <w:widowControl/>
        <w:tabs>
          <w:tab w:val="left" w:leader="underscore" w:pos="6300"/>
        </w:tabs>
        <w:adjustRightInd w:val="0"/>
        <w:snapToGrid w:val="0"/>
        <w:spacing w:afterLines="50" w:line="360" w:lineRule="auto"/>
        <w:ind w:firstLine="420" w:firstLineChars="200"/>
        <w:rPr>
          <w:color w:val="auto"/>
          <w:szCs w:val="21"/>
          <w:highlight w:val="none"/>
        </w:rPr>
        <w:sectPr>
          <w:pgSz w:w="11906" w:h="16838"/>
          <w:pgMar w:top="1440" w:right="1800" w:bottom="1440" w:left="1800" w:header="720" w:footer="998" w:gutter="0"/>
          <w:cols w:space="720" w:num="1"/>
          <w:docGrid w:linePitch="326" w:charSpace="0"/>
        </w:sectPr>
      </w:pPr>
      <w:r>
        <w:rPr>
          <w:color w:val="auto"/>
          <w:szCs w:val="21"/>
          <w:highlight w:val="none"/>
        </w:rPr>
        <w:t xml:space="preserve">   </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562A2A96">
      <w:pPr>
        <w:keepNext/>
        <w:keepLines/>
        <w:widowControl/>
        <w:tabs>
          <w:tab w:val="left" w:pos="1134"/>
          <w:tab w:val="left" w:leader="underscore" w:pos="6300"/>
        </w:tabs>
        <w:topLinePunct/>
        <w:adjustRightInd w:val="0"/>
        <w:snapToGrid w:val="0"/>
        <w:spacing w:afterLines="50" w:line="360" w:lineRule="auto"/>
        <w:jc w:val="center"/>
        <w:outlineLvl w:val="3"/>
        <w:rPr>
          <w:rFonts w:ascii="黑体" w:hAnsi="黑体" w:eastAsia="黑体"/>
          <w:b/>
          <w:color w:val="auto"/>
          <w:kern w:val="0"/>
          <w:sz w:val="30"/>
          <w:szCs w:val="30"/>
          <w:highlight w:val="none"/>
        </w:rPr>
      </w:pPr>
      <w:bookmarkStart w:id="914" w:name="_Toc20171895"/>
      <w:bookmarkStart w:id="915" w:name="_Toc54862354"/>
      <w:r>
        <w:rPr>
          <w:rFonts w:hint="eastAsia" w:ascii="黑体" w:hAnsi="黑体" w:eastAsia="黑体"/>
          <w:b/>
          <w:color w:val="auto"/>
          <w:kern w:val="0"/>
          <w:sz w:val="30"/>
          <w:szCs w:val="30"/>
          <w:highlight w:val="none"/>
        </w:rPr>
        <w:t>附件</w:t>
      </w:r>
      <w:r>
        <w:rPr>
          <w:rFonts w:ascii="黑体" w:hAnsi="黑体" w:eastAsia="黑体"/>
          <w:b/>
          <w:color w:val="auto"/>
          <w:kern w:val="0"/>
          <w:sz w:val="30"/>
          <w:szCs w:val="30"/>
          <w:highlight w:val="none"/>
        </w:rPr>
        <w:t>3 工程质量保修书</w:t>
      </w:r>
      <w:bookmarkEnd w:id="914"/>
      <w:bookmarkEnd w:id="915"/>
    </w:p>
    <w:p w14:paraId="6B971D90">
      <w:pPr>
        <w:adjustRightInd w:val="0"/>
        <w:snapToGrid w:val="0"/>
        <w:spacing w:line="360" w:lineRule="auto"/>
        <w:ind w:firstLine="420" w:firstLineChars="200"/>
        <w:rPr>
          <w:rFonts w:ascii="宋体" w:hAnsi="宋体" w:cs="宋体"/>
          <w:color w:val="auto"/>
          <w:kern w:val="0"/>
          <w:position w:val="14"/>
          <w:szCs w:val="21"/>
          <w:highlight w:val="none"/>
        </w:rPr>
      </w:pPr>
      <w:r>
        <w:rPr>
          <w:rFonts w:hint="eastAsia" w:ascii="宋体" w:hAnsi="宋体" w:cs="宋体"/>
          <w:bCs/>
          <w:color w:val="auto"/>
          <w:kern w:val="0"/>
          <w:position w:val="14"/>
          <w:szCs w:val="21"/>
          <w:highlight w:val="none"/>
        </w:rPr>
        <w:t>发包人</w:t>
      </w:r>
      <w:r>
        <w:rPr>
          <w:rFonts w:hint="eastAsia" w:ascii="宋体" w:hAnsi="宋体" w:cs="宋体"/>
          <w:color w:val="auto"/>
          <w:kern w:val="0"/>
          <w:position w:val="14"/>
          <w:szCs w:val="21"/>
          <w:highlight w:val="none"/>
        </w:rPr>
        <w:t>：_______________________________</w:t>
      </w:r>
    </w:p>
    <w:p w14:paraId="5E275FD3">
      <w:pPr>
        <w:widowControl/>
        <w:adjustRightInd w:val="0"/>
        <w:snapToGrid w:val="0"/>
        <w:spacing w:line="360" w:lineRule="auto"/>
        <w:ind w:firstLine="420" w:firstLineChars="200"/>
        <w:jc w:val="left"/>
        <w:rPr>
          <w:rFonts w:ascii="宋体" w:hAnsi="宋体" w:cs="宋体"/>
          <w:color w:val="auto"/>
          <w:kern w:val="0"/>
          <w:position w:val="14"/>
          <w:szCs w:val="21"/>
          <w:highlight w:val="none"/>
        </w:rPr>
      </w:pPr>
      <w:r>
        <w:rPr>
          <w:rFonts w:hint="eastAsia" w:ascii="宋体" w:hAnsi="宋体" w:cs="宋体"/>
          <w:bCs/>
          <w:color w:val="auto"/>
          <w:kern w:val="0"/>
          <w:position w:val="14"/>
          <w:szCs w:val="21"/>
          <w:highlight w:val="none"/>
        </w:rPr>
        <w:t>承包人</w:t>
      </w:r>
      <w:r>
        <w:rPr>
          <w:rFonts w:hint="eastAsia" w:ascii="宋体" w:hAnsi="宋体" w:cs="宋体"/>
          <w:color w:val="auto"/>
          <w:kern w:val="0"/>
          <w:position w:val="14"/>
          <w:szCs w:val="21"/>
          <w:highlight w:val="none"/>
        </w:rPr>
        <w:t>：_______________________________</w:t>
      </w:r>
    </w:p>
    <w:p w14:paraId="0494AE54">
      <w:pPr>
        <w:widowControl/>
        <w:adjustRightInd w:val="0"/>
        <w:snapToGrid w:val="0"/>
        <w:spacing w:line="360" w:lineRule="auto"/>
        <w:ind w:firstLine="420" w:firstLineChars="200"/>
        <w:jc w:val="left"/>
        <w:rPr>
          <w:rFonts w:ascii="宋体" w:hAnsi="宋体" w:cs="宋体"/>
          <w:color w:val="auto"/>
          <w:kern w:val="0"/>
          <w:position w:val="6"/>
          <w:szCs w:val="21"/>
          <w:highlight w:val="none"/>
        </w:rPr>
      </w:pPr>
      <w:r>
        <w:rPr>
          <w:rFonts w:hint="eastAsia" w:ascii="宋体" w:hAnsi="宋体" w:cs="宋体"/>
          <w:color w:val="auto"/>
          <w:kern w:val="0"/>
          <w:position w:val="6"/>
          <w:szCs w:val="21"/>
          <w:highlight w:val="none"/>
        </w:rPr>
        <w:t>发包人、承包人根据《中华人民共和国建筑法》《建设工程质量管理条例》,参照《房屋建筑工程质量保修办法》，经协商一致，对______________________工程签订工程质量保修书。</w:t>
      </w:r>
    </w:p>
    <w:p w14:paraId="2E869E90">
      <w:pPr>
        <w:widowControl/>
        <w:adjustRightInd w:val="0"/>
        <w:snapToGrid w:val="0"/>
        <w:spacing w:line="360" w:lineRule="auto"/>
        <w:ind w:firstLine="422" w:firstLineChars="200"/>
        <w:jc w:val="left"/>
        <w:outlineLvl w:val="3"/>
        <w:rPr>
          <w:rFonts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一、工程质量保修范围和内容</w:t>
      </w:r>
    </w:p>
    <w:p w14:paraId="592D4251">
      <w:pPr>
        <w:adjustRightInd w:val="0"/>
        <w:snapToGrid w:val="0"/>
        <w:spacing w:line="360" w:lineRule="auto"/>
        <w:ind w:firstLine="420" w:firstLineChars="200"/>
        <w:jc w:val="left"/>
        <w:rPr>
          <w:rFonts w:ascii="宋体" w:hAnsi="宋体" w:cs="宋体"/>
          <w:color w:val="auto"/>
          <w:position w:val="6"/>
          <w:szCs w:val="21"/>
          <w:highlight w:val="none"/>
        </w:rPr>
      </w:pPr>
      <w:r>
        <w:rPr>
          <w:rFonts w:hint="eastAsia" w:ascii="宋体" w:hAnsi="宋体" w:cs="宋体"/>
          <w:color w:val="auto"/>
          <w:position w:val="6"/>
          <w:szCs w:val="21"/>
          <w:highlight w:val="none"/>
        </w:rPr>
        <w:t>按照《建设工程质量管理条例》及有关法律、法规、规章的管理规定，双方约定由施工单位在质量保修期内，承担本工程的质量保修责任。</w:t>
      </w:r>
    </w:p>
    <w:p w14:paraId="29B76B46">
      <w:pPr>
        <w:adjustRightInd w:val="0"/>
        <w:snapToGrid w:val="0"/>
        <w:spacing w:line="360" w:lineRule="auto"/>
        <w:ind w:firstLine="420" w:firstLineChars="200"/>
        <w:jc w:val="left"/>
        <w:rPr>
          <w:rFonts w:ascii="宋体" w:hAnsi="宋体" w:cs="宋体"/>
          <w:color w:val="auto"/>
          <w:position w:val="6"/>
          <w:szCs w:val="21"/>
          <w:highlight w:val="none"/>
        </w:rPr>
      </w:pPr>
      <w:r>
        <w:rPr>
          <w:rFonts w:hint="eastAsia" w:ascii="宋体" w:hAnsi="宋体" w:cs="宋体"/>
          <w:color w:val="auto"/>
          <w:position w:val="6"/>
          <w:szCs w:val="21"/>
          <w:highlight w:val="none"/>
        </w:rPr>
        <w:t>质量保修范围和内容：______________________。</w:t>
      </w:r>
      <w:r>
        <w:rPr>
          <w:rFonts w:hint="eastAsia" w:ascii="宋体" w:hAnsi="宋体" w:cs="宋体"/>
          <w:bCs/>
          <w:color w:val="auto"/>
          <w:kern w:val="0"/>
          <w:position w:val="6"/>
          <w:szCs w:val="21"/>
          <w:highlight w:val="none"/>
        </w:rPr>
        <w:t>因不可抗力或使用不当造成的质量缺陷，不属保修范围。</w:t>
      </w:r>
    </w:p>
    <w:p w14:paraId="75970143">
      <w:pPr>
        <w:widowControl/>
        <w:adjustRightInd w:val="0"/>
        <w:snapToGrid w:val="0"/>
        <w:spacing w:line="360" w:lineRule="auto"/>
        <w:ind w:firstLine="422" w:firstLineChars="200"/>
        <w:jc w:val="left"/>
        <w:outlineLvl w:val="3"/>
        <w:rPr>
          <w:rFonts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二、质量保修期</w:t>
      </w:r>
    </w:p>
    <w:p w14:paraId="6DB37DA5">
      <w:pPr>
        <w:adjustRightInd w:val="0"/>
        <w:snapToGrid w:val="0"/>
        <w:spacing w:line="360" w:lineRule="auto"/>
        <w:ind w:firstLine="420" w:firstLineChars="200"/>
        <w:jc w:val="left"/>
        <w:rPr>
          <w:rFonts w:ascii="宋体" w:hAnsi="宋体" w:cs="宋体"/>
          <w:color w:val="auto"/>
          <w:kern w:val="0"/>
          <w:position w:val="6"/>
          <w:szCs w:val="21"/>
          <w:highlight w:val="none"/>
        </w:rPr>
      </w:pPr>
      <w:r>
        <w:rPr>
          <w:rFonts w:hint="eastAsia" w:ascii="宋体" w:hAnsi="宋体" w:cs="宋体"/>
          <w:color w:val="auto"/>
          <w:kern w:val="0"/>
          <w:position w:val="6"/>
          <w:szCs w:val="21"/>
          <w:highlight w:val="none"/>
        </w:rPr>
        <w:t>双方根据</w:t>
      </w:r>
      <w:r>
        <w:rPr>
          <w:rFonts w:hint="eastAsia" w:ascii="宋体" w:hAnsi="宋体" w:cs="宋体"/>
          <w:color w:val="auto"/>
          <w:position w:val="6"/>
          <w:szCs w:val="21"/>
          <w:highlight w:val="none"/>
        </w:rPr>
        <w:t>《建设工程质量管理条例》</w:t>
      </w:r>
      <w:r>
        <w:rPr>
          <w:rFonts w:hint="eastAsia" w:ascii="宋体" w:hAnsi="宋体" w:cs="宋体"/>
          <w:color w:val="auto"/>
          <w:kern w:val="0"/>
          <w:position w:val="6"/>
          <w:szCs w:val="21"/>
          <w:highlight w:val="none"/>
        </w:rPr>
        <w:t>及有关规定，约定本工程的质量保修期如下：</w:t>
      </w:r>
    </w:p>
    <w:p w14:paraId="746F97AA">
      <w:pPr>
        <w:adjustRightInd w:val="0"/>
        <w:snapToGrid w:val="0"/>
        <w:spacing w:line="360" w:lineRule="auto"/>
        <w:ind w:firstLine="420" w:firstLineChars="200"/>
        <w:jc w:val="left"/>
        <w:rPr>
          <w:rFonts w:ascii="宋体" w:hAnsi="宋体" w:cs="宋体"/>
          <w:color w:val="auto"/>
          <w:position w:val="6"/>
          <w:szCs w:val="21"/>
          <w:highlight w:val="none"/>
        </w:rPr>
      </w:pPr>
      <w:r>
        <w:rPr>
          <w:rFonts w:hint="eastAsia" w:ascii="宋体" w:hAnsi="宋体" w:cs="宋体"/>
          <w:color w:val="auto"/>
          <w:position w:val="6"/>
          <w:szCs w:val="21"/>
          <w:highlight w:val="none"/>
        </w:rPr>
        <w:t>1.光伏板产品质保，为10年；</w:t>
      </w:r>
    </w:p>
    <w:p w14:paraId="2807A2E4">
      <w:pPr>
        <w:adjustRightInd w:val="0"/>
        <w:snapToGrid w:val="0"/>
        <w:spacing w:line="360" w:lineRule="auto"/>
        <w:ind w:firstLine="420" w:firstLineChars="200"/>
        <w:jc w:val="left"/>
        <w:rPr>
          <w:rFonts w:ascii="宋体" w:hAnsi="宋体" w:cs="宋体"/>
          <w:color w:val="auto"/>
          <w:position w:val="6"/>
          <w:szCs w:val="21"/>
          <w:highlight w:val="none"/>
        </w:rPr>
      </w:pPr>
      <w:r>
        <w:rPr>
          <w:rFonts w:hint="eastAsia" w:ascii="宋体" w:hAnsi="宋体" w:cs="宋体"/>
          <w:color w:val="auto"/>
          <w:position w:val="6"/>
          <w:szCs w:val="21"/>
          <w:highlight w:val="none"/>
        </w:rPr>
        <w:t>2.逆变器质保，为5年；</w:t>
      </w:r>
    </w:p>
    <w:p w14:paraId="37654736">
      <w:pPr>
        <w:adjustRightInd w:val="0"/>
        <w:snapToGrid w:val="0"/>
        <w:spacing w:line="360" w:lineRule="auto"/>
        <w:ind w:firstLine="420" w:firstLineChars="200"/>
        <w:jc w:val="left"/>
        <w:rPr>
          <w:rFonts w:ascii="宋体" w:hAnsi="宋体" w:cs="宋体"/>
          <w:color w:val="auto"/>
          <w:position w:val="6"/>
          <w:szCs w:val="21"/>
          <w:highlight w:val="none"/>
        </w:rPr>
      </w:pPr>
      <w:r>
        <w:rPr>
          <w:rFonts w:hint="eastAsia" w:ascii="宋体" w:hAnsi="宋体" w:cs="宋体"/>
          <w:color w:val="auto"/>
          <w:position w:val="6"/>
          <w:szCs w:val="21"/>
          <w:highlight w:val="none"/>
        </w:rPr>
        <w:t>3.其他电器设备，为2年。</w:t>
      </w:r>
    </w:p>
    <w:p w14:paraId="6C428693">
      <w:pPr>
        <w:adjustRightInd w:val="0"/>
        <w:snapToGrid w:val="0"/>
        <w:spacing w:line="360" w:lineRule="auto"/>
        <w:ind w:left="359" w:leftChars="171" w:firstLine="105" w:firstLineChars="50"/>
        <w:rPr>
          <w:rFonts w:ascii="宋体" w:hAnsi="宋体" w:cs="宋体"/>
          <w:color w:val="auto"/>
          <w:kern w:val="0"/>
          <w:position w:val="6"/>
          <w:szCs w:val="21"/>
          <w:highlight w:val="none"/>
        </w:rPr>
      </w:pPr>
      <w:r>
        <w:rPr>
          <w:rFonts w:hint="eastAsia" w:ascii="宋体" w:hAnsi="宋体" w:cs="宋体"/>
          <w:color w:val="auto"/>
          <w:kern w:val="0"/>
          <w:position w:val="6"/>
          <w:szCs w:val="21"/>
          <w:highlight w:val="none"/>
        </w:rPr>
        <w:t>质量保修期自工程竣工验收合格之日起计算。</w:t>
      </w:r>
    </w:p>
    <w:p w14:paraId="3F6FC0E1">
      <w:pPr>
        <w:adjustRightInd w:val="0"/>
        <w:snapToGrid w:val="0"/>
        <w:spacing w:line="360" w:lineRule="auto"/>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三、缺陷责任期</w:t>
      </w:r>
    </w:p>
    <w:p w14:paraId="51E9DB75">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工程缺陷责任期 </w:t>
      </w:r>
      <w:r>
        <w:rPr>
          <w:rFonts w:ascii="宋体" w:hAnsi="宋体" w:cs="宋体"/>
          <w:color w:val="auto"/>
          <w:szCs w:val="21"/>
          <w:highlight w:val="none"/>
        </w:rPr>
        <w:t>(</w:t>
      </w:r>
      <w:r>
        <w:rPr>
          <w:rFonts w:hint="eastAsia" w:ascii="宋体" w:hAnsi="宋体" w:cs="宋体"/>
          <w:color w:val="auto"/>
          <w:szCs w:val="21"/>
          <w:highlight w:val="none"/>
        </w:rPr>
        <w:t>自竣工验收合格之日起满2年</w:t>
      </w:r>
      <w:r>
        <w:rPr>
          <w:rFonts w:ascii="宋体" w:hAnsi="宋体" w:cs="宋体"/>
          <w:color w:val="auto"/>
          <w:szCs w:val="21"/>
          <w:highlight w:val="none"/>
        </w:rPr>
        <w:t>)</w:t>
      </w:r>
      <w:r>
        <w:rPr>
          <w:rFonts w:hint="eastAsia" w:ascii="宋体" w:hAnsi="宋体" w:cs="宋体"/>
          <w:color w:val="auto"/>
          <w:szCs w:val="21"/>
          <w:highlight w:val="none"/>
        </w:rPr>
        <w:t>。单位工程先于全部工程进行验收，单位工程缺陷责任期自单位工程验收合格之日起算。</w:t>
      </w:r>
    </w:p>
    <w:p w14:paraId="1A4519E4">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1DAE55EE">
      <w:pPr>
        <w:widowControl/>
        <w:adjustRightInd w:val="0"/>
        <w:snapToGrid w:val="0"/>
        <w:spacing w:line="360" w:lineRule="auto"/>
        <w:ind w:firstLine="422" w:firstLineChars="200"/>
        <w:jc w:val="left"/>
        <w:outlineLvl w:val="3"/>
        <w:rPr>
          <w:rFonts w:ascii="宋体" w:hAnsi="宋体" w:cs="宋体"/>
          <w:b/>
          <w:bCs/>
          <w:color w:val="auto"/>
          <w:kern w:val="0"/>
          <w:position w:val="6"/>
          <w:szCs w:val="21"/>
          <w:highlight w:val="none"/>
        </w:rPr>
      </w:pPr>
      <w:r>
        <w:rPr>
          <w:rFonts w:hint="eastAsia" w:ascii="宋体" w:hAnsi="宋体" w:cs="宋体"/>
          <w:b/>
          <w:color w:val="auto"/>
          <w:szCs w:val="21"/>
          <w:highlight w:val="none"/>
        </w:rPr>
        <w:t>四、质量保修责任</w:t>
      </w:r>
    </w:p>
    <w:p w14:paraId="28FE4F40">
      <w:pPr>
        <w:widowControl/>
        <w:adjustRightInd w:val="0"/>
        <w:snapToGrid w:val="0"/>
        <w:spacing w:line="360" w:lineRule="auto"/>
        <w:ind w:firstLine="420" w:firstLineChars="200"/>
        <w:jc w:val="left"/>
        <w:rPr>
          <w:rFonts w:ascii="宋体" w:hAnsi="宋体" w:cs="宋体"/>
          <w:color w:val="auto"/>
          <w:kern w:val="0"/>
          <w:position w:val="6"/>
          <w:szCs w:val="21"/>
          <w:highlight w:val="none"/>
        </w:rPr>
      </w:pPr>
      <w:r>
        <w:rPr>
          <w:rFonts w:hint="eastAsia" w:ascii="宋体" w:hAnsi="宋体" w:cs="宋体"/>
          <w:color w:val="auto"/>
          <w:kern w:val="0"/>
          <w:position w:val="6"/>
          <w:szCs w:val="21"/>
          <w:highlight w:val="none"/>
        </w:rPr>
        <w:t>1. 属于保修范围、内容的项目，承包人应当在接到保修通知之日起7天内派人保修。承包人不在约定期限内派人保修的，发包人可以委托他人修理。</w:t>
      </w:r>
    </w:p>
    <w:p w14:paraId="47CCCA83">
      <w:pPr>
        <w:widowControl/>
        <w:adjustRightInd w:val="0"/>
        <w:snapToGrid w:val="0"/>
        <w:spacing w:line="360" w:lineRule="auto"/>
        <w:ind w:firstLine="420" w:firstLineChars="200"/>
        <w:jc w:val="left"/>
        <w:rPr>
          <w:rFonts w:ascii="宋体" w:hAnsi="宋体" w:cs="宋体"/>
          <w:color w:val="auto"/>
          <w:kern w:val="0"/>
          <w:position w:val="6"/>
          <w:szCs w:val="21"/>
          <w:highlight w:val="none"/>
        </w:rPr>
      </w:pPr>
      <w:r>
        <w:rPr>
          <w:rFonts w:hint="eastAsia" w:ascii="宋体" w:hAnsi="宋体" w:cs="宋体"/>
          <w:color w:val="auto"/>
          <w:kern w:val="0"/>
          <w:position w:val="6"/>
          <w:szCs w:val="21"/>
          <w:highlight w:val="none"/>
        </w:rPr>
        <w:t>2. 发生紧急抢修事故的，承包人在接到事故通知后，应当立即到达事故现场抢修。</w:t>
      </w:r>
    </w:p>
    <w:p w14:paraId="188798AB">
      <w:pPr>
        <w:widowControl/>
        <w:adjustRightInd w:val="0"/>
        <w:snapToGrid w:val="0"/>
        <w:spacing w:line="360" w:lineRule="auto"/>
        <w:ind w:firstLine="420" w:firstLineChars="200"/>
        <w:jc w:val="left"/>
        <w:rPr>
          <w:rFonts w:ascii="宋体" w:hAnsi="宋体" w:cs="宋体"/>
          <w:color w:val="auto"/>
          <w:kern w:val="0"/>
          <w:position w:val="6"/>
          <w:szCs w:val="21"/>
          <w:highlight w:val="none"/>
        </w:rPr>
      </w:pPr>
      <w:r>
        <w:rPr>
          <w:rFonts w:hint="eastAsia" w:ascii="宋体" w:hAnsi="宋体" w:cs="宋体"/>
          <w:color w:val="auto"/>
          <w:kern w:val="0"/>
          <w:position w:val="6"/>
          <w:szCs w:val="21"/>
          <w:highlight w:val="none"/>
        </w:rPr>
        <w:t>3. 对于涉及结构安全的质量问题，应当立即向当地建设行政主管部门报告，采取安全防范措施；由原设计单位或者具有相应资质等级的设计单位提出保修方案，承包人实施保修。</w:t>
      </w:r>
    </w:p>
    <w:p w14:paraId="496280EB">
      <w:pPr>
        <w:widowControl/>
        <w:adjustRightInd w:val="0"/>
        <w:snapToGrid w:val="0"/>
        <w:spacing w:line="360" w:lineRule="auto"/>
        <w:ind w:firstLine="420" w:firstLineChars="200"/>
        <w:jc w:val="left"/>
        <w:outlineLvl w:val="2"/>
        <w:rPr>
          <w:rFonts w:ascii="宋体" w:hAnsi="宋体" w:cs="宋体"/>
          <w:color w:val="auto"/>
          <w:kern w:val="0"/>
          <w:position w:val="6"/>
          <w:szCs w:val="21"/>
          <w:highlight w:val="none"/>
        </w:rPr>
      </w:pPr>
      <w:bookmarkStart w:id="916" w:name="_Toc21757"/>
      <w:r>
        <w:rPr>
          <w:rFonts w:hint="eastAsia" w:ascii="宋体" w:hAnsi="宋体" w:cs="宋体"/>
          <w:color w:val="auto"/>
          <w:kern w:val="0"/>
          <w:position w:val="6"/>
          <w:szCs w:val="21"/>
          <w:highlight w:val="none"/>
        </w:rPr>
        <w:t>4. 质量保修完成后，由发包人组织验收。</w:t>
      </w:r>
      <w:bookmarkEnd w:id="916"/>
    </w:p>
    <w:p w14:paraId="46EB8998">
      <w:pPr>
        <w:widowControl/>
        <w:adjustRightInd w:val="0"/>
        <w:snapToGrid w:val="0"/>
        <w:spacing w:line="360" w:lineRule="auto"/>
        <w:ind w:firstLine="422" w:firstLineChars="200"/>
        <w:jc w:val="left"/>
        <w:outlineLvl w:val="3"/>
        <w:rPr>
          <w:rFonts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五、保修费用</w:t>
      </w:r>
    </w:p>
    <w:p w14:paraId="3F452AE9">
      <w:pPr>
        <w:widowControl/>
        <w:adjustRightInd w:val="0"/>
        <w:snapToGrid w:val="0"/>
        <w:spacing w:line="360" w:lineRule="auto"/>
        <w:ind w:firstLine="420" w:firstLineChars="200"/>
        <w:jc w:val="left"/>
        <w:rPr>
          <w:rFonts w:ascii="宋体" w:hAnsi="宋体" w:cs="宋体"/>
          <w:color w:val="auto"/>
          <w:kern w:val="0"/>
          <w:position w:val="6"/>
          <w:szCs w:val="21"/>
          <w:highlight w:val="none"/>
        </w:rPr>
      </w:pPr>
      <w:r>
        <w:rPr>
          <w:rFonts w:hint="eastAsia" w:ascii="宋体" w:hAnsi="宋体" w:cs="宋体"/>
          <w:color w:val="auto"/>
          <w:kern w:val="0"/>
          <w:position w:val="6"/>
          <w:szCs w:val="21"/>
          <w:highlight w:val="none"/>
        </w:rPr>
        <w:t>保修费用由造成质量缺陷的责任方承担。</w:t>
      </w:r>
    </w:p>
    <w:p w14:paraId="245A4162">
      <w:pPr>
        <w:widowControl/>
        <w:adjustRightInd w:val="0"/>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bCs/>
          <w:color w:val="auto"/>
          <w:kern w:val="0"/>
          <w:position w:val="6"/>
          <w:szCs w:val="21"/>
          <w:highlight w:val="none"/>
        </w:rPr>
        <w:t>六、</w:t>
      </w:r>
      <w:r>
        <w:rPr>
          <w:rFonts w:hint="eastAsia" w:ascii="宋体" w:hAnsi="宋体" w:cs="宋体"/>
          <w:b/>
          <w:color w:val="auto"/>
          <w:szCs w:val="21"/>
          <w:highlight w:val="none"/>
        </w:rPr>
        <w:t>双方约定的其他工程质量保修事项：</w:t>
      </w:r>
      <w:r>
        <w:rPr>
          <w:rFonts w:hint="eastAsia" w:ascii="宋体" w:hAnsi="宋体" w:cs="宋体"/>
          <w:b/>
          <w:color w:val="auto"/>
          <w:szCs w:val="21"/>
          <w:highlight w:val="none"/>
          <w:u w:val="single"/>
        </w:rPr>
        <w:t xml:space="preserve">     /        </w:t>
      </w:r>
      <w:r>
        <w:rPr>
          <w:rFonts w:hint="eastAsia" w:ascii="宋体" w:hAnsi="宋体" w:cs="宋体"/>
          <w:b/>
          <w:color w:val="auto"/>
          <w:szCs w:val="21"/>
          <w:highlight w:val="none"/>
        </w:rPr>
        <w:t>。</w:t>
      </w:r>
    </w:p>
    <w:p w14:paraId="12A5F05B">
      <w:pPr>
        <w:widowControl/>
        <w:adjustRightInd w:val="0"/>
        <w:snapToGrid w:val="0"/>
        <w:spacing w:line="360" w:lineRule="auto"/>
        <w:ind w:firstLine="420" w:firstLineChars="200"/>
        <w:jc w:val="left"/>
        <w:rPr>
          <w:rFonts w:ascii="宋体" w:hAnsi="宋体" w:cs="宋体"/>
          <w:bCs/>
          <w:color w:val="auto"/>
          <w:kern w:val="0"/>
          <w:szCs w:val="21"/>
          <w:highlight w:val="none"/>
        </w:rPr>
      </w:pPr>
      <w:r>
        <w:rPr>
          <w:rFonts w:hint="eastAsia" w:ascii="宋体" w:hAnsi="宋体" w:cs="宋体"/>
          <w:bCs/>
          <w:color w:val="auto"/>
          <w:kern w:val="0"/>
          <w:position w:val="6"/>
          <w:szCs w:val="21"/>
          <w:highlight w:val="none"/>
        </w:rPr>
        <w:t>本工程质量保修书，由施工合同发包人、承包人双方在竣工验收前共同签署，作为施工合同附件，其有效期限至保修期满。</w:t>
      </w:r>
    </w:p>
    <w:p w14:paraId="0D00E708">
      <w:pPr>
        <w:adjustRightInd w:val="0"/>
        <w:snapToGrid w:val="0"/>
        <w:spacing w:line="360" w:lineRule="auto"/>
        <w:ind w:firstLine="420"/>
        <w:rPr>
          <w:rFonts w:ascii="宋体" w:hAnsi="宋体" w:cs="宋体"/>
          <w:color w:val="auto"/>
          <w:szCs w:val="21"/>
          <w:highlight w:val="none"/>
        </w:rPr>
      </w:pPr>
    </w:p>
    <w:p w14:paraId="0127376E">
      <w:pPr>
        <w:adjustRightInd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 </w:t>
      </w:r>
    </w:p>
    <w:p w14:paraId="0ABC8609">
      <w:pPr>
        <w:adjustRightInd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      </w:t>
      </w:r>
    </w:p>
    <w:p w14:paraId="1F5B7A23">
      <w:pPr>
        <w:adjustRightInd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14:paraId="27FA3256">
      <w:pPr>
        <w:adjustRightInd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14:paraId="0706F9C2">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4AF66AD6">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44D88667">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4DDE14EB">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72263DA1">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20A726DE">
      <w:pPr>
        <w:widowControl/>
        <w:tabs>
          <w:tab w:val="left" w:leader="underscore" w:pos="6300"/>
        </w:tabs>
        <w:adjustRightInd w:val="0"/>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  </w:t>
      </w:r>
    </w:p>
    <w:p w14:paraId="3D4DF7F2">
      <w:pPr>
        <w:widowControl/>
        <w:tabs>
          <w:tab w:val="left" w:leader="underscore" w:pos="6300"/>
        </w:tabs>
        <w:jc w:val="left"/>
        <w:rPr>
          <w:rFonts w:ascii="宋体" w:hAnsi="宋体"/>
          <w:color w:val="auto"/>
          <w:kern w:val="0"/>
          <w:sz w:val="30"/>
          <w:szCs w:val="30"/>
          <w:highlight w:val="none"/>
        </w:rPr>
      </w:pPr>
      <w:r>
        <w:rPr>
          <w:rFonts w:ascii="宋体" w:hAnsi="宋体"/>
          <w:color w:val="auto"/>
          <w:kern w:val="0"/>
          <w:sz w:val="30"/>
          <w:szCs w:val="30"/>
          <w:highlight w:val="none"/>
        </w:rPr>
        <w:br w:type="page"/>
      </w:r>
    </w:p>
    <w:p w14:paraId="29555453">
      <w:pPr>
        <w:keepNext/>
        <w:keepLines/>
        <w:widowControl/>
        <w:tabs>
          <w:tab w:val="left" w:pos="1134"/>
          <w:tab w:val="left" w:leader="underscore" w:pos="6300"/>
        </w:tabs>
        <w:topLinePunct/>
        <w:adjustRightInd w:val="0"/>
        <w:snapToGrid w:val="0"/>
        <w:spacing w:afterLines="50" w:line="360" w:lineRule="auto"/>
        <w:jc w:val="center"/>
        <w:outlineLvl w:val="4"/>
        <w:rPr>
          <w:rFonts w:ascii="黑体" w:hAnsi="黑体" w:eastAsia="黑体"/>
          <w:b/>
          <w:color w:val="auto"/>
          <w:kern w:val="0"/>
          <w:sz w:val="30"/>
          <w:szCs w:val="30"/>
          <w:highlight w:val="none"/>
        </w:rPr>
      </w:pPr>
      <w:bookmarkStart w:id="917" w:name="_Toc20171896"/>
      <w:bookmarkStart w:id="918" w:name="_Toc54862355"/>
      <w:r>
        <w:rPr>
          <w:rFonts w:hint="eastAsia" w:ascii="黑体" w:hAnsi="黑体" w:eastAsia="黑体"/>
          <w:b/>
          <w:color w:val="auto"/>
          <w:kern w:val="0"/>
          <w:sz w:val="30"/>
          <w:szCs w:val="30"/>
          <w:highlight w:val="none"/>
        </w:rPr>
        <w:t>附件4</w:t>
      </w:r>
      <w:r>
        <w:rPr>
          <w:rFonts w:ascii="黑体" w:hAnsi="黑体" w:eastAsia="黑体"/>
          <w:b/>
          <w:color w:val="auto"/>
          <w:kern w:val="0"/>
          <w:sz w:val="30"/>
          <w:szCs w:val="30"/>
          <w:highlight w:val="none"/>
        </w:rPr>
        <w:t xml:space="preserve"> </w:t>
      </w:r>
      <w:bookmarkEnd w:id="917"/>
      <w:bookmarkEnd w:id="918"/>
      <w:r>
        <w:rPr>
          <w:rFonts w:hint="eastAsia" w:ascii="黑体" w:hAnsi="黑体" w:eastAsia="黑体"/>
          <w:b/>
          <w:color w:val="auto"/>
          <w:kern w:val="0"/>
          <w:sz w:val="30"/>
          <w:szCs w:val="30"/>
          <w:highlight w:val="none"/>
        </w:rPr>
        <w:t>承包人设计、施工人员配备一览表</w:t>
      </w:r>
    </w:p>
    <w:tbl>
      <w:tblPr>
        <w:tblStyle w:val="19"/>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993"/>
        <w:gridCol w:w="2298"/>
        <w:gridCol w:w="1205"/>
        <w:gridCol w:w="1214"/>
        <w:gridCol w:w="2179"/>
      </w:tblGrid>
      <w:tr w14:paraId="7BA1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845" w:type="dxa"/>
            <w:vAlign w:val="center"/>
          </w:tcPr>
          <w:p w14:paraId="064E9612">
            <w:pPr>
              <w:tabs>
                <w:tab w:val="left" w:leader="underscore" w:pos="6300"/>
              </w:tabs>
              <w:spacing w:line="320" w:lineRule="exact"/>
              <w:jc w:val="center"/>
              <w:rPr>
                <w:b/>
                <w:color w:val="auto"/>
                <w:szCs w:val="21"/>
                <w:highlight w:val="none"/>
              </w:rPr>
            </w:pPr>
            <w:r>
              <w:rPr>
                <w:b/>
                <w:color w:val="auto"/>
                <w:szCs w:val="21"/>
                <w:highlight w:val="none"/>
              </w:rPr>
              <w:t>序号</w:t>
            </w:r>
          </w:p>
        </w:tc>
        <w:tc>
          <w:tcPr>
            <w:tcW w:w="993" w:type="dxa"/>
            <w:vAlign w:val="center"/>
          </w:tcPr>
          <w:p w14:paraId="73AAF375">
            <w:pPr>
              <w:tabs>
                <w:tab w:val="left" w:leader="underscore" w:pos="6300"/>
              </w:tabs>
              <w:spacing w:line="320" w:lineRule="exact"/>
              <w:jc w:val="center"/>
              <w:rPr>
                <w:b/>
                <w:color w:val="auto"/>
                <w:szCs w:val="21"/>
                <w:highlight w:val="none"/>
              </w:rPr>
            </w:pPr>
            <w:r>
              <w:rPr>
                <w:b/>
                <w:color w:val="auto"/>
                <w:szCs w:val="21"/>
                <w:highlight w:val="none"/>
              </w:rPr>
              <w:t>姓名</w:t>
            </w:r>
          </w:p>
        </w:tc>
        <w:tc>
          <w:tcPr>
            <w:tcW w:w="2298" w:type="dxa"/>
            <w:vAlign w:val="center"/>
          </w:tcPr>
          <w:p w14:paraId="585AE6C3">
            <w:pPr>
              <w:tabs>
                <w:tab w:val="left" w:leader="underscore" w:pos="6300"/>
              </w:tabs>
              <w:spacing w:line="320" w:lineRule="exact"/>
              <w:ind w:firstLine="200"/>
              <w:jc w:val="center"/>
              <w:rPr>
                <w:b/>
                <w:color w:val="auto"/>
                <w:szCs w:val="21"/>
                <w:highlight w:val="none"/>
              </w:rPr>
            </w:pPr>
            <w:r>
              <w:rPr>
                <w:b/>
                <w:color w:val="auto"/>
                <w:szCs w:val="21"/>
                <w:highlight w:val="none"/>
              </w:rPr>
              <w:t>身份证号码</w:t>
            </w:r>
          </w:p>
        </w:tc>
        <w:tc>
          <w:tcPr>
            <w:tcW w:w="1205" w:type="dxa"/>
            <w:vAlign w:val="center"/>
          </w:tcPr>
          <w:p w14:paraId="291A4219">
            <w:pPr>
              <w:tabs>
                <w:tab w:val="left" w:leader="underscore" w:pos="6300"/>
              </w:tabs>
              <w:spacing w:line="320" w:lineRule="exact"/>
              <w:jc w:val="center"/>
              <w:rPr>
                <w:b/>
                <w:color w:val="auto"/>
                <w:szCs w:val="21"/>
                <w:highlight w:val="none"/>
              </w:rPr>
            </w:pPr>
            <w:r>
              <w:rPr>
                <w:b/>
                <w:color w:val="auto"/>
                <w:szCs w:val="21"/>
                <w:highlight w:val="none"/>
              </w:rPr>
              <w:t>职称</w:t>
            </w:r>
          </w:p>
        </w:tc>
        <w:tc>
          <w:tcPr>
            <w:tcW w:w="1214" w:type="dxa"/>
            <w:vAlign w:val="center"/>
          </w:tcPr>
          <w:p w14:paraId="5F26D966">
            <w:pPr>
              <w:tabs>
                <w:tab w:val="left" w:leader="underscore" w:pos="6300"/>
              </w:tabs>
              <w:spacing w:line="320" w:lineRule="exact"/>
              <w:jc w:val="center"/>
              <w:rPr>
                <w:b/>
                <w:color w:val="auto"/>
                <w:szCs w:val="21"/>
                <w:highlight w:val="none"/>
              </w:rPr>
            </w:pPr>
            <w:r>
              <w:rPr>
                <w:b/>
                <w:color w:val="auto"/>
                <w:szCs w:val="21"/>
                <w:highlight w:val="none"/>
              </w:rPr>
              <w:t>职务</w:t>
            </w:r>
          </w:p>
        </w:tc>
        <w:tc>
          <w:tcPr>
            <w:tcW w:w="2179" w:type="dxa"/>
            <w:vAlign w:val="center"/>
          </w:tcPr>
          <w:p w14:paraId="009B05B9">
            <w:pPr>
              <w:tabs>
                <w:tab w:val="left" w:leader="underscore" w:pos="6300"/>
              </w:tabs>
              <w:spacing w:line="320" w:lineRule="exact"/>
              <w:jc w:val="center"/>
              <w:rPr>
                <w:b/>
                <w:color w:val="auto"/>
                <w:szCs w:val="21"/>
                <w:highlight w:val="none"/>
              </w:rPr>
            </w:pPr>
            <w:r>
              <w:rPr>
                <w:b/>
                <w:color w:val="auto"/>
                <w:szCs w:val="21"/>
                <w:highlight w:val="none"/>
              </w:rPr>
              <w:t>责任范围</w:t>
            </w:r>
          </w:p>
        </w:tc>
      </w:tr>
      <w:tr w14:paraId="5AA5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vAlign w:val="center"/>
          </w:tcPr>
          <w:p w14:paraId="58F704D7">
            <w:pPr>
              <w:tabs>
                <w:tab w:val="left" w:leader="underscore" w:pos="6300"/>
              </w:tabs>
              <w:spacing w:line="320" w:lineRule="exact"/>
              <w:ind w:firstLine="200"/>
              <w:jc w:val="center"/>
              <w:rPr>
                <w:color w:val="auto"/>
                <w:szCs w:val="21"/>
                <w:highlight w:val="none"/>
              </w:rPr>
            </w:pPr>
          </w:p>
        </w:tc>
        <w:tc>
          <w:tcPr>
            <w:tcW w:w="993" w:type="dxa"/>
            <w:vAlign w:val="center"/>
          </w:tcPr>
          <w:p w14:paraId="50814EDB">
            <w:pPr>
              <w:tabs>
                <w:tab w:val="left" w:leader="underscore" w:pos="6300"/>
              </w:tabs>
              <w:spacing w:line="320" w:lineRule="exact"/>
              <w:ind w:firstLine="200"/>
              <w:jc w:val="center"/>
              <w:rPr>
                <w:color w:val="auto"/>
                <w:szCs w:val="21"/>
                <w:highlight w:val="none"/>
              </w:rPr>
            </w:pPr>
          </w:p>
        </w:tc>
        <w:tc>
          <w:tcPr>
            <w:tcW w:w="2298" w:type="dxa"/>
            <w:vAlign w:val="center"/>
          </w:tcPr>
          <w:p w14:paraId="251A5470">
            <w:pPr>
              <w:tabs>
                <w:tab w:val="left" w:leader="underscore" w:pos="6300"/>
              </w:tabs>
              <w:spacing w:line="320" w:lineRule="exact"/>
              <w:ind w:firstLine="200"/>
              <w:jc w:val="center"/>
              <w:rPr>
                <w:color w:val="auto"/>
                <w:szCs w:val="21"/>
                <w:highlight w:val="none"/>
              </w:rPr>
            </w:pPr>
          </w:p>
        </w:tc>
        <w:tc>
          <w:tcPr>
            <w:tcW w:w="1205" w:type="dxa"/>
            <w:vAlign w:val="center"/>
          </w:tcPr>
          <w:p w14:paraId="50298076">
            <w:pPr>
              <w:tabs>
                <w:tab w:val="left" w:leader="underscore" w:pos="6300"/>
              </w:tabs>
              <w:spacing w:line="320" w:lineRule="exact"/>
              <w:ind w:firstLine="200"/>
              <w:jc w:val="center"/>
              <w:rPr>
                <w:color w:val="auto"/>
                <w:szCs w:val="21"/>
                <w:highlight w:val="none"/>
              </w:rPr>
            </w:pPr>
          </w:p>
        </w:tc>
        <w:tc>
          <w:tcPr>
            <w:tcW w:w="1214" w:type="dxa"/>
            <w:vAlign w:val="center"/>
          </w:tcPr>
          <w:p w14:paraId="1AD13145">
            <w:pPr>
              <w:tabs>
                <w:tab w:val="left" w:leader="underscore" w:pos="6300"/>
              </w:tabs>
              <w:spacing w:line="320" w:lineRule="exact"/>
              <w:ind w:firstLine="200"/>
              <w:jc w:val="center"/>
              <w:rPr>
                <w:color w:val="auto"/>
                <w:szCs w:val="21"/>
                <w:highlight w:val="none"/>
              </w:rPr>
            </w:pPr>
          </w:p>
        </w:tc>
        <w:tc>
          <w:tcPr>
            <w:tcW w:w="2179" w:type="dxa"/>
            <w:vAlign w:val="center"/>
          </w:tcPr>
          <w:p w14:paraId="7F230D90">
            <w:pPr>
              <w:tabs>
                <w:tab w:val="left" w:leader="underscore" w:pos="6300"/>
              </w:tabs>
              <w:spacing w:line="320" w:lineRule="exact"/>
              <w:ind w:firstLine="200"/>
              <w:jc w:val="center"/>
              <w:rPr>
                <w:color w:val="auto"/>
                <w:szCs w:val="21"/>
                <w:highlight w:val="none"/>
              </w:rPr>
            </w:pPr>
          </w:p>
        </w:tc>
      </w:tr>
      <w:tr w14:paraId="09B0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845" w:type="dxa"/>
            <w:vAlign w:val="center"/>
          </w:tcPr>
          <w:p w14:paraId="17E0566F">
            <w:pPr>
              <w:tabs>
                <w:tab w:val="left" w:leader="underscore" w:pos="6300"/>
              </w:tabs>
              <w:spacing w:line="320" w:lineRule="exact"/>
              <w:ind w:firstLine="200"/>
              <w:jc w:val="center"/>
              <w:rPr>
                <w:color w:val="auto"/>
                <w:szCs w:val="21"/>
                <w:highlight w:val="none"/>
              </w:rPr>
            </w:pPr>
          </w:p>
        </w:tc>
        <w:tc>
          <w:tcPr>
            <w:tcW w:w="993" w:type="dxa"/>
            <w:vAlign w:val="center"/>
          </w:tcPr>
          <w:p w14:paraId="71DE31B5">
            <w:pPr>
              <w:tabs>
                <w:tab w:val="left" w:leader="underscore" w:pos="6300"/>
              </w:tabs>
              <w:spacing w:line="320" w:lineRule="exact"/>
              <w:ind w:firstLine="200"/>
              <w:jc w:val="center"/>
              <w:rPr>
                <w:color w:val="auto"/>
                <w:szCs w:val="21"/>
                <w:highlight w:val="none"/>
              </w:rPr>
            </w:pPr>
          </w:p>
        </w:tc>
        <w:tc>
          <w:tcPr>
            <w:tcW w:w="2298" w:type="dxa"/>
            <w:vAlign w:val="center"/>
          </w:tcPr>
          <w:p w14:paraId="244F05F2">
            <w:pPr>
              <w:tabs>
                <w:tab w:val="left" w:leader="underscore" w:pos="6300"/>
              </w:tabs>
              <w:spacing w:line="320" w:lineRule="exact"/>
              <w:ind w:firstLine="200"/>
              <w:jc w:val="center"/>
              <w:rPr>
                <w:color w:val="auto"/>
                <w:szCs w:val="21"/>
                <w:highlight w:val="none"/>
              </w:rPr>
            </w:pPr>
          </w:p>
        </w:tc>
        <w:tc>
          <w:tcPr>
            <w:tcW w:w="1205" w:type="dxa"/>
            <w:vAlign w:val="center"/>
          </w:tcPr>
          <w:p w14:paraId="244F1E3A">
            <w:pPr>
              <w:tabs>
                <w:tab w:val="left" w:leader="underscore" w:pos="6300"/>
              </w:tabs>
              <w:spacing w:line="320" w:lineRule="exact"/>
              <w:ind w:firstLine="200"/>
              <w:jc w:val="center"/>
              <w:rPr>
                <w:color w:val="auto"/>
                <w:szCs w:val="21"/>
                <w:highlight w:val="none"/>
              </w:rPr>
            </w:pPr>
          </w:p>
        </w:tc>
        <w:tc>
          <w:tcPr>
            <w:tcW w:w="1214" w:type="dxa"/>
            <w:vAlign w:val="center"/>
          </w:tcPr>
          <w:p w14:paraId="276EA236">
            <w:pPr>
              <w:tabs>
                <w:tab w:val="left" w:leader="underscore" w:pos="6300"/>
              </w:tabs>
              <w:spacing w:line="320" w:lineRule="exact"/>
              <w:ind w:firstLine="200"/>
              <w:jc w:val="center"/>
              <w:rPr>
                <w:color w:val="auto"/>
                <w:szCs w:val="21"/>
                <w:highlight w:val="none"/>
              </w:rPr>
            </w:pPr>
          </w:p>
        </w:tc>
        <w:tc>
          <w:tcPr>
            <w:tcW w:w="2179" w:type="dxa"/>
            <w:vAlign w:val="center"/>
          </w:tcPr>
          <w:p w14:paraId="4B1ED422">
            <w:pPr>
              <w:tabs>
                <w:tab w:val="left" w:leader="underscore" w:pos="6300"/>
              </w:tabs>
              <w:spacing w:line="320" w:lineRule="exact"/>
              <w:ind w:firstLine="200"/>
              <w:jc w:val="center"/>
              <w:rPr>
                <w:color w:val="auto"/>
                <w:szCs w:val="21"/>
                <w:highlight w:val="none"/>
              </w:rPr>
            </w:pPr>
          </w:p>
        </w:tc>
      </w:tr>
      <w:tr w14:paraId="6704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845" w:type="dxa"/>
            <w:vAlign w:val="center"/>
          </w:tcPr>
          <w:p w14:paraId="3B13EDD5">
            <w:pPr>
              <w:tabs>
                <w:tab w:val="left" w:leader="underscore" w:pos="6300"/>
              </w:tabs>
              <w:spacing w:line="320" w:lineRule="exact"/>
              <w:ind w:firstLine="200"/>
              <w:jc w:val="center"/>
              <w:rPr>
                <w:color w:val="auto"/>
                <w:szCs w:val="21"/>
                <w:highlight w:val="none"/>
              </w:rPr>
            </w:pPr>
          </w:p>
        </w:tc>
        <w:tc>
          <w:tcPr>
            <w:tcW w:w="993" w:type="dxa"/>
            <w:vAlign w:val="center"/>
          </w:tcPr>
          <w:p w14:paraId="024EBD48">
            <w:pPr>
              <w:tabs>
                <w:tab w:val="left" w:leader="underscore" w:pos="6300"/>
              </w:tabs>
              <w:spacing w:line="320" w:lineRule="exact"/>
              <w:ind w:firstLine="200"/>
              <w:jc w:val="center"/>
              <w:rPr>
                <w:color w:val="auto"/>
                <w:szCs w:val="21"/>
                <w:highlight w:val="none"/>
              </w:rPr>
            </w:pPr>
          </w:p>
        </w:tc>
        <w:tc>
          <w:tcPr>
            <w:tcW w:w="2298" w:type="dxa"/>
            <w:vAlign w:val="center"/>
          </w:tcPr>
          <w:p w14:paraId="4127D432">
            <w:pPr>
              <w:tabs>
                <w:tab w:val="left" w:leader="underscore" w:pos="6300"/>
              </w:tabs>
              <w:spacing w:line="320" w:lineRule="exact"/>
              <w:ind w:firstLine="200"/>
              <w:jc w:val="center"/>
              <w:rPr>
                <w:color w:val="auto"/>
                <w:szCs w:val="21"/>
                <w:highlight w:val="none"/>
              </w:rPr>
            </w:pPr>
          </w:p>
        </w:tc>
        <w:tc>
          <w:tcPr>
            <w:tcW w:w="1205" w:type="dxa"/>
            <w:vAlign w:val="center"/>
          </w:tcPr>
          <w:p w14:paraId="213A1152">
            <w:pPr>
              <w:tabs>
                <w:tab w:val="left" w:leader="underscore" w:pos="6300"/>
              </w:tabs>
              <w:spacing w:line="320" w:lineRule="exact"/>
              <w:ind w:firstLine="200"/>
              <w:jc w:val="center"/>
              <w:rPr>
                <w:color w:val="auto"/>
                <w:szCs w:val="21"/>
                <w:highlight w:val="none"/>
              </w:rPr>
            </w:pPr>
          </w:p>
        </w:tc>
        <w:tc>
          <w:tcPr>
            <w:tcW w:w="1214" w:type="dxa"/>
            <w:vAlign w:val="center"/>
          </w:tcPr>
          <w:p w14:paraId="06EBBB41">
            <w:pPr>
              <w:tabs>
                <w:tab w:val="left" w:leader="underscore" w:pos="6300"/>
              </w:tabs>
              <w:spacing w:line="320" w:lineRule="exact"/>
              <w:ind w:firstLine="200"/>
              <w:jc w:val="center"/>
              <w:rPr>
                <w:color w:val="auto"/>
                <w:szCs w:val="21"/>
                <w:highlight w:val="none"/>
              </w:rPr>
            </w:pPr>
          </w:p>
        </w:tc>
        <w:tc>
          <w:tcPr>
            <w:tcW w:w="2179" w:type="dxa"/>
            <w:vAlign w:val="center"/>
          </w:tcPr>
          <w:p w14:paraId="649DDFAD">
            <w:pPr>
              <w:tabs>
                <w:tab w:val="left" w:leader="underscore" w:pos="6300"/>
              </w:tabs>
              <w:spacing w:line="320" w:lineRule="exact"/>
              <w:ind w:firstLine="200"/>
              <w:jc w:val="center"/>
              <w:rPr>
                <w:color w:val="auto"/>
                <w:szCs w:val="21"/>
                <w:highlight w:val="none"/>
              </w:rPr>
            </w:pPr>
          </w:p>
        </w:tc>
      </w:tr>
      <w:tr w14:paraId="55B9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845" w:type="dxa"/>
            <w:vAlign w:val="center"/>
          </w:tcPr>
          <w:p w14:paraId="72A7359E">
            <w:pPr>
              <w:tabs>
                <w:tab w:val="left" w:leader="underscore" w:pos="6300"/>
              </w:tabs>
              <w:spacing w:line="320" w:lineRule="exact"/>
              <w:ind w:firstLine="200"/>
              <w:jc w:val="center"/>
              <w:rPr>
                <w:color w:val="auto"/>
                <w:szCs w:val="21"/>
                <w:highlight w:val="none"/>
              </w:rPr>
            </w:pPr>
          </w:p>
        </w:tc>
        <w:tc>
          <w:tcPr>
            <w:tcW w:w="993" w:type="dxa"/>
            <w:vAlign w:val="center"/>
          </w:tcPr>
          <w:p w14:paraId="555AE276">
            <w:pPr>
              <w:tabs>
                <w:tab w:val="left" w:leader="underscore" w:pos="6300"/>
              </w:tabs>
              <w:spacing w:line="320" w:lineRule="exact"/>
              <w:ind w:firstLine="200"/>
              <w:jc w:val="center"/>
              <w:rPr>
                <w:color w:val="auto"/>
                <w:szCs w:val="21"/>
                <w:highlight w:val="none"/>
              </w:rPr>
            </w:pPr>
          </w:p>
        </w:tc>
        <w:tc>
          <w:tcPr>
            <w:tcW w:w="2298" w:type="dxa"/>
            <w:vAlign w:val="center"/>
          </w:tcPr>
          <w:p w14:paraId="402B34D6">
            <w:pPr>
              <w:tabs>
                <w:tab w:val="left" w:leader="underscore" w:pos="6300"/>
              </w:tabs>
              <w:spacing w:line="320" w:lineRule="exact"/>
              <w:ind w:firstLine="200"/>
              <w:jc w:val="center"/>
              <w:rPr>
                <w:color w:val="auto"/>
                <w:szCs w:val="21"/>
                <w:highlight w:val="none"/>
              </w:rPr>
            </w:pPr>
          </w:p>
        </w:tc>
        <w:tc>
          <w:tcPr>
            <w:tcW w:w="1205" w:type="dxa"/>
            <w:vAlign w:val="center"/>
          </w:tcPr>
          <w:p w14:paraId="05FE2899">
            <w:pPr>
              <w:tabs>
                <w:tab w:val="left" w:leader="underscore" w:pos="6300"/>
              </w:tabs>
              <w:spacing w:line="320" w:lineRule="exact"/>
              <w:ind w:firstLine="200"/>
              <w:jc w:val="center"/>
              <w:rPr>
                <w:color w:val="auto"/>
                <w:szCs w:val="21"/>
                <w:highlight w:val="none"/>
              </w:rPr>
            </w:pPr>
          </w:p>
        </w:tc>
        <w:tc>
          <w:tcPr>
            <w:tcW w:w="1214" w:type="dxa"/>
            <w:vAlign w:val="center"/>
          </w:tcPr>
          <w:p w14:paraId="428EA62F">
            <w:pPr>
              <w:tabs>
                <w:tab w:val="left" w:leader="underscore" w:pos="6300"/>
              </w:tabs>
              <w:spacing w:line="320" w:lineRule="exact"/>
              <w:ind w:firstLine="200"/>
              <w:jc w:val="center"/>
              <w:rPr>
                <w:color w:val="auto"/>
                <w:szCs w:val="21"/>
                <w:highlight w:val="none"/>
              </w:rPr>
            </w:pPr>
          </w:p>
        </w:tc>
        <w:tc>
          <w:tcPr>
            <w:tcW w:w="2179" w:type="dxa"/>
            <w:vAlign w:val="center"/>
          </w:tcPr>
          <w:p w14:paraId="0B694A4C">
            <w:pPr>
              <w:tabs>
                <w:tab w:val="left" w:leader="underscore" w:pos="6300"/>
              </w:tabs>
              <w:spacing w:line="320" w:lineRule="exact"/>
              <w:ind w:firstLine="200"/>
              <w:jc w:val="center"/>
              <w:rPr>
                <w:color w:val="auto"/>
                <w:szCs w:val="21"/>
                <w:highlight w:val="none"/>
              </w:rPr>
            </w:pPr>
          </w:p>
        </w:tc>
      </w:tr>
      <w:tr w14:paraId="4BF2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45" w:type="dxa"/>
            <w:vAlign w:val="center"/>
          </w:tcPr>
          <w:p w14:paraId="65872AEB">
            <w:pPr>
              <w:tabs>
                <w:tab w:val="left" w:leader="underscore" w:pos="6300"/>
              </w:tabs>
              <w:spacing w:line="320" w:lineRule="exact"/>
              <w:ind w:firstLine="200"/>
              <w:jc w:val="center"/>
              <w:rPr>
                <w:color w:val="auto"/>
                <w:szCs w:val="21"/>
                <w:highlight w:val="none"/>
              </w:rPr>
            </w:pPr>
          </w:p>
        </w:tc>
        <w:tc>
          <w:tcPr>
            <w:tcW w:w="993" w:type="dxa"/>
            <w:vAlign w:val="center"/>
          </w:tcPr>
          <w:p w14:paraId="7C6A2BA7">
            <w:pPr>
              <w:tabs>
                <w:tab w:val="left" w:leader="underscore" w:pos="6300"/>
              </w:tabs>
              <w:spacing w:line="320" w:lineRule="exact"/>
              <w:ind w:firstLine="200"/>
              <w:jc w:val="center"/>
              <w:rPr>
                <w:color w:val="auto"/>
                <w:szCs w:val="21"/>
                <w:highlight w:val="none"/>
              </w:rPr>
            </w:pPr>
          </w:p>
        </w:tc>
        <w:tc>
          <w:tcPr>
            <w:tcW w:w="2298" w:type="dxa"/>
            <w:vAlign w:val="center"/>
          </w:tcPr>
          <w:p w14:paraId="3E1A719B">
            <w:pPr>
              <w:tabs>
                <w:tab w:val="left" w:leader="underscore" w:pos="6300"/>
              </w:tabs>
              <w:spacing w:line="320" w:lineRule="exact"/>
              <w:ind w:firstLine="200"/>
              <w:jc w:val="center"/>
              <w:rPr>
                <w:color w:val="auto"/>
                <w:szCs w:val="21"/>
                <w:highlight w:val="none"/>
              </w:rPr>
            </w:pPr>
          </w:p>
        </w:tc>
        <w:tc>
          <w:tcPr>
            <w:tcW w:w="1205" w:type="dxa"/>
            <w:vAlign w:val="center"/>
          </w:tcPr>
          <w:p w14:paraId="030828DF">
            <w:pPr>
              <w:tabs>
                <w:tab w:val="left" w:leader="underscore" w:pos="6300"/>
              </w:tabs>
              <w:spacing w:line="320" w:lineRule="exact"/>
              <w:ind w:firstLine="200"/>
              <w:jc w:val="center"/>
              <w:rPr>
                <w:color w:val="auto"/>
                <w:szCs w:val="21"/>
                <w:highlight w:val="none"/>
              </w:rPr>
            </w:pPr>
          </w:p>
        </w:tc>
        <w:tc>
          <w:tcPr>
            <w:tcW w:w="1214" w:type="dxa"/>
            <w:vAlign w:val="center"/>
          </w:tcPr>
          <w:p w14:paraId="77122F1E">
            <w:pPr>
              <w:tabs>
                <w:tab w:val="left" w:leader="underscore" w:pos="6300"/>
              </w:tabs>
              <w:spacing w:line="320" w:lineRule="exact"/>
              <w:ind w:firstLine="200"/>
              <w:jc w:val="center"/>
              <w:rPr>
                <w:color w:val="auto"/>
                <w:szCs w:val="21"/>
                <w:highlight w:val="none"/>
              </w:rPr>
            </w:pPr>
          </w:p>
        </w:tc>
        <w:tc>
          <w:tcPr>
            <w:tcW w:w="2179" w:type="dxa"/>
            <w:vAlign w:val="center"/>
          </w:tcPr>
          <w:p w14:paraId="7F01DD36">
            <w:pPr>
              <w:tabs>
                <w:tab w:val="left" w:leader="underscore" w:pos="6300"/>
              </w:tabs>
              <w:spacing w:line="320" w:lineRule="exact"/>
              <w:ind w:firstLine="200"/>
              <w:jc w:val="center"/>
              <w:rPr>
                <w:color w:val="auto"/>
                <w:szCs w:val="21"/>
                <w:highlight w:val="none"/>
              </w:rPr>
            </w:pPr>
          </w:p>
        </w:tc>
      </w:tr>
      <w:tr w14:paraId="4537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845" w:type="dxa"/>
            <w:vAlign w:val="center"/>
          </w:tcPr>
          <w:p w14:paraId="0FBC797D">
            <w:pPr>
              <w:tabs>
                <w:tab w:val="left" w:leader="underscore" w:pos="6300"/>
              </w:tabs>
              <w:spacing w:line="320" w:lineRule="exact"/>
              <w:ind w:firstLine="200"/>
              <w:jc w:val="center"/>
              <w:rPr>
                <w:color w:val="auto"/>
                <w:szCs w:val="21"/>
                <w:highlight w:val="none"/>
              </w:rPr>
            </w:pPr>
          </w:p>
        </w:tc>
        <w:tc>
          <w:tcPr>
            <w:tcW w:w="993" w:type="dxa"/>
            <w:vAlign w:val="center"/>
          </w:tcPr>
          <w:p w14:paraId="312BD938">
            <w:pPr>
              <w:tabs>
                <w:tab w:val="left" w:leader="underscore" w:pos="6300"/>
              </w:tabs>
              <w:spacing w:line="320" w:lineRule="exact"/>
              <w:ind w:firstLine="200"/>
              <w:jc w:val="center"/>
              <w:rPr>
                <w:color w:val="auto"/>
                <w:szCs w:val="21"/>
                <w:highlight w:val="none"/>
              </w:rPr>
            </w:pPr>
          </w:p>
        </w:tc>
        <w:tc>
          <w:tcPr>
            <w:tcW w:w="2298" w:type="dxa"/>
            <w:vAlign w:val="center"/>
          </w:tcPr>
          <w:p w14:paraId="6F803F97">
            <w:pPr>
              <w:tabs>
                <w:tab w:val="left" w:leader="underscore" w:pos="6300"/>
              </w:tabs>
              <w:spacing w:line="320" w:lineRule="exact"/>
              <w:ind w:firstLine="200"/>
              <w:jc w:val="center"/>
              <w:rPr>
                <w:color w:val="auto"/>
                <w:szCs w:val="21"/>
                <w:highlight w:val="none"/>
              </w:rPr>
            </w:pPr>
          </w:p>
        </w:tc>
        <w:tc>
          <w:tcPr>
            <w:tcW w:w="1205" w:type="dxa"/>
            <w:vAlign w:val="center"/>
          </w:tcPr>
          <w:p w14:paraId="6ED7B92E">
            <w:pPr>
              <w:tabs>
                <w:tab w:val="left" w:leader="underscore" w:pos="6300"/>
              </w:tabs>
              <w:spacing w:line="320" w:lineRule="exact"/>
              <w:ind w:firstLine="200"/>
              <w:jc w:val="center"/>
              <w:rPr>
                <w:color w:val="auto"/>
                <w:szCs w:val="21"/>
                <w:highlight w:val="none"/>
              </w:rPr>
            </w:pPr>
          </w:p>
        </w:tc>
        <w:tc>
          <w:tcPr>
            <w:tcW w:w="1214" w:type="dxa"/>
            <w:vAlign w:val="center"/>
          </w:tcPr>
          <w:p w14:paraId="6676F336">
            <w:pPr>
              <w:tabs>
                <w:tab w:val="left" w:leader="underscore" w:pos="6300"/>
              </w:tabs>
              <w:spacing w:line="320" w:lineRule="exact"/>
              <w:ind w:firstLine="200"/>
              <w:jc w:val="center"/>
              <w:rPr>
                <w:color w:val="auto"/>
                <w:szCs w:val="21"/>
                <w:highlight w:val="none"/>
              </w:rPr>
            </w:pPr>
          </w:p>
        </w:tc>
        <w:tc>
          <w:tcPr>
            <w:tcW w:w="2179" w:type="dxa"/>
            <w:vAlign w:val="center"/>
          </w:tcPr>
          <w:p w14:paraId="5820AF2B">
            <w:pPr>
              <w:tabs>
                <w:tab w:val="left" w:leader="underscore" w:pos="6300"/>
              </w:tabs>
              <w:spacing w:line="320" w:lineRule="exact"/>
              <w:ind w:firstLine="200"/>
              <w:jc w:val="center"/>
              <w:rPr>
                <w:color w:val="auto"/>
                <w:szCs w:val="21"/>
                <w:highlight w:val="none"/>
              </w:rPr>
            </w:pPr>
          </w:p>
        </w:tc>
      </w:tr>
      <w:tr w14:paraId="56D9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2" w:hRule="atLeast"/>
          <w:jc w:val="center"/>
        </w:trPr>
        <w:tc>
          <w:tcPr>
            <w:tcW w:w="845" w:type="dxa"/>
            <w:vAlign w:val="center"/>
          </w:tcPr>
          <w:p w14:paraId="74816293">
            <w:pPr>
              <w:tabs>
                <w:tab w:val="left" w:leader="underscore" w:pos="6300"/>
              </w:tabs>
              <w:spacing w:line="320" w:lineRule="exact"/>
              <w:ind w:firstLine="200"/>
              <w:jc w:val="center"/>
              <w:rPr>
                <w:color w:val="auto"/>
                <w:szCs w:val="21"/>
                <w:highlight w:val="none"/>
              </w:rPr>
            </w:pPr>
          </w:p>
        </w:tc>
        <w:tc>
          <w:tcPr>
            <w:tcW w:w="993" w:type="dxa"/>
            <w:vAlign w:val="center"/>
          </w:tcPr>
          <w:p w14:paraId="429030BD">
            <w:pPr>
              <w:tabs>
                <w:tab w:val="left" w:leader="underscore" w:pos="6300"/>
              </w:tabs>
              <w:spacing w:line="320" w:lineRule="exact"/>
              <w:ind w:firstLine="200"/>
              <w:jc w:val="center"/>
              <w:rPr>
                <w:color w:val="auto"/>
                <w:szCs w:val="21"/>
                <w:highlight w:val="none"/>
              </w:rPr>
            </w:pPr>
          </w:p>
        </w:tc>
        <w:tc>
          <w:tcPr>
            <w:tcW w:w="2298" w:type="dxa"/>
            <w:vAlign w:val="center"/>
          </w:tcPr>
          <w:p w14:paraId="038123B7">
            <w:pPr>
              <w:tabs>
                <w:tab w:val="left" w:leader="underscore" w:pos="6300"/>
              </w:tabs>
              <w:spacing w:line="320" w:lineRule="exact"/>
              <w:ind w:firstLine="200"/>
              <w:jc w:val="center"/>
              <w:rPr>
                <w:color w:val="auto"/>
                <w:szCs w:val="21"/>
                <w:highlight w:val="none"/>
              </w:rPr>
            </w:pPr>
          </w:p>
        </w:tc>
        <w:tc>
          <w:tcPr>
            <w:tcW w:w="1205" w:type="dxa"/>
            <w:vAlign w:val="center"/>
          </w:tcPr>
          <w:p w14:paraId="386C31EE">
            <w:pPr>
              <w:tabs>
                <w:tab w:val="left" w:leader="underscore" w:pos="6300"/>
              </w:tabs>
              <w:spacing w:line="320" w:lineRule="exact"/>
              <w:ind w:firstLine="200"/>
              <w:jc w:val="center"/>
              <w:rPr>
                <w:color w:val="auto"/>
                <w:szCs w:val="21"/>
                <w:highlight w:val="none"/>
              </w:rPr>
            </w:pPr>
          </w:p>
        </w:tc>
        <w:tc>
          <w:tcPr>
            <w:tcW w:w="1214" w:type="dxa"/>
            <w:vAlign w:val="center"/>
          </w:tcPr>
          <w:p w14:paraId="1FEF64E7">
            <w:pPr>
              <w:tabs>
                <w:tab w:val="left" w:leader="underscore" w:pos="6300"/>
              </w:tabs>
              <w:spacing w:line="320" w:lineRule="exact"/>
              <w:ind w:firstLine="200"/>
              <w:jc w:val="center"/>
              <w:rPr>
                <w:color w:val="auto"/>
                <w:szCs w:val="21"/>
                <w:highlight w:val="none"/>
              </w:rPr>
            </w:pPr>
          </w:p>
        </w:tc>
        <w:tc>
          <w:tcPr>
            <w:tcW w:w="2179" w:type="dxa"/>
            <w:vAlign w:val="center"/>
          </w:tcPr>
          <w:p w14:paraId="02ECBC7B">
            <w:pPr>
              <w:tabs>
                <w:tab w:val="left" w:leader="underscore" w:pos="6300"/>
              </w:tabs>
              <w:spacing w:line="320" w:lineRule="exact"/>
              <w:ind w:firstLine="200"/>
              <w:jc w:val="center"/>
              <w:rPr>
                <w:color w:val="auto"/>
                <w:szCs w:val="21"/>
                <w:highlight w:val="none"/>
              </w:rPr>
            </w:pPr>
          </w:p>
        </w:tc>
      </w:tr>
      <w:tr w14:paraId="3999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vAlign w:val="center"/>
          </w:tcPr>
          <w:p w14:paraId="398D82E2">
            <w:pPr>
              <w:tabs>
                <w:tab w:val="left" w:leader="underscore" w:pos="6300"/>
              </w:tabs>
              <w:spacing w:line="320" w:lineRule="exact"/>
              <w:ind w:firstLine="200"/>
              <w:jc w:val="center"/>
              <w:rPr>
                <w:color w:val="auto"/>
                <w:szCs w:val="21"/>
                <w:highlight w:val="none"/>
              </w:rPr>
            </w:pPr>
          </w:p>
        </w:tc>
        <w:tc>
          <w:tcPr>
            <w:tcW w:w="993" w:type="dxa"/>
            <w:vAlign w:val="center"/>
          </w:tcPr>
          <w:p w14:paraId="61F2A973">
            <w:pPr>
              <w:tabs>
                <w:tab w:val="left" w:leader="underscore" w:pos="6300"/>
              </w:tabs>
              <w:spacing w:line="320" w:lineRule="exact"/>
              <w:ind w:firstLine="200"/>
              <w:jc w:val="center"/>
              <w:rPr>
                <w:color w:val="auto"/>
                <w:szCs w:val="21"/>
                <w:highlight w:val="none"/>
              </w:rPr>
            </w:pPr>
          </w:p>
        </w:tc>
        <w:tc>
          <w:tcPr>
            <w:tcW w:w="2298" w:type="dxa"/>
            <w:vAlign w:val="center"/>
          </w:tcPr>
          <w:p w14:paraId="6EEEE115">
            <w:pPr>
              <w:tabs>
                <w:tab w:val="left" w:leader="underscore" w:pos="6300"/>
              </w:tabs>
              <w:spacing w:line="320" w:lineRule="exact"/>
              <w:ind w:firstLine="200"/>
              <w:jc w:val="center"/>
              <w:rPr>
                <w:color w:val="auto"/>
                <w:szCs w:val="21"/>
                <w:highlight w:val="none"/>
              </w:rPr>
            </w:pPr>
          </w:p>
        </w:tc>
        <w:tc>
          <w:tcPr>
            <w:tcW w:w="1205" w:type="dxa"/>
            <w:vAlign w:val="center"/>
          </w:tcPr>
          <w:p w14:paraId="3433D4D3">
            <w:pPr>
              <w:tabs>
                <w:tab w:val="left" w:leader="underscore" w:pos="6300"/>
              </w:tabs>
              <w:spacing w:line="320" w:lineRule="exact"/>
              <w:ind w:firstLine="200"/>
              <w:jc w:val="center"/>
              <w:rPr>
                <w:color w:val="auto"/>
                <w:szCs w:val="21"/>
                <w:highlight w:val="none"/>
              </w:rPr>
            </w:pPr>
          </w:p>
        </w:tc>
        <w:tc>
          <w:tcPr>
            <w:tcW w:w="1214" w:type="dxa"/>
            <w:vAlign w:val="center"/>
          </w:tcPr>
          <w:p w14:paraId="0F171F7A">
            <w:pPr>
              <w:tabs>
                <w:tab w:val="left" w:leader="underscore" w:pos="6300"/>
              </w:tabs>
              <w:spacing w:line="320" w:lineRule="exact"/>
              <w:ind w:firstLine="200"/>
              <w:jc w:val="center"/>
              <w:rPr>
                <w:color w:val="auto"/>
                <w:szCs w:val="21"/>
                <w:highlight w:val="none"/>
              </w:rPr>
            </w:pPr>
          </w:p>
        </w:tc>
        <w:tc>
          <w:tcPr>
            <w:tcW w:w="2179" w:type="dxa"/>
            <w:vAlign w:val="center"/>
          </w:tcPr>
          <w:p w14:paraId="2A376935">
            <w:pPr>
              <w:tabs>
                <w:tab w:val="left" w:leader="underscore" w:pos="6300"/>
              </w:tabs>
              <w:spacing w:line="320" w:lineRule="exact"/>
              <w:ind w:firstLine="200"/>
              <w:jc w:val="center"/>
              <w:rPr>
                <w:color w:val="auto"/>
                <w:szCs w:val="21"/>
                <w:highlight w:val="none"/>
              </w:rPr>
            </w:pPr>
          </w:p>
        </w:tc>
      </w:tr>
      <w:tr w14:paraId="5F8F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845" w:type="dxa"/>
            <w:vAlign w:val="center"/>
          </w:tcPr>
          <w:p w14:paraId="1C53260A">
            <w:pPr>
              <w:tabs>
                <w:tab w:val="left" w:leader="underscore" w:pos="6300"/>
              </w:tabs>
              <w:spacing w:line="320" w:lineRule="exact"/>
              <w:ind w:firstLine="200"/>
              <w:jc w:val="center"/>
              <w:rPr>
                <w:color w:val="auto"/>
                <w:szCs w:val="21"/>
                <w:highlight w:val="none"/>
              </w:rPr>
            </w:pPr>
          </w:p>
        </w:tc>
        <w:tc>
          <w:tcPr>
            <w:tcW w:w="993" w:type="dxa"/>
            <w:vAlign w:val="center"/>
          </w:tcPr>
          <w:p w14:paraId="7DAC77B8">
            <w:pPr>
              <w:tabs>
                <w:tab w:val="left" w:leader="underscore" w:pos="6300"/>
              </w:tabs>
              <w:spacing w:line="320" w:lineRule="exact"/>
              <w:ind w:firstLine="200"/>
              <w:jc w:val="center"/>
              <w:rPr>
                <w:color w:val="auto"/>
                <w:szCs w:val="21"/>
                <w:highlight w:val="none"/>
              </w:rPr>
            </w:pPr>
          </w:p>
        </w:tc>
        <w:tc>
          <w:tcPr>
            <w:tcW w:w="2298" w:type="dxa"/>
            <w:vAlign w:val="center"/>
          </w:tcPr>
          <w:p w14:paraId="4EBDEB14">
            <w:pPr>
              <w:tabs>
                <w:tab w:val="left" w:leader="underscore" w:pos="6300"/>
              </w:tabs>
              <w:spacing w:line="320" w:lineRule="exact"/>
              <w:ind w:firstLine="200"/>
              <w:jc w:val="center"/>
              <w:rPr>
                <w:color w:val="auto"/>
                <w:szCs w:val="21"/>
                <w:highlight w:val="none"/>
              </w:rPr>
            </w:pPr>
          </w:p>
        </w:tc>
        <w:tc>
          <w:tcPr>
            <w:tcW w:w="1205" w:type="dxa"/>
            <w:vAlign w:val="center"/>
          </w:tcPr>
          <w:p w14:paraId="22C3635C">
            <w:pPr>
              <w:tabs>
                <w:tab w:val="left" w:leader="underscore" w:pos="6300"/>
              </w:tabs>
              <w:spacing w:line="320" w:lineRule="exact"/>
              <w:ind w:firstLine="200"/>
              <w:jc w:val="center"/>
              <w:rPr>
                <w:color w:val="auto"/>
                <w:szCs w:val="21"/>
                <w:highlight w:val="none"/>
              </w:rPr>
            </w:pPr>
          </w:p>
        </w:tc>
        <w:tc>
          <w:tcPr>
            <w:tcW w:w="1214" w:type="dxa"/>
            <w:vAlign w:val="center"/>
          </w:tcPr>
          <w:p w14:paraId="7E04DA8A">
            <w:pPr>
              <w:tabs>
                <w:tab w:val="left" w:leader="underscore" w:pos="6300"/>
              </w:tabs>
              <w:spacing w:line="320" w:lineRule="exact"/>
              <w:ind w:firstLine="200"/>
              <w:jc w:val="center"/>
              <w:rPr>
                <w:color w:val="auto"/>
                <w:szCs w:val="21"/>
                <w:highlight w:val="none"/>
              </w:rPr>
            </w:pPr>
          </w:p>
        </w:tc>
        <w:tc>
          <w:tcPr>
            <w:tcW w:w="2179" w:type="dxa"/>
            <w:vAlign w:val="center"/>
          </w:tcPr>
          <w:p w14:paraId="5DC18338">
            <w:pPr>
              <w:tabs>
                <w:tab w:val="left" w:leader="underscore" w:pos="6300"/>
              </w:tabs>
              <w:spacing w:line="320" w:lineRule="exact"/>
              <w:ind w:firstLine="200"/>
              <w:jc w:val="center"/>
              <w:rPr>
                <w:color w:val="auto"/>
                <w:szCs w:val="21"/>
                <w:highlight w:val="none"/>
              </w:rPr>
            </w:pPr>
          </w:p>
        </w:tc>
      </w:tr>
      <w:tr w14:paraId="5138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845" w:type="dxa"/>
            <w:vAlign w:val="center"/>
          </w:tcPr>
          <w:p w14:paraId="27679231">
            <w:pPr>
              <w:tabs>
                <w:tab w:val="left" w:leader="underscore" w:pos="6300"/>
              </w:tabs>
              <w:spacing w:line="320" w:lineRule="exact"/>
              <w:ind w:firstLine="200"/>
              <w:jc w:val="center"/>
              <w:rPr>
                <w:color w:val="auto"/>
                <w:szCs w:val="21"/>
                <w:highlight w:val="none"/>
              </w:rPr>
            </w:pPr>
          </w:p>
        </w:tc>
        <w:tc>
          <w:tcPr>
            <w:tcW w:w="993" w:type="dxa"/>
            <w:vAlign w:val="center"/>
          </w:tcPr>
          <w:p w14:paraId="1757EE9E">
            <w:pPr>
              <w:tabs>
                <w:tab w:val="left" w:leader="underscore" w:pos="6300"/>
              </w:tabs>
              <w:spacing w:line="320" w:lineRule="exact"/>
              <w:ind w:firstLine="200"/>
              <w:jc w:val="center"/>
              <w:rPr>
                <w:color w:val="auto"/>
                <w:szCs w:val="21"/>
                <w:highlight w:val="none"/>
              </w:rPr>
            </w:pPr>
          </w:p>
        </w:tc>
        <w:tc>
          <w:tcPr>
            <w:tcW w:w="2298" w:type="dxa"/>
            <w:vAlign w:val="center"/>
          </w:tcPr>
          <w:p w14:paraId="3F93AC8D">
            <w:pPr>
              <w:tabs>
                <w:tab w:val="left" w:leader="underscore" w:pos="6300"/>
              </w:tabs>
              <w:spacing w:line="320" w:lineRule="exact"/>
              <w:ind w:firstLine="200"/>
              <w:jc w:val="center"/>
              <w:rPr>
                <w:color w:val="auto"/>
                <w:szCs w:val="21"/>
                <w:highlight w:val="none"/>
              </w:rPr>
            </w:pPr>
          </w:p>
        </w:tc>
        <w:tc>
          <w:tcPr>
            <w:tcW w:w="1205" w:type="dxa"/>
            <w:vAlign w:val="center"/>
          </w:tcPr>
          <w:p w14:paraId="3AFC4DFF">
            <w:pPr>
              <w:tabs>
                <w:tab w:val="left" w:leader="underscore" w:pos="6300"/>
              </w:tabs>
              <w:spacing w:line="320" w:lineRule="exact"/>
              <w:ind w:firstLine="200"/>
              <w:jc w:val="center"/>
              <w:rPr>
                <w:color w:val="auto"/>
                <w:szCs w:val="21"/>
                <w:highlight w:val="none"/>
              </w:rPr>
            </w:pPr>
          </w:p>
        </w:tc>
        <w:tc>
          <w:tcPr>
            <w:tcW w:w="1214" w:type="dxa"/>
            <w:vAlign w:val="center"/>
          </w:tcPr>
          <w:p w14:paraId="72370D1E">
            <w:pPr>
              <w:tabs>
                <w:tab w:val="left" w:leader="underscore" w:pos="6300"/>
              </w:tabs>
              <w:spacing w:line="320" w:lineRule="exact"/>
              <w:ind w:firstLine="200"/>
              <w:jc w:val="center"/>
              <w:rPr>
                <w:color w:val="auto"/>
                <w:szCs w:val="21"/>
                <w:highlight w:val="none"/>
              </w:rPr>
            </w:pPr>
          </w:p>
        </w:tc>
        <w:tc>
          <w:tcPr>
            <w:tcW w:w="2179" w:type="dxa"/>
            <w:vAlign w:val="center"/>
          </w:tcPr>
          <w:p w14:paraId="4C4C55EE">
            <w:pPr>
              <w:tabs>
                <w:tab w:val="left" w:leader="underscore" w:pos="6300"/>
              </w:tabs>
              <w:spacing w:line="320" w:lineRule="exact"/>
              <w:ind w:firstLine="200"/>
              <w:jc w:val="center"/>
              <w:rPr>
                <w:color w:val="auto"/>
                <w:szCs w:val="21"/>
                <w:highlight w:val="none"/>
              </w:rPr>
            </w:pPr>
          </w:p>
        </w:tc>
      </w:tr>
      <w:tr w14:paraId="6C18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845" w:type="dxa"/>
            <w:vAlign w:val="center"/>
          </w:tcPr>
          <w:p w14:paraId="437C2D02">
            <w:pPr>
              <w:tabs>
                <w:tab w:val="left" w:leader="underscore" w:pos="6300"/>
              </w:tabs>
              <w:spacing w:line="320" w:lineRule="exact"/>
              <w:ind w:firstLine="200"/>
              <w:jc w:val="center"/>
              <w:rPr>
                <w:color w:val="auto"/>
                <w:szCs w:val="21"/>
                <w:highlight w:val="none"/>
              </w:rPr>
            </w:pPr>
          </w:p>
        </w:tc>
        <w:tc>
          <w:tcPr>
            <w:tcW w:w="993" w:type="dxa"/>
            <w:vAlign w:val="center"/>
          </w:tcPr>
          <w:p w14:paraId="531AC3D6">
            <w:pPr>
              <w:tabs>
                <w:tab w:val="left" w:leader="underscore" w:pos="6300"/>
              </w:tabs>
              <w:spacing w:line="320" w:lineRule="exact"/>
              <w:ind w:firstLine="200"/>
              <w:jc w:val="center"/>
              <w:rPr>
                <w:color w:val="auto"/>
                <w:szCs w:val="21"/>
                <w:highlight w:val="none"/>
              </w:rPr>
            </w:pPr>
          </w:p>
        </w:tc>
        <w:tc>
          <w:tcPr>
            <w:tcW w:w="2298" w:type="dxa"/>
            <w:vAlign w:val="center"/>
          </w:tcPr>
          <w:p w14:paraId="00EFBEBE">
            <w:pPr>
              <w:tabs>
                <w:tab w:val="left" w:leader="underscore" w:pos="6300"/>
              </w:tabs>
              <w:spacing w:line="320" w:lineRule="exact"/>
              <w:ind w:firstLine="200"/>
              <w:jc w:val="center"/>
              <w:rPr>
                <w:color w:val="auto"/>
                <w:szCs w:val="21"/>
                <w:highlight w:val="none"/>
              </w:rPr>
            </w:pPr>
          </w:p>
        </w:tc>
        <w:tc>
          <w:tcPr>
            <w:tcW w:w="1205" w:type="dxa"/>
            <w:vAlign w:val="center"/>
          </w:tcPr>
          <w:p w14:paraId="4D58B0E7">
            <w:pPr>
              <w:tabs>
                <w:tab w:val="left" w:leader="underscore" w:pos="6300"/>
              </w:tabs>
              <w:spacing w:line="320" w:lineRule="exact"/>
              <w:ind w:firstLine="200"/>
              <w:jc w:val="center"/>
              <w:rPr>
                <w:color w:val="auto"/>
                <w:szCs w:val="21"/>
                <w:highlight w:val="none"/>
              </w:rPr>
            </w:pPr>
          </w:p>
        </w:tc>
        <w:tc>
          <w:tcPr>
            <w:tcW w:w="1214" w:type="dxa"/>
            <w:vAlign w:val="center"/>
          </w:tcPr>
          <w:p w14:paraId="4160239C">
            <w:pPr>
              <w:tabs>
                <w:tab w:val="left" w:leader="underscore" w:pos="6300"/>
              </w:tabs>
              <w:spacing w:line="320" w:lineRule="exact"/>
              <w:ind w:firstLine="200"/>
              <w:jc w:val="center"/>
              <w:rPr>
                <w:color w:val="auto"/>
                <w:szCs w:val="21"/>
                <w:highlight w:val="none"/>
              </w:rPr>
            </w:pPr>
          </w:p>
        </w:tc>
        <w:tc>
          <w:tcPr>
            <w:tcW w:w="2179" w:type="dxa"/>
            <w:vAlign w:val="center"/>
          </w:tcPr>
          <w:p w14:paraId="5A36C8BE">
            <w:pPr>
              <w:tabs>
                <w:tab w:val="left" w:leader="underscore" w:pos="6300"/>
              </w:tabs>
              <w:spacing w:line="320" w:lineRule="exact"/>
              <w:ind w:firstLine="200"/>
              <w:jc w:val="center"/>
              <w:rPr>
                <w:color w:val="auto"/>
                <w:szCs w:val="21"/>
                <w:highlight w:val="none"/>
              </w:rPr>
            </w:pPr>
          </w:p>
        </w:tc>
      </w:tr>
      <w:tr w14:paraId="10E2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845" w:type="dxa"/>
            <w:vAlign w:val="center"/>
          </w:tcPr>
          <w:p w14:paraId="6B27CE01">
            <w:pPr>
              <w:tabs>
                <w:tab w:val="left" w:leader="underscore" w:pos="6300"/>
              </w:tabs>
              <w:spacing w:line="320" w:lineRule="exact"/>
              <w:ind w:firstLine="200"/>
              <w:jc w:val="center"/>
              <w:rPr>
                <w:color w:val="auto"/>
                <w:szCs w:val="21"/>
                <w:highlight w:val="none"/>
              </w:rPr>
            </w:pPr>
          </w:p>
        </w:tc>
        <w:tc>
          <w:tcPr>
            <w:tcW w:w="993" w:type="dxa"/>
            <w:vAlign w:val="center"/>
          </w:tcPr>
          <w:p w14:paraId="12EED1D2">
            <w:pPr>
              <w:tabs>
                <w:tab w:val="left" w:leader="underscore" w:pos="6300"/>
              </w:tabs>
              <w:spacing w:line="320" w:lineRule="exact"/>
              <w:ind w:firstLine="200"/>
              <w:jc w:val="center"/>
              <w:rPr>
                <w:color w:val="auto"/>
                <w:szCs w:val="21"/>
                <w:highlight w:val="none"/>
              </w:rPr>
            </w:pPr>
          </w:p>
        </w:tc>
        <w:tc>
          <w:tcPr>
            <w:tcW w:w="2298" w:type="dxa"/>
            <w:vAlign w:val="center"/>
          </w:tcPr>
          <w:p w14:paraId="27B6F626">
            <w:pPr>
              <w:tabs>
                <w:tab w:val="left" w:leader="underscore" w:pos="6300"/>
              </w:tabs>
              <w:spacing w:line="320" w:lineRule="exact"/>
              <w:ind w:firstLine="200"/>
              <w:jc w:val="center"/>
              <w:rPr>
                <w:color w:val="auto"/>
                <w:szCs w:val="21"/>
                <w:highlight w:val="none"/>
              </w:rPr>
            </w:pPr>
          </w:p>
        </w:tc>
        <w:tc>
          <w:tcPr>
            <w:tcW w:w="1205" w:type="dxa"/>
            <w:vAlign w:val="center"/>
          </w:tcPr>
          <w:p w14:paraId="7E3BBBEF">
            <w:pPr>
              <w:tabs>
                <w:tab w:val="left" w:leader="underscore" w:pos="6300"/>
              </w:tabs>
              <w:spacing w:line="320" w:lineRule="exact"/>
              <w:ind w:firstLine="200"/>
              <w:jc w:val="center"/>
              <w:rPr>
                <w:color w:val="auto"/>
                <w:szCs w:val="21"/>
                <w:highlight w:val="none"/>
              </w:rPr>
            </w:pPr>
          </w:p>
        </w:tc>
        <w:tc>
          <w:tcPr>
            <w:tcW w:w="1214" w:type="dxa"/>
            <w:vAlign w:val="center"/>
          </w:tcPr>
          <w:p w14:paraId="62C66C7B">
            <w:pPr>
              <w:tabs>
                <w:tab w:val="left" w:leader="underscore" w:pos="6300"/>
              </w:tabs>
              <w:spacing w:line="320" w:lineRule="exact"/>
              <w:ind w:firstLine="200"/>
              <w:jc w:val="center"/>
              <w:rPr>
                <w:color w:val="auto"/>
                <w:szCs w:val="21"/>
                <w:highlight w:val="none"/>
              </w:rPr>
            </w:pPr>
          </w:p>
        </w:tc>
        <w:tc>
          <w:tcPr>
            <w:tcW w:w="2179" w:type="dxa"/>
            <w:vAlign w:val="center"/>
          </w:tcPr>
          <w:p w14:paraId="1D5F53AF">
            <w:pPr>
              <w:tabs>
                <w:tab w:val="left" w:leader="underscore" w:pos="6300"/>
              </w:tabs>
              <w:spacing w:line="320" w:lineRule="exact"/>
              <w:ind w:firstLine="200"/>
              <w:jc w:val="center"/>
              <w:rPr>
                <w:color w:val="auto"/>
                <w:szCs w:val="21"/>
                <w:highlight w:val="none"/>
              </w:rPr>
            </w:pPr>
          </w:p>
        </w:tc>
      </w:tr>
    </w:tbl>
    <w:p w14:paraId="6425E543">
      <w:pPr>
        <w:widowControl/>
        <w:tabs>
          <w:tab w:val="left" w:leader="underscore" w:pos="6300"/>
        </w:tabs>
        <w:adjustRightInd w:val="0"/>
        <w:snapToGrid w:val="0"/>
        <w:spacing w:afterLines="50" w:line="360" w:lineRule="auto"/>
        <w:ind w:firstLine="480" w:firstLineChars="200"/>
        <w:rPr>
          <w:rFonts w:ascii="宋体" w:hAnsi="宋体"/>
          <w:color w:val="auto"/>
          <w:kern w:val="0"/>
          <w:sz w:val="24"/>
          <w:szCs w:val="20"/>
          <w:highlight w:val="none"/>
        </w:rPr>
      </w:pPr>
    </w:p>
    <w:p w14:paraId="5091A514">
      <w:pPr>
        <w:widowControl/>
        <w:tabs>
          <w:tab w:val="left" w:leader="underscore" w:pos="6300"/>
        </w:tabs>
        <w:adjustRightInd w:val="0"/>
        <w:snapToGrid w:val="0"/>
        <w:spacing w:afterLines="50" w:line="360" w:lineRule="auto"/>
        <w:ind w:firstLine="480" w:firstLineChars="200"/>
        <w:rPr>
          <w:rFonts w:ascii="宋体" w:hAnsi="宋体"/>
          <w:color w:val="auto"/>
          <w:kern w:val="0"/>
          <w:sz w:val="24"/>
          <w:szCs w:val="20"/>
          <w:highlight w:val="none"/>
        </w:rPr>
      </w:pPr>
    </w:p>
    <w:p w14:paraId="64C67D56">
      <w:pPr>
        <w:widowControl/>
        <w:tabs>
          <w:tab w:val="left" w:leader="underscore" w:pos="6300"/>
        </w:tabs>
        <w:adjustRightInd w:val="0"/>
        <w:snapToGrid w:val="0"/>
        <w:spacing w:afterLines="50" w:line="360" w:lineRule="auto"/>
        <w:ind w:firstLine="480" w:firstLineChars="200"/>
        <w:rPr>
          <w:rFonts w:ascii="宋体" w:hAnsi="宋体"/>
          <w:color w:val="auto"/>
          <w:kern w:val="0"/>
          <w:sz w:val="24"/>
          <w:szCs w:val="20"/>
          <w:highlight w:val="none"/>
        </w:rPr>
        <w:sectPr>
          <w:pgSz w:w="11906" w:h="16838"/>
          <w:pgMar w:top="1440" w:right="1800" w:bottom="1440" w:left="1800" w:header="720" w:footer="998" w:gutter="0"/>
          <w:cols w:space="720" w:num="1"/>
          <w:docGrid w:linePitch="326" w:charSpace="0"/>
        </w:sectPr>
      </w:pPr>
    </w:p>
    <w:p w14:paraId="012793F7">
      <w:pPr>
        <w:keepNext/>
        <w:keepLines/>
        <w:widowControl/>
        <w:tabs>
          <w:tab w:val="left" w:pos="1134"/>
          <w:tab w:val="left" w:leader="underscore" w:pos="6300"/>
        </w:tabs>
        <w:topLinePunct/>
        <w:adjustRightInd w:val="0"/>
        <w:snapToGrid w:val="0"/>
        <w:spacing w:afterLines="50" w:line="360" w:lineRule="auto"/>
        <w:jc w:val="center"/>
        <w:outlineLvl w:val="1"/>
        <w:rPr>
          <w:rFonts w:ascii="黑体" w:hAnsi="黑体" w:eastAsia="黑体"/>
          <w:b/>
          <w:color w:val="auto"/>
          <w:kern w:val="0"/>
          <w:sz w:val="30"/>
          <w:szCs w:val="30"/>
          <w:highlight w:val="none"/>
        </w:rPr>
      </w:pPr>
      <w:bookmarkStart w:id="919" w:name="_Toc54862357"/>
      <w:bookmarkStart w:id="920" w:name="_Toc575"/>
      <w:r>
        <w:rPr>
          <w:rFonts w:hint="eastAsia" w:ascii="黑体" w:hAnsi="黑体" w:eastAsia="黑体"/>
          <w:b/>
          <w:color w:val="auto"/>
          <w:kern w:val="0"/>
          <w:sz w:val="30"/>
          <w:szCs w:val="30"/>
          <w:highlight w:val="none"/>
        </w:rPr>
        <w:t>附件5</w:t>
      </w:r>
      <w:r>
        <w:rPr>
          <w:rFonts w:ascii="黑体" w:hAnsi="黑体" w:eastAsia="黑体"/>
          <w:b/>
          <w:color w:val="auto"/>
          <w:kern w:val="0"/>
          <w:sz w:val="30"/>
          <w:szCs w:val="30"/>
          <w:highlight w:val="none"/>
        </w:rPr>
        <w:t xml:space="preserve"> </w:t>
      </w:r>
      <w:bookmarkEnd w:id="919"/>
      <w:r>
        <w:rPr>
          <w:rFonts w:hint="eastAsia" w:ascii="黑体" w:hAnsi="黑体" w:eastAsia="黑体"/>
          <w:b/>
          <w:color w:val="auto"/>
          <w:kern w:val="0"/>
          <w:sz w:val="30"/>
          <w:szCs w:val="30"/>
          <w:highlight w:val="none"/>
        </w:rPr>
        <w:t>总承包管理配合义务</w:t>
      </w:r>
      <w:bookmarkEnd w:id="920"/>
    </w:p>
    <w:p w14:paraId="70AF8336">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总承包管理配合义务</w:t>
      </w:r>
    </w:p>
    <w:p w14:paraId="5AC3B55A">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承包人有义务对所有专业分包人、专业承包人、专业供应人、独立供应人承担实施总包管理、协调、配合、照管，具体内容如下：</w:t>
      </w:r>
    </w:p>
    <w:p w14:paraId="07A86574">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1.承包人对专业分包人、专业承包人、专业供应人、独立供应人的管理范围(包括但不限于以下)：</w:t>
      </w:r>
    </w:p>
    <w:p w14:paraId="75E84666">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根据本工程总承包合同中约定的总工期目标、质量目标、安全文明施工目标，对专业分包工程、专业承包工程及专业供应项目和独立供应项目的进度、质量、安全、文明施工进行统筹管理、协调、监督。承包人对专业分包人及专业供应人的违约承担连带责任，对专业承包人及独立供应人的违约不承担连带责任，但若因承包人未能良好履行总承包管理配合服务义务，导致专业承包人或专业承包工程或独立供应人或独立供应项目影响整个工程项目的工期目标、质量目标、安全文明施工目标，承包人仍须负责。</w:t>
      </w:r>
    </w:p>
    <w:p w14:paraId="5448C92B">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1.1承包人对专业分包人、专业承包人、专业供应人、独立供应人的管理服务（包括但不限于以下）</w:t>
      </w:r>
    </w:p>
    <w:p w14:paraId="70A42DD6">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1.1.1承包人应按专业分包工程、专业承包工程等的合同要求，创造并提供专业分包工程、专业承包工程施工及专业供应项目和独立供应项目进场较为妥切的条件。</w:t>
      </w:r>
    </w:p>
    <w:p w14:paraId="41E88EEF">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1.1.2制订整个项目工程的施工进度计划，在发包人批准后实施(发包人的批准并不免除承包人应负的责任)，并按此计划对专业分包人、专业承包人的进度及专业供应人、独立供应人的进场时间进行管控。</w:t>
      </w:r>
    </w:p>
    <w:p w14:paraId="3AA94406">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1.1.3参加专业分包工程、专业承包工程施工图纸会审、设计交底。承包人应组织专业分包人、专业承包人等核对相关的工程图纸，专业分包人、专业承包人也有责任主动校核相关图纸，否则，给发包人造成损失的，损失由承包人承担，延误的工期不予以顺延；承包人可就该费用向专业分包人、专业承包人追偿。</w:t>
      </w:r>
    </w:p>
    <w:p w14:paraId="2B7EECFD">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1.1.4承包人应有施工深化设计:为保证合理的工期及工序，施工前要综合建筑构架，对管线密集区进行管线综合平衡，绘制剖面大样图，发各专业分包人、专业承包人；参建单位须严格按照大样图施工，绝不允许单方面抢先施工或抢占施工间。</w:t>
      </w:r>
    </w:p>
    <w:p w14:paraId="239756A3">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1.1.5审查专业分包人、专业承包人的施工组织设计、施工方案、进度计划。</w:t>
      </w:r>
    </w:p>
    <w:p w14:paraId="33AF4E0B">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1.1.6负责向专业分包人、专业承包人发放发包人所发出的所有工程指令，并负责督促专业分包人、专业承包人执行。</w:t>
      </w:r>
    </w:p>
    <w:p w14:paraId="72ECC281">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1.1.7协助处理专业分包工程、专业承包工程施工过程中的技术问题。</w:t>
      </w:r>
    </w:p>
    <w:p w14:paraId="4871C947">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1.1.8负责协调施工各方的关系，管理总分包之间、承包人与专业承包人之间、专业分包人与专业承包人之间的协调配合工作，以确保工程如期顺利施工。承包人主持每周1~3次的工程例会，每月一次月计划会议和每季度一次的季计划会议。施工高峰期间，应进行每日碰头会制度，用以协调第二天作业面的矛盾。专业分包人、专业承包人应提前一周在例会上提出对道路运输、场地使用、楼面占用、大型机械吊运等要求。</w:t>
      </w:r>
    </w:p>
    <w:p w14:paraId="58B01922">
      <w:pPr>
        <w:widowControl/>
        <w:tabs>
          <w:tab w:val="left" w:leader="underscore" w:pos="6300"/>
        </w:tabs>
        <w:topLinePunct/>
        <w:adjustRightInd w:val="0"/>
        <w:snapToGrid w:val="0"/>
        <w:spacing w:line="360" w:lineRule="auto"/>
        <w:ind w:firstLine="420" w:firstLineChars="200"/>
        <w:outlineLvl w:val="4"/>
        <w:rPr>
          <w:rFonts w:ascii="宋体" w:hAnsi="宋体"/>
          <w:color w:val="auto"/>
          <w:kern w:val="0"/>
          <w:szCs w:val="21"/>
          <w:highlight w:val="none"/>
        </w:rPr>
      </w:pPr>
      <w:r>
        <w:rPr>
          <w:rFonts w:ascii="宋体" w:hAnsi="宋体"/>
          <w:color w:val="auto"/>
          <w:kern w:val="0"/>
          <w:szCs w:val="21"/>
          <w:highlight w:val="none"/>
        </w:rPr>
        <w:t>1.1.9 配合监理人在施工工程中的质量监控。</w:t>
      </w:r>
    </w:p>
    <w:p w14:paraId="243319BA">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1.1.10对专业分包工程、专业承包工程施工过程中的安全与文明施工、成品保护进行管理并负责。</w:t>
      </w:r>
    </w:p>
    <w:p w14:paraId="52D59E38">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1.1.11按有关规定为专业分包人、专业承包人、专业供应人、独立供应人的施工及供货人员、车辆办理相关进出场证件(如有需要时)。</w:t>
      </w:r>
    </w:p>
    <w:p w14:paraId="2EB34F91">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1.1.12负责整个施工场区的安全保卫工作，安排门卫、巡更值班。监督、检查专业分包人、专业承包人对现场相关管理要求的执行情况。专业分包人、专业承包人、专业供应人、独立供应人进场的工程设备和物资必须是合格的、满足本工程的相关要求。需退场或运出场外的工程材料、设备及非工程材料、物件，须由承包人开具出门证，经发、承包人检查确认，并经发包人代表及承包人项目经理签字后方可放行。承包人应建立出门登记制度。</w:t>
      </w:r>
    </w:p>
    <w:p w14:paraId="6B4B3D89">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1.1.13承包人须在每个层面设立若干灭火器，统一管理，各专业分包及专业承包建立若干兼职消防员。明确动火证制度，执行动火监护的有关规定和申报制度。</w:t>
      </w:r>
    </w:p>
    <w:p w14:paraId="63A4F8C3">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1.2承包人向专业分包人、专业承包人、专业供应人、独立供应人提供的配合服务包括但不限于：</w:t>
      </w:r>
    </w:p>
    <w:p w14:paraId="793AA917">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1.2.1承包人为专业分包人、专业承包人、专业供应人、独立供应人提供工地内现有的垂直运输机械(如塔吊、施工电梯等)，包括机械操作人员，并协助其将运至现场的货物卸至指定地点，或将其施工所用的物料吊放至作业现场。这种装卸、吊运工作可能是24小时昼夜性的。承包人须负责整个工程垂直运输机械的管理，使得总承包工程、专业分包工程、专业承包工程（包括专业供应项目和独立供应项目）互不影响。地面或楼面的水平运输由专业分包人、专业承包人等自行解决。</w:t>
      </w:r>
    </w:p>
    <w:p w14:paraId="3E19AE72">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1.2.2允许专业分包人、专业承包人等合理使用现场已有的起重机械，地面或楼面的水平运输由各专业分包人、专业承包人等自行解决。为工程设备的安装就位，若承包人现有的起重机械或者机具设备无法满足需要，而需另外制订方案的，原则上由专业分包人、专业承包人等自行解决。</w:t>
      </w:r>
    </w:p>
    <w:p w14:paraId="1D44348A">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1.2.3允许专业分包人、专业承包人合理使用现场已有的棚架、爬梯、脚手架等辅助设施，并负责统筹协调。拆除前应报监理人和发包人批准。</w:t>
      </w:r>
    </w:p>
    <w:p w14:paraId="6E0C7750">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1.2.4承包人须做好安排，以便专业分包人、专业承包人、专业供应人、独立供应人能与其共同使用现场的通道和场地，并负责向专业分包人、专业承包人提供合理的作业时间和作业空间。为专业分包人、专业承包人提供临时办公室、贮存仓库、加工棚、工具房等。</w:t>
      </w:r>
    </w:p>
    <w:p w14:paraId="76D4635C">
      <w:pPr>
        <w:widowControl/>
        <w:tabs>
          <w:tab w:val="left" w:leader="underscore" w:pos="6300"/>
        </w:tabs>
        <w:topLinePunct/>
        <w:adjustRightInd w:val="0"/>
        <w:snapToGrid w:val="0"/>
        <w:spacing w:line="360" w:lineRule="auto"/>
        <w:ind w:firstLine="420" w:firstLineChars="200"/>
        <w:outlineLvl w:val="4"/>
        <w:rPr>
          <w:rFonts w:ascii="宋体" w:hAnsi="宋体"/>
          <w:color w:val="auto"/>
          <w:kern w:val="0"/>
          <w:szCs w:val="21"/>
          <w:highlight w:val="none"/>
        </w:rPr>
      </w:pPr>
      <w:r>
        <w:rPr>
          <w:rFonts w:ascii="宋体" w:hAnsi="宋体"/>
          <w:color w:val="auto"/>
          <w:kern w:val="0"/>
          <w:szCs w:val="21"/>
          <w:highlight w:val="none"/>
        </w:rPr>
        <w:t>1.2.5为专业分包人、专业承包人提供标高、定位点线等。</w:t>
      </w:r>
    </w:p>
    <w:p w14:paraId="3E94BF9C">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1.2.6承包人应在进场前对已完成的工程及场地进行检查、接收。</w:t>
      </w:r>
    </w:p>
    <w:p w14:paraId="02EDC731">
      <w:pPr>
        <w:widowControl/>
        <w:tabs>
          <w:tab w:val="left" w:leader="underscore" w:pos="6300"/>
        </w:tabs>
        <w:topLinePunct/>
        <w:adjustRightInd w:val="0"/>
        <w:snapToGrid w:val="0"/>
        <w:spacing w:line="360" w:lineRule="auto"/>
        <w:ind w:firstLine="420" w:firstLineChars="200"/>
        <w:outlineLvl w:val="4"/>
        <w:rPr>
          <w:rFonts w:ascii="宋体" w:hAnsi="宋体"/>
          <w:color w:val="auto"/>
          <w:kern w:val="0"/>
          <w:szCs w:val="21"/>
          <w:highlight w:val="none"/>
        </w:rPr>
      </w:pPr>
      <w:r>
        <w:rPr>
          <w:rFonts w:ascii="宋体" w:hAnsi="宋体"/>
          <w:color w:val="auto"/>
          <w:kern w:val="0"/>
          <w:szCs w:val="21"/>
          <w:highlight w:val="none"/>
        </w:rPr>
        <w:t>1.2.7现场用水用电管理</w:t>
      </w:r>
    </w:p>
    <w:p w14:paraId="07B39B0A">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1.2.7.1承包人提供现存每层楼层施工电源、水源，并满足专业分包人、专业承包人所需负荷要求。</w:t>
      </w:r>
    </w:p>
    <w:p w14:paraId="17888D47">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1.2.7.2从配电箱后的管线敷设、分电箱及水阀后管线敷设由专业分包人、专业承包人自行解决。</w:t>
      </w:r>
    </w:p>
    <w:p w14:paraId="08CE4EBA">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 xml:space="preserve">1.2.7.3专业分包人、专业承包人应按承包人要求提供用水用电计划，配置必要的计量装置。 </w:t>
      </w:r>
    </w:p>
    <w:p w14:paraId="53C44AC8">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1.2.7.4专业分包人、专业承包人的施工用水用电费用根据计量的实际使用量向承包人支付，由承包人垫付给发包人。</w:t>
      </w:r>
    </w:p>
    <w:p w14:paraId="4C6EE6E0">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1.2.8承包人在各分项施工前须主动与专业分包人、专业承包人联系，专业分包人、专业承包人也需积极配合，核对清楚各专业分包工程、专业承包工程图纸与承包人图纸间相关联的尺寸、标高等数据是否统一。承包人须了解专业分包人、专业承包人在各分项工程上的特殊要求，开槽、预留孔洞、预埋套管、预埋件由承包人完成（界面划分中已明确由专业分包人、专业承包人实施的除外），并在每次隐蔽工程之前(如浇注混凝土)，请专业分包人、专业承包人配合确认。如因承包人未事先做好这项工作而导致的额外施工费用，包括返工的开凿修补费用，由承包人自行承担</w:t>
      </w:r>
      <w:r>
        <w:rPr>
          <w:rFonts w:hint="eastAsia" w:ascii="宋体" w:hAnsi="宋体"/>
          <w:color w:val="auto"/>
          <w:kern w:val="0"/>
          <w:szCs w:val="21"/>
          <w:highlight w:val="none"/>
        </w:rPr>
        <w:t>。</w:t>
      </w:r>
    </w:p>
    <w:p w14:paraId="5AF7F633">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1.2.9承包人负责在电线、电缆、管道等安设完成后对预留的孔洞、管槽进行修补、填实，并处理和完善专业分包人、专业承包人的遗留问题。对预埋套管与结构及二次结构的空隙填充，必须满足消防规范要求。承包人需对二次设计中需要新增的孔洞进行安全性、合理性、可行性的复核。对于那些因布设管道、电缆、电线而降低了结构整体强度的砖石机构，承包人须负责提供拉筋、钢丝网等材料进行加固处理。</w:t>
      </w:r>
    </w:p>
    <w:p w14:paraId="5E916ECC">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1.2.10为专业分包人、专业承包人提供现有可使用的卫生设施(如厕所)。</w:t>
      </w:r>
    </w:p>
    <w:p w14:paraId="76CF74DB">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 xml:space="preserve">1.2.11专业分包人、专业承包人负责将清理自己施工范围内的垃圾，运到承包人在现场指定的垃圾堆放点，承包人负责清运指定堆放点的垃圾；承包人设立专业作业队进行每天完工后的清场工作，如发现专业分包人、专业承包人的建筑垃圾乱放，作业面清理不到位，则承包人作业队将作业面清理后，所发生的人工费、机械费将由专业分包人、专业承包人承担。 </w:t>
      </w:r>
    </w:p>
    <w:p w14:paraId="59F2F3AC">
      <w:pPr>
        <w:widowControl/>
        <w:tabs>
          <w:tab w:val="left" w:leader="underscore" w:pos="6300"/>
        </w:tabs>
        <w:topLinePunct/>
        <w:adjustRightInd w:val="0"/>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1.2.12承包人负责整个项目工程（包括所有专业分包工程、专业承包工程）竣工资料进行整理及完善，承包人应对所有专业分包人、专业承包人报送的资料进行审核并统一整理、移交（如发包人要求，承包人应按发包人要求以施工单位的身份在专业承包人等的竣工资料上签字盖章），承包人还须督促各专业分包工程、专业承包工程的竣工图编制工作，所有工程资料必须保证其真实性和完整性，确保满足工程验收和创优的需要。</w:t>
      </w:r>
    </w:p>
    <w:p w14:paraId="653DF51B">
      <w:pPr>
        <w:widowControl/>
        <w:tabs>
          <w:tab w:val="left" w:leader="underscore" w:pos="6300"/>
        </w:tabs>
        <w:topLinePunct/>
        <w:adjustRightInd w:val="0"/>
        <w:snapToGrid w:val="0"/>
        <w:spacing w:line="360" w:lineRule="auto"/>
        <w:ind w:firstLine="420" w:firstLineChars="200"/>
        <w:outlineLvl w:val="4"/>
        <w:rPr>
          <w:color w:val="auto"/>
          <w:szCs w:val="21"/>
          <w:highlight w:val="none"/>
        </w:rPr>
      </w:pPr>
      <w:r>
        <w:rPr>
          <w:rFonts w:ascii="宋体" w:hAnsi="宋体"/>
          <w:color w:val="auto"/>
          <w:kern w:val="0"/>
          <w:szCs w:val="21"/>
          <w:highlight w:val="none"/>
        </w:rPr>
        <w:t>1.2.13其他方便专业分包工程和专业承包工程施工的工作。</w:t>
      </w:r>
    </w:p>
    <w:p w14:paraId="0E47F99D">
      <w:pPr>
        <w:tabs>
          <w:tab w:val="left" w:leader="underscore" w:pos="6300"/>
        </w:tabs>
        <w:spacing w:line="600" w:lineRule="exact"/>
        <w:rPr>
          <w:color w:val="auto"/>
          <w:sz w:val="24"/>
          <w:highlight w:val="none"/>
        </w:rPr>
        <w:sectPr>
          <w:pgSz w:w="11906" w:h="16838"/>
          <w:pgMar w:top="1440" w:right="1800" w:bottom="1440" w:left="1800" w:header="851" w:footer="992" w:gutter="0"/>
          <w:cols w:space="720" w:num="1"/>
          <w:docGrid w:type="lines" w:linePitch="312" w:charSpace="0"/>
        </w:sectPr>
      </w:pPr>
    </w:p>
    <w:p w14:paraId="15F1AF7F">
      <w:pPr>
        <w:keepNext/>
        <w:keepLines/>
        <w:spacing w:before="120" w:after="120" w:line="360" w:lineRule="auto"/>
        <w:jc w:val="left"/>
        <w:outlineLvl w:val="3"/>
        <w:rPr>
          <w:rFonts w:ascii="宋体" w:hAnsi="宋体" w:cs="宋体"/>
          <w:color w:val="auto"/>
          <w:szCs w:val="21"/>
          <w:highlight w:val="none"/>
        </w:rPr>
      </w:pPr>
      <w:bookmarkStart w:id="921" w:name="_Toc95223504"/>
      <w:r>
        <w:rPr>
          <w:rFonts w:hint="eastAsia" w:ascii="宋体" w:hAnsi="宋体" w:cs="宋体"/>
          <w:bCs/>
          <w:color w:val="auto"/>
          <w:sz w:val="24"/>
          <w:highlight w:val="none"/>
        </w:rPr>
        <w:t>附件6：</w:t>
      </w:r>
      <w:bookmarkEnd w:id="921"/>
    </w:p>
    <w:p w14:paraId="41DEF157">
      <w:pPr>
        <w:adjustRightInd w:val="0"/>
        <w:snapToGrid w:val="0"/>
        <w:spacing w:line="360" w:lineRule="auto"/>
        <w:jc w:val="center"/>
        <w:outlineLvl w:val="0"/>
        <w:rPr>
          <w:rFonts w:ascii="宋体" w:hAnsi="宋体" w:cs="宋体"/>
          <w:b/>
          <w:bCs/>
          <w:color w:val="auto"/>
          <w:sz w:val="32"/>
          <w:szCs w:val="32"/>
          <w:highlight w:val="none"/>
        </w:rPr>
      </w:pPr>
      <w:bookmarkStart w:id="922" w:name="_Toc95223505"/>
      <w:bookmarkStart w:id="923" w:name="_Toc16372"/>
      <w:bookmarkStart w:id="924" w:name="_Toc25855"/>
      <w:bookmarkStart w:id="925" w:name="_Toc16692"/>
      <w:bookmarkStart w:id="926" w:name="_Toc8655"/>
      <w:r>
        <w:rPr>
          <w:rFonts w:hint="eastAsia" w:ascii="宋体" w:hAnsi="宋体" w:cs="宋体"/>
          <w:b/>
          <w:bCs/>
          <w:color w:val="auto"/>
          <w:sz w:val="32"/>
          <w:szCs w:val="32"/>
          <w:highlight w:val="none"/>
        </w:rPr>
        <w:t>履约保函示范文本</w:t>
      </w:r>
      <w:bookmarkEnd w:id="922"/>
      <w:bookmarkEnd w:id="923"/>
      <w:bookmarkEnd w:id="924"/>
      <w:bookmarkEnd w:id="925"/>
      <w:bookmarkEnd w:id="926"/>
    </w:p>
    <w:p w14:paraId="725D6F3B">
      <w:pPr>
        <w:wordWrap w:val="0"/>
        <w:adjustRightInd w:val="0"/>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编号：           </w:t>
      </w:r>
    </w:p>
    <w:p w14:paraId="7E8C70BF">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（受益人名称）： </w:t>
      </w:r>
    </w:p>
    <w:p w14:paraId="0270A23B">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（以下简称“受益人”）与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（以下简称“申请人”）于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（标段编号）的</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（标段名称）</w:t>
      </w:r>
      <w:r>
        <w:rPr>
          <w:rFonts w:hint="eastAsia" w:ascii="宋体" w:hAnsi="宋体" w:cs="宋体"/>
          <w:color w:val="auto"/>
          <w:szCs w:val="21"/>
          <w:highlight w:val="none"/>
        </w:rPr>
        <w:t>有关事项协商一致共同签订</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1B105A83">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一、本保函担保范围：承包人未按照基础合同的约定履行义务，应当向受益人承担的违约责任和赔偿因此造成的损失、利息、律师费、诉讼费用等实现债权的费用。</w:t>
      </w:r>
    </w:p>
    <w:p w14:paraId="4A8B2B8B">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二、本保函担保金额最高不超过人民币（大写）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127C6DD">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三、本保函有效期自开立之日起至基础合同约定的缺陷责任期满之日止。 </w:t>
      </w:r>
    </w:p>
    <w:p w14:paraId="5224DACF">
      <w:pPr>
        <w:adjustRightInd w:val="0"/>
        <w:snapToGrid w:val="0"/>
        <w:spacing w:line="360" w:lineRule="exact"/>
        <w:ind w:firstLine="480"/>
        <w:rPr>
          <w:rFonts w:ascii="宋体" w:hAnsi="宋体" w:cs="宋体"/>
          <w:color w:val="auto"/>
          <w:szCs w:val="21"/>
          <w:highlight w:val="none"/>
        </w:rPr>
      </w:pPr>
      <w:bookmarkStart w:id="927" w:name="_Hlk40302764"/>
      <w:r>
        <w:rPr>
          <w:rFonts w:hint="eastAsia" w:ascii="宋体" w:hAnsi="宋体" w:cs="宋体"/>
          <w:color w:val="auto"/>
          <w:szCs w:val="21"/>
          <w:highlight w:val="none"/>
        </w:rPr>
        <w:t>四、开立人承诺，在收到受益人发来的书面付款通知后的七日内无条件支付，前述书面付款通知即为付款要求之单据，且应满足以下要求：</w:t>
      </w:r>
    </w:p>
    <w:bookmarkEnd w:id="927"/>
    <w:p w14:paraId="1B17E28C">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（1）付款通知到达的日期在本保函的有效期内；</w:t>
      </w:r>
    </w:p>
    <w:p w14:paraId="2A6986EB">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（2）载明要求支付的金额；</w:t>
      </w:r>
    </w:p>
    <w:p w14:paraId="27489ABA">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（3）载明申请人违反合同义务的条款和内容；</w:t>
      </w:r>
    </w:p>
    <w:p w14:paraId="6D88FC2F">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（4）声明不存在合同文件约定或我国法律规定免除申请人或开立人支付责任的情形；</w:t>
      </w:r>
    </w:p>
    <w:p w14:paraId="3E20AE63">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（5）付款通知应在本保函有效期内到达的地址是：</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03DD537">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w:t>
      </w:r>
      <w:bookmarkStart w:id="928" w:name="_Hlk40303486"/>
      <w:r>
        <w:rPr>
          <w:rFonts w:hint="eastAsia" w:ascii="宋体" w:hAnsi="宋体" w:cs="宋体"/>
          <w:color w:val="auto"/>
          <w:szCs w:val="21"/>
          <w:highlight w:val="none"/>
        </w:rPr>
        <w:t>受益人发出的书面付款通知应由其法定代表人（负责人）或授权代理人签字并加盖公章。</w:t>
      </w:r>
      <w:bookmarkEnd w:id="928"/>
    </w:p>
    <w:p w14:paraId="7232E109">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五、本保函项下的权利不得转让，不得设定担保。受益人未经我方书面同意转 让本保函或其项下任何权利，对我方不发生法律效力。 </w:t>
      </w:r>
    </w:p>
    <w:p w14:paraId="6812C3E0">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六、与本保函有关的基础合同不成立、不生效、无效、被撤销、被解除，不影响本保函的独立有效。 </w:t>
      </w:r>
    </w:p>
    <w:p w14:paraId="09093B9E">
      <w:pPr>
        <w:adjustRightInd w:val="0"/>
        <w:snapToGrid w:val="0"/>
        <w:spacing w:line="360" w:lineRule="exact"/>
        <w:ind w:firstLine="420" w:firstLineChars="200"/>
        <w:outlineLvl w:val="3"/>
        <w:rPr>
          <w:rFonts w:ascii="宋体" w:hAnsi="宋体" w:cs="宋体"/>
          <w:color w:val="auto"/>
          <w:szCs w:val="21"/>
          <w:highlight w:val="none"/>
        </w:rPr>
      </w:pPr>
      <w:bookmarkStart w:id="929" w:name="_Hlk40303383"/>
      <w:bookmarkStart w:id="930" w:name="_Hlk40354981"/>
      <w:r>
        <w:rPr>
          <w:rFonts w:hint="eastAsia" w:ascii="宋体" w:hAnsi="宋体" w:cs="宋体"/>
          <w:color w:val="auto"/>
          <w:szCs w:val="21"/>
          <w:highlight w:val="none"/>
        </w:rPr>
        <w:t xml:space="preserve">七、本保函项下的义务和责任均在保函有效期到期后自动消灭。 </w:t>
      </w:r>
    </w:p>
    <w:p w14:paraId="0CBE108A">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八、本保函适用的法律为中华人民共和国法律，因本保函产生的纠纷案件，</w:t>
      </w:r>
      <w:bookmarkEnd w:id="929"/>
      <w:r>
        <w:rPr>
          <w:rFonts w:hint="eastAsia" w:ascii="宋体" w:hAnsi="宋体" w:cs="宋体"/>
          <w:color w:val="auto"/>
          <w:szCs w:val="21"/>
          <w:highlight w:val="none"/>
        </w:rPr>
        <w:t xml:space="preserve">由受益人所在地人民法院管辖。 </w:t>
      </w:r>
    </w:p>
    <w:bookmarkEnd w:id="930"/>
    <w:p w14:paraId="683C659C">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九、本保函自我方法定代表人或授权代表签字并加盖公章之日起生效。 </w:t>
      </w:r>
    </w:p>
    <w:p w14:paraId="6CDDE3D9">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 立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（公章） </w:t>
      </w:r>
    </w:p>
    <w:p w14:paraId="4702EC64">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法定代表人（或授权代表）：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 </w:t>
      </w:r>
    </w:p>
    <w:p w14:paraId="01D91F12">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0A7DACE5">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5C07BA44">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14:paraId="6A7B8196">
      <w:pPr>
        <w:adjustRightInd w:val="0"/>
        <w:snapToGrid w:val="0"/>
        <w:spacing w:line="3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769947BA">
      <w:pPr>
        <w:adjustRightInd w:val="0"/>
        <w:snapToGrid w:val="0"/>
        <w:spacing w:line="360" w:lineRule="exact"/>
        <w:ind w:left="1323" w:leftChars="200" w:hanging="903" w:hangingChars="430"/>
        <w:rPr>
          <w:rFonts w:ascii="宋体" w:hAnsi="宋体" w:cs="宋体"/>
          <w:color w:val="auto"/>
          <w:szCs w:val="21"/>
          <w:highlight w:val="none"/>
        </w:rPr>
      </w:pPr>
      <w:r>
        <w:rPr>
          <w:rFonts w:hint="eastAsia" w:ascii="宋体" w:hAnsi="宋体" w:cs="宋体"/>
          <w:color w:val="auto"/>
          <w:szCs w:val="21"/>
          <w:highlight w:val="none"/>
        </w:rPr>
        <w:t>开立时间：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0041972">
      <w:pPr>
        <w:rPr>
          <w:rFonts w:ascii="宋体" w:hAnsi="宋体" w:cs="宋体"/>
          <w:bCs/>
          <w:color w:val="auto"/>
          <w:sz w:val="24"/>
          <w:highlight w:val="none"/>
        </w:rPr>
      </w:pPr>
      <w:bookmarkStart w:id="931" w:name="_Toc9234"/>
      <w:bookmarkStart w:id="932" w:name="_Toc16035"/>
      <w:bookmarkStart w:id="933" w:name="_Toc95223506"/>
      <w:bookmarkStart w:id="934" w:name="_Toc13566"/>
      <w:bookmarkStart w:id="935" w:name="_Toc95223513"/>
    </w:p>
    <w:p w14:paraId="642762CD">
      <w:pPr>
        <w:rPr>
          <w:rFonts w:ascii="宋体" w:hAnsi="宋体" w:cs="宋体"/>
          <w:bCs/>
          <w:color w:val="auto"/>
          <w:sz w:val="24"/>
          <w:highlight w:val="none"/>
        </w:rPr>
      </w:pPr>
    </w:p>
    <w:p w14:paraId="342A68B6">
      <w:pPr>
        <w:rPr>
          <w:rFonts w:ascii="宋体" w:hAnsi="宋体" w:cs="宋体"/>
          <w:bCs/>
          <w:color w:val="auto"/>
          <w:sz w:val="24"/>
          <w:highlight w:val="none"/>
        </w:rPr>
      </w:pPr>
      <w:r>
        <w:rPr>
          <w:rFonts w:hint="eastAsia" w:ascii="宋体" w:hAnsi="宋体" w:cs="宋体"/>
          <w:bCs/>
          <w:color w:val="auto"/>
          <w:sz w:val="24"/>
          <w:highlight w:val="none"/>
        </w:rPr>
        <w:t>附</w:t>
      </w:r>
      <w:bookmarkStart w:id="936" w:name="_Toc296503232"/>
      <w:bookmarkStart w:id="937" w:name="_Toc296346733"/>
      <w:bookmarkStart w:id="938" w:name="_Toc267261702"/>
      <w:bookmarkStart w:id="939" w:name="_Toc296891060"/>
      <w:bookmarkStart w:id="940" w:name="_Toc296347231"/>
      <w:bookmarkStart w:id="941" w:name="_Toc296944571"/>
      <w:bookmarkStart w:id="942" w:name="_Toc296891272"/>
      <w:r>
        <w:rPr>
          <w:rFonts w:hint="eastAsia" w:ascii="宋体" w:hAnsi="宋体" w:cs="宋体"/>
          <w:bCs/>
          <w:color w:val="auto"/>
          <w:sz w:val="24"/>
          <w:highlight w:val="none"/>
        </w:rPr>
        <w:t>件7：</w:t>
      </w:r>
      <w:bookmarkEnd w:id="931"/>
      <w:bookmarkEnd w:id="932"/>
      <w:bookmarkEnd w:id="933"/>
      <w:bookmarkEnd w:id="934"/>
    </w:p>
    <w:bookmarkEnd w:id="936"/>
    <w:bookmarkEnd w:id="937"/>
    <w:bookmarkEnd w:id="938"/>
    <w:bookmarkEnd w:id="939"/>
    <w:bookmarkEnd w:id="940"/>
    <w:bookmarkEnd w:id="941"/>
    <w:bookmarkEnd w:id="942"/>
    <w:p w14:paraId="16CDD5E7">
      <w:pPr>
        <w:adjustRightInd w:val="0"/>
        <w:snapToGrid w:val="0"/>
        <w:spacing w:line="380" w:lineRule="exact"/>
        <w:jc w:val="center"/>
        <w:outlineLvl w:val="4"/>
        <w:rPr>
          <w:rFonts w:ascii="宋体" w:hAnsi="宋体" w:cs="宋体"/>
          <w:b/>
          <w:bCs/>
          <w:color w:val="auto"/>
          <w:sz w:val="32"/>
          <w:szCs w:val="32"/>
          <w:highlight w:val="none"/>
        </w:rPr>
      </w:pPr>
      <w:bookmarkStart w:id="943" w:name="_Toc2932"/>
      <w:bookmarkStart w:id="944" w:name="_Toc95223507"/>
      <w:bookmarkStart w:id="945" w:name="_Toc4131"/>
      <w:bookmarkStart w:id="946" w:name="_Toc15322"/>
      <w:r>
        <w:rPr>
          <w:rFonts w:hint="eastAsia" w:ascii="宋体" w:hAnsi="宋体" w:cs="宋体"/>
          <w:b/>
          <w:bCs/>
          <w:color w:val="auto"/>
          <w:sz w:val="32"/>
          <w:szCs w:val="32"/>
          <w:highlight w:val="none"/>
        </w:rPr>
        <w:t>预付款保函示范文本</w:t>
      </w:r>
      <w:bookmarkEnd w:id="943"/>
      <w:bookmarkEnd w:id="944"/>
      <w:bookmarkEnd w:id="945"/>
      <w:bookmarkEnd w:id="946"/>
    </w:p>
    <w:p w14:paraId="5B21E0E7">
      <w:pPr>
        <w:wordWrap w:val="0"/>
        <w:adjustRightInd w:val="0"/>
        <w:snapToGrid w:val="0"/>
        <w:spacing w:line="380" w:lineRule="exact"/>
        <w:jc w:val="right"/>
        <w:rPr>
          <w:rFonts w:ascii="宋体" w:hAnsi="宋体" w:cs="宋体"/>
          <w:color w:val="auto"/>
          <w:szCs w:val="21"/>
          <w:highlight w:val="none"/>
        </w:rPr>
      </w:pPr>
      <w:r>
        <w:rPr>
          <w:rFonts w:hint="eastAsia" w:ascii="宋体" w:hAnsi="宋体" w:cs="宋体"/>
          <w:color w:val="auto"/>
          <w:szCs w:val="21"/>
          <w:highlight w:val="none"/>
        </w:rPr>
        <w:t xml:space="preserve">编号：           </w:t>
      </w:r>
    </w:p>
    <w:p w14:paraId="22AACEF7">
      <w:pPr>
        <w:adjustRightInd w:val="0"/>
        <w:snapToGrid w:val="0"/>
        <w:spacing w:line="380" w:lineRule="exact"/>
        <w:rPr>
          <w:rFonts w:ascii="宋体" w:hAnsi="宋体" w:cs="宋体"/>
          <w:color w:val="auto"/>
          <w:szCs w:val="21"/>
          <w:highlight w:val="none"/>
        </w:rPr>
      </w:pPr>
    </w:p>
    <w:p w14:paraId="002F377E">
      <w:pPr>
        <w:adjustRightInd w:val="0"/>
        <w:snapToGrid w:val="0"/>
        <w:spacing w:line="380" w:lineRule="exac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（受益人名称）： </w:t>
      </w:r>
    </w:p>
    <w:p w14:paraId="581901C6">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（以下简称“受益人”）与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（以下简称“申请人”）于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（标段编号）的</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（标段名称）</w:t>
      </w:r>
      <w:r>
        <w:rPr>
          <w:rFonts w:hint="eastAsia" w:ascii="宋体" w:hAnsi="宋体" w:cs="宋体"/>
          <w:color w:val="auto"/>
          <w:szCs w:val="21"/>
          <w:highlight w:val="none"/>
        </w:rPr>
        <w:t>有关事项协商一致共同签订</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8B3CEB5">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7761A888">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二、本保函担保金额最高不超过人民币（大写）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190C777">
      <w:pPr>
        <w:adjustRightInd w:val="0"/>
        <w:snapToGrid w:val="0"/>
        <w:spacing w:line="38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三、本保函有效期自开立之日起至发包人全额扣回预付款之日止。</w:t>
      </w:r>
    </w:p>
    <w:p w14:paraId="272D1A03">
      <w:pPr>
        <w:adjustRightInd w:val="0"/>
        <w:snapToGrid w:val="0"/>
        <w:spacing w:line="380" w:lineRule="exact"/>
        <w:ind w:firstLine="480"/>
        <w:rPr>
          <w:rFonts w:ascii="宋体" w:hAnsi="宋体" w:cs="宋体"/>
          <w:color w:val="auto"/>
          <w:szCs w:val="21"/>
          <w:highlight w:val="none"/>
        </w:rPr>
      </w:pPr>
      <w:r>
        <w:rPr>
          <w:rFonts w:hint="eastAsia" w:ascii="宋体" w:hAnsi="宋体" w:cs="宋体"/>
          <w:color w:val="auto"/>
          <w:szCs w:val="21"/>
          <w:highlight w:val="none"/>
        </w:rPr>
        <w:t>四、开立人承诺，在收到受益人发来的书面付款通知后的七日内无条件支付，前述书面付款通知即为付款要求之单据，且应满足以下要求：</w:t>
      </w:r>
    </w:p>
    <w:p w14:paraId="062B6D52">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（1）付款通知到达的日期在本保函的有效期内；</w:t>
      </w:r>
    </w:p>
    <w:p w14:paraId="194A9137">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（2）载明要求支付的金额；</w:t>
      </w:r>
    </w:p>
    <w:p w14:paraId="2606E0D8">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（3）载明申请人违反合同义务的条款和内容；</w:t>
      </w:r>
    </w:p>
    <w:p w14:paraId="059230E3">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（4）声明不存在合同文件约定或我国法律规定免除申请人或开立人支付责任的情形；</w:t>
      </w:r>
    </w:p>
    <w:p w14:paraId="79939990">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（5）付款通知应在本保函有效期内到达的地址是：</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87C117">
      <w:pPr>
        <w:adjustRightInd w:val="0"/>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 xml:space="preserve">    受益人发出的书面付款通知应由其法定代表人（负责人）或授权代理人签字并加盖公章。</w:t>
      </w:r>
    </w:p>
    <w:p w14:paraId="766FE783">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五、本保函项下的权利不得转让，不得设定担保。受益人未经开立人书面同意转让本保函或其项下任何权利，对开立人不发生法律效力。 </w:t>
      </w:r>
    </w:p>
    <w:p w14:paraId="046415D4">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六、本保函项下的基础交易不成立、不生效、无效、被撤销、被解除，不影响本保函的独立有效。</w:t>
      </w:r>
    </w:p>
    <w:p w14:paraId="2783EA63">
      <w:pPr>
        <w:adjustRightInd w:val="0"/>
        <w:snapToGrid w:val="0"/>
        <w:spacing w:line="38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 xml:space="preserve">七、本保函项下的义务和责任均在保函有效期到期后自动消灭。 </w:t>
      </w:r>
    </w:p>
    <w:p w14:paraId="135529C4">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八、本保函适用的法律为中华人民共和国法律，因本保函产生的纠纷案件，由受益人所在地人民法院管辖。 </w:t>
      </w:r>
    </w:p>
    <w:p w14:paraId="0E9E72A8">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九、本保函自我方法定代表人或授权代表签字并加盖公章之日起生效。 </w:t>
      </w:r>
    </w:p>
    <w:p w14:paraId="18AB363D">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 立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（公章） </w:t>
      </w:r>
    </w:p>
    <w:p w14:paraId="012AFFD5">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法定代表人（或授权代表）：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 </w:t>
      </w:r>
    </w:p>
    <w:p w14:paraId="000C46B4">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2B1CD174">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45EAE809">
      <w:pPr>
        <w:adjustRightInd w:val="0"/>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14:paraId="03631DD4">
      <w:pPr>
        <w:adjustRightInd w:val="0"/>
        <w:snapToGrid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57593D55">
      <w:pPr>
        <w:adjustRightInd w:val="0"/>
        <w:snapToGrid w:val="0"/>
        <w:spacing w:line="380" w:lineRule="exact"/>
        <w:ind w:left="1323" w:leftChars="200" w:hanging="903" w:hangingChars="430"/>
        <w:rPr>
          <w:rFonts w:ascii="宋体" w:hAnsi="宋体" w:cs="宋体"/>
          <w:color w:val="auto"/>
          <w:szCs w:val="21"/>
          <w:highlight w:val="none"/>
        </w:rPr>
      </w:pPr>
      <w:r>
        <w:rPr>
          <w:rFonts w:hint="eastAsia" w:ascii="宋体" w:hAnsi="宋体" w:cs="宋体"/>
          <w:color w:val="auto"/>
          <w:szCs w:val="21"/>
          <w:highlight w:val="none"/>
        </w:rPr>
        <w:t>开立时间：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90FC905">
      <w:pPr>
        <w:keepNext/>
        <w:keepLines/>
        <w:adjustRightInd w:val="0"/>
        <w:snapToGrid w:val="0"/>
        <w:spacing w:line="360" w:lineRule="exact"/>
        <w:jc w:val="left"/>
        <w:outlineLvl w:val="4"/>
        <w:rPr>
          <w:rFonts w:ascii="宋体" w:hAnsi="宋体" w:cs="宋体"/>
          <w:bCs/>
          <w:color w:val="auto"/>
          <w:sz w:val="24"/>
          <w:highlight w:val="none"/>
        </w:rPr>
      </w:pPr>
      <w:r>
        <w:rPr>
          <w:rFonts w:hint="eastAsia" w:ascii="宋体" w:hAnsi="宋体" w:cs="宋体"/>
          <w:b/>
          <w:bCs/>
          <w:color w:val="auto"/>
          <w:sz w:val="24"/>
          <w:highlight w:val="none"/>
        </w:rPr>
        <w:br w:type="page"/>
      </w:r>
      <w:bookmarkStart w:id="947" w:name="_Toc95223508"/>
      <w:r>
        <w:rPr>
          <w:rFonts w:hint="eastAsia" w:ascii="宋体" w:hAnsi="宋体" w:cs="宋体"/>
          <w:bCs/>
          <w:color w:val="auto"/>
          <w:sz w:val="24"/>
          <w:highlight w:val="none"/>
        </w:rPr>
        <w:t>附</w:t>
      </w:r>
      <w:bookmarkStart w:id="948" w:name="_Toc296346734"/>
      <w:bookmarkStart w:id="949" w:name="_Toc296503233"/>
      <w:bookmarkStart w:id="950" w:name="_Toc296891061"/>
      <w:bookmarkStart w:id="951" w:name="_Toc296347232"/>
      <w:bookmarkStart w:id="952" w:name="_Toc296891273"/>
      <w:bookmarkStart w:id="953" w:name="_Toc296944572"/>
      <w:r>
        <w:rPr>
          <w:rFonts w:hint="eastAsia" w:ascii="宋体" w:hAnsi="宋体" w:cs="宋体"/>
          <w:bCs/>
          <w:color w:val="auto"/>
          <w:sz w:val="24"/>
          <w:highlight w:val="none"/>
        </w:rPr>
        <w:t>件8：</w:t>
      </w:r>
      <w:bookmarkEnd w:id="947"/>
      <w:bookmarkEnd w:id="948"/>
      <w:bookmarkEnd w:id="949"/>
      <w:bookmarkEnd w:id="950"/>
      <w:bookmarkEnd w:id="951"/>
      <w:bookmarkEnd w:id="952"/>
      <w:bookmarkEnd w:id="953"/>
    </w:p>
    <w:p w14:paraId="54B9D550">
      <w:pPr>
        <w:adjustRightInd w:val="0"/>
        <w:snapToGrid w:val="0"/>
        <w:spacing w:line="360" w:lineRule="exact"/>
        <w:jc w:val="center"/>
        <w:outlineLvl w:val="0"/>
        <w:rPr>
          <w:rFonts w:ascii="宋体" w:hAnsi="宋体" w:cs="宋体"/>
          <w:b/>
          <w:bCs/>
          <w:color w:val="auto"/>
          <w:sz w:val="32"/>
          <w:szCs w:val="32"/>
          <w:highlight w:val="none"/>
        </w:rPr>
      </w:pPr>
      <w:bookmarkStart w:id="954" w:name="_Toc95223509"/>
      <w:bookmarkStart w:id="955" w:name="_Toc22892"/>
      <w:bookmarkStart w:id="956" w:name="_Toc3562"/>
      <w:bookmarkStart w:id="957" w:name="_Toc8319"/>
      <w:bookmarkStart w:id="958" w:name="_Toc13141"/>
      <w:r>
        <w:rPr>
          <w:rFonts w:hint="eastAsia" w:ascii="宋体" w:hAnsi="宋体" w:cs="宋体"/>
          <w:b/>
          <w:bCs/>
          <w:color w:val="auto"/>
          <w:sz w:val="32"/>
          <w:szCs w:val="32"/>
          <w:highlight w:val="none"/>
        </w:rPr>
        <w:t>支付保函示范文本</w:t>
      </w:r>
      <w:bookmarkEnd w:id="954"/>
      <w:bookmarkEnd w:id="955"/>
      <w:bookmarkEnd w:id="956"/>
      <w:bookmarkEnd w:id="957"/>
      <w:bookmarkEnd w:id="958"/>
    </w:p>
    <w:p w14:paraId="67AA4436">
      <w:pPr>
        <w:wordWrap w:val="0"/>
        <w:adjustRightInd w:val="0"/>
        <w:snapToGrid w:val="0"/>
        <w:spacing w:line="360" w:lineRule="exact"/>
        <w:jc w:val="right"/>
        <w:rPr>
          <w:rFonts w:ascii="宋体" w:hAnsi="宋体" w:cs="宋体"/>
          <w:color w:val="auto"/>
          <w:szCs w:val="21"/>
          <w:highlight w:val="none"/>
        </w:rPr>
      </w:pPr>
      <w:r>
        <w:rPr>
          <w:rFonts w:hint="eastAsia" w:ascii="宋体" w:hAnsi="宋体" w:cs="宋体"/>
          <w:color w:val="auto"/>
          <w:szCs w:val="21"/>
          <w:highlight w:val="none"/>
        </w:rPr>
        <w:t xml:space="preserve">编号：           </w:t>
      </w:r>
    </w:p>
    <w:p w14:paraId="7FF483A9">
      <w:pPr>
        <w:adjustRightInd w:val="0"/>
        <w:snapToGrid w:val="0"/>
        <w:spacing w:line="360" w:lineRule="exact"/>
        <w:rPr>
          <w:rFonts w:ascii="宋体" w:hAnsi="宋体" w:cs="宋体"/>
          <w:color w:val="auto"/>
          <w:szCs w:val="21"/>
          <w:highlight w:val="none"/>
        </w:rPr>
      </w:pPr>
      <w:bookmarkStart w:id="959" w:name="_Hlk40355074"/>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（受益人名称）： </w:t>
      </w:r>
    </w:p>
    <w:bookmarkEnd w:id="959"/>
    <w:p w14:paraId="5347A743">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（以下简称“受益人”）与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（以下简称“申请人”）于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（标段编号）的</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（标段名称）</w:t>
      </w:r>
      <w:r>
        <w:rPr>
          <w:rFonts w:hint="eastAsia" w:ascii="宋体" w:hAnsi="宋体" w:cs="宋体"/>
          <w:color w:val="auto"/>
          <w:szCs w:val="21"/>
          <w:highlight w:val="none"/>
        </w:rPr>
        <w:t>有关事项协商一致共同签订</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2040B212">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一、本保函担保范围：申请人未履行基础合同约定的工程款支付义务，应当向受益人承担的违约责任和赔偿因此造成的损失、利息、律师费、诉讼费用等实现债权的费用。</w:t>
      </w:r>
    </w:p>
    <w:p w14:paraId="5CE96B58">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二、本保函担保金额最高不超过人民币（大写）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141B9D8">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三、本保函有效期自开立之日起至基础合同约定的除工程质量保修金以外的全部工程结算款项支付之日后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日止。 </w:t>
      </w:r>
    </w:p>
    <w:p w14:paraId="13A85212">
      <w:pPr>
        <w:adjustRightInd w:val="0"/>
        <w:snapToGrid w:val="0"/>
        <w:spacing w:line="360" w:lineRule="exact"/>
        <w:ind w:firstLine="480"/>
        <w:rPr>
          <w:rFonts w:ascii="宋体" w:hAnsi="宋体" w:cs="宋体"/>
          <w:color w:val="auto"/>
          <w:szCs w:val="21"/>
          <w:highlight w:val="none"/>
        </w:rPr>
      </w:pPr>
      <w:r>
        <w:rPr>
          <w:rFonts w:hint="eastAsia" w:ascii="宋体" w:hAnsi="宋体" w:cs="宋体"/>
          <w:color w:val="auto"/>
          <w:szCs w:val="21"/>
          <w:highlight w:val="none"/>
        </w:rPr>
        <w:t>四、开立人承诺，在收到受益人发来的书面付款通知后的七日内无条件支付，前述书面付款通知即为付款要求之单据，且应满足以下要求：</w:t>
      </w:r>
    </w:p>
    <w:p w14:paraId="3831CA3B">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（1）付款通知到达的日期在本保函的有效期内；</w:t>
      </w:r>
    </w:p>
    <w:p w14:paraId="393A9FD6">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（2）载明要求支付的金额；</w:t>
      </w:r>
    </w:p>
    <w:p w14:paraId="42516D51">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（3）载明申请人违反合同义务的条款和内容；</w:t>
      </w:r>
    </w:p>
    <w:p w14:paraId="462BD31A">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（4）声明不存在合同文件约定或我国法律规定免除申请人或开立人支付责任的情形；</w:t>
      </w:r>
    </w:p>
    <w:p w14:paraId="1C458736">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（5）付款通知应在本保函有效期内到达的地址是：</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44ACFD0">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受益人发出的书面付款通知应由其法定代表人（负责人）或授权代理人签字并加盖公章。</w:t>
      </w:r>
    </w:p>
    <w:p w14:paraId="35DFA22C">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五、本保函项下的权利不得转让，不得设定担保。受益人未经开立人书面同意转让本保函或其项下任何权利，对开立人不发生法律效力。 </w:t>
      </w:r>
    </w:p>
    <w:p w14:paraId="4B8CA386">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六、本保函项下的基础交易不成立、不生效、无效、被撤销、被解除，不影响本保函的独立有效。</w:t>
      </w:r>
    </w:p>
    <w:p w14:paraId="47DD396C">
      <w:pPr>
        <w:adjustRightInd w:val="0"/>
        <w:snapToGrid w:val="0"/>
        <w:spacing w:line="360" w:lineRule="exact"/>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 xml:space="preserve">七、本保函项下的义务和责任均在保函有效期到期后自动消灭。 </w:t>
      </w:r>
    </w:p>
    <w:p w14:paraId="58998DEC">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八、本保函适用的法律为中华人民共和国法律，因本保函产生的纠纷案件，由申请人所在地人民法院管辖。 </w:t>
      </w:r>
    </w:p>
    <w:p w14:paraId="09D42708">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九、本保函自我方法定代表人或授权代表签字并加盖公章之日起生效。 </w:t>
      </w:r>
    </w:p>
    <w:p w14:paraId="21CA84ED">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 立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（公章） </w:t>
      </w:r>
    </w:p>
    <w:p w14:paraId="0D4A4EE4">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法定代表人（或授权代表）：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 </w:t>
      </w:r>
    </w:p>
    <w:p w14:paraId="6D6EA274">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5563E03D">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1DE29704">
      <w:pPr>
        <w:adjustRightInd w:val="0"/>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14:paraId="1D114FC6">
      <w:pPr>
        <w:adjustRightInd w:val="0"/>
        <w:snapToGrid w:val="0"/>
        <w:spacing w:line="3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0664321E">
      <w:pPr>
        <w:adjustRightInd w:val="0"/>
        <w:snapToGrid w:val="0"/>
        <w:spacing w:line="360" w:lineRule="exact"/>
        <w:ind w:left="1323" w:leftChars="200" w:hanging="903" w:hangingChars="430"/>
        <w:rPr>
          <w:rFonts w:ascii="宋体" w:hAnsi="宋体" w:cs="宋体"/>
          <w:color w:val="auto"/>
          <w:szCs w:val="21"/>
          <w:highlight w:val="none"/>
        </w:rPr>
      </w:pPr>
      <w:r>
        <w:rPr>
          <w:rFonts w:hint="eastAsia" w:ascii="宋体" w:hAnsi="宋体" w:cs="宋体"/>
          <w:color w:val="auto"/>
          <w:szCs w:val="21"/>
          <w:highlight w:val="none"/>
        </w:rPr>
        <w:t>开立时间：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103D6B9">
      <w:pPr>
        <w:keepNext/>
        <w:keepLines/>
        <w:spacing w:before="120" w:after="120" w:line="360" w:lineRule="auto"/>
        <w:jc w:val="left"/>
        <w:outlineLvl w:val="4"/>
        <w:rPr>
          <w:rFonts w:ascii="宋体" w:hAnsi="宋体" w:cs="宋体"/>
          <w:bCs/>
          <w:color w:val="auto"/>
          <w:sz w:val="24"/>
          <w:highlight w:val="none"/>
        </w:rPr>
      </w:pPr>
      <w:r>
        <w:rPr>
          <w:rFonts w:hint="eastAsia" w:ascii="宋体" w:hAnsi="宋体" w:cs="宋体"/>
          <w:bCs/>
          <w:color w:val="auto"/>
          <w:sz w:val="24"/>
          <w:highlight w:val="none"/>
        </w:rPr>
        <w:t>附件9：</w:t>
      </w:r>
      <w:bookmarkEnd w:id="935"/>
    </w:p>
    <w:p w14:paraId="7BB24D5C">
      <w:pPr>
        <w:adjustRightInd w:val="0"/>
        <w:snapToGrid w:val="0"/>
        <w:spacing w:line="360" w:lineRule="auto"/>
        <w:jc w:val="center"/>
        <w:outlineLvl w:val="0"/>
        <w:rPr>
          <w:rFonts w:ascii="宋体" w:hAnsi="宋体" w:cs="宋体"/>
          <w:b/>
          <w:color w:val="auto"/>
          <w:sz w:val="32"/>
          <w:szCs w:val="32"/>
          <w:highlight w:val="none"/>
        </w:rPr>
      </w:pPr>
      <w:bookmarkStart w:id="960" w:name="_Toc95223514"/>
      <w:bookmarkStart w:id="961" w:name="_Toc20282"/>
      <w:bookmarkStart w:id="962" w:name="_Toc19059"/>
      <w:bookmarkStart w:id="963" w:name="_Toc7393"/>
      <w:bookmarkStart w:id="964" w:name="_Toc12965"/>
      <w:r>
        <w:rPr>
          <w:rFonts w:hint="eastAsia" w:ascii="宋体" w:hAnsi="宋体" w:cs="宋体"/>
          <w:b/>
          <w:color w:val="auto"/>
          <w:sz w:val="32"/>
          <w:szCs w:val="32"/>
          <w:highlight w:val="none"/>
        </w:rPr>
        <w:t>项目经理质量终身责任制承诺</w:t>
      </w:r>
      <w:bookmarkEnd w:id="960"/>
      <w:bookmarkEnd w:id="961"/>
      <w:bookmarkEnd w:id="962"/>
      <w:bookmarkEnd w:id="963"/>
      <w:bookmarkEnd w:id="964"/>
    </w:p>
    <w:p w14:paraId="3589D510">
      <w:pPr>
        <w:adjustRightInd w:val="0"/>
        <w:snapToGrid w:val="0"/>
        <w:spacing w:line="360" w:lineRule="auto"/>
        <w:jc w:val="center"/>
        <w:rPr>
          <w:rFonts w:ascii="宋体" w:hAnsi="宋体" w:cs="宋体"/>
          <w:b/>
          <w:color w:val="auto"/>
          <w:sz w:val="32"/>
          <w:szCs w:val="32"/>
          <w:highlight w:val="none"/>
        </w:rPr>
      </w:pPr>
    </w:p>
    <w:p w14:paraId="63EC5D6C">
      <w:pPr>
        <w:adjustRightInd w:val="0"/>
        <w:snapToGrid w:val="0"/>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致：______________(发包人名称)</w:t>
      </w:r>
    </w:p>
    <w:p w14:paraId="533BE575">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本人作为拟委任的施工项目经理，承担相关质量终身责任，现郑重承诺如下：</w:t>
      </w:r>
    </w:p>
    <w:p w14:paraId="56844C0A">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一、在取得施工许可证后进行施工。</w:t>
      </w:r>
    </w:p>
    <w:p w14:paraId="086F8AFB">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二、严格执行施工规范及标准。</w:t>
      </w:r>
    </w:p>
    <w:p w14:paraId="7BF61ED6">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三、严格按规定配备施工项目部关键岗位人员，并确保所有人员到岗履职。</w:t>
      </w:r>
    </w:p>
    <w:p w14:paraId="020A9409">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四、严格按照经施工图审查机构审查合格的工程设计文件及合同约定的质量标准精心组织施工。</w:t>
      </w:r>
    </w:p>
    <w:p w14:paraId="5A92B597">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五、施工中采用合格的建筑材料、建筑构配件和设备等，并严格按规定执行见证取样制度。</w:t>
      </w:r>
    </w:p>
    <w:p w14:paraId="2E995108">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六、建立、健全质量检查、验收制度，严格工序管理，做好隐蔽工程质量的检查和记录。</w:t>
      </w:r>
    </w:p>
    <w:p w14:paraId="5ED43982">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七、对施工中出现的质量问题，及时进行整改。严格依法依规履行义务。</w:t>
      </w:r>
    </w:p>
    <w:p w14:paraId="0E6719C8">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八、履行相关工程质量检查、验收及事故处理等职责。</w:t>
      </w:r>
    </w:p>
    <w:p w14:paraId="0373F4F7">
      <w:pPr>
        <w:adjustRightInd w:val="0"/>
        <w:snapToGrid w:val="0"/>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九、履行其他法律法规规定的职责。</w:t>
      </w:r>
    </w:p>
    <w:p w14:paraId="11EC9C05">
      <w:pPr>
        <w:spacing w:line="360" w:lineRule="auto"/>
        <w:ind w:left="359" w:leftChars="171" w:firstLine="720" w:firstLineChars="300"/>
        <w:rPr>
          <w:rFonts w:ascii="宋体" w:hAnsi="宋体" w:cs="宋体"/>
          <w:bCs/>
          <w:color w:val="auto"/>
          <w:sz w:val="24"/>
          <w:szCs w:val="21"/>
          <w:highlight w:val="none"/>
        </w:rPr>
      </w:pPr>
    </w:p>
    <w:p w14:paraId="40060574">
      <w:pPr>
        <w:spacing w:line="360" w:lineRule="auto"/>
        <w:ind w:left="359" w:leftChars="171" w:firstLine="720" w:firstLineChars="300"/>
        <w:rPr>
          <w:rFonts w:ascii="宋体" w:hAnsi="宋体" w:cs="宋体"/>
          <w:bCs/>
          <w:color w:val="auto"/>
          <w:sz w:val="24"/>
          <w:szCs w:val="21"/>
          <w:highlight w:val="none"/>
        </w:rPr>
      </w:pPr>
    </w:p>
    <w:p w14:paraId="78B9B6C9">
      <w:pPr>
        <w:spacing w:line="360" w:lineRule="auto"/>
        <w:ind w:left="359" w:leftChars="171" w:firstLine="720" w:firstLineChars="300"/>
        <w:rPr>
          <w:rFonts w:ascii="宋体" w:hAnsi="宋体" w:cs="宋体"/>
          <w:bCs/>
          <w:color w:val="auto"/>
          <w:sz w:val="24"/>
          <w:szCs w:val="21"/>
          <w:highlight w:val="none"/>
        </w:rPr>
      </w:pPr>
      <w:r>
        <w:rPr>
          <w:rFonts w:hint="eastAsia" w:ascii="宋体" w:hAnsi="宋体" w:cs="宋体"/>
          <w:bCs/>
          <w:color w:val="auto"/>
          <w:sz w:val="24"/>
          <w:szCs w:val="21"/>
          <w:highlight w:val="none"/>
        </w:rPr>
        <w:t>项目经理：</w:t>
      </w:r>
      <w:r>
        <w:rPr>
          <w:rFonts w:hint="eastAsia" w:ascii="宋体" w:hAnsi="宋体" w:cs="宋体"/>
          <w:bCs/>
          <w:color w:val="auto"/>
          <w:sz w:val="24"/>
          <w:szCs w:val="21"/>
          <w:highlight w:val="none"/>
          <w:u w:val="single"/>
        </w:rPr>
        <w:t xml:space="preserve">                   </w:t>
      </w:r>
      <w:r>
        <w:rPr>
          <w:rFonts w:hint="eastAsia" w:ascii="宋体" w:hAnsi="宋体" w:cs="宋体"/>
          <w:bCs/>
          <w:color w:val="auto"/>
          <w:sz w:val="24"/>
          <w:szCs w:val="21"/>
          <w:highlight w:val="none"/>
        </w:rPr>
        <w:t>（签字）</w:t>
      </w:r>
    </w:p>
    <w:p w14:paraId="4CC7CF1D">
      <w:pPr>
        <w:spacing w:line="360" w:lineRule="auto"/>
        <w:ind w:left="359" w:leftChars="171" w:firstLine="720" w:firstLineChars="300"/>
        <w:rPr>
          <w:rFonts w:ascii="宋体" w:hAnsi="宋体" w:cs="宋体"/>
          <w:bCs/>
          <w:color w:val="auto"/>
          <w:sz w:val="24"/>
          <w:szCs w:val="21"/>
          <w:highlight w:val="none"/>
        </w:rPr>
      </w:pPr>
      <w:r>
        <w:rPr>
          <w:rFonts w:hint="eastAsia" w:ascii="宋体" w:hAnsi="宋体" w:cs="宋体"/>
          <w:bCs/>
          <w:color w:val="auto"/>
          <w:sz w:val="24"/>
          <w:szCs w:val="21"/>
          <w:highlight w:val="none"/>
        </w:rPr>
        <w:t>日期：_____年____月____日</w:t>
      </w:r>
    </w:p>
    <w:p w14:paraId="7B685017">
      <w:pPr>
        <w:rPr>
          <w:rFonts w:ascii="宋体" w:hAnsi="宋体" w:cs="宋体"/>
          <w:bCs/>
          <w:color w:val="auto"/>
          <w:kern w:val="44"/>
          <w:sz w:val="36"/>
          <w:szCs w:val="36"/>
          <w:highlight w:val="none"/>
        </w:rPr>
      </w:pPr>
      <w:r>
        <w:rPr>
          <w:rFonts w:hint="eastAsia" w:ascii="宋体" w:hAnsi="宋体" w:cs="宋体"/>
          <w:bCs/>
          <w:color w:val="auto"/>
          <w:kern w:val="44"/>
          <w:sz w:val="36"/>
          <w:szCs w:val="36"/>
          <w:highlight w:val="none"/>
        </w:rPr>
        <w:br w:type="page"/>
      </w:r>
    </w:p>
    <w:p w14:paraId="3E92357A">
      <w:pPr>
        <w:spacing w:line="440" w:lineRule="exact"/>
        <w:jc w:val="left"/>
        <w:outlineLvl w:val="0"/>
        <w:rPr>
          <w:rFonts w:ascii="黑体" w:eastAsia="黑体" w:cs="宋体"/>
          <w:b/>
          <w:bCs/>
          <w:color w:val="auto"/>
          <w:sz w:val="30"/>
          <w:szCs w:val="30"/>
          <w:highlight w:val="none"/>
        </w:rPr>
      </w:pPr>
      <w:bookmarkStart w:id="965" w:name="_Toc31140"/>
      <w:bookmarkStart w:id="966" w:name="_Toc31851"/>
      <w:r>
        <w:rPr>
          <w:rFonts w:hint="eastAsia" w:ascii="黑体" w:eastAsia="黑体" w:cs="宋体"/>
          <w:b/>
          <w:bCs/>
          <w:color w:val="auto"/>
          <w:sz w:val="30"/>
          <w:szCs w:val="30"/>
          <w:highlight w:val="none"/>
        </w:rPr>
        <w:t>附件10：</w:t>
      </w:r>
      <w:bookmarkEnd w:id="965"/>
    </w:p>
    <w:p w14:paraId="5902C738">
      <w:pPr>
        <w:spacing w:line="440" w:lineRule="exact"/>
        <w:jc w:val="center"/>
        <w:outlineLvl w:val="0"/>
        <w:rPr>
          <w:rFonts w:ascii="黑体" w:eastAsia="黑体" w:cs="宋体"/>
          <w:b/>
          <w:bCs/>
          <w:color w:val="auto"/>
          <w:sz w:val="30"/>
          <w:szCs w:val="30"/>
          <w:highlight w:val="none"/>
        </w:rPr>
      </w:pPr>
      <w:bookmarkStart w:id="967" w:name="_Toc10716"/>
      <w:r>
        <w:rPr>
          <w:rFonts w:hint="eastAsia" w:ascii="黑体" w:eastAsia="黑体" w:cs="宋体"/>
          <w:b/>
          <w:bCs/>
          <w:color w:val="auto"/>
          <w:sz w:val="30"/>
          <w:szCs w:val="30"/>
          <w:highlight w:val="none"/>
        </w:rPr>
        <w:t>廉政建设责任书</w:t>
      </w:r>
      <w:bookmarkEnd w:id="967"/>
    </w:p>
    <w:p w14:paraId="04B0C864">
      <w:pPr>
        <w:rPr>
          <w:color w:val="auto"/>
          <w:highlight w:val="none"/>
        </w:rPr>
      </w:pPr>
    </w:p>
    <w:p w14:paraId="1B5D5771">
      <w:pPr>
        <w:snapToGrid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建设责任书。</w:t>
      </w:r>
    </w:p>
    <w:p w14:paraId="65B64E0C">
      <w:pPr>
        <w:snapToGrid w:val="0"/>
        <w:spacing w:line="360" w:lineRule="auto"/>
        <w:ind w:firstLine="422" w:firstLineChars="200"/>
        <w:outlineLvl w:val="3"/>
        <w:rPr>
          <w:rFonts w:ascii="宋体" w:cs="宋体"/>
          <w:b/>
          <w:bCs/>
          <w:color w:val="auto"/>
          <w:szCs w:val="21"/>
          <w:highlight w:val="none"/>
        </w:rPr>
      </w:pPr>
      <w:r>
        <w:rPr>
          <w:rFonts w:hint="eastAsia" w:ascii="宋体" w:hAnsi="宋体" w:cs="宋体"/>
          <w:b/>
          <w:bCs/>
          <w:color w:val="auto"/>
          <w:szCs w:val="21"/>
          <w:highlight w:val="none"/>
        </w:rPr>
        <w:t>一、双方的责任</w:t>
      </w:r>
    </w:p>
    <w:p w14:paraId="1C193FD8">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应严格遵守国家关于建设工程的有关法律、法规，相关政策，以及廉政建设的各项规定。</w:t>
      </w:r>
    </w:p>
    <w:p w14:paraId="0774C80A">
      <w:pPr>
        <w:snapToGrid w:val="0"/>
        <w:spacing w:line="360" w:lineRule="auto"/>
        <w:ind w:firstLine="420" w:firstLineChars="200"/>
        <w:outlineLvl w:val="4"/>
        <w:rPr>
          <w:rFonts w:ascii="宋体" w:cs="宋体"/>
          <w:color w:val="auto"/>
          <w:szCs w:val="21"/>
          <w:highlight w:val="none"/>
        </w:rPr>
      </w:pPr>
      <w:r>
        <w:rPr>
          <w:rFonts w:ascii="宋体" w:hAnsi="宋体" w:cs="宋体"/>
          <w:color w:val="auto"/>
          <w:szCs w:val="21"/>
          <w:highlight w:val="none"/>
        </w:rPr>
        <w:t>1.2</w:t>
      </w:r>
      <w:r>
        <w:rPr>
          <w:rFonts w:hint="eastAsia" w:ascii="宋体" w:hAnsi="宋体" w:cs="宋体"/>
          <w:color w:val="auto"/>
          <w:szCs w:val="21"/>
          <w:highlight w:val="none"/>
        </w:rPr>
        <w:t>严格执行建设工程合同文件，自觉按合同办事。</w:t>
      </w:r>
    </w:p>
    <w:p w14:paraId="05AF4434">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1.3</w:t>
      </w:r>
      <w:r>
        <w:rPr>
          <w:rFonts w:hint="eastAsia" w:ascii="宋体" w:hAnsi="宋体" w:cs="宋体"/>
          <w:color w:val="auto"/>
          <w:szCs w:val="21"/>
          <w:highlight w:val="none"/>
        </w:rPr>
        <w:t>各项活动必须坚持公开、公平、公正、诚信、透明的原则</w:t>
      </w:r>
      <w:r>
        <w:rPr>
          <w:rFonts w:ascii="宋体" w:hAnsi="宋体" w:cs="宋体"/>
          <w:color w:val="auto"/>
          <w:szCs w:val="21"/>
          <w:highlight w:val="none"/>
        </w:rPr>
        <w:t>(</w:t>
      </w:r>
      <w:r>
        <w:rPr>
          <w:rFonts w:hint="eastAsia" w:ascii="宋体" w:hAnsi="宋体" w:cs="宋体"/>
          <w:color w:val="auto"/>
          <w:szCs w:val="21"/>
          <w:highlight w:val="none"/>
        </w:rPr>
        <w:t>除法律法规另有规定者外</w:t>
      </w:r>
      <w:r>
        <w:rPr>
          <w:rFonts w:ascii="宋体" w:hAnsi="宋体" w:cs="宋体"/>
          <w:color w:val="auto"/>
          <w:szCs w:val="21"/>
          <w:highlight w:val="none"/>
        </w:rPr>
        <w:t>)</w:t>
      </w:r>
      <w:r>
        <w:rPr>
          <w:rFonts w:hint="eastAsia" w:ascii="宋体" w:hAnsi="宋体" w:cs="宋体"/>
          <w:color w:val="auto"/>
          <w:szCs w:val="21"/>
          <w:highlight w:val="none"/>
        </w:rPr>
        <w:t>，不得为获取不正当的利益，损害国家、集体和对方利益，不得违反建设工程管理的规章制度。</w:t>
      </w:r>
    </w:p>
    <w:p w14:paraId="1B93B75F">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1.4</w:t>
      </w:r>
      <w:r>
        <w:rPr>
          <w:rFonts w:hint="eastAsia" w:ascii="宋体" w:hAnsi="宋体" w:cs="宋体"/>
          <w:color w:val="auto"/>
          <w:szCs w:val="21"/>
          <w:highlight w:val="none"/>
        </w:rPr>
        <w:t>发现对方在业务活动中有违规、违纪、违法行为的，应及时提醒对方，情节严重的，应向其上级主管部门或纪检监察、司法等有关机关举报。</w:t>
      </w:r>
    </w:p>
    <w:p w14:paraId="4D8CD05C">
      <w:pPr>
        <w:snapToGrid w:val="0"/>
        <w:spacing w:line="360" w:lineRule="auto"/>
        <w:ind w:firstLine="422" w:firstLineChars="200"/>
        <w:outlineLvl w:val="3"/>
        <w:rPr>
          <w:rFonts w:ascii="宋体" w:cs="宋体"/>
          <w:b/>
          <w:bCs/>
          <w:color w:val="auto"/>
          <w:szCs w:val="21"/>
          <w:highlight w:val="none"/>
        </w:rPr>
      </w:pPr>
      <w:r>
        <w:rPr>
          <w:rFonts w:hint="eastAsia" w:ascii="宋体" w:hAnsi="宋体" w:cs="宋体"/>
          <w:b/>
          <w:bCs/>
          <w:color w:val="auto"/>
          <w:szCs w:val="21"/>
          <w:highlight w:val="none"/>
        </w:rPr>
        <w:t>二、发包人责任</w:t>
      </w:r>
    </w:p>
    <w:p w14:paraId="0F0617A4">
      <w:pPr>
        <w:snapToGrid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发包人从事该建设工程项目的负责人和工作人员，在工程建设的事前、事中、事后应遵守以下规定：</w:t>
      </w:r>
    </w:p>
    <w:p w14:paraId="0BB4CE95">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不得向承包人和相关单位索要或接受回扣、礼金、有价证券、贵重物品和好处费、感谢费等。</w:t>
      </w:r>
    </w:p>
    <w:p w14:paraId="2C7542E8">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不得在承包人和相关单位报销任何应由发包人或个人支付的费用。</w:t>
      </w:r>
    </w:p>
    <w:p w14:paraId="39F83541">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2.3</w:t>
      </w:r>
      <w:r>
        <w:rPr>
          <w:rFonts w:hint="eastAsia" w:ascii="宋体" w:hAnsi="宋体" w:cs="宋体"/>
          <w:color w:val="auto"/>
          <w:szCs w:val="21"/>
          <w:highlight w:val="none"/>
        </w:rPr>
        <w:t>不得要求、暗示或接受承包人和相关单位为个人装修住房、婚丧嫁娶、配偶子女的工作安排以及出国</w:t>
      </w:r>
      <w:r>
        <w:rPr>
          <w:rFonts w:ascii="宋体" w:hAnsi="宋体" w:cs="宋体"/>
          <w:color w:val="auto"/>
          <w:szCs w:val="21"/>
          <w:highlight w:val="none"/>
        </w:rPr>
        <w:t>(</w:t>
      </w:r>
      <w:r>
        <w:rPr>
          <w:rFonts w:hint="eastAsia" w:ascii="宋体" w:hAnsi="宋体" w:cs="宋体"/>
          <w:color w:val="auto"/>
          <w:szCs w:val="21"/>
          <w:highlight w:val="none"/>
        </w:rPr>
        <w:t>境</w:t>
      </w:r>
      <w:r>
        <w:rPr>
          <w:rFonts w:ascii="宋体" w:hAnsi="宋体" w:cs="宋体"/>
          <w:color w:val="auto"/>
          <w:szCs w:val="21"/>
          <w:highlight w:val="none"/>
        </w:rPr>
        <w:t>)</w:t>
      </w:r>
      <w:r>
        <w:rPr>
          <w:rFonts w:hint="eastAsia" w:ascii="宋体" w:hAnsi="宋体" w:cs="宋体"/>
          <w:color w:val="auto"/>
          <w:szCs w:val="21"/>
          <w:highlight w:val="none"/>
        </w:rPr>
        <w:t>、旅游等提供方便。</w:t>
      </w:r>
    </w:p>
    <w:p w14:paraId="609CCB39">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2.4</w:t>
      </w:r>
      <w:r>
        <w:rPr>
          <w:rFonts w:hint="eastAsia" w:ascii="宋体" w:hAnsi="宋体" w:cs="宋体"/>
          <w:color w:val="auto"/>
          <w:szCs w:val="21"/>
          <w:highlight w:val="none"/>
        </w:rPr>
        <w:t>不得参加有可能影响公正执行公务的承包人和相关单位的宴请、健身、娱乐等活动。</w:t>
      </w:r>
    </w:p>
    <w:p w14:paraId="58236776">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2.5</w:t>
      </w:r>
      <w:r>
        <w:rPr>
          <w:rFonts w:hint="eastAsia" w:ascii="宋体" w:hAnsi="宋体" w:cs="宋体"/>
          <w:color w:val="auto"/>
          <w:szCs w:val="21"/>
          <w:highlight w:val="none"/>
        </w:rPr>
        <w:t>不得向承包人和相关单位介绍或为配偶、子女、亲属参与同发包人工程建设管理合同有关的业务活动；不得以任何理由要求承包人和相关单位使用某种产品、材料和设备。</w:t>
      </w:r>
    </w:p>
    <w:p w14:paraId="69F0709A">
      <w:pPr>
        <w:snapToGrid w:val="0"/>
        <w:spacing w:line="360" w:lineRule="auto"/>
        <w:ind w:firstLine="422" w:firstLineChars="200"/>
        <w:outlineLvl w:val="3"/>
        <w:rPr>
          <w:rFonts w:ascii="宋体" w:cs="宋体"/>
          <w:b/>
          <w:bCs/>
          <w:color w:val="auto"/>
          <w:szCs w:val="21"/>
          <w:highlight w:val="none"/>
        </w:rPr>
      </w:pPr>
      <w:r>
        <w:rPr>
          <w:rFonts w:hint="eastAsia" w:ascii="宋体" w:hAnsi="宋体" w:cs="宋体"/>
          <w:b/>
          <w:bCs/>
          <w:color w:val="auto"/>
          <w:szCs w:val="21"/>
          <w:highlight w:val="none"/>
        </w:rPr>
        <w:t>三、承包人责任</w:t>
      </w:r>
    </w:p>
    <w:p w14:paraId="13408682">
      <w:pPr>
        <w:snapToGrid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应与发包人保持正常的业务交往，按照有关法律法规和程序开展业务工作，严格执行工程建设的有关方针、政策，执行工程建设强制性标准，并遵守以下规定：</w:t>
      </w:r>
    </w:p>
    <w:p w14:paraId="3B943B60">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3.1</w:t>
      </w:r>
      <w:r>
        <w:rPr>
          <w:rFonts w:hint="eastAsia" w:ascii="宋体" w:hAnsi="宋体" w:cs="宋体"/>
          <w:color w:val="auto"/>
          <w:szCs w:val="21"/>
          <w:highlight w:val="none"/>
        </w:rPr>
        <w:t>不得以任何理由向发包人及其工作人员索要、接受或赠送礼金、有价证券、贵重物品及回扣、好处费、感谢费等。</w:t>
      </w:r>
    </w:p>
    <w:p w14:paraId="269C6181">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不得以任何理由为发包人和相关单位报销应由对方或个人支付的费用。</w:t>
      </w:r>
    </w:p>
    <w:p w14:paraId="4934111A">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不得接受或暗示为发包人、相关单位或个人装修住房、婚丧嫁娶、配偶子女的工作安排以及出国</w:t>
      </w:r>
      <w:r>
        <w:rPr>
          <w:rFonts w:ascii="宋体" w:hAnsi="宋体" w:cs="宋体"/>
          <w:color w:val="auto"/>
          <w:szCs w:val="21"/>
          <w:highlight w:val="none"/>
        </w:rPr>
        <w:t>(</w:t>
      </w:r>
      <w:r>
        <w:rPr>
          <w:rFonts w:hint="eastAsia" w:ascii="宋体" w:hAnsi="宋体" w:cs="宋体"/>
          <w:color w:val="auto"/>
          <w:szCs w:val="21"/>
          <w:highlight w:val="none"/>
        </w:rPr>
        <w:t>境</w:t>
      </w:r>
      <w:r>
        <w:rPr>
          <w:rFonts w:ascii="宋体" w:hAnsi="宋体" w:cs="宋体"/>
          <w:color w:val="auto"/>
          <w:szCs w:val="21"/>
          <w:highlight w:val="none"/>
        </w:rPr>
        <w:t>)</w:t>
      </w:r>
      <w:r>
        <w:rPr>
          <w:rFonts w:hint="eastAsia" w:ascii="宋体" w:hAnsi="宋体" w:cs="宋体"/>
          <w:color w:val="auto"/>
          <w:szCs w:val="21"/>
          <w:highlight w:val="none"/>
        </w:rPr>
        <w:t>、旅游等提供方便。</w:t>
      </w:r>
    </w:p>
    <w:p w14:paraId="03C91AB7">
      <w:pPr>
        <w:snapToGrid w:val="0"/>
        <w:spacing w:line="360" w:lineRule="auto"/>
        <w:ind w:firstLine="420" w:firstLineChars="200"/>
        <w:rPr>
          <w:rFonts w:ascii="宋体" w:cs="宋体"/>
          <w:b/>
          <w:bCs/>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不得以任何理由为发包人、相关单位或个人组织有可能影响公正执行公务的宴请、健身、娱乐等活动。</w:t>
      </w:r>
    </w:p>
    <w:p w14:paraId="2F3626D2">
      <w:pPr>
        <w:snapToGrid w:val="0"/>
        <w:spacing w:line="360" w:lineRule="auto"/>
        <w:ind w:firstLine="422" w:firstLineChars="200"/>
        <w:outlineLvl w:val="3"/>
        <w:rPr>
          <w:rFonts w:ascii="宋体" w:cs="宋体"/>
          <w:b/>
          <w:bCs/>
          <w:color w:val="auto"/>
          <w:szCs w:val="21"/>
          <w:highlight w:val="none"/>
        </w:rPr>
      </w:pPr>
      <w:r>
        <w:rPr>
          <w:rFonts w:hint="eastAsia" w:ascii="宋体" w:hAnsi="宋体" w:cs="宋体"/>
          <w:b/>
          <w:bCs/>
          <w:color w:val="auto"/>
          <w:szCs w:val="21"/>
          <w:highlight w:val="none"/>
        </w:rPr>
        <w:t>四、违约责任</w:t>
      </w:r>
    </w:p>
    <w:p w14:paraId="38118CB5">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4.1</w:t>
      </w:r>
      <w:r>
        <w:rPr>
          <w:rFonts w:hint="eastAsia" w:ascii="宋体" w:hAnsi="宋体" w:cs="宋体"/>
          <w:color w:val="auto"/>
          <w:szCs w:val="21"/>
          <w:highlight w:val="none"/>
        </w:rPr>
        <w:t>发包人工作人员有违反本责任书第一、二条责任行为的，依据有关法律、法规给予处理；涉嫌犯罪的，移交司法机关追究刑事责任；给承包人单位造成经济损失的，应予以赔偿。</w:t>
      </w:r>
    </w:p>
    <w:p w14:paraId="3DFDD8DE">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4.2</w:t>
      </w:r>
      <w:r>
        <w:rPr>
          <w:rFonts w:hint="eastAsia" w:ascii="宋体" w:hAnsi="宋体" w:cs="宋体"/>
          <w:color w:val="auto"/>
          <w:szCs w:val="21"/>
          <w:highlight w:val="none"/>
        </w:rPr>
        <w:t>承包人工作人员有违反本责任书第一、三条责任行为的，依据有关法律法规处理；涉嫌犯罪的，移交司法机关追究刑事责任；给发包人单位造成经济损失的，应予以赔偿。</w:t>
      </w:r>
    </w:p>
    <w:p w14:paraId="43D0C65B">
      <w:pPr>
        <w:snapToGrid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本责任书作为本合同的组成部分，与本合同具有同等法律效力，经双方签署后立即生效。</w:t>
      </w:r>
    </w:p>
    <w:p w14:paraId="5D07A81E">
      <w:pPr>
        <w:snapToGrid w:val="0"/>
        <w:spacing w:line="360" w:lineRule="auto"/>
        <w:ind w:firstLine="422" w:firstLineChars="200"/>
        <w:outlineLvl w:val="3"/>
        <w:rPr>
          <w:rFonts w:ascii="宋体" w:cs="宋体"/>
          <w:b/>
          <w:bCs/>
          <w:color w:val="auto"/>
          <w:szCs w:val="21"/>
          <w:highlight w:val="none"/>
        </w:rPr>
      </w:pPr>
      <w:r>
        <w:rPr>
          <w:rFonts w:hint="eastAsia" w:ascii="宋体" w:hAnsi="宋体" w:cs="宋体"/>
          <w:b/>
          <w:bCs/>
          <w:color w:val="auto"/>
          <w:szCs w:val="21"/>
          <w:highlight w:val="none"/>
        </w:rPr>
        <w:t>五、责任书有效期</w:t>
      </w:r>
    </w:p>
    <w:p w14:paraId="1B568E89">
      <w:pPr>
        <w:snapToGrid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本责任书的有效期为双方签署之日起至该工程项目竣工验收合格时止。</w:t>
      </w:r>
    </w:p>
    <w:p w14:paraId="2A40B9C3">
      <w:pPr>
        <w:snapToGrid w:val="0"/>
        <w:spacing w:line="360" w:lineRule="auto"/>
        <w:ind w:firstLine="422" w:firstLineChars="200"/>
        <w:outlineLvl w:val="3"/>
        <w:rPr>
          <w:rFonts w:ascii="宋体" w:cs="宋体"/>
          <w:b/>
          <w:bCs/>
          <w:color w:val="auto"/>
          <w:szCs w:val="21"/>
          <w:highlight w:val="none"/>
        </w:rPr>
      </w:pPr>
      <w:r>
        <w:rPr>
          <w:rFonts w:hint="eastAsia" w:ascii="宋体" w:hAnsi="宋体" w:cs="宋体"/>
          <w:b/>
          <w:bCs/>
          <w:color w:val="auto"/>
          <w:szCs w:val="21"/>
          <w:highlight w:val="none"/>
        </w:rPr>
        <w:t>六、责任书份数</w:t>
      </w:r>
    </w:p>
    <w:p w14:paraId="33199A37">
      <w:pPr>
        <w:snapToGrid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本责任书一式两份，发包人承包人各执一份，具有同等效力。</w:t>
      </w:r>
    </w:p>
    <w:p w14:paraId="286E3D9A">
      <w:pPr>
        <w:pStyle w:val="18"/>
        <w:ind w:left="0" w:leftChars="0" w:firstLine="0" w:firstLineChars="0"/>
        <w:rPr>
          <w:rFonts w:hAnsi="宋体" w:cs="宋体"/>
          <w:color w:val="auto"/>
          <w:szCs w:val="21"/>
          <w:highlight w:val="none"/>
        </w:rPr>
      </w:pPr>
    </w:p>
    <w:p w14:paraId="4A9E325D">
      <w:pPr>
        <w:pStyle w:val="18"/>
        <w:spacing w:line="480" w:lineRule="auto"/>
        <w:ind w:left="0" w:leftChars="0" w:firstLine="0" w:firstLineChars="0"/>
        <w:rPr>
          <w:rFonts w:hAnsi="宋体" w:cs="宋体"/>
          <w:color w:val="auto"/>
          <w:szCs w:val="21"/>
          <w:highlight w:val="none"/>
        </w:rPr>
      </w:pPr>
      <w:r>
        <w:rPr>
          <w:rFonts w:hint="eastAsia" w:hAnsi="宋体" w:cs="宋体"/>
          <w:color w:val="auto"/>
          <w:szCs w:val="21"/>
          <w:highlight w:val="none"/>
        </w:rPr>
        <w:t>发包人：（公章）</w:t>
      </w:r>
      <w:r>
        <w:rPr>
          <w:rFonts w:hAnsi="宋体" w:cs="宋体"/>
          <w:color w:val="auto"/>
          <w:szCs w:val="21"/>
          <w:highlight w:val="none"/>
        </w:rPr>
        <w:t xml:space="preserve">                              </w:t>
      </w:r>
      <w:r>
        <w:rPr>
          <w:rFonts w:hint="eastAsia" w:hAnsi="宋体" w:cs="宋体"/>
          <w:color w:val="auto"/>
          <w:szCs w:val="21"/>
          <w:highlight w:val="none"/>
        </w:rPr>
        <w:t>承包人：（公章）</w:t>
      </w:r>
    </w:p>
    <w:p w14:paraId="0A49A0AD">
      <w:pPr>
        <w:pStyle w:val="18"/>
        <w:spacing w:line="480" w:lineRule="auto"/>
        <w:ind w:left="0" w:leftChars="0" w:firstLine="0" w:firstLineChars="0"/>
        <w:rPr>
          <w:rFonts w:hAnsi="宋体" w:cs="宋体"/>
          <w:color w:val="auto"/>
          <w:szCs w:val="21"/>
          <w:highlight w:val="none"/>
        </w:rPr>
      </w:pPr>
      <w:r>
        <w:rPr>
          <w:rFonts w:hint="eastAsia" w:hAnsi="宋体" w:cs="宋体"/>
          <w:color w:val="auto"/>
          <w:szCs w:val="21"/>
          <w:highlight w:val="none"/>
        </w:rPr>
        <w:t>法定代表人或其</w:t>
      </w:r>
      <w:r>
        <w:rPr>
          <w:rFonts w:hAnsi="宋体" w:cs="宋体"/>
          <w:color w:val="auto"/>
          <w:szCs w:val="21"/>
          <w:highlight w:val="none"/>
        </w:rPr>
        <w:t xml:space="preserve">                                </w:t>
      </w:r>
      <w:r>
        <w:rPr>
          <w:rFonts w:hint="eastAsia" w:hAnsi="宋体" w:cs="宋体"/>
          <w:color w:val="auto"/>
          <w:szCs w:val="21"/>
          <w:highlight w:val="none"/>
        </w:rPr>
        <w:t>法定代表人或</w:t>
      </w:r>
    </w:p>
    <w:p w14:paraId="6B3040DB">
      <w:pPr>
        <w:pStyle w:val="18"/>
        <w:spacing w:line="480" w:lineRule="auto"/>
        <w:ind w:left="0" w:leftChars="0" w:firstLine="0" w:firstLineChars="0"/>
        <w:rPr>
          <w:rFonts w:hAnsi="宋体" w:cs="宋体"/>
          <w:color w:val="auto"/>
          <w:szCs w:val="21"/>
          <w:highlight w:val="none"/>
        </w:rPr>
      </w:pPr>
      <w:r>
        <w:rPr>
          <w:rFonts w:hint="eastAsia" w:hAnsi="宋体" w:cs="宋体"/>
          <w:color w:val="auto"/>
          <w:szCs w:val="21"/>
          <w:highlight w:val="none"/>
        </w:rPr>
        <w:t>委托代理人（签字）：</w:t>
      </w:r>
      <w:r>
        <w:rPr>
          <w:rFonts w:hAnsi="宋体" w:cs="宋体"/>
          <w:color w:val="auto"/>
          <w:szCs w:val="21"/>
          <w:highlight w:val="none"/>
          <w:u w:val="single"/>
        </w:rPr>
        <w:t xml:space="preserve">     </w:t>
      </w:r>
      <w:r>
        <w:rPr>
          <w:rFonts w:hAnsi="宋体" w:cs="宋体"/>
          <w:color w:val="auto"/>
          <w:szCs w:val="21"/>
          <w:highlight w:val="none"/>
        </w:rPr>
        <w:t xml:space="preserve">                    </w:t>
      </w:r>
      <w:r>
        <w:rPr>
          <w:rFonts w:hint="eastAsia" w:hAnsi="宋体" w:cs="宋体"/>
          <w:color w:val="auto"/>
          <w:szCs w:val="21"/>
          <w:highlight w:val="none"/>
        </w:rPr>
        <w:t>委托代理人（签字）：</w:t>
      </w:r>
      <w:r>
        <w:rPr>
          <w:rFonts w:hAnsi="宋体" w:cs="宋体"/>
          <w:color w:val="auto"/>
          <w:szCs w:val="21"/>
          <w:highlight w:val="none"/>
          <w:u w:val="single"/>
        </w:rPr>
        <w:t xml:space="preserve">     </w:t>
      </w:r>
      <w:r>
        <w:rPr>
          <w:rFonts w:hAnsi="宋体" w:cs="宋体"/>
          <w:color w:val="auto"/>
          <w:szCs w:val="21"/>
          <w:highlight w:val="none"/>
        </w:rPr>
        <w:t xml:space="preserve"> </w:t>
      </w:r>
    </w:p>
    <w:p w14:paraId="3D2479E6">
      <w:pPr>
        <w:pStyle w:val="18"/>
        <w:spacing w:line="480" w:lineRule="auto"/>
        <w:ind w:left="0" w:leftChars="0" w:firstLine="0" w:firstLineChars="0"/>
        <w:rPr>
          <w:rFonts w:hAnsi="宋体" w:cs="宋体"/>
          <w:color w:val="auto"/>
          <w:szCs w:val="21"/>
          <w:highlight w:val="none"/>
        </w:rPr>
      </w:pPr>
      <w:r>
        <w:rPr>
          <w:rFonts w:hint="eastAsia" w:hAnsi="宋体" w:cs="宋体"/>
          <w:color w:val="auto"/>
          <w:szCs w:val="21"/>
          <w:highlight w:val="none"/>
        </w:rPr>
        <w:t>地</w:t>
      </w:r>
      <w:r>
        <w:rPr>
          <w:rFonts w:hAnsi="宋体" w:cs="宋体"/>
          <w:color w:val="auto"/>
          <w:szCs w:val="21"/>
          <w:highlight w:val="none"/>
        </w:rPr>
        <w:t xml:space="preserve"> </w:t>
      </w:r>
      <w:r>
        <w:rPr>
          <w:rFonts w:hint="eastAsia" w:hAnsi="宋体" w:cs="宋体"/>
          <w:color w:val="auto"/>
          <w:szCs w:val="21"/>
          <w:highlight w:val="none"/>
        </w:rPr>
        <w:t>址：</w:t>
      </w:r>
      <w:r>
        <w:rPr>
          <w:rFonts w:hAnsi="宋体" w:cs="宋体"/>
          <w:color w:val="auto"/>
          <w:szCs w:val="21"/>
          <w:highlight w:val="none"/>
          <w:u w:val="single"/>
        </w:rPr>
        <w:t xml:space="preserve">              </w:t>
      </w:r>
      <w:r>
        <w:rPr>
          <w:rFonts w:hAnsi="宋体" w:cs="宋体"/>
          <w:color w:val="auto"/>
          <w:szCs w:val="21"/>
          <w:highlight w:val="none"/>
        </w:rPr>
        <w:t xml:space="preserve">                        </w:t>
      </w:r>
      <w:r>
        <w:rPr>
          <w:rFonts w:hint="eastAsia" w:hAnsi="宋体" w:cs="宋体"/>
          <w:color w:val="auto"/>
          <w:szCs w:val="21"/>
          <w:highlight w:val="none"/>
        </w:rPr>
        <w:t>地</w:t>
      </w:r>
      <w:r>
        <w:rPr>
          <w:rFonts w:hAnsi="宋体" w:cs="宋体"/>
          <w:color w:val="auto"/>
          <w:szCs w:val="21"/>
          <w:highlight w:val="none"/>
        </w:rPr>
        <w:t xml:space="preserve"> </w:t>
      </w:r>
      <w:r>
        <w:rPr>
          <w:rFonts w:hint="eastAsia" w:hAnsi="宋体" w:cs="宋体"/>
          <w:color w:val="auto"/>
          <w:szCs w:val="21"/>
          <w:highlight w:val="none"/>
        </w:rPr>
        <w:t>址：</w:t>
      </w:r>
      <w:r>
        <w:rPr>
          <w:rFonts w:hAnsi="宋体" w:cs="宋体"/>
          <w:color w:val="auto"/>
          <w:szCs w:val="21"/>
          <w:highlight w:val="none"/>
          <w:u w:val="single"/>
        </w:rPr>
        <w:t xml:space="preserve">              </w:t>
      </w:r>
      <w:r>
        <w:rPr>
          <w:rFonts w:hAnsi="宋体" w:cs="宋体"/>
          <w:color w:val="auto"/>
          <w:szCs w:val="21"/>
          <w:highlight w:val="none"/>
        </w:rPr>
        <w:t xml:space="preserve"> </w:t>
      </w:r>
    </w:p>
    <w:p w14:paraId="46DFE1B7">
      <w:pPr>
        <w:pStyle w:val="18"/>
        <w:spacing w:line="480" w:lineRule="auto"/>
        <w:ind w:left="0" w:leftChars="0" w:firstLine="0" w:firstLineChars="0"/>
        <w:rPr>
          <w:rFonts w:hAnsi="宋体" w:cs="宋体"/>
          <w:color w:val="auto"/>
          <w:szCs w:val="21"/>
          <w:highlight w:val="none"/>
        </w:rPr>
      </w:pPr>
      <w:r>
        <w:rPr>
          <w:rFonts w:hint="eastAsia" w:hAnsi="宋体" w:cs="宋体"/>
          <w:color w:val="auto"/>
          <w:szCs w:val="21"/>
          <w:highlight w:val="none"/>
        </w:rPr>
        <w:t>电话：</w:t>
      </w:r>
      <w:r>
        <w:rPr>
          <w:rFonts w:hAnsi="宋体" w:cs="宋体"/>
          <w:color w:val="auto"/>
          <w:szCs w:val="21"/>
          <w:highlight w:val="none"/>
          <w:u w:val="single"/>
        </w:rPr>
        <w:t xml:space="preserve">               </w:t>
      </w:r>
      <w:r>
        <w:rPr>
          <w:rFonts w:hAnsi="宋体" w:cs="宋体"/>
          <w:color w:val="auto"/>
          <w:szCs w:val="21"/>
          <w:highlight w:val="none"/>
        </w:rPr>
        <w:t xml:space="preserve">                        </w:t>
      </w:r>
      <w:r>
        <w:rPr>
          <w:rFonts w:hint="eastAsia" w:hAnsi="宋体" w:cs="宋体"/>
          <w:color w:val="auto"/>
          <w:szCs w:val="21"/>
          <w:highlight w:val="none"/>
        </w:rPr>
        <w:t>电话：</w:t>
      </w:r>
      <w:r>
        <w:rPr>
          <w:rFonts w:hAnsi="宋体" w:cs="宋体"/>
          <w:color w:val="auto"/>
          <w:szCs w:val="21"/>
          <w:highlight w:val="none"/>
          <w:u w:val="single"/>
        </w:rPr>
        <w:t xml:space="preserve">               </w:t>
      </w:r>
    </w:p>
    <w:p w14:paraId="45747B3B">
      <w:pPr>
        <w:spacing w:line="480" w:lineRule="auto"/>
        <w:rPr>
          <w:rFonts w:ascii="宋体"/>
          <w:color w:val="auto"/>
          <w:sz w:val="32"/>
          <w:szCs w:val="32"/>
          <w:highlight w:val="none"/>
        </w:rPr>
      </w:pPr>
      <w:r>
        <w:rPr>
          <w:rFonts w:hint="eastAsia" w:hAnsi="宋体" w:cs="宋体"/>
          <w:color w:val="auto"/>
          <w:szCs w:val="21"/>
          <w:highlight w:val="none"/>
        </w:rPr>
        <w:t>日期：</w:t>
      </w:r>
      <w:r>
        <w:rPr>
          <w:rFonts w:hAnsi="宋体" w:cs="宋体"/>
          <w:color w:val="auto"/>
          <w:szCs w:val="21"/>
          <w:highlight w:val="none"/>
          <w:u w:val="single"/>
        </w:rPr>
        <w:t xml:space="preserve">                </w:t>
      </w:r>
      <w:r>
        <w:rPr>
          <w:rFonts w:hAnsi="宋体" w:cs="宋体"/>
          <w:color w:val="auto"/>
          <w:szCs w:val="21"/>
          <w:highlight w:val="none"/>
        </w:rPr>
        <w:t xml:space="preserve">                       </w:t>
      </w:r>
      <w:r>
        <w:rPr>
          <w:rFonts w:hint="eastAsia" w:hAnsi="宋体" w:cs="宋体"/>
          <w:color w:val="auto"/>
          <w:szCs w:val="21"/>
          <w:highlight w:val="none"/>
        </w:rPr>
        <w:t>日期：</w:t>
      </w:r>
      <w:r>
        <w:rPr>
          <w:rFonts w:hAnsi="宋体" w:cs="宋体"/>
          <w:color w:val="auto"/>
          <w:szCs w:val="21"/>
          <w:highlight w:val="none"/>
          <w:u w:val="single"/>
        </w:rPr>
        <w:t xml:space="preserve">                </w:t>
      </w:r>
    </w:p>
    <w:p w14:paraId="6DF278E1">
      <w:pPr>
        <w:pStyle w:val="18"/>
        <w:rPr>
          <w:color w:val="auto"/>
          <w:highlight w:val="none"/>
        </w:rPr>
      </w:pPr>
    </w:p>
    <w:p w14:paraId="53365830">
      <w:pPr>
        <w:rPr>
          <w:rFonts w:ascii="宋体" w:hAnsi="宋体" w:cs="宋体"/>
          <w:bCs/>
          <w:color w:val="auto"/>
          <w:kern w:val="44"/>
          <w:sz w:val="36"/>
          <w:szCs w:val="36"/>
          <w:highlight w:val="none"/>
        </w:rPr>
      </w:pPr>
      <w:r>
        <w:rPr>
          <w:rFonts w:hint="eastAsia" w:ascii="宋体" w:hAnsi="宋体" w:cs="宋体"/>
          <w:bCs/>
          <w:color w:val="auto"/>
          <w:kern w:val="44"/>
          <w:sz w:val="36"/>
          <w:szCs w:val="36"/>
          <w:highlight w:val="none"/>
        </w:rPr>
        <w:br w:type="page"/>
      </w:r>
    </w:p>
    <w:bookmarkEnd w:id="906"/>
    <w:bookmarkEnd w:id="907"/>
    <w:bookmarkEnd w:id="966"/>
    <w:p w14:paraId="51DF343C">
      <w:pPr>
        <w:rPr>
          <w:color w:val="auto"/>
          <w:highlight w:val="none"/>
        </w:rPr>
      </w:pPr>
    </w:p>
    <w:p w14:paraId="3FA57DA2">
      <w:pPr>
        <w:pStyle w:val="2"/>
        <w:adjustRightInd w:val="0"/>
        <w:snapToGrid w:val="0"/>
        <w:spacing w:line="440" w:lineRule="exact"/>
        <w:jc w:val="center"/>
        <w:rPr>
          <w:color w:val="auto"/>
          <w:sz w:val="36"/>
          <w:szCs w:val="36"/>
          <w:highlight w:val="none"/>
        </w:rPr>
      </w:pPr>
      <w:bookmarkStart w:id="968" w:name="_Toc4608"/>
      <w:bookmarkStart w:id="969" w:name="_Toc95223525"/>
      <w:bookmarkStart w:id="970" w:name="_Toc19870"/>
      <w:r>
        <w:rPr>
          <w:rFonts w:hint="eastAsia"/>
          <w:color w:val="auto"/>
          <w:sz w:val="36"/>
          <w:szCs w:val="36"/>
          <w:highlight w:val="none"/>
        </w:rPr>
        <w:t>第六章 技术标准和要求</w:t>
      </w:r>
      <w:bookmarkEnd w:id="968"/>
      <w:bookmarkEnd w:id="969"/>
      <w:bookmarkEnd w:id="970"/>
    </w:p>
    <w:p w14:paraId="32059618">
      <w:pPr>
        <w:snapToGrid w:val="0"/>
        <w:spacing w:line="360" w:lineRule="auto"/>
        <w:ind w:firstLine="442" w:firstLineChars="200"/>
        <w:outlineLvl w:val="1"/>
        <w:rPr>
          <w:rFonts w:ascii="宋体" w:hAnsi="宋体" w:cs="宋体"/>
          <w:b/>
          <w:bCs/>
          <w:color w:val="auto"/>
          <w:sz w:val="22"/>
          <w:szCs w:val="22"/>
          <w:highlight w:val="none"/>
        </w:rPr>
      </w:pPr>
      <w:bookmarkStart w:id="971" w:name="_Toc27971"/>
      <w:r>
        <w:rPr>
          <w:rFonts w:hint="eastAsia" w:ascii="宋体" w:hAnsi="宋体" w:cs="宋体"/>
          <w:b/>
          <w:bCs/>
          <w:color w:val="auto"/>
          <w:sz w:val="22"/>
          <w:szCs w:val="22"/>
          <w:highlight w:val="none"/>
        </w:rPr>
        <w:t>一、质量要求</w:t>
      </w:r>
      <w:bookmarkEnd w:id="971"/>
    </w:p>
    <w:p w14:paraId="0156D66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中标人负责的性能试验包括三个部分：设备出厂前的性能试验、设备安装调试的性能试验和电站试运行时的性能试验。中标人应提供各个性能试验的完整的试验报告，并签字盖章。</w:t>
      </w:r>
    </w:p>
    <w:p w14:paraId="07F08C44">
      <w:pPr>
        <w:snapToGrid w:val="0"/>
        <w:spacing w:line="360" w:lineRule="auto"/>
        <w:ind w:firstLine="420" w:firstLineChars="200"/>
        <w:outlineLvl w:val="2"/>
        <w:rPr>
          <w:rFonts w:ascii="宋体" w:hAnsi="宋体" w:cs="宋体"/>
          <w:color w:val="auto"/>
          <w:szCs w:val="21"/>
          <w:highlight w:val="none"/>
        </w:rPr>
      </w:pPr>
      <w:bookmarkStart w:id="972" w:name="_Toc13572"/>
      <w:r>
        <w:rPr>
          <w:rFonts w:hint="eastAsia" w:ascii="宋体" w:hAnsi="宋体" w:cs="宋体"/>
          <w:color w:val="auto"/>
          <w:szCs w:val="21"/>
          <w:highlight w:val="none"/>
        </w:rPr>
        <w:t>1．设备出厂前的性能试验</w:t>
      </w:r>
      <w:bookmarkEnd w:id="972"/>
    </w:p>
    <w:p w14:paraId="37FFFF0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对于采购的主要设备在出厂前应按国家标准及行业标准进行性能试验，中标人应提供性能试验报告。</w:t>
      </w:r>
    </w:p>
    <w:p w14:paraId="6C071A51">
      <w:pPr>
        <w:snapToGrid w:val="0"/>
        <w:spacing w:line="360" w:lineRule="auto"/>
        <w:ind w:firstLine="420" w:firstLineChars="200"/>
        <w:outlineLvl w:val="2"/>
        <w:rPr>
          <w:rFonts w:ascii="宋体" w:hAnsi="宋体" w:cs="宋体"/>
          <w:color w:val="auto"/>
          <w:szCs w:val="21"/>
          <w:highlight w:val="none"/>
        </w:rPr>
      </w:pPr>
      <w:bookmarkStart w:id="973" w:name="_Toc21349"/>
      <w:r>
        <w:rPr>
          <w:rFonts w:hint="eastAsia" w:ascii="宋体" w:hAnsi="宋体" w:cs="宋体"/>
          <w:color w:val="auto"/>
          <w:szCs w:val="21"/>
          <w:highlight w:val="none"/>
        </w:rPr>
        <w:t>2．设备安装调试的性能试验</w:t>
      </w:r>
      <w:bookmarkEnd w:id="973"/>
    </w:p>
    <w:p w14:paraId="465BB1C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主要设备按国家标准和行业标准进行安装调试的性能试验。</w:t>
      </w:r>
    </w:p>
    <w:p w14:paraId="78FE692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所有标准应为最新有效版本。</w:t>
      </w:r>
    </w:p>
    <w:p w14:paraId="253EF071">
      <w:pPr>
        <w:snapToGrid w:val="0"/>
        <w:spacing w:line="360" w:lineRule="auto"/>
        <w:ind w:firstLine="420" w:firstLineChars="200"/>
        <w:outlineLvl w:val="2"/>
        <w:rPr>
          <w:rFonts w:ascii="宋体" w:hAnsi="宋体" w:cs="宋体"/>
          <w:color w:val="auto"/>
          <w:szCs w:val="21"/>
          <w:highlight w:val="none"/>
        </w:rPr>
      </w:pPr>
      <w:bookmarkStart w:id="974" w:name="_Toc6724"/>
      <w:r>
        <w:rPr>
          <w:rFonts w:hint="eastAsia" w:ascii="宋体" w:hAnsi="宋体" w:cs="宋体"/>
          <w:color w:val="auto"/>
          <w:szCs w:val="21"/>
          <w:highlight w:val="none"/>
        </w:rPr>
        <w:t>3．调试和验收主要依据</w:t>
      </w:r>
      <w:bookmarkEnd w:id="974"/>
    </w:p>
    <w:p w14:paraId="516A3F86">
      <w:pPr>
        <w:snapToGrid w:val="0"/>
        <w:spacing w:line="360" w:lineRule="auto"/>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3.1 建筑工程施工与验收标准和规程、规范</w:t>
      </w:r>
    </w:p>
    <w:p w14:paraId="2992212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《并网光伏发电系统工程验收基本要求》GC/GF003.1：2009</w:t>
      </w:r>
    </w:p>
    <w:p w14:paraId="598BCF3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《混凝土结构工程施工及验收规范》GB50204-2002；</w:t>
      </w:r>
    </w:p>
    <w:p w14:paraId="5D24DE2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《建筑工程施工质量验收统一标准》GB50300-2001；</w:t>
      </w:r>
    </w:p>
    <w:p w14:paraId="4B44CC1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《火电施工质量检验及评定标准》 (土建工程篇)；</w:t>
      </w:r>
    </w:p>
    <w:p w14:paraId="36B9CC0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《建筑地基基础施工质量验收规范》GB50202-2002；</w:t>
      </w:r>
    </w:p>
    <w:p w14:paraId="0C93B8E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《建筑地基处理技术规范》JGJ 79-2002；</w:t>
      </w:r>
    </w:p>
    <w:p w14:paraId="14BBF15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《砌体工程施工质量验收规范》GB50203-2002；</w:t>
      </w:r>
    </w:p>
    <w:p w14:paraId="7C1D092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《钢结构工程施工质量验收规范》GB50205-2001；</w:t>
      </w:r>
    </w:p>
    <w:p w14:paraId="6B978C6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《屋面工程质量验收规范》GB50207-2002；</w:t>
      </w:r>
    </w:p>
    <w:p w14:paraId="4CB5D2A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《地下防水工程质量验收规范》GB50208-2002；</w:t>
      </w:r>
    </w:p>
    <w:p w14:paraId="614D367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《建筑地面工程施工质量验收规范》GB50209-2002；</w:t>
      </w:r>
    </w:p>
    <w:p w14:paraId="57EDBE2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《建筑装饰装修工程质量验收规范》GB50210-2001；</w:t>
      </w:r>
    </w:p>
    <w:p w14:paraId="240AF44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《钢筋焊接及验收规程》JGJ18-2003；</w:t>
      </w:r>
    </w:p>
    <w:p w14:paraId="7000E46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《建筑防腐工程施工及验收规范》GB50212-2002；</w:t>
      </w:r>
    </w:p>
    <w:p w14:paraId="3D2F86B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《混凝土强度检验评定标准》GBJ107-87；</w:t>
      </w:r>
    </w:p>
    <w:p w14:paraId="5EE180B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《预制混凝土构件质量检验评定标准》GBJ321-90；</w:t>
      </w:r>
    </w:p>
    <w:p w14:paraId="475A0DE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《通风与空调工程施工质量验收规范》GB50243-2002；</w:t>
      </w:r>
    </w:p>
    <w:p w14:paraId="2EF46B74">
      <w:pPr>
        <w:snapToGrid w:val="0"/>
        <w:spacing w:line="360" w:lineRule="auto"/>
        <w:ind w:firstLine="420" w:firstLineChars="200"/>
        <w:rPr>
          <w:rFonts w:ascii="宋体" w:hAnsi="宋体" w:cs="宋体"/>
          <w:color w:val="auto"/>
          <w:szCs w:val="21"/>
          <w:highlight w:val="none"/>
        </w:rPr>
        <w:sectPr>
          <w:footerReference r:id="rId9" w:type="default"/>
          <w:pgSz w:w="11906" w:h="16839"/>
          <w:pgMar w:top="1431" w:right="1785" w:bottom="1128" w:left="1785" w:header="0" w:footer="924" w:gutter="0"/>
          <w:cols w:space="720" w:num="1"/>
        </w:sectPr>
      </w:pPr>
    </w:p>
    <w:p w14:paraId="0882CB1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《通风与空调工程质量检验评定标准》GBJ304-88；</w:t>
      </w:r>
    </w:p>
    <w:p w14:paraId="1964B95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《工程建设标准强制性条文》（房屋建筑部分）建标[2000]85 号。</w:t>
      </w:r>
    </w:p>
    <w:p w14:paraId="131CB4E0">
      <w:pPr>
        <w:snapToGrid w:val="0"/>
        <w:spacing w:line="360" w:lineRule="auto"/>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3.2 安装工程及其调试、试运验收标准和规程、规范</w:t>
      </w:r>
    </w:p>
    <w:p w14:paraId="5D08387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《电气设备安装工程电气设备交接试验标准》GB50150-2006；</w:t>
      </w:r>
    </w:p>
    <w:p w14:paraId="3E60476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《电气装置安装工程电缆线路施工及验收规范》GB50168-2006；</w:t>
      </w:r>
    </w:p>
    <w:p w14:paraId="769939A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《电气装置安装工程接地装置施工及验收规范》GB50169-2006；</w:t>
      </w:r>
    </w:p>
    <w:p w14:paraId="468CDF1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《电气装置安装工程盘、柜及二次回路结线施工及验收规范》GB50171-1992；</w:t>
      </w:r>
    </w:p>
    <w:p w14:paraId="33C073D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《电气装置安装工程35kV及以下架空电力线路施工及验收规范》GB50173-1992；</w:t>
      </w:r>
    </w:p>
    <w:p w14:paraId="03B0404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《电气装置安装工程低压电器施工及验收规范》GB50254-1996；</w:t>
      </w:r>
    </w:p>
    <w:p w14:paraId="3D8401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《建筑电气工程施工质量验收规范》GB50303-2002；</w:t>
      </w:r>
    </w:p>
    <w:p w14:paraId="2B2EB61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《电气装置安装工程高压电器施工与验收规范》GBJ 147-1990；</w:t>
      </w:r>
    </w:p>
    <w:p w14:paraId="1EACB11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《电气装置安装工程电力变压器、油浸电抗器、互感器施工及验收规范》GBJ148-1990；</w:t>
      </w:r>
    </w:p>
    <w:p w14:paraId="60D66AA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《电气装置安装上程母线装置施工及验收规范》GBJ 149-1990；</w:t>
      </w:r>
    </w:p>
    <w:p w14:paraId="3508B5B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《电力装置的继电保护和自动装置设计规范》GB 50062-1992；</w:t>
      </w:r>
    </w:p>
    <w:p w14:paraId="26FB320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《电测量及电能计量装置设计技术规程》DL/T 5137-2001；</w:t>
      </w:r>
    </w:p>
    <w:p w14:paraId="7B78E06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《电力系统调度自动化设计技术规程》DL/T 5003-2005；</w:t>
      </w:r>
    </w:p>
    <w:p w14:paraId="67B4D6D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《35-110kV 变电所设计规范》GB50059-92；</w:t>
      </w:r>
    </w:p>
    <w:p w14:paraId="76B331E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《建筑物防雷设计规范》GB50057-1994；</w:t>
      </w:r>
    </w:p>
    <w:p w14:paraId="2E3EC3B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《继电保护和安全自动装置技术规程》GB14285-2006；</w:t>
      </w:r>
    </w:p>
    <w:p w14:paraId="11A16DE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《电力工程电缆设计规范》GB50217-2007；</w:t>
      </w:r>
    </w:p>
    <w:p w14:paraId="60BA1E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《供配电系统设计规范》GB50052-1995；</w:t>
      </w:r>
    </w:p>
    <w:p w14:paraId="40C30B2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《35kV-11OkV 无人值班变电所设计规程》DL/T 5103-99；</w:t>
      </w:r>
    </w:p>
    <w:p w14:paraId="015AF0C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《变电站总布置设计技术规程》DL/T 5056-2007；</w:t>
      </w:r>
    </w:p>
    <w:p w14:paraId="2D907D0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《交流电气装置的过电压保护和绝缘配合》DL/T 620-97；</w:t>
      </w:r>
    </w:p>
    <w:p w14:paraId="00EB354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《交流电气装置的接地》DL/T 621-97；</w:t>
      </w:r>
    </w:p>
    <w:p w14:paraId="4E24F1A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《高压/低压预装箱式变电站选用导则》DL/T 537-2002；</w:t>
      </w:r>
    </w:p>
    <w:p w14:paraId="2DB2DC9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《多功能电能表》DL/T 614-2007；</w:t>
      </w:r>
    </w:p>
    <w:p w14:paraId="2C6A459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《并联电容器装置设计规范》  GB50227-1995；</w:t>
      </w:r>
    </w:p>
    <w:p w14:paraId="164AB4E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《电气装置安装工程电气设备交接试验标准》GB50150-2006；</w:t>
      </w:r>
    </w:p>
    <w:p w14:paraId="4AF5D52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《电气装置安装工程旋转电机施工及验收规范》GB50170-2006；</w:t>
      </w:r>
    </w:p>
    <w:p w14:paraId="7C0102A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《电气装置安装工程蓄电池施工及验收规范》GB50172-1992；</w:t>
      </w:r>
    </w:p>
    <w:p w14:paraId="4948240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《建筑电气工程施工质量验收规范》GB50303-2002；</w:t>
      </w:r>
    </w:p>
    <w:p w14:paraId="2823CFC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《电力建设施工及验收规范第5部分》热工仪表及控制装置篇DL/T5190.5-2004；</w:t>
      </w:r>
    </w:p>
    <w:p w14:paraId="3832361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《火电工程调整试运质量检验及评定标准》建质[1996]111 号；</w:t>
      </w:r>
    </w:p>
    <w:p w14:paraId="021313E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《模拟量控制系统负荷变动试验导则》建质[1996]40 号；</w:t>
      </w:r>
    </w:p>
    <w:p w14:paraId="5420FC8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《工程建设标准强制性条文》（电力工程部分）建设部建标[2000]241 号；</w:t>
      </w:r>
    </w:p>
    <w:p w14:paraId="28B2B7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电网对光伏电站 110kV升压变电所的调度自动化、遥测、遥控、遥信的相关</w:t>
      </w:r>
    </w:p>
    <w:p w14:paraId="5647B43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规定。</w:t>
      </w:r>
    </w:p>
    <w:p w14:paraId="4F3DB43E">
      <w:pPr>
        <w:snapToGrid w:val="0"/>
        <w:spacing w:line="360" w:lineRule="auto"/>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3.3 有关光伏电站的标准和规程、规范</w:t>
      </w:r>
    </w:p>
    <w:p w14:paraId="50D1A37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《晶体硅光伏（PV）方阵 I-V 特性的现场测量》GB/T 18210-2000</w:t>
      </w:r>
    </w:p>
    <w:p w14:paraId="7E969A3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《地面用光伏（PV）发电系统 概述和导则》GB/T 18479-2001</w:t>
      </w:r>
    </w:p>
    <w:p w14:paraId="589419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《地面用薄膜光伏组件 设计鉴定和定型》GB/T 18911-2002</w:t>
      </w:r>
    </w:p>
    <w:p w14:paraId="429C895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《光伏系统并网技术要求》GB/T 19939-2005</w:t>
      </w:r>
    </w:p>
    <w:p w14:paraId="04C1F2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《光伏发电站接入电力系统技术规定》GB/Z 19964-2005</w:t>
      </w:r>
    </w:p>
    <w:p w14:paraId="5F08933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《光伏（PV）系统电网接口特性》GB/T 20046-2006</w:t>
      </w:r>
    </w:p>
    <w:p w14:paraId="7084C1B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《光伏（PV）组件安全鉴定 第 1 部分：结构要求》GB/T 20047.1-2006</w:t>
      </w:r>
    </w:p>
    <w:p w14:paraId="04604B7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《光伏系统性能监测 测量、数据交换和分析导则》GB/T 20513-2006</w:t>
      </w:r>
    </w:p>
    <w:p w14:paraId="354B69B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《光伏系统功率调节器效率测量程序》GB/T 20514-2006</w:t>
      </w:r>
    </w:p>
    <w:p w14:paraId="6E0A973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《太阳光伏能源系统术语》GB/T 2297-1989</w:t>
      </w:r>
    </w:p>
    <w:p w14:paraId="50D5B2E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《光伏器件第1部分:光伏电流-电压特性的测量》GB/T 6495.1-1996</w:t>
      </w:r>
    </w:p>
    <w:p w14:paraId="44792A3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《光伏器件第2部分:标准太阳电池的要求》GB/T 6495.2-1996</w:t>
      </w:r>
    </w:p>
    <w:p w14:paraId="0157128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《光伏器件第3部分:地面用光伏器件的测量原理及标准光谱辐照度数据》GB/T6495.3-1996</w:t>
      </w:r>
    </w:p>
    <w:p w14:paraId="45C63F2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晶体硅光伏度器件 的I-V实测特性 的温度和辐照度修正方法》GB/T6495.4-1996</w:t>
      </w:r>
    </w:p>
    <w:p w14:paraId="7CEBA0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《光伏器件第5部分:用开路电压法确定光伏(PV)器件的等效电池温度(ECT)》GB/T6495.5-1997</w:t>
      </w:r>
    </w:p>
    <w:p w14:paraId="7CB85DE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《光伏器件第7部分：光伏器件测量过程中引起的光谱失配误差的计算》</w:t>
      </w:r>
    </w:p>
    <w:p w14:paraId="504994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GB/T6495.7-2006</w:t>
      </w:r>
    </w:p>
    <w:p w14:paraId="5B5FC43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《光伏器件第8部分: 光伏器件光谱响应的测量》GB/T 6495.8-2002</w:t>
      </w:r>
    </w:p>
    <w:p w14:paraId="5010D20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《光伏器件第9部分：太阳模拟器性能要求》GB/T 6495.9-2006</w:t>
      </w:r>
    </w:p>
    <w:p w14:paraId="18729EE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《地面用晶体硅光伏组件 设计鉴定和定型》GB/T 9535-1998</w:t>
      </w:r>
    </w:p>
    <w:p w14:paraId="7A5BD7D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《太阳光伏能源系统图用图形符号》SJ/T 10460-1993</w:t>
      </w:r>
    </w:p>
    <w:p w14:paraId="164025C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《光伏（PV）发电系统过电保护－导则》SJ/T 11127-1997</w:t>
      </w:r>
    </w:p>
    <w:p w14:paraId="5CBD04C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《光伏器件 第 6 部分：标准太阳电池组件的要求》SJ/T 11209-1999</w:t>
      </w:r>
    </w:p>
    <w:p w14:paraId="26B9F7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《光伏发电站施工规范》GB50794-2012；</w:t>
      </w:r>
    </w:p>
    <w:p w14:paraId="2B1EAC77">
      <w:pPr>
        <w:snapToGrid w:val="0"/>
        <w:spacing w:line="360" w:lineRule="auto"/>
        <w:ind w:firstLine="420" w:firstLineChars="200"/>
        <w:outlineLvl w:val="3"/>
        <w:rPr>
          <w:rFonts w:ascii="宋体" w:hAnsi="宋体" w:cs="宋体"/>
          <w:color w:val="auto"/>
          <w:szCs w:val="21"/>
          <w:highlight w:val="none"/>
        </w:rPr>
      </w:pPr>
      <w:r>
        <w:rPr>
          <w:rFonts w:hint="eastAsia" w:ascii="宋体" w:hAnsi="宋体" w:cs="宋体"/>
          <w:color w:val="auto"/>
          <w:szCs w:val="21"/>
          <w:highlight w:val="none"/>
        </w:rPr>
        <w:t>3.4 国家及电力行业有关建设项目的法规、规定</w:t>
      </w:r>
    </w:p>
    <w:p w14:paraId="3EC7DC5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《建设项目环境保护管理条例》， 1998 国务院令第 253 号；</w:t>
      </w:r>
    </w:p>
    <w:p w14:paraId="5A48FFE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《建设项目竣工环境保护验收管理办法》，国家环保总局第 13 号令；</w:t>
      </w:r>
    </w:p>
    <w:p w14:paraId="6DDD4AA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《环境影响评价技术导则 声环境》HJ/T 2.4-1995；</w:t>
      </w:r>
    </w:p>
    <w:p w14:paraId="698397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《声环境质量标准》GB3096-2008；</w:t>
      </w:r>
    </w:p>
    <w:p w14:paraId="5C2DEDF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《工业企业设计卫生标准》GBZ1-2002；</w:t>
      </w:r>
    </w:p>
    <w:p w14:paraId="503499F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《环境空气质量标准》GB3095-1996；</w:t>
      </w:r>
    </w:p>
    <w:p w14:paraId="1137FF3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《地表水环境质量标准》GHZB1-1999；</w:t>
      </w:r>
    </w:p>
    <w:p w14:paraId="7623560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《农田灌溉水质标准》GB5084-2005 中的水作物标准；</w:t>
      </w:r>
    </w:p>
    <w:p w14:paraId="67DCE18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《工业企业厂界环境噪声排放标准》GB12348-2008；</w:t>
      </w:r>
    </w:p>
    <w:p w14:paraId="2EA1251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《建设工程文件归档整理规范》GB/T50328-2001；</w:t>
      </w:r>
    </w:p>
    <w:p w14:paraId="6FCE3E3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《基本建设项目档案资料管理暂行规定》国档发[1988]4 号；</w:t>
      </w:r>
    </w:p>
    <w:p w14:paraId="0FE6ED8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《科技档案案卷构成的一般要求》GB/T 11822-2000；</w:t>
      </w:r>
    </w:p>
    <w:p w14:paraId="607E86A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《电力工业企业档案分类规则及分类表》能源办(1991)231 号文；</w:t>
      </w:r>
    </w:p>
    <w:p w14:paraId="727C2D0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《国家重大建设项目文件归档要求与档案整理规范》（DA/T28-2002）； </w:t>
      </w:r>
    </w:p>
    <w:p w14:paraId="496573D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《建设工程安全生产管理条例》2003年11月24日国务院393号令；</w:t>
      </w:r>
    </w:p>
    <w:p w14:paraId="0903FD4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《电力建设工程施工技术管理导则》；</w:t>
      </w:r>
    </w:p>
    <w:p w14:paraId="5711996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《建设工程质量管理条例》  国务院 2000 年 1 月 30 日发布 279 号令；</w:t>
      </w:r>
    </w:p>
    <w:p w14:paraId="00995CB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《工程建设重大事故报告和调查程序规定》建设部令 第 3 号；</w:t>
      </w:r>
    </w:p>
    <w:p w14:paraId="346C77D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《实施工程建设强制性标准监督规定》  建设部令 第81号；</w:t>
      </w:r>
    </w:p>
    <w:p w14:paraId="529385F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《电力建设工程质量监督规定》（2002 版）；</w:t>
      </w:r>
    </w:p>
    <w:p w14:paraId="184CB9B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《电力建设文明施工规定及考核办法》；</w:t>
      </w:r>
    </w:p>
    <w:p w14:paraId="0E3122E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《电力建设消除施工质量通病守则》；</w:t>
      </w:r>
    </w:p>
    <w:p w14:paraId="6D23455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《电力建设施工及验收技术规范》；</w:t>
      </w:r>
    </w:p>
    <w:p w14:paraId="2888D4C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《电力工业技术管理法规（试行）》 (80)电技字第 26 号；</w:t>
      </w:r>
    </w:p>
    <w:p w14:paraId="79ECB63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《电业生产事故调查规程》国家电力公司  国电发[2000]643 号；</w:t>
      </w:r>
    </w:p>
    <w:p w14:paraId="639375B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《电力设备监造技术导则》DL/T586-2008;</w:t>
      </w:r>
    </w:p>
    <w:p w14:paraId="6A6947A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《电力建设文明施工规定及考核办法》电力工业部 1995-09-06；</w:t>
      </w:r>
    </w:p>
    <w:p w14:paraId="725A183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《建设工程质量监督规定》；</w:t>
      </w:r>
    </w:p>
    <w:p w14:paraId="54910A8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《国家计委关于基本建设大中型项目开工条件的规定》计建设[1997]352 号；</w:t>
      </w:r>
    </w:p>
    <w:p w14:paraId="3DE61EA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《建设工程项目管理规范》GB/T50326-2006。</w:t>
      </w:r>
    </w:p>
    <w:p w14:paraId="29A0BC1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4.光伏组件</w:t>
      </w:r>
    </w:p>
    <w:p w14:paraId="48C9D0E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采用单块容量为不低于6</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0Wp。具有良好的耐候性，可在室外严酷条件下长期稳定可靠运行。 光伏板应符合 IEC61215、IEC61730 标准及要求，须通过国家批准认证机构的认证，中标单位材料进场前需提供产品认证证书。</w:t>
      </w:r>
    </w:p>
    <w:p w14:paraId="309C316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光伏板选用品牌且必须通过 CE、TUV 认证或者领跑者认证，组件效率&gt;2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%，第1 年衰减≤1%，第2年至第 25年每年衰减≤0.5%。</w:t>
      </w:r>
    </w:p>
    <w:p w14:paraId="60C3728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采用密封防水多功能接线盒，防护等级满足 IP67，如因组件造成安全事故，需由中标人承担。</w:t>
      </w:r>
    </w:p>
    <w:p w14:paraId="4FAAE5CA">
      <w:pPr>
        <w:numPr>
          <w:ilvl w:val="0"/>
          <w:numId w:val="8"/>
        </w:num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逆变器</w:t>
      </w:r>
    </w:p>
    <w:p w14:paraId="1151C70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满足 NB/T32004-2013《光伏发电并网逆变器技术规范》、GB/T29319-2012《光伏发电系统接入配电网技术规定》的要求。</w:t>
      </w:r>
    </w:p>
    <w:p w14:paraId="397E3FC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设备需通过国家批准认证机构的认证。</w:t>
      </w:r>
    </w:p>
    <w:p w14:paraId="6935671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选用品牌，转换效率≥98.5%，中国效率≥98%，超前0.8到滞后0.8范围内连续可调。</w:t>
      </w:r>
    </w:p>
    <w:p w14:paraId="5D8DAB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输出电压波形、幅值及相位等与公共电网一致，实现无扰动平滑电网供电。</w:t>
      </w:r>
    </w:p>
    <w:p w14:paraId="2F18854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防水等级 IP65、RS485、WIFI、GPRS 等通讯接口、噪音≤25DB。</w:t>
      </w:r>
    </w:p>
    <w:p w14:paraId="24F3DB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具备残余电流、孤岛、输出过流、绝缘电阻侦测、防雷电等保护功能。</w:t>
      </w:r>
    </w:p>
    <w:p w14:paraId="5DD1CCB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6.设备外观须经招标人认可后方可使用，且设备须接入现有</w:t>
      </w:r>
      <w:r>
        <w:rPr>
          <w:rFonts w:hint="eastAsia" w:ascii="宋体" w:hAnsi="宋体" w:cs="宋体"/>
          <w:color w:val="auto"/>
          <w:szCs w:val="21"/>
          <w:highlight w:val="none"/>
          <w:lang w:val="en-US" w:eastAsia="zh-CN"/>
        </w:rPr>
        <w:t>计划</w:t>
      </w:r>
      <w:r>
        <w:rPr>
          <w:rFonts w:hint="eastAsia" w:ascii="宋体" w:hAnsi="宋体" w:cs="宋体"/>
          <w:color w:val="auto"/>
          <w:szCs w:val="21"/>
          <w:highlight w:val="none"/>
        </w:rPr>
        <w:t>平台(数字光伏能源管理平台)。</w:t>
      </w:r>
    </w:p>
    <w:p w14:paraId="61661DD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7.监控设备:现场监控无死角;监控摄像机不低于 400 万像素，文持背光补偿，强光抑制,3D 数字降噪，120 dB宽动态，适应不同环境;支持白光/红外双补光;支持最大256 GB MicroSD/MicroSDHC/MicroSDXC 卡本地存储,存储日期不少于 15 天:符合 IP66 防尘防水设计，可靠性高。</w:t>
      </w:r>
    </w:p>
    <w:p w14:paraId="49054458">
      <w:pPr>
        <w:numPr>
          <w:ilvl w:val="0"/>
          <w:numId w:val="9"/>
        </w:numPr>
        <w:snapToGrid w:val="0"/>
        <w:spacing w:line="360" w:lineRule="auto"/>
        <w:ind w:firstLine="442" w:firstLineChars="200"/>
        <w:outlineLvl w:val="1"/>
        <w:rPr>
          <w:rFonts w:ascii="宋体" w:hAnsi="宋体" w:cs="宋体"/>
          <w:b/>
          <w:bCs/>
          <w:color w:val="auto"/>
          <w:sz w:val="22"/>
          <w:szCs w:val="22"/>
          <w:highlight w:val="none"/>
        </w:rPr>
      </w:pPr>
      <w:bookmarkStart w:id="975" w:name="_Toc5836"/>
      <w:r>
        <w:rPr>
          <w:rFonts w:hint="eastAsia" w:ascii="宋体" w:hAnsi="宋体" w:cs="宋体"/>
          <w:b/>
          <w:bCs/>
          <w:color w:val="auto"/>
          <w:sz w:val="22"/>
          <w:szCs w:val="22"/>
          <w:highlight w:val="none"/>
        </w:rPr>
        <w:t>验收标准</w:t>
      </w:r>
      <w:bookmarkEnd w:id="975"/>
    </w:p>
    <w:p w14:paraId="380325C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本验收标准仅为招标人对中标人承揽本工程进行内部验收时使用，原则上以并网完成工程量为准，招标人依据《并网光伏发电系统工程验收基本要求》 （CGC/GF003.1：2009）作为招标人向中标人支付本项目合同约定的工程进度款的依据；通过本次验收，不代表本项目（或区段）的工程质量无问题。</w:t>
      </w:r>
    </w:p>
    <w:p w14:paraId="5EDA07E3">
      <w:pPr>
        <w:snapToGrid w:val="0"/>
        <w:spacing w:line="360" w:lineRule="auto"/>
        <w:ind w:firstLine="420" w:firstLineChars="200"/>
        <w:outlineLvl w:val="2"/>
        <w:rPr>
          <w:rFonts w:ascii="宋体" w:hAnsi="宋体" w:cs="宋体"/>
          <w:color w:val="auto"/>
          <w:szCs w:val="21"/>
          <w:highlight w:val="none"/>
        </w:rPr>
      </w:pPr>
      <w:bookmarkStart w:id="976" w:name="_Toc18490"/>
      <w:r>
        <w:rPr>
          <w:rFonts w:hint="eastAsia" w:ascii="宋体" w:hAnsi="宋体" w:cs="宋体"/>
          <w:color w:val="auto"/>
          <w:szCs w:val="21"/>
          <w:highlight w:val="none"/>
        </w:rPr>
        <w:t>1、资料：</w:t>
      </w:r>
      <w:bookmarkEnd w:id="976"/>
    </w:p>
    <w:p w14:paraId="1518B85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A、施工资料齐全、完整；</w:t>
      </w:r>
    </w:p>
    <w:p w14:paraId="7C79DDC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B、设备、材料质量证明资料齐全、完整；</w:t>
      </w:r>
    </w:p>
    <w:p w14:paraId="38E9D26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C、设备调试报告齐全、完整。</w:t>
      </w:r>
    </w:p>
    <w:p w14:paraId="6EA2B0EE">
      <w:pPr>
        <w:snapToGrid w:val="0"/>
        <w:spacing w:line="360" w:lineRule="auto"/>
        <w:ind w:firstLine="420" w:firstLineChars="200"/>
        <w:outlineLvl w:val="2"/>
        <w:rPr>
          <w:rFonts w:ascii="宋体" w:hAnsi="宋体" w:cs="宋体"/>
          <w:color w:val="auto"/>
          <w:szCs w:val="21"/>
          <w:highlight w:val="none"/>
        </w:rPr>
      </w:pPr>
      <w:bookmarkStart w:id="977" w:name="_Toc12177"/>
      <w:r>
        <w:rPr>
          <w:rFonts w:hint="eastAsia" w:ascii="宋体" w:hAnsi="宋体" w:cs="宋体"/>
          <w:color w:val="auto"/>
          <w:szCs w:val="21"/>
          <w:highlight w:val="none"/>
        </w:rPr>
        <w:t>2、光伏阵列：</w:t>
      </w:r>
      <w:bookmarkEnd w:id="977"/>
    </w:p>
    <w:p w14:paraId="6C9EE2D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A、光伏阵列支架安装应严格按照图纸要求，安装完成整体调整支架水平后紧固螺栓；</w:t>
      </w:r>
    </w:p>
    <w:p w14:paraId="55967EA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B、光伏组件无损伤、表面清洁；</w:t>
      </w:r>
    </w:p>
    <w:p w14:paraId="19D1C81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C、阵列接线应严格按图纸要求施工。</w:t>
      </w:r>
    </w:p>
    <w:p w14:paraId="0A2B915D">
      <w:pPr>
        <w:snapToGrid w:val="0"/>
        <w:spacing w:line="360" w:lineRule="auto"/>
        <w:ind w:firstLine="420" w:firstLineChars="200"/>
        <w:outlineLvl w:val="2"/>
        <w:rPr>
          <w:rFonts w:ascii="宋体" w:hAnsi="宋体" w:cs="宋体"/>
          <w:color w:val="auto"/>
          <w:szCs w:val="21"/>
          <w:highlight w:val="none"/>
        </w:rPr>
      </w:pPr>
      <w:bookmarkStart w:id="978" w:name="_Toc29845"/>
      <w:r>
        <w:rPr>
          <w:rFonts w:hint="eastAsia" w:ascii="宋体" w:hAnsi="宋体" w:cs="宋体"/>
          <w:color w:val="auto"/>
          <w:szCs w:val="21"/>
          <w:highlight w:val="none"/>
        </w:rPr>
        <w:t>3、配电设备：</w:t>
      </w:r>
      <w:bookmarkEnd w:id="978"/>
    </w:p>
    <w:p w14:paraId="48DF13F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A、设备柜架和基础必须接地或接零可靠。</w:t>
      </w:r>
    </w:p>
    <w:p w14:paraId="55DC38F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B、低压成套配电柜、控制柜、照明配电箱等应有可靠的电击保护。</w:t>
      </w:r>
    </w:p>
    <w:p w14:paraId="4748842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C、 箱(盘)内配线整齐，无绞接现象，箱(盘)内开关动作灵活可靠。</w:t>
      </w:r>
    </w:p>
    <w:p w14:paraId="0B6B792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D、低压成套配电柜交接试验和箱(盘)、柜内的装量应符合设计要求及有关规定。</w:t>
      </w:r>
    </w:p>
    <w:p w14:paraId="02338DD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E、设备部件齐全，安装连接应可靠。</w:t>
      </w:r>
    </w:p>
    <w:p w14:paraId="337166BC">
      <w:pPr>
        <w:snapToGrid w:val="0"/>
        <w:spacing w:line="360" w:lineRule="auto"/>
        <w:ind w:firstLine="420" w:firstLineChars="200"/>
        <w:outlineLvl w:val="2"/>
        <w:rPr>
          <w:rFonts w:ascii="宋体" w:hAnsi="宋体" w:cs="宋体"/>
          <w:color w:val="auto"/>
          <w:szCs w:val="21"/>
          <w:highlight w:val="none"/>
        </w:rPr>
      </w:pPr>
      <w:bookmarkStart w:id="979" w:name="_Toc10914"/>
      <w:r>
        <w:rPr>
          <w:rFonts w:hint="eastAsia" w:ascii="宋体" w:hAnsi="宋体" w:cs="宋体"/>
          <w:color w:val="auto"/>
          <w:szCs w:val="21"/>
          <w:highlight w:val="none"/>
        </w:rPr>
        <w:t>4、防雷接地装置：</w:t>
      </w:r>
      <w:bookmarkEnd w:id="979"/>
    </w:p>
    <w:p w14:paraId="3D3EA26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A、整个接地网外露部分的连接应可靠，接地线规格证确，防腐层应完好，标志齐全明显。</w:t>
      </w:r>
    </w:p>
    <w:p w14:paraId="259F6C6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B、工频接地电阻值及设计要求的其他测试参数应符合设计规定。</w:t>
      </w:r>
    </w:p>
    <w:p w14:paraId="69E183AA">
      <w:pPr>
        <w:snapToGrid w:val="0"/>
        <w:spacing w:line="360" w:lineRule="auto"/>
        <w:ind w:firstLine="420" w:firstLineChars="200"/>
        <w:outlineLvl w:val="2"/>
        <w:rPr>
          <w:rFonts w:ascii="宋体" w:hAnsi="宋体" w:cs="宋体"/>
          <w:color w:val="auto"/>
          <w:szCs w:val="21"/>
          <w:highlight w:val="none"/>
        </w:rPr>
      </w:pPr>
      <w:bookmarkStart w:id="980" w:name="_Toc22177"/>
      <w:r>
        <w:rPr>
          <w:rFonts w:hint="eastAsia" w:ascii="宋体" w:hAnsi="宋体" w:cs="宋体"/>
          <w:color w:val="auto"/>
          <w:szCs w:val="21"/>
          <w:highlight w:val="none"/>
        </w:rPr>
        <w:t>5、电缆：</w:t>
      </w:r>
      <w:bookmarkEnd w:id="980"/>
    </w:p>
    <w:p w14:paraId="468F9D8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A、规格符合规定，排列整齐， 无损伤， 相色、路径标志齐全、正确、清晰。</w:t>
      </w:r>
    </w:p>
    <w:p w14:paraId="73ABE3C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B、电缆终端、接头安装牢固，弯曲半径、有关距离、接线相序和排列符合要求，接地良好。</w:t>
      </w:r>
    </w:p>
    <w:p w14:paraId="5CCB07D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C、电缆支架等的金属部件防腐层应完好。</w:t>
      </w:r>
    </w:p>
    <w:p w14:paraId="3609C70B">
      <w:pPr>
        <w:snapToGrid w:val="0"/>
        <w:spacing w:line="360" w:lineRule="auto"/>
        <w:ind w:firstLine="420" w:firstLineChars="200"/>
        <w:outlineLvl w:val="2"/>
        <w:rPr>
          <w:rFonts w:ascii="宋体" w:hAnsi="宋体" w:cs="宋体"/>
          <w:color w:val="auto"/>
          <w:szCs w:val="21"/>
          <w:highlight w:val="none"/>
        </w:rPr>
      </w:pPr>
      <w:bookmarkStart w:id="981" w:name="_Toc4066"/>
      <w:r>
        <w:rPr>
          <w:rFonts w:hint="eastAsia" w:ascii="宋体" w:hAnsi="宋体" w:cs="宋体"/>
          <w:color w:val="auto"/>
          <w:szCs w:val="21"/>
          <w:highlight w:val="none"/>
        </w:rPr>
        <w:t>6、监控设备：</w:t>
      </w:r>
      <w:r>
        <w:rPr>
          <w:rFonts w:hint="eastAsia" w:ascii="宋体" w:hAnsi="宋体" w:cs="宋体"/>
          <w:color w:val="auto"/>
          <w:spacing w:val="-6"/>
          <w:szCs w:val="21"/>
          <w:highlight w:val="none"/>
        </w:rPr>
        <w:t>实现实</w:t>
      </w:r>
      <w:r>
        <w:rPr>
          <w:rFonts w:hint="eastAsia" w:ascii="宋体" w:hAnsi="宋体" w:cs="宋体"/>
          <w:color w:val="auto"/>
          <w:kern w:val="0"/>
          <w:szCs w:val="21"/>
          <w:highlight w:val="none"/>
        </w:rPr>
        <w:t>施范围全覆盖的视频监控，安装位置和数量合理，图像清晰。</w:t>
      </w:r>
      <w:bookmarkEnd w:id="981"/>
    </w:p>
    <w:p w14:paraId="681F77EF">
      <w:pPr>
        <w:snapToGrid w:val="0"/>
        <w:spacing w:line="360" w:lineRule="auto"/>
        <w:ind w:firstLine="420" w:firstLineChars="200"/>
        <w:outlineLvl w:val="2"/>
        <w:rPr>
          <w:rFonts w:ascii="宋体" w:hAnsi="宋体" w:cs="宋体"/>
          <w:color w:val="auto"/>
          <w:szCs w:val="21"/>
          <w:highlight w:val="none"/>
        </w:rPr>
      </w:pPr>
      <w:bookmarkStart w:id="982" w:name="_Toc30038"/>
      <w:r>
        <w:rPr>
          <w:rFonts w:hint="eastAsia" w:ascii="宋体" w:hAnsi="宋体" w:cs="宋体"/>
          <w:color w:val="auto"/>
          <w:szCs w:val="21"/>
          <w:highlight w:val="none"/>
        </w:rPr>
        <w:t>7、其它：</w:t>
      </w:r>
      <w:bookmarkEnd w:id="982"/>
    </w:p>
    <w:p w14:paraId="0A8ACAA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A、合同约定的工程量按图纸及甲方要求完成；</w:t>
      </w:r>
    </w:p>
    <w:p w14:paraId="0CA5A13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B、具备运行条件；</w:t>
      </w:r>
    </w:p>
    <w:p w14:paraId="38FE2EB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C、检测、调试工作完成。</w:t>
      </w:r>
    </w:p>
    <w:p w14:paraId="6029A40F">
      <w:pPr>
        <w:numPr>
          <w:ilvl w:val="0"/>
          <w:numId w:val="9"/>
        </w:numPr>
        <w:snapToGrid w:val="0"/>
        <w:spacing w:line="360" w:lineRule="auto"/>
        <w:ind w:firstLine="442" w:firstLineChars="200"/>
        <w:outlineLvl w:val="1"/>
        <w:rPr>
          <w:rFonts w:ascii="宋体" w:hAnsi="宋体" w:cs="宋体"/>
          <w:b/>
          <w:bCs/>
          <w:color w:val="auto"/>
          <w:sz w:val="22"/>
          <w:szCs w:val="22"/>
          <w:highlight w:val="none"/>
        </w:rPr>
      </w:pPr>
      <w:bookmarkStart w:id="983" w:name="_Toc30338"/>
      <w:r>
        <w:rPr>
          <w:rFonts w:hint="eastAsia" w:ascii="宋体" w:hAnsi="宋体" w:cs="宋体"/>
          <w:b/>
          <w:bCs/>
          <w:color w:val="auto"/>
          <w:sz w:val="22"/>
          <w:szCs w:val="22"/>
          <w:highlight w:val="none"/>
        </w:rPr>
        <w:t>运维服务要求</w:t>
      </w:r>
      <w:bookmarkEnd w:id="983"/>
    </w:p>
    <w:p w14:paraId="78A3937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除专用条件另有约定外，运维工作内容包括：</w:t>
      </w:r>
    </w:p>
    <w:p w14:paraId="166BF4C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1、收到运维服务通知后编制光伏运维工作规划，并报招标人审核通过执行。根据有关规定和运维服务工作需要，编制光伏电站运维服务工作实施细则；</w:t>
      </w:r>
    </w:p>
    <w:p w14:paraId="0E8139B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2、熟悉光伏电站竣工设计文件及相关竣工资料、运行资料，并参加由招标人主持的技术、安全交底会议。在运维服务工作巡视、监护和检验过程中，发现工程质量、运行安全存在事故隐患的，及时报招标人；</w:t>
      </w:r>
    </w:p>
    <w:p w14:paraId="5B489BD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3、参加由招标人主持的工地会议深入了解招标人对工程运行维护工作的具体要求及时间节点；</w:t>
      </w:r>
    </w:p>
    <w:p w14:paraId="58626DF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4、在运维服务工作巡视、旁站和检验过程中，发现工程质量、运行安全存在事故隐患的，及时报招标人；</w:t>
      </w:r>
    </w:p>
    <w:p w14:paraId="2EE6F5F6">
      <w:pPr>
        <w:snapToGrid w:val="0"/>
        <w:spacing w:line="360" w:lineRule="auto"/>
        <w:ind w:firstLine="420" w:firstLineChars="200"/>
        <w:outlineLvl w:val="2"/>
        <w:rPr>
          <w:rFonts w:ascii="宋体" w:hAnsi="宋体" w:cs="宋体"/>
          <w:color w:val="auto"/>
          <w:szCs w:val="21"/>
          <w:highlight w:val="none"/>
        </w:rPr>
      </w:pPr>
      <w:bookmarkStart w:id="984" w:name="_Toc28372"/>
      <w:r>
        <w:rPr>
          <w:rFonts w:hint="eastAsia" w:ascii="宋体" w:hAnsi="宋体" w:cs="宋体"/>
          <w:color w:val="auto"/>
          <w:szCs w:val="21"/>
          <w:highlight w:val="none"/>
        </w:rPr>
        <w:t>5、经招标人同意，签发运维工作令；</w:t>
      </w:r>
      <w:bookmarkEnd w:id="984"/>
    </w:p>
    <w:p w14:paraId="4023018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6、运维工作过程中采用新材料、新工艺、新技术、新设备时应先上报招标人并提供相关的论证材料及相关验收标准；</w:t>
      </w:r>
    </w:p>
    <w:p w14:paraId="789FB5D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7、应依据相关规程、规范着重检查、巡视隐蔽工程、分部分项工程；</w:t>
      </w:r>
    </w:p>
    <w:p w14:paraId="0989AC9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8、运维过程中涉及增加工程量时，应及时向招标人提供工程量单、材料费用报价、检修及更换部件周期等工作计划；</w:t>
      </w:r>
    </w:p>
    <w:p w14:paraId="126CC51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9、检修工作完成后应向招标人提交验收申请，并编写检修、维护工作质量评估报告（包含检修日志）；</w:t>
      </w:r>
    </w:p>
    <w:p w14:paraId="176E5D4F">
      <w:pPr>
        <w:snapToGrid w:val="0"/>
        <w:spacing w:line="360" w:lineRule="auto"/>
        <w:ind w:firstLine="420" w:firstLineChars="200"/>
        <w:outlineLvl w:val="2"/>
        <w:rPr>
          <w:rFonts w:ascii="宋体" w:hAnsi="宋体" w:cs="宋体"/>
          <w:color w:val="auto"/>
          <w:szCs w:val="21"/>
          <w:highlight w:val="none"/>
        </w:rPr>
      </w:pPr>
      <w:bookmarkStart w:id="985" w:name="_Toc8465"/>
      <w:r>
        <w:rPr>
          <w:rFonts w:hint="eastAsia" w:ascii="宋体" w:hAnsi="宋体" w:cs="宋体"/>
          <w:color w:val="auto"/>
          <w:szCs w:val="21"/>
          <w:highlight w:val="none"/>
        </w:rPr>
        <w:t>10、参加工程运维服务竣工验收，签署验收意见；</w:t>
      </w:r>
      <w:bookmarkEnd w:id="985"/>
    </w:p>
    <w:p w14:paraId="75CA24D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11、运维包含光伏组件清洗等、高低压设备、电缆、逆变器等设备巡检维护，质保期内运维费用及材料费用都由中标人承担，含在综合报价中，不再另行支付。</w:t>
      </w:r>
    </w:p>
    <w:p w14:paraId="1DD47C2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12、编制、整理光伏电站整体运维归档文件并报招标人。</w:t>
      </w:r>
    </w:p>
    <w:p w14:paraId="3BA20E3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13、若未按照招标人要求进行运维，质保金将不再支付。</w:t>
      </w:r>
    </w:p>
    <w:p w14:paraId="4706BE6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中标人结合项目实际情况编制运维方案，递交招标人审核确认。项目运维期间涉及的应由中标人购买的保险（财产综合险、公共责任险等，且不低于招标人在运营光伏项目保险相关参数）已包含在投标报价中，统一由中标人购买并支付相关费用，且保险期限应包含整个运维期。</w:t>
      </w:r>
    </w:p>
    <w:p w14:paraId="4E7D34E1">
      <w:pPr>
        <w:rPr>
          <w:rFonts w:ascii="宋体" w:hAnsi="宋体" w:cs="宋体"/>
          <w:color w:val="auto"/>
          <w:sz w:val="28"/>
          <w:szCs w:val="36"/>
          <w:highlight w:val="none"/>
        </w:rPr>
      </w:pPr>
      <w:r>
        <w:rPr>
          <w:rFonts w:hint="eastAsia" w:ascii="宋体" w:hAnsi="宋体" w:cs="宋体"/>
          <w:color w:val="auto"/>
          <w:sz w:val="28"/>
          <w:szCs w:val="36"/>
          <w:highlight w:val="none"/>
        </w:rPr>
        <w:t xml:space="preserve">  </w:t>
      </w:r>
    </w:p>
    <w:p w14:paraId="4063F4F9">
      <w:pPr>
        <w:jc w:val="left"/>
        <w:rPr>
          <w:rFonts w:hint="eastAsia" w:ascii="仿宋" w:hAnsi="仿宋" w:eastAsia="仿宋" w:cs="仿宋"/>
          <w:color w:val="auto"/>
          <w:sz w:val="32"/>
          <w:szCs w:val="40"/>
          <w:highlight w:val="none"/>
        </w:rPr>
      </w:pPr>
      <w:r>
        <w:rPr>
          <w:rFonts w:hint="eastAsia" w:ascii="仿宋" w:hAnsi="仿宋" w:eastAsia="仿宋" w:cs="仿宋"/>
          <w:color w:val="auto"/>
          <w:sz w:val="32"/>
          <w:szCs w:val="40"/>
          <w:highlight w:val="none"/>
        </w:rPr>
        <w:br w:type="page"/>
      </w:r>
    </w:p>
    <w:p w14:paraId="0C295C07">
      <w:pPr>
        <w:jc w:val="left"/>
        <w:rPr>
          <w:rFonts w:ascii="仿宋" w:hAnsi="仿宋" w:eastAsia="仿宋" w:cs="仿宋"/>
          <w:color w:val="auto"/>
          <w:sz w:val="32"/>
          <w:szCs w:val="40"/>
          <w:highlight w:val="none"/>
        </w:rPr>
      </w:pPr>
      <w:r>
        <w:rPr>
          <w:rFonts w:hint="eastAsia" w:ascii="仿宋" w:hAnsi="仿宋" w:eastAsia="仿宋" w:cs="仿宋"/>
          <w:color w:val="auto"/>
          <w:sz w:val="32"/>
          <w:szCs w:val="40"/>
          <w:highlight w:val="none"/>
        </w:rPr>
        <w:t>附件1：光伏运维检查项目明细</w:t>
      </w:r>
    </w:p>
    <w:p w14:paraId="08486E82">
      <w:pPr>
        <w:jc w:val="center"/>
        <w:rPr>
          <w:rFonts w:ascii="宋体" w:hAnsi="宋体" w:cs="宋体"/>
          <w:b/>
          <w:bCs/>
          <w:color w:val="auto"/>
          <w:sz w:val="28"/>
          <w:szCs w:val="36"/>
          <w:highlight w:val="none"/>
        </w:rPr>
      </w:pPr>
      <w:r>
        <w:rPr>
          <w:rFonts w:hint="eastAsia" w:ascii="宋体" w:hAnsi="宋体" w:cs="宋体"/>
          <w:b/>
          <w:bCs/>
          <w:color w:val="auto"/>
          <w:sz w:val="28"/>
          <w:szCs w:val="36"/>
          <w:highlight w:val="none"/>
        </w:rPr>
        <w:t>逆变器检查项目</w:t>
      </w:r>
    </w:p>
    <w:tbl>
      <w:tblPr>
        <w:tblStyle w:val="19"/>
        <w:tblW w:w="8292" w:type="dxa"/>
        <w:jc w:val="center"/>
        <w:tblLayout w:type="fixed"/>
        <w:tblCellMar>
          <w:top w:w="0" w:type="dxa"/>
          <w:left w:w="108" w:type="dxa"/>
          <w:bottom w:w="0" w:type="dxa"/>
          <w:right w:w="108" w:type="dxa"/>
        </w:tblCellMar>
      </w:tblPr>
      <w:tblGrid>
        <w:gridCol w:w="476"/>
        <w:gridCol w:w="1233"/>
        <w:gridCol w:w="824"/>
        <w:gridCol w:w="3094"/>
        <w:gridCol w:w="2665"/>
      </w:tblGrid>
      <w:tr w14:paraId="60AE9958">
        <w:tblPrEx>
          <w:tblCellMar>
            <w:top w:w="0" w:type="dxa"/>
            <w:left w:w="108" w:type="dxa"/>
            <w:bottom w:w="0" w:type="dxa"/>
            <w:right w:w="108" w:type="dxa"/>
          </w:tblCellMar>
        </w:tblPrEx>
        <w:trPr>
          <w:trHeight w:val="578" w:hRule="atLeast"/>
          <w:jc w:val="center"/>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4DF2">
            <w:pPr>
              <w:widowControl/>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编号</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3F46">
            <w:pPr>
              <w:widowControl/>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巡视检查内容</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9C6E">
            <w:pPr>
              <w:widowControl/>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巡视检查方法</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79D4">
            <w:pPr>
              <w:widowControl/>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异常情况</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5506">
            <w:pPr>
              <w:widowControl/>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处理措施及注意事项</w:t>
            </w:r>
          </w:p>
        </w:tc>
      </w:tr>
      <w:tr w14:paraId="2848A9EA">
        <w:tblPrEx>
          <w:tblCellMar>
            <w:top w:w="0" w:type="dxa"/>
            <w:left w:w="108" w:type="dxa"/>
            <w:bottom w:w="0" w:type="dxa"/>
            <w:right w:w="108" w:type="dxa"/>
          </w:tblCellMar>
        </w:tblPrEx>
        <w:trPr>
          <w:trHeight w:val="578" w:hRule="atLeast"/>
          <w:jc w:val="center"/>
        </w:trPr>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25329">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1</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7E7F8">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系统运行状态</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00BE5">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目测及操作检验</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03FF">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逆变器外观损伤、变形</w:t>
            </w:r>
          </w:p>
        </w:tc>
        <w:tc>
          <w:tcPr>
            <w:tcW w:w="2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337A3">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检修</w:t>
            </w:r>
          </w:p>
        </w:tc>
      </w:tr>
      <w:tr w14:paraId="6D96A6B2">
        <w:tblPrEx>
          <w:tblCellMar>
            <w:top w:w="0" w:type="dxa"/>
            <w:left w:w="108" w:type="dxa"/>
            <w:bottom w:w="0" w:type="dxa"/>
            <w:right w:w="108" w:type="dxa"/>
          </w:tblCellMar>
        </w:tblPrEx>
        <w:trPr>
          <w:trHeight w:val="580" w:hRule="atLeast"/>
          <w:jc w:val="center"/>
        </w:trPr>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3F75D">
            <w:pPr>
              <w:jc w:val="center"/>
              <w:rPr>
                <w:rFonts w:ascii="仿宋" w:hAnsi="仿宋" w:eastAsia="仿宋" w:cs="仿宋"/>
                <w:color w:val="auto"/>
                <w:sz w:val="24"/>
                <w:highlight w:val="none"/>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F72FB">
            <w:pPr>
              <w:jc w:val="center"/>
              <w:rPr>
                <w:rFonts w:ascii="仿宋" w:hAnsi="仿宋" w:eastAsia="仿宋" w:cs="仿宋"/>
                <w:color w:val="auto"/>
                <w:sz w:val="24"/>
                <w:highlight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938E8">
            <w:pPr>
              <w:jc w:val="center"/>
              <w:rPr>
                <w:rFonts w:ascii="仿宋" w:hAnsi="仿宋" w:eastAsia="仿宋" w:cs="仿宋"/>
                <w:color w:val="auto"/>
                <w:sz w:val="24"/>
                <w:highlight w:val="none"/>
              </w:rPr>
            </w:pP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B324">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逆变器运行时有较大振动和异常噪声</w:t>
            </w:r>
          </w:p>
        </w:tc>
        <w:tc>
          <w:tcPr>
            <w:tcW w:w="2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DEE65">
            <w:pPr>
              <w:jc w:val="center"/>
              <w:rPr>
                <w:rFonts w:ascii="仿宋" w:hAnsi="仿宋" w:eastAsia="仿宋" w:cs="仿宋"/>
                <w:color w:val="auto"/>
                <w:sz w:val="24"/>
                <w:highlight w:val="none"/>
              </w:rPr>
            </w:pPr>
          </w:p>
        </w:tc>
      </w:tr>
      <w:tr w14:paraId="0E989CB9">
        <w:tblPrEx>
          <w:tblCellMar>
            <w:top w:w="0" w:type="dxa"/>
            <w:left w:w="108" w:type="dxa"/>
            <w:bottom w:w="0" w:type="dxa"/>
            <w:right w:w="108" w:type="dxa"/>
          </w:tblCellMar>
        </w:tblPrEx>
        <w:trPr>
          <w:trHeight w:val="580" w:hRule="atLeast"/>
          <w:jc w:val="center"/>
        </w:trPr>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410FF">
            <w:pPr>
              <w:jc w:val="center"/>
              <w:rPr>
                <w:rFonts w:ascii="仿宋" w:hAnsi="仿宋" w:eastAsia="仿宋" w:cs="仿宋"/>
                <w:color w:val="auto"/>
                <w:sz w:val="24"/>
                <w:highlight w:val="none"/>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71BE2">
            <w:pPr>
              <w:jc w:val="center"/>
              <w:rPr>
                <w:rFonts w:ascii="仿宋" w:hAnsi="仿宋" w:eastAsia="仿宋" w:cs="仿宋"/>
                <w:color w:val="auto"/>
                <w:sz w:val="24"/>
                <w:highlight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0656E">
            <w:pPr>
              <w:jc w:val="center"/>
              <w:rPr>
                <w:rFonts w:ascii="仿宋" w:hAnsi="仿宋" w:eastAsia="仿宋" w:cs="仿宋"/>
                <w:color w:val="auto"/>
                <w:sz w:val="24"/>
                <w:highlight w:val="none"/>
              </w:rPr>
            </w:pP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9CE7">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逆变器外壳发热情况异常</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3C07D">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使用热成像仪监测系统温度，检查逆变器各项参数</w:t>
            </w:r>
          </w:p>
        </w:tc>
      </w:tr>
      <w:tr w14:paraId="00E9C42E">
        <w:tblPrEx>
          <w:tblCellMar>
            <w:top w:w="0" w:type="dxa"/>
            <w:left w:w="108" w:type="dxa"/>
            <w:bottom w:w="0" w:type="dxa"/>
            <w:right w:w="108" w:type="dxa"/>
          </w:tblCellMar>
        </w:tblPrEx>
        <w:trPr>
          <w:trHeight w:val="580" w:hRule="atLeast"/>
          <w:jc w:val="center"/>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2FF0">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EAAC">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系统清洁</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7651">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目测</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2CB7">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逆变器表面积灰，进出风口堵塞</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E8B3">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及时清理积灰</w:t>
            </w:r>
          </w:p>
        </w:tc>
      </w:tr>
      <w:tr w14:paraId="7E88D83C">
        <w:tblPrEx>
          <w:tblCellMar>
            <w:top w:w="0" w:type="dxa"/>
            <w:left w:w="108" w:type="dxa"/>
            <w:bottom w:w="0" w:type="dxa"/>
            <w:right w:w="108" w:type="dxa"/>
          </w:tblCellMar>
        </w:tblPrEx>
        <w:trPr>
          <w:trHeight w:val="580" w:hRule="atLeast"/>
          <w:jc w:val="center"/>
        </w:trPr>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4ABAE">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3</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DBC78B">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电气连接</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C034F">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目测及操作检验</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7ECE">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电缆连接松动</w:t>
            </w:r>
          </w:p>
        </w:tc>
        <w:tc>
          <w:tcPr>
            <w:tcW w:w="2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D31C2">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断电检修，严重情况及时更换</w:t>
            </w:r>
          </w:p>
        </w:tc>
      </w:tr>
      <w:tr w14:paraId="38AEA1E6">
        <w:tblPrEx>
          <w:tblCellMar>
            <w:top w:w="0" w:type="dxa"/>
            <w:left w:w="108" w:type="dxa"/>
            <w:bottom w:w="0" w:type="dxa"/>
            <w:right w:w="108" w:type="dxa"/>
          </w:tblCellMar>
        </w:tblPrEx>
        <w:trPr>
          <w:trHeight w:val="580" w:hRule="atLeast"/>
          <w:jc w:val="center"/>
        </w:trPr>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379C2">
            <w:pPr>
              <w:jc w:val="center"/>
              <w:rPr>
                <w:rFonts w:ascii="仿宋" w:hAnsi="仿宋" w:eastAsia="仿宋" w:cs="仿宋"/>
                <w:color w:val="auto"/>
                <w:sz w:val="24"/>
                <w:highlight w:val="none"/>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354D0">
            <w:pPr>
              <w:jc w:val="center"/>
              <w:rPr>
                <w:rFonts w:ascii="仿宋" w:hAnsi="仿宋" w:eastAsia="仿宋" w:cs="仿宋"/>
                <w:color w:val="auto"/>
                <w:sz w:val="24"/>
                <w:highlight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74A7E">
            <w:pPr>
              <w:jc w:val="center"/>
              <w:rPr>
                <w:rFonts w:ascii="仿宋" w:hAnsi="仿宋" w:eastAsia="仿宋" w:cs="仿宋"/>
                <w:color w:val="auto"/>
                <w:sz w:val="24"/>
                <w:highlight w:val="none"/>
              </w:rPr>
            </w:pP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C8F8">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与金属表面接触的电缆表面存在割伤的痕迹</w:t>
            </w:r>
          </w:p>
        </w:tc>
        <w:tc>
          <w:tcPr>
            <w:tcW w:w="2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476AA">
            <w:pPr>
              <w:jc w:val="center"/>
              <w:rPr>
                <w:rFonts w:ascii="仿宋" w:hAnsi="仿宋" w:eastAsia="仿宋" w:cs="仿宋"/>
                <w:color w:val="auto"/>
                <w:sz w:val="24"/>
                <w:highlight w:val="none"/>
              </w:rPr>
            </w:pPr>
          </w:p>
        </w:tc>
      </w:tr>
      <w:tr w14:paraId="17636E0A">
        <w:tblPrEx>
          <w:tblCellMar>
            <w:top w:w="0" w:type="dxa"/>
            <w:left w:w="108" w:type="dxa"/>
            <w:bottom w:w="0" w:type="dxa"/>
            <w:right w:w="108" w:type="dxa"/>
          </w:tblCellMar>
        </w:tblPrEx>
        <w:trPr>
          <w:trHeight w:val="580" w:hRule="atLeast"/>
          <w:jc w:val="center"/>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6317">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7386">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警示标识</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75D6">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目测</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60A7">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逆变器上的警示标识破损、卷边、脱落</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3899">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更换标识</w:t>
            </w:r>
          </w:p>
        </w:tc>
      </w:tr>
      <w:tr w14:paraId="61BE7D33">
        <w:tblPrEx>
          <w:tblCellMar>
            <w:top w:w="0" w:type="dxa"/>
            <w:left w:w="108" w:type="dxa"/>
            <w:bottom w:w="0" w:type="dxa"/>
            <w:right w:w="108" w:type="dxa"/>
          </w:tblCellMar>
        </w:tblPrEx>
        <w:trPr>
          <w:trHeight w:val="580" w:hRule="atLeast"/>
          <w:jc w:val="center"/>
        </w:trPr>
        <w:tc>
          <w:tcPr>
            <w:tcW w:w="4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3DF96">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5</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A0AFF">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风扇</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3A46C">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目测及操作检验</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DBA1">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散热风扇运行时有较大振动及异常噪音</w:t>
            </w:r>
          </w:p>
        </w:tc>
        <w:tc>
          <w:tcPr>
            <w:tcW w:w="2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3500A">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应断电检查，及时更换</w:t>
            </w:r>
          </w:p>
        </w:tc>
      </w:tr>
      <w:tr w14:paraId="20BD09FE">
        <w:tblPrEx>
          <w:tblCellMar>
            <w:top w:w="0" w:type="dxa"/>
            <w:left w:w="108" w:type="dxa"/>
            <w:bottom w:w="0" w:type="dxa"/>
            <w:right w:w="108" w:type="dxa"/>
          </w:tblCellMar>
        </w:tblPrEx>
        <w:trPr>
          <w:trHeight w:val="580" w:hRule="atLeast"/>
          <w:jc w:val="center"/>
        </w:trPr>
        <w:tc>
          <w:tcPr>
            <w:tcW w:w="4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408CE">
            <w:pPr>
              <w:jc w:val="center"/>
              <w:rPr>
                <w:rFonts w:ascii="仿宋" w:hAnsi="仿宋" w:eastAsia="仿宋" w:cs="仿宋"/>
                <w:color w:val="auto"/>
                <w:sz w:val="24"/>
                <w:highlight w:val="none"/>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4C4D3">
            <w:pPr>
              <w:jc w:val="center"/>
              <w:rPr>
                <w:rFonts w:ascii="仿宋" w:hAnsi="仿宋" w:eastAsia="仿宋" w:cs="仿宋"/>
                <w:color w:val="auto"/>
                <w:sz w:val="24"/>
                <w:highlight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1187D">
            <w:pPr>
              <w:jc w:val="center"/>
              <w:rPr>
                <w:rFonts w:ascii="仿宋" w:hAnsi="仿宋" w:eastAsia="仿宋" w:cs="仿宋"/>
                <w:color w:val="auto"/>
                <w:sz w:val="24"/>
                <w:highlight w:val="none"/>
              </w:rPr>
            </w:pP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F141">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风扇叶片有裂缝</w:t>
            </w:r>
          </w:p>
        </w:tc>
        <w:tc>
          <w:tcPr>
            <w:tcW w:w="2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A9EED">
            <w:pPr>
              <w:jc w:val="center"/>
              <w:rPr>
                <w:rFonts w:ascii="仿宋" w:hAnsi="仿宋" w:eastAsia="仿宋" w:cs="仿宋"/>
                <w:color w:val="auto"/>
                <w:sz w:val="24"/>
                <w:highlight w:val="none"/>
              </w:rPr>
            </w:pPr>
          </w:p>
        </w:tc>
      </w:tr>
      <w:tr w14:paraId="7C5A22CC">
        <w:tblPrEx>
          <w:tblCellMar>
            <w:top w:w="0" w:type="dxa"/>
            <w:left w:w="108" w:type="dxa"/>
            <w:bottom w:w="0" w:type="dxa"/>
            <w:right w:w="108" w:type="dxa"/>
          </w:tblCellMar>
        </w:tblPrEx>
        <w:trPr>
          <w:trHeight w:val="580" w:hRule="atLeast"/>
          <w:jc w:val="center"/>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E6B8">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6</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15DF">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断路器</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D1C7">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操作检验</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C4EF">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交/直流断路器异常，开关失效</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B64A">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及时更换</w:t>
            </w:r>
          </w:p>
        </w:tc>
      </w:tr>
      <w:tr w14:paraId="5EA55847">
        <w:tblPrEx>
          <w:tblCellMar>
            <w:top w:w="0" w:type="dxa"/>
            <w:left w:w="108" w:type="dxa"/>
            <w:bottom w:w="0" w:type="dxa"/>
            <w:right w:w="108" w:type="dxa"/>
          </w:tblCellMar>
        </w:tblPrEx>
        <w:trPr>
          <w:trHeight w:val="580" w:hRule="atLeast"/>
          <w:jc w:val="center"/>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A18C">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9A73">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输入输出端子</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C69E">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目测</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799B">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端子松脱、断裂</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3895">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紧固、更换端子</w:t>
            </w:r>
          </w:p>
        </w:tc>
      </w:tr>
      <w:tr w14:paraId="514383BF">
        <w:tblPrEx>
          <w:tblCellMar>
            <w:top w:w="0" w:type="dxa"/>
            <w:left w:w="108" w:type="dxa"/>
            <w:bottom w:w="0" w:type="dxa"/>
            <w:right w:w="108" w:type="dxa"/>
          </w:tblCellMar>
        </w:tblPrEx>
        <w:trPr>
          <w:trHeight w:val="580" w:hRule="atLeast"/>
          <w:jc w:val="center"/>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C737">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F531">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逆变器报错检查</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7852">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记录信息查阅</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BA2E">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逆变器功能报错</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160B">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针对报错事项进行整改</w:t>
            </w:r>
          </w:p>
        </w:tc>
      </w:tr>
      <w:tr w14:paraId="33AE6657">
        <w:tblPrEx>
          <w:tblCellMar>
            <w:top w:w="0" w:type="dxa"/>
            <w:left w:w="108" w:type="dxa"/>
            <w:bottom w:w="0" w:type="dxa"/>
            <w:right w:w="108" w:type="dxa"/>
          </w:tblCellMar>
        </w:tblPrEx>
        <w:trPr>
          <w:trHeight w:val="580" w:hRule="atLeast"/>
          <w:jc w:val="center"/>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FE14">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rPr>
              <w:t>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78A2">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逆变器内部防雷</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B4D0">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目测</w:t>
            </w:r>
          </w:p>
        </w:tc>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4B1C">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装置失效</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C874">
            <w:pPr>
              <w:widowControl/>
              <w:jc w:val="center"/>
              <w:textAlignment w:val="center"/>
              <w:rPr>
                <w:rFonts w:ascii="仿宋" w:hAnsi="仿宋" w:eastAsia="仿宋" w:cs="仿宋"/>
                <w:color w:val="auto"/>
                <w:sz w:val="24"/>
                <w:highlight w:val="none"/>
              </w:rPr>
            </w:pPr>
            <w:r>
              <w:rPr>
                <w:rFonts w:hint="eastAsia" w:ascii="仿宋" w:hAnsi="仿宋" w:eastAsia="仿宋" w:cs="仿宋"/>
                <w:color w:val="auto"/>
                <w:kern w:val="0"/>
                <w:sz w:val="24"/>
                <w:highlight w:val="none"/>
              </w:rPr>
              <w:t>更换</w:t>
            </w:r>
          </w:p>
        </w:tc>
      </w:tr>
    </w:tbl>
    <w:p w14:paraId="07A67FAB">
      <w:pPr>
        <w:rPr>
          <w:rFonts w:ascii="宋体" w:hAnsi="宋体" w:cs="宋体"/>
          <w:color w:val="auto"/>
          <w:sz w:val="28"/>
          <w:szCs w:val="36"/>
          <w:highlight w:val="none"/>
        </w:rPr>
      </w:pPr>
      <w:r>
        <w:rPr>
          <w:rFonts w:hint="eastAsia" w:ascii="宋体" w:hAnsi="宋体" w:cs="宋体"/>
          <w:color w:val="auto"/>
          <w:sz w:val="28"/>
          <w:szCs w:val="36"/>
          <w:highlight w:val="none"/>
        </w:rPr>
        <w:br w:type="page"/>
      </w:r>
    </w:p>
    <w:p w14:paraId="66A741D3">
      <w:pPr>
        <w:jc w:val="center"/>
        <w:rPr>
          <w:rFonts w:ascii="宋体" w:hAnsi="宋体" w:cs="宋体"/>
          <w:b/>
          <w:bCs/>
          <w:color w:val="auto"/>
          <w:sz w:val="28"/>
          <w:szCs w:val="36"/>
          <w:highlight w:val="none"/>
        </w:rPr>
      </w:pPr>
      <w:r>
        <w:rPr>
          <w:rFonts w:hint="eastAsia" w:ascii="宋体" w:hAnsi="宋体" w:cs="宋体"/>
          <w:b/>
          <w:bCs/>
          <w:color w:val="auto"/>
          <w:sz w:val="28"/>
          <w:szCs w:val="36"/>
          <w:highlight w:val="none"/>
        </w:rPr>
        <w:t>基础与支架巡检项目</w:t>
      </w:r>
    </w:p>
    <w:tbl>
      <w:tblPr>
        <w:tblStyle w:val="19"/>
        <w:tblW w:w="9538" w:type="dxa"/>
        <w:tblInd w:w="91" w:type="dxa"/>
        <w:tblLayout w:type="autofit"/>
        <w:tblCellMar>
          <w:top w:w="0" w:type="dxa"/>
          <w:left w:w="108" w:type="dxa"/>
          <w:bottom w:w="0" w:type="dxa"/>
          <w:right w:w="108" w:type="dxa"/>
        </w:tblCellMar>
      </w:tblPr>
      <w:tblGrid>
        <w:gridCol w:w="821"/>
        <w:gridCol w:w="1038"/>
        <w:gridCol w:w="1412"/>
        <w:gridCol w:w="2688"/>
        <w:gridCol w:w="3579"/>
      </w:tblGrid>
      <w:tr w14:paraId="55B13473">
        <w:tblPrEx>
          <w:tblCellMar>
            <w:top w:w="0" w:type="dxa"/>
            <w:left w:w="108" w:type="dxa"/>
            <w:bottom w:w="0" w:type="dxa"/>
            <w:right w:w="108" w:type="dxa"/>
          </w:tblCellMar>
        </w:tblPrEx>
        <w:trPr>
          <w:trHeight w:val="1037"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3CEF">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编号</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8C7C">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巡视检查内容</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2762">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巡视检查方法</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7D44">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异常情况</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030A">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处理措施及注意事项</w:t>
            </w:r>
          </w:p>
        </w:tc>
      </w:tr>
      <w:tr w14:paraId="6E3D903A">
        <w:tblPrEx>
          <w:tblCellMar>
            <w:top w:w="0" w:type="dxa"/>
            <w:left w:w="108" w:type="dxa"/>
            <w:bottom w:w="0" w:type="dxa"/>
            <w:right w:w="108" w:type="dxa"/>
          </w:tblCellMar>
        </w:tblPrEx>
        <w:trPr>
          <w:trHeight w:val="1037"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445CA">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99B1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基础</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91EE5">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目测及工具检测</w:t>
            </w:r>
          </w:p>
        </w:tc>
        <w:tc>
          <w:tcPr>
            <w:tcW w:w="2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4CAB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基础沉降、移位、歪斜超出设计要求</w:t>
            </w:r>
          </w:p>
        </w:tc>
        <w:tc>
          <w:tcPr>
            <w:tcW w:w="3579" w:type="dxa"/>
            <w:tcBorders>
              <w:top w:val="single" w:color="000000" w:sz="4" w:space="0"/>
              <w:left w:val="single" w:color="000000" w:sz="4" w:space="0"/>
              <w:bottom w:val="nil"/>
              <w:right w:val="single" w:color="000000" w:sz="4" w:space="0"/>
            </w:tcBorders>
            <w:shd w:val="clear" w:color="auto" w:fill="auto"/>
            <w:vAlign w:val="center"/>
          </w:tcPr>
          <w:p w14:paraId="3384E2B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按设计要求修正</w:t>
            </w:r>
          </w:p>
        </w:tc>
      </w:tr>
      <w:tr w14:paraId="5ADB9553">
        <w:tblPrEx>
          <w:tblCellMar>
            <w:top w:w="0" w:type="dxa"/>
            <w:left w:w="108" w:type="dxa"/>
            <w:bottom w:w="0" w:type="dxa"/>
            <w:right w:w="108" w:type="dxa"/>
          </w:tblCellMar>
        </w:tblPrEx>
        <w:trPr>
          <w:trHeight w:val="1037"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13344">
            <w:pPr>
              <w:widowControl/>
              <w:jc w:val="center"/>
              <w:textAlignment w:val="center"/>
              <w:rPr>
                <w:rFonts w:ascii="仿宋" w:hAnsi="仿宋" w:eastAsia="仿宋" w:cs="仿宋"/>
                <w:color w:val="auto"/>
                <w:kern w:val="0"/>
                <w:sz w:val="24"/>
                <w:highlight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0CDE1">
            <w:pPr>
              <w:widowControl/>
              <w:jc w:val="center"/>
              <w:textAlignment w:val="center"/>
              <w:rPr>
                <w:rFonts w:ascii="仿宋" w:hAnsi="仿宋" w:eastAsia="仿宋" w:cs="仿宋"/>
                <w:color w:val="auto"/>
                <w:kern w:val="0"/>
                <w:sz w:val="24"/>
                <w:highlight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B77B0">
            <w:pPr>
              <w:widowControl/>
              <w:jc w:val="center"/>
              <w:textAlignment w:val="center"/>
              <w:rPr>
                <w:rFonts w:ascii="仿宋" w:hAnsi="仿宋" w:eastAsia="仿宋" w:cs="仿宋"/>
                <w:color w:val="auto"/>
                <w:kern w:val="0"/>
                <w:sz w:val="24"/>
                <w:highlight w:val="none"/>
              </w:rPr>
            </w:pPr>
          </w:p>
        </w:tc>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50C4D">
            <w:pPr>
              <w:widowControl/>
              <w:jc w:val="center"/>
              <w:textAlignment w:val="center"/>
              <w:rPr>
                <w:rFonts w:ascii="仿宋" w:hAnsi="仿宋" w:eastAsia="仿宋" w:cs="仿宋"/>
                <w:color w:val="auto"/>
                <w:kern w:val="0"/>
                <w:sz w:val="24"/>
                <w:highlight w:val="none"/>
              </w:rPr>
            </w:pPr>
          </w:p>
        </w:tc>
        <w:tc>
          <w:tcPr>
            <w:tcW w:w="3579" w:type="dxa"/>
            <w:tcBorders>
              <w:top w:val="nil"/>
              <w:left w:val="single" w:color="000000" w:sz="4" w:space="0"/>
              <w:bottom w:val="single" w:color="000000" w:sz="4" w:space="0"/>
              <w:right w:val="single" w:color="000000" w:sz="4" w:space="0"/>
            </w:tcBorders>
            <w:shd w:val="clear" w:color="auto" w:fill="auto"/>
            <w:vAlign w:val="center"/>
          </w:tcPr>
          <w:p w14:paraId="00505FB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由具有专业资质的设计单位出具修正加固方案进行加固纠偏</w:t>
            </w:r>
          </w:p>
        </w:tc>
      </w:tr>
      <w:tr w14:paraId="6D6D575B">
        <w:tblPrEx>
          <w:tblCellMar>
            <w:top w:w="0" w:type="dxa"/>
            <w:left w:w="108" w:type="dxa"/>
            <w:bottom w:w="0" w:type="dxa"/>
            <w:right w:w="108" w:type="dxa"/>
          </w:tblCellMar>
        </w:tblPrEx>
        <w:trPr>
          <w:trHeight w:val="104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79855">
            <w:pPr>
              <w:widowControl/>
              <w:jc w:val="center"/>
              <w:textAlignment w:val="center"/>
              <w:rPr>
                <w:rFonts w:ascii="仿宋" w:hAnsi="仿宋" w:eastAsia="仿宋" w:cs="仿宋"/>
                <w:color w:val="auto"/>
                <w:kern w:val="0"/>
                <w:sz w:val="24"/>
                <w:highlight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CB73E">
            <w:pPr>
              <w:widowControl/>
              <w:jc w:val="center"/>
              <w:textAlignment w:val="center"/>
              <w:rPr>
                <w:rFonts w:ascii="仿宋" w:hAnsi="仿宋" w:eastAsia="仿宋" w:cs="仿宋"/>
                <w:color w:val="auto"/>
                <w:kern w:val="0"/>
                <w:sz w:val="24"/>
                <w:highlight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5D80C">
            <w:pPr>
              <w:widowControl/>
              <w:jc w:val="center"/>
              <w:textAlignment w:val="center"/>
              <w:rPr>
                <w:rFonts w:ascii="仿宋" w:hAnsi="仿宋" w:eastAsia="仿宋" w:cs="仿宋"/>
                <w:color w:val="auto"/>
                <w:kern w:val="0"/>
                <w:sz w:val="24"/>
                <w:highlight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2BA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基础表面破损致裸露地脚螺栓或配筋</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11F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修补</w:t>
            </w:r>
          </w:p>
        </w:tc>
      </w:tr>
      <w:tr w14:paraId="2EC5B1A3">
        <w:tblPrEx>
          <w:tblCellMar>
            <w:top w:w="0" w:type="dxa"/>
            <w:left w:w="108" w:type="dxa"/>
            <w:bottom w:w="0" w:type="dxa"/>
            <w:right w:w="108" w:type="dxa"/>
          </w:tblCellMar>
        </w:tblPrEx>
        <w:trPr>
          <w:trHeight w:val="1040"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6B0A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6394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支架结构情况</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4BB5D">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目测及工具检测</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DD5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光伏方阵整体存在变形、错位、松动</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B71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按设计要求修正</w:t>
            </w:r>
          </w:p>
        </w:tc>
      </w:tr>
      <w:tr w14:paraId="47682E90">
        <w:tblPrEx>
          <w:tblCellMar>
            <w:top w:w="0" w:type="dxa"/>
            <w:left w:w="108" w:type="dxa"/>
            <w:bottom w:w="0" w:type="dxa"/>
            <w:right w:w="108" w:type="dxa"/>
          </w:tblCellMar>
        </w:tblPrEx>
        <w:trPr>
          <w:trHeight w:val="104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4331B">
            <w:pPr>
              <w:widowControl/>
              <w:jc w:val="center"/>
              <w:textAlignment w:val="center"/>
              <w:rPr>
                <w:rFonts w:ascii="仿宋" w:hAnsi="仿宋" w:eastAsia="仿宋" w:cs="仿宋"/>
                <w:color w:val="auto"/>
                <w:kern w:val="0"/>
                <w:sz w:val="24"/>
                <w:highlight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0FD1">
            <w:pPr>
              <w:widowControl/>
              <w:jc w:val="center"/>
              <w:textAlignment w:val="center"/>
              <w:rPr>
                <w:rFonts w:ascii="仿宋" w:hAnsi="仿宋" w:eastAsia="仿宋" w:cs="仿宋"/>
                <w:color w:val="auto"/>
                <w:kern w:val="0"/>
                <w:sz w:val="24"/>
                <w:highlight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D3E68">
            <w:pPr>
              <w:widowControl/>
              <w:jc w:val="center"/>
              <w:textAlignment w:val="center"/>
              <w:rPr>
                <w:rFonts w:ascii="仿宋" w:hAnsi="仿宋" w:eastAsia="仿宋" w:cs="仿宋"/>
                <w:color w:val="auto"/>
                <w:kern w:val="0"/>
                <w:sz w:val="24"/>
                <w:highlight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027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受力构件、连接构件和连接螺栓损坏、松动,焊缝开焊</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9CF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紧固、更换</w:t>
            </w:r>
          </w:p>
        </w:tc>
      </w:tr>
      <w:tr w14:paraId="131A8709">
        <w:tblPrEx>
          <w:tblCellMar>
            <w:top w:w="0" w:type="dxa"/>
            <w:left w:w="108" w:type="dxa"/>
            <w:bottom w:w="0" w:type="dxa"/>
            <w:right w:w="108" w:type="dxa"/>
          </w:tblCellMar>
        </w:tblPrEx>
        <w:trPr>
          <w:trHeight w:val="104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4F48C">
            <w:pPr>
              <w:widowControl/>
              <w:jc w:val="center"/>
              <w:textAlignment w:val="center"/>
              <w:rPr>
                <w:rFonts w:ascii="仿宋" w:hAnsi="仿宋" w:eastAsia="仿宋" w:cs="仿宋"/>
                <w:color w:val="auto"/>
                <w:kern w:val="0"/>
                <w:sz w:val="24"/>
                <w:highlight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97A33">
            <w:pPr>
              <w:widowControl/>
              <w:jc w:val="center"/>
              <w:textAlignment w:val="center"/>
              <w:rPr>
                <w:rFonts w:ascii="仿宋" w:hAnsi="仿宋" w:eastAsia="仿宋" w:cs="仿宋"/>
                <w:color w:val="auto"/>
                <w:kern w:val="0"/>
                <w:sz w:val="24"/>
                <w:highlight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756F1">
            <w:pPr>
              <w:widowControl/>
              <w:jc w:val="center"/>
              <w:textAlignment w:val="center"/>
              <w:rPr>
                <w:rFonts w:ascii="仿宋" w:hAnsi="仿宋" w:eastAsia="仿宋" w:cs="仿宋"/>
                <w:color w:val="auto"/>
                <w:kern w:val="0"/>
                <w:sz w:val="24"/>
                <w:highlight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2F25">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组件压块松动、损坏</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ED1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紧固、更换</w:t>
            </w:r>
          </w:p>
        </w:tc>
      </w:tr>
      <w:tr w14:paraId="3A0B1A48">
        <w:tblPrEx>
          <w:tblCellMar>
            <w:top w:w="0" w:type="dxa"/>
            <w:left w:w="108" w:type="dxa"/>
            <w:bottom w:w="0" w:type="dxa"/>
            <w:right w:w="108" w:type="dxa"/>
          </w:tblCellMar>
        </w:tblPrEx>
        <w:trPr>
          <w:trHeight w:val="1460"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2EA58">
            <w:pPr>
              <w:widowControl/>
              <w:jc w:val="center"/>
              <w:textAlignment w:val="center"/>
              <w:rPr>
                <w:rFonts w:ascii="仿宋" w:hAnsi="仿宋" w:eastAsia="仿宋" w:cs="仿宋"/>
                <w:color w:val="auto"/>
                <w:kern w:val="0"/>
                <w:sz w:val="24"/>
                <w:highlight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B9B62">
            <w:pPr>
              <w:widowControl/>
              <w:jc w:val="center"/>
              <w:textAlignment w:val="center"/>
              <w:rPr>
                <w:rFonts w:ascii="仿宋" w:hAnsi="仿宋" w:eastAsia="仿宋" w:cs="仿宋"/>
                <w:color w:val="auto"/>
                <w:kern w:val="0"/>
                <w:sz w:val="24"/>
                <w:highlight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C046D">
            <w:pPr>
              <w:widowControl/>
              <w:jc w:val="center"/>
              <w:textAlignment w:val="center"/>
              <w:rPr>
                <w:rFonts w:ascii="仿宋" w:hAnsi="仿宋" w:eastAsia="仿宋" w:cs="仿宋"/>
                <w:color w:val="auto"/>
                <w:kern w:val="0"/>
                <w:sz w:val="24"/>
                <w:highlight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55F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支承结构之间存在对光伏系统运行及安全可能产生影响的设施</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B08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清理会产生影响的设施</w:t>
            </w:r>
          </w:p>
        </w:tc>
      </w:tr>
      <w:tr w14:paraId="142B160A">
        <w:tblPrEx>
          <w:tblCellMar>
            <w:top w:w="0" w:type="dxa"/>
            <w:left w:w="108" w:type="dxa"/>
            <w:bottom w:w="0" w:type="dxa"/>
            <w:right w:w="108" w:type="dxa"/>
          </w:tblCellMar>
        </w:tblPrEx>
        <w:trPr>
          <w:trHeight w:val="139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D19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9EC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防腐情况</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6FA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目测或仪器测量</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F0D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金属材料的防锈涂层剥落和腐蚀</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48F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用砂纸人工打磨除锈,补刷漆或修补剂,漆层厚度不小于120μm;锈蚀严重者更换</w:t>
            </w:r>
          </w:p>
        </w:tc>
      </w:tr>
      <w:tr w14:paraId="13177A18">
        <w:tblPrEx>
          <w:tblCellMar>
            <w:top w:w="0" w:type="dxa"/>
            <w:left w:w="108" w:type="dxa"/>
            <w:bottom w:w="0" w:type="dxa"/>
            <w:right w:w="108" w:type="dxa"/>
          </w:tblCellMar>
        </w:tblPrEx>
        <w:trPr>
          <w:trHeight w:val="10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5222">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C6E2">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支架接地情况</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202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仪器测量</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8025">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支架接地位置异常,接地电阻大于4Ω</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227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检查接地线路,修正接地位置或更换接地部分线路</w:t>
            </w:r>
          </w:p>
        </w:tc>
      </w:tr>
    </w:tbl>
    <w:p w14:paraId="12FD45FD">
      <w:pPr>
        <w:rPr>
          <w:rFonts w:ascii="宋体" w:hAnsi="宋体" w:cs="宋体"/>
          <w:color w:val="auto"/>
          <w:sz w:val="28"/>
          <w:szCs w:val="36"/>
          <w:highlight w:val="none"/>
        </w:rPr>
      </w:pPr>
      <w:r>
        <w:rPr>
          <w:rFonts w:hint="eastAsia" w:ascii="宋体" w:hAnsi="宋体" w:cs="宋体"/>
          <w:color w:val="auto"/>
          <w:sz w:val="28"/>
          <w:szCs w:val="36"/>
          <w:highlight w:val="none"/>
        </w:rPr>
        <w:br w:type="page"/>
      </w:r>
    </w:p>
    <w:p w14:paraId="6D746878">
      <w:pPr>
        <w:jc w:val="center"/>
        <w:rPr>
          <w:rFonts w:ascii="宋体" w:hAnsi="宋体" w:cs="宋体"/>
          <w:b/>
          <w:bCs/>
          <w:color w:val="auto"/>
          <w:sz w:val="28"/>
          <w:szCs w:val="36"/>
          <w:highlight w:val="none"/>
        </w:rPr>
      </w:pPr>
      <w:r>
        <w:rPr>
          <w:rFonts w:hint="eastAsia" w:ascii="宋体" w:hAnsi="宋体" w:cs="宋体"/>
          <w:b/>
          <w:bCs/>
          <w:color w:val="auto"/>
          <w:sz w:val="28"/>
          <w:szCs w:val="36"/>
          <w:highlight w:val="none"/>
        </w:rPr>
        <w:t>光伏组件检查</w:t>
      </w:r>
    </w:p>
    <w:tbl>
      <w:tblPr>
        <w:tblStyle w:val="19"/>
        <w:tblW w:w="9697" w:type="dxa"/>
        <w:tblInd w:w="91" w:type="dxa"/>
        <w:tblLayout w:type="autofit"/>
        <w:tblCellMar>
          <w:top w:w="0" w:type="dxa"/>
          <w:left w:w="108" w:type="dxa"/>
          <w:bottom w:w="0" w:type="dxa"/>
          <w:right w:w="108" w:type="dxa"/>
        </w:tblCellMar>
      </w:tblPr>
      <w:tblGrid>
        <w:gridCol w:w="934"/>
        <w:gridCol w:w="971"/>
        <w:gridCol w:w="971"/>
        <w:gridCol w:w="4309"/>
        <w:gridCol w:w="2512"/>
      </w:tblGrid>
      <w:tr w14:paraId="2C253FDE">
        <w:tblPrEx>
          <w:tblCellMar>
            <w:top w:w="0" w:type="dxa"/>
            <w:left w:w="108" w:type="dxa"/>
            <w:bottom w:w="0" w:type="dxa"/>
            <w:right w:w="108" w:type="dxa"/>
          </w:tblCellMar>
        </w:tblPrEx>
        <w:trPr>
          <w:trHeight w:val="952"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B5FE">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编号</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5868">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巡视检查内容</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F20A">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巡视检查方法</w:t>
            </w: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3489">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异常情况</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F867">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处理措施及注意事项</w:t>
            </w:r>
          </w:p>
        </w:tc>
      </w:tr>
      <w:tr w14:paraId="285E977B">
        <w:tblPrEx>
          <w:tblCellMar>
            <w:top w:w="0" w:type="dxa"/>
            <w:left w:w="108" w:type="dxa"/>
            <w:bottom w:w="0" w:type="dxa"/>
            <w:right w:w="108" w:type="dxa"/>
          </w:tblCellMar>
        </w:tblPrEx>
        <w:trPr>
          <w:trHeight w:val="479"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14BD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2B67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外观检查</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4A49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8C3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带电警告标识丢失</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BF4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重新粘贴标识</w:t>
            </w:r>
          </w:p>
        </w:tc>
      </w:tr>
      <w:tr w14:paraId="63C1E7A4">
        <w:tblPrEx>
          <w:tblCellMar>
            <w:top w:w="0" w:type="dxa"/>
            <w:left w:w="108" w:type="dxa"/>
            <w:bottom w:w="0" w:type="dxa"/>
            <w:right w:w="108" w:type="dxa"/>
          </w:tblCellMar>
        </w:tblPrEx>
        <w:trPr>
          <w:trHeight w:val="949"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74E04">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2EE1B">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72DB4">
            <w:pPr>
              <w:widowControl/>
              <w:jc w:val="center"/>
              <w:textAlignment w:val="center"/>
              <w:rPr>
                <w:rFonts w:ascii="仿宋" w:hAnsi="仿宋" w:eastAsia="仿宋" w:cs="仿宋"/>
                <w:color w:val="auto"/>
                <w:kern w:val="0"/>
                <w:sz w:val="24"/>
                <w:highlight w:val="none"/>
              </w:rPr>
            </w:pP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08D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玻璃破碎、背板灼焦、明显颜色变化</w:t>
            </w:r>
          </w:p>
        </w:tc>
        <w:tc>
          <w:tcPr>
            <w:tcW w:w="2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094D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更换组件</w:t>
            </w:r>
          </w:p>
        </w:tc>
      </w:tr>
      <w:tr w14:paraId="70360272">
        <w:tblPrEx>
          <w:tblCellMar>
            <w:top w:w="0" w:type="dxa"/>
            <w:left w:w="108" w:type="dxa"/>
            <w:bottom w:w="0" w:type="dxa"/>
            <w:right w:w="108" w:type="dxa"/>
          </w:tblCellMar>
        </w:tblPrEx>
        <w:trPr>
          <w:trHeight w:val="949"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AB5A2">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D018A">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21E54">
            <w:pPr>
              <w:widowControl/>
              <w:jc w:val="center"/>
              <w:textAlignment w:val="center"/>
              <w:rPr>
                <w:rFonts w:ascii="仿宋" w:hAnsi="仿宋" w:eastAsia="仿宋" w:cs="仿宋"/>
                <w:color w:val="auto"/>
                <w:kern w:val="0"/>
                <w:sz w:val="24"/>
                <w:highlight w:val="none"/>
              </w:rPr>
            </w:pP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78A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组件边缘或电路间形成连通通道的气泡</w:t>
            </w: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1C9D3">
            <w:pPr>
              <w:widowControl/>
              <w:jc w:val="center"/>
              <w:textAlignment w:val="center"/>
              <w:rPr>
                <w:rFonts w:ascii="仿宋" w:hAnsi="仿宋" w:eastAsia="仿宋" w:cs="仿宋"/>
                <w:color w:val="auto"/>
                <w:kern w:val="0"/>
                <w:sz w:val="24"/>
                <w:highlight w:val="none"/>
              </w:rPr>
            </w:pPr>
          </w:p>
        </w:tc>
      </w:tr>
      <w:tr w14:paraId="2939FB27">
        <w:tblPrEx>
          <w:tblCellMar>
            <w:top w:w="0" w:type="dxa"/>
            <w:left w:w="108" w:type="dxa"/>
            <w:bottom w:w="0" w:type="dxa"/>
            <w:right w:w="108" w:type="dxa"/>
          </w:tblCellMar>
        </w:tblPrEx>
        <w:trPr>
          <w:trHeight w:val="1419"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AB5E9">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1FBE9">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AD641">
            <w:pPr>
              <w:widowControl/>
              <w:jc w:val="center"/>
              <w:textAlignment w:val="center"/>
              <w:rPr>
                <w:rFonts w:ascii="仿宋" w:hAnsi="仿宋" w:eastAsia="仿宋" w:cs="仿宋"/>
                <w:color w:val="auto"/>
                <w:kern w:val="0"/>
                <w:sz w:val="24"/>
                <w:highlight w:val="none"/>
              </w:rPr>
            </w:pP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646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接线盒变形、扭曲、开裂或烧毁，接线端子连接不良</w:t>
            </w: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A48A4">
            <w:pPr>
              <w:widowControl/>
              <w:jc w:val="center"/>
              <w:textAlignment w:val="center"/>
              <w:rPr>
                <w:rFonts w:ascii="仿宋" w:hAnsi="仿宋" w:eastAsia="仿宋" w:cs="仿宋"/>
                <w:color w:val="auto"/>
                <w:kern w:val="0"/>
                <w:sz w:val="24"/>
                <w:highlight w:val="none"/>
              </w:rPr>
            </w:pPr>
          </w:p>
        </w:tc>
      </w:tr>
      <w:tr w14:paraId="5B7CF49B">
        <w:tblPrEx>
          <w:tblCellMar>
            <w:top w:w="0" w:type="dxa"/>
            <w:left w:w="108" w:type="dxa"/>
            <w:bottom w:w="0" w:type="dxa"/>
            <w:right w:w="108" w:type="dxa"/>
          </w:tblCellMar>
        </w:tblPrEx>
        <w:trPr>
          <w:trHeight w:val="638"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A82E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2D43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组件表面积灰及遮挡</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1D5A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目测及仪器测量</w:t>
            </w:r>
          </w:p>
        </w:tc>
        <w:tc>
          <w:tcPr>
            <w:tcW w:w="4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80B9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积灰导致发电效率明显降低</w:t>
            </w:r>
          </w:p>
        </w:tc>
        <w:tc>
          <w:tcPr>
            <w:tcW w:w="2512" w:type="dxa"/>
            <w:tcBorders>
              <w:top w:val="single" w:color="000000" w:sz="4" w:space="0"/>
              <w:left w:val="single" w:color="000000" w:sz="4" w:space="0"/>
              <w:bottom w:val="nil"/>
              <w:right w:val="single" w:color="000000" w:sz="4" w:space="0"/>
            </w:tcBorders>
            <w:shd w:val="clear" w:color="auto" w:fill="auto"/>
            <w:vAlign w:val="center"/>
          </w:tcPr>
          <w:p w14:paraId="082A261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a) 人工擦拭/冲洗/机器清洗；</w:t>
            </w:r>
          </w:p>
        </w:tc>
      </w:tr>
      <w:tr w14:paraId="2A0D12C6">
        <w:tblPrEx>
          <w:tblCellMar>
            <w:top w:w="0" w:type="dxa"/>
            <w:left w:w="108" w:type="dxa"/>
            <w:bottom w:w="0" w:type="dxa"/>
            <w:right w:w="108" w:type="dxa"/>
          </w:tblCellMar>
        </w:tblPrEx>
        <w:trPr>
          <w:trHeight w:val="1419"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D2563">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9E7D5">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18B0F">
            <w:pPr>
              <w:widowControl/>
              <w:jc w:val="center"/>
              <w:textAlignment w:val="center"/>
              <w:rPr>
                <w:rFonts w:ascii="仿宋" w:hAnsi="仿宋" w:eastAsia="仿宋" w:cs="仿宋"/>
                <w:color w:val="auto"/>
                <w:kern w:val="0"/>
                <w:sz w:val="24"/>
                <w:highlight w:val="none"/>
              </w:rPr>
            </w:pPr>
          </w:p>
        </w:tc>
        <w:tc>
          <w:tcPr>
            <w:tcW w:w="4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2B4C5">
            <w:pPr>
              <w:widowControl/>
              <w:jc w:val="center"/>
              <w:textAlignment w:val="center"/>
              <w:rPr>
                <w:rFonts w:ascii="仿宋" w:hAnsi="仿宋" w:eastAsia="仿宋" w:cs="仿宋"/>
                <w:color w:val="auto"/>
                <w:kern w:val="0"/>
                <w:sz w:val="24"/>
                <w:highlight w:val="none"/>
              </w:rPr>
            </w:pPr>
          </w:p>
        </w:tc>
        <w:tc>
          <w:tcPr>
            <w:tcW w:w="2512" w:type="dxa"/>
            <w:tcBorders>
              <w:top w:val="nil"/>
              <w:left w:val="single" w:color="000000" w:sz="4" w:space="0"/>
              <w:bottom w:val="nil"/>
              <w:right w:val="single" w:color="000000" w:sz="4" w:space="0"/>
            </w:tcBorders>
            <w:shd w:val="clear" w:color="auto" w:fill="auto"/>
            <w:vAlign w:val="center"/>
          </w:tcPr>
          <w:p w14:paraId="70D4317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b) 禁踩踏组件、禁用腐蚀性溶剂、禁4级以上风力/雨雪天清洗；</w:t>
            </w:r>
          </w:p>
        </w:tc>
      </w:tr>
      <w:tr w14:paraId="03B839F4">
        <w:tblPrEx>
          <w:tblCellMar>
            <w:top w:w="0" w:type="dxa"/>
            <w:left w:w="108" w:type="dxa"/>
            <w:bottom w:w="0" w:type="dxa"/>
            <w:right w:w="108" w:type="dxa"/>
          </w:tblCellMar>
        </w:tblPrEx>
        <w:trPr>
          <w:trHeight w:val="566"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CD90A">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6C338">
            <w:pPr>
              <w:widowControl/>
              <w:jc w:val="center"/>
              <w:textAlignment w:val="center"/>
              <w:rPr>
                <w:rFonts w:ascii="仿宋" w:hAnsi="仿宋" w:eastAsia="仿宋" w:cs="仿宋"/>
                <w:color w:val="auto"/>
                <w:kern w:val="0"/>
                <w:sz w:val="24"/>
                <w:highlight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29F7A">
            <w:pPr>
              <w:widowControl/>
              <w:jc w:val="center"/>
              <w:textAlignment w:val="center"/>
              <w:rPr>
                <w:rFonts w:ascii="仿宋" w:hAnsi="仿宋" w:eastAsia="仿宋" w:cs="仿宋"/>
                <w:color w:val="auto"/>
                <w:kern w:val="0"/>
                <w:sz w:val="24"/>
                <w:highlight w:val="none"/>
              </w:rPr>
            </w:pPr>
          </w:p>
        </w:tc>
        <w:tc>
          <w:tcPr>
            <w:tcW w:w="4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7569B">
            <w:pPr>
              <w:widowControl/>
              <w:jc w:val="center"/>
              <w:textAlignment w:val="center"/>
              <w:rPr>
                <w:rFonts w:ascii="仿宋" w:hAnsi="仿宋" w:eastAsia="仿宋" w:cs="仿宋"/>
                <w:color w:val="auto"/>
                <w:kern w:val="0"/>
                <w:sz w:val="24"/>
                <w:highlight w:val="none"/>
              </w:rPr>
            </w:pPr>
          </w:p>
        </w:tc>
        <w:tc>
          <w:tcPr>
            <w:tcW w:w="2512" w:type="dxa"/>
            <w:tcBorders>
              <w:top w:val="nil"/>
              <w:left w:val="single" w:color="000000" w:sz="4" w:space="0"/>
              <w:bottom w:val="single" w:color="000000" w:sz="4" w:space="0"/>
              <w:right w:val="single" w:color="000000" w:sz="4" w:space="0"/>
            </w:tcBorders>
            <w:shd w:val="clear" w:color="auto" w:fill="auto"/>
            <w:vAlign w:val="center"/>
          </w:tcPr>
          <w:p w14:paraId="44E8E26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c) 消除遮挡隐患</w:t>
            </w:r>
          </w:p>
        </w:tc>
      </w:tr>
      <w:tr w14:paraId="195B5EFB">
        <w:tblPrEx>
          <w:tblCellMar>
            <w:top w:w="0" w:type="dxa"/>
            <w:left w:w="108" w:type="dxa"/>
            <w:bottom w:w="0" w:type="dxa"/>
            <w:right w:w="108" w:type="dxa"/>
          </w:tblCellMar>
        </w:tblPrEx>
        <w:trPr>
          <w:trHeight w:val="1282"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A53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620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工作温度</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F76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仪器测量</w:t>
            </w: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D9AA">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辐照度≥500W/m²、风速≤2m/s时，组件表面温差＞20℃</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EA6C">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更换或持续观察</w:t>
            </w:r>
          </w:p>
        </w:tc>
      </w:tr>
      <w:tr w14:paraId="0DDA8CF3">
        <w:tblPrEx>
          <w:tblCellMar>
            <w:top w:w="0" w:type="dxa"/>
            <w:left w:w="108" w:type="dxa"/>
            <w:bottom w:w="0" w:type="dxa"/>
            <w:right w:w="108" w:type="dxa"/>
          </w:tblCellMar>
        </w:tblPrEx>
        <w:trPr>
          <w:trHeight w:val="1282"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901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C4F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绝缘测试</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F78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仪器测量</w:t>
            </w: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EA5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1000V测试下，正/负极对地绝缘电阻＜1MΩ</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07E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检查绝缘问题点并处理</w:t>
            </w:r>
          </w:p>
        </w:tc>
      </w:tr>
      <w:tr w14:paraId="34489238">
        <w:tblPrEx>
          <w:tblCellMar>
            <w:top w:w="0" w:type="dxa"/>
            <w:left w:w="108" w:type="dxa"/>
            <w:bottom w:w="0" w:type="dxa"/>
            <w:right w:w="108" w:type="dxa"/>
          </w:tblCellMar>
        </w:tblPrEx>
        <w:trPr>
          <w:trHeight w:val="1293"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36C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236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异常组件排查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BAA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仪器测量</w:t>
            </w:r>
          </w:p>
        </w:tc>
        <w:tc>
          <w:tcPr>
            <w:tcW w:w="4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E85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同一汇流设备下各组件串电流偏差＞5%</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5E1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排查并更换异常组件</w:t>
            </w:r>
          </w:p>
        </w:tc>
      </w:tr>
    </w:tbl>
    <w:p w14:paraId="4C321AC9">
      <w:pPr>
        <w:rPr>
          <w:rFonts w:ascii="宋体" w:hAnsi="宋体" w:cs="宋体"/>
          <w:color w:val="auto"/>
          <w:sz w:val="28"/>
          <w:szCs w:val="36"/>
          <w:highlight w:val="none"/>
        </w:rPr>
      </w:pPr>
      <w:r>
        <w:rPr>
          <w:rFonts w:ascii="宋体" w:hAnsi="宋体" w:cs="宋体"/>
          <w:color w:val="auto"/>
          <w:sz w:val="28"/>
          <w:szCs w:val="36"/>
          <w:highlight w:val="none"/>
        </w:rPr>
        <w:br w:type="page"/>
      </w:r>
    </w:p>
    <w:p w14:paraId="0C67983C">
      <w:pPr>
        <w:jc w:val="center"/>
        <w:rPr>
          <w:rFonts w:ascii="宋体" w:hAnsi="宋体" w:cs="宋体"/>
          <w:b/>
          <w:bCs/>
          <w:color w:val="auto"/>
          <w:sz w:val="28"/>
          <w:szCs w:val="36"/>
          <w:highlight w:val="none"/>
        </w:rPr>
      </w:pPr>
      <w:r>
        <w:rPr>
          <w:rFonts w:hint="eastAsia" w:ascii="宋体" w:hAnsi="宋体" w:cs="宋体"/>
          <w:b/>
          <w:bCs/>
          <w:color w:val="auto"/>
          <w:sz w:val="28"/>
          <w:szCs w:val="36"/>
          <w:highlight w:val="none"/>
        </w:rPr>
        <w:t>线缆桥架检查项目</w:t>
      </w:r>
    </w:p>
    <w:tbl>
      <w:tblPr>
        <w:tblStyle w:val="19"/>
        <w:tblW w:w="9838" w:type="dxa"/>
        <w:tblInd w:w="91" w:type="dxa"/>
        <w:tblLayout w:type="autofit"/>
        <w:tblCellMar>
          <w:top w:w="0" w:type="dxa"/>
          <w:left w:w="108" w:type="dxa"/>
          <w:bottom w:w="0" w:type="dxa"/>
          <w:right w:w="108" w:type="dxa"/>
        </w:tblCellMar>
      </w:tblPr>
      <w:tblGrid>
        <w:gridCol w:w="819"/>
        <w:gridCol w:w="1648"/>
        <w:gridCol w:w="1189"/>
        <w:gridCol w:w="3201"/>
        <w:gridCol w:w="2981"/>
      </w:tblGrid>
      <w:tr w14:paraId="7297454B">
        <w:tblPrEx>
          <w:tblCellMar>
            <w:top w:w="0" w:type="dxa"/>
            <w:left w:w="108" w:type="dxa"/>
            <w:bottom w:w="0" w:type="dxa"/>
            <w:right w:w="108" w:type="dxa"/>
          </w:tblCellMar>
        </w:tblPrEx>
        <w:trPr>
          <w:trHeight w:val="739"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4D4B">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编号</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ED21">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巡视检查内容</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04EF">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巡视检查方法</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7E14">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异常情况</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FD1E">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处理措施及注意事项</w:t>
            </w:r>
          </w:p>
        </w:tc>
      </w:tr>
      <w:tr w14:paraId="3CD3E058">
        <w:tblPrEx>
          <w:tblCellMar>
            <w:top w:w="0" w:type="dxa"/>
            <w:left w:w="108" w:type="dxa"/>
            <w:bottom w:w="0" w:type="dxa"/>
            <w:right w:w="108" w:type="dxa"/>
          </w:tblCellMar>
        </w:tblPrEx>
        <w:trPr>
          <w:trHeight w:val="944"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47C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E5B5">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电缆进出设备处部位</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CD4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219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存在直径大于10mm的孔洞</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6FE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用防火堵泥封堵</w:t>
            </w:r>
          </w:p>
        </w:tc>
      </w:tr>
      <w:tr w14:paraId="4AF8DBC9">
        <w:tblPrEx>
          <w:tblCellMar>
            <w:top w:w="0" w:type="dxa"/>
            <w:left w:w="108" w:type="dxa"/>
            <w:bottom w:w="0" w:type="dxa"/>
            <w:right w:w="108" w:type="dxa"/>
          </w:tblCellMar>
        </w:tblPrEx>
        <w:trPr>
          <w:trHeight w:val="845"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5CD7">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442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电缆固定支撑点</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085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操作检验</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0172">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电缆支撑点不完好</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559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固定或调整支撑点</w:t>
            </w:r>
          </w:p>
        </w:tc>
      </w:tr>
      <w:tr w14:paraId="67145FF3">
        <w:tblPrEx>
          <w:tblCellMar>
            <w:top w:w="0" w:type="dxa"/>
            <w:left w:w="108" w:type="dxa"/>
            <w:bottom w:w="0" w:type="dxa"/>
            <w:right w:w="108" w:type="dxa"/>
          </w:tblCellMar>
        </w:tblPrEx>
        <w:trPr>
          <w:trHeight w:val="779"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79FD">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135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电气竖井检查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64E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4B8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电缆井内有异物或积水</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842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清除堆积物、垃圾等，及时处理</w:t>
            </w:r>
          </w:p>
        </w:tc>
      </w:tr>
      <w:tr w14:paraId="01E7C04C">
        <w:tblPrEx>
          <w:tblCellMar>
            <w:top w:w="0" w:type="dxa"/>
            <w:left w:w="108" w:type="dxa"/>
            <w:bottom w:w="0" w:type="dxa"/>
            <w:right w:w="108" w:type="dxa"/>
          </w:tblCellMar>
        </w:tblPrEx>
        <w:trPr>
          <w:trHeight w:val="646"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ECB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D53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室内电缆沟</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BDA5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C9C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电缆外皮损坏</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3CDD">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保护或更换</w:t>
            </w:r>
          </w:p>
        </w:tc>
      </w:tr>
      <w:tr w14:paraId="2F26D21B">
        <w:tblPrEx>
          <w:tblCellMar>
            <w:top w:w="0" w:type="dxa"/>
            <w:left w:w="108" w:type="dxa"/>
            <w:bottom w:w="0" w:type="dxa"/>
            <w:right w:w="108" w:type="dxa"/>
          </w:tblCellMar>
        </w:tblPrEx>
        <w:trPr>
          <w:trHeight w:val="1257"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3E2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B26C">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直埋电缆线沿线检查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C767">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B867">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路径附近地面出现挖掘、堆放重物、建材及临时设施，有腐蚀性物质排泄</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5BE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及时修补地面，清理堆积物</w:t>
            </w:r>
          </w:p>
        </w:tc>
      </w:tr>
      <w:tr w14:paraId="6537BE07">
        <w:tblPrEx>
          <w:tblCellMar>
            <w:top w:w="0" w:type="dxa"/>
            <w:left w:w="108" w:type="dxa"/>
            <w:bottom w:w="0" w:type="dxa"/>
            <w:right w:w="108" w:type="dxa"/>
          </w:tblCellMar>
        </w:tblPrEx>
        <w:trPr>
          <w:trHeight w:val="971" w:hRule="atLeast"/>
        </w:trPr>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DCD1C">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w:t>
            </w:r>
          </w:p>
        </w:tc>
        <w:tc>
          <w:tcPr>
            <w:tcW w:w="16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15AFA">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室外电缆沟</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06107">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201" w:type="dxa"/>
            <w:tcBorders>
              <w:top w:val="single" w:color="000000" w:sz="4" w:space="0"/>
              <w:left w:val="single" w:color="000000" w:sz="4" w:space="0"/>
              <w:bottom w:val="nil"/>
              <w:right w:val="single" w:color="000000" w:sz="4" w:space="0"/>
            </w:tcBorders>
            <w:shd w:val="clear" w:color="auto" w:fill="auto"/>
            <w:vAlign w:val="center"/>
          </w:tcPr>
          <w:p w14:paraId="6208E17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 电缆沟或电缆井的盖板有损坏</w:t>
            </w:r>
          </w:p>
        </w:tc>
        <w:tc>
          <w:tcPr>
            <w:tcW w:w="2981" w:type="dxa"/>
            <w:tcBorders>
              <w:top w:val="single" w:color="000000" w:sz="4" w:space="0"/>
              <w:left w:val="single" w:color="000000" w:sz="4" w:space="0"/>
              <w:bottom w:val="nil"/>
              <w:right w:val="single" w:color="000000" w:sz="4" w:space="0"/>
            </w:tcBorders>
            <w:shd w:val="clear" w:color="auto" w:fill="auto"/>
            <w:vAlign w:val="center"/>
          </w:tcPr>
          <w:p w14:paraId="6155CFA7">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 更换盖板</w:t>
            </w:r>
          </w:p>
        </w:tc>
      </w:tr>
      <w:tr w14:paraId="68A2D88A">
        <w:tblPrEx>
          <w:tblCellMar>
            <w:top w:w="0" w:type="dxa"/>
            <w:left w:w="108" w:type="dxa"/>
            <w:bottom w:w="0" w:type="dxa"/>
            <w:right w:w="108" w:type="dxa"/>
          </w:tblCellMar>
        </w:tblPrEx>
        <w:trPr>
          <w:trHeight w:val="971" w:hRule="atLeast"/>
        </w:trPr>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EFE4C">
            <w:pPr>
              <w:widowControl/>
              <w:jc w:val="center"/>
              <w:textAlignment w:val="center"/>
              <w:rPr>
                <w:rFonts w:ascii="仿宋" w:hAnsi="仿宋" w:eastAsia="仿宋" w:cs="仿宋"/>
                <w:color w:val="auto"/>
                <w:kern w:val="0"/>
                <w:sz w:val="24"/>
                <w:highlight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7D56C">
            <w:pPr>
              <w:widowControl/>
              <w:jc w:val="center"/>
              <w:textAlignment w:val="center"/>
              <w:rPr>
                <w:rFonts w:ascii="仿宋" w:hAnsi="仿宋" w:eastAsia="仿宋" w:cs="仿宋"/>
                <w:color w:val="auto"/>
                <w:kern w:val="0"/>
                <w:sz w:val="24"/>
                <w:highlight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7953D">
            <w:pPr>
              <w:widowControl/>
              <w:jc w:val="center"/>
              <w:textAlignment w:val="center"/>
              <w:rPr>
                <w:rFonts w:ascii="仿宋" w:hAnsi="仿宋" w:eastAsia="仿宋" w:cs="仿宋"/>
                <w:color w:val="auto"/>
                <w:kern w:val="0"/>
                <w:sz w:val="24"/>
                <w:highlight w:val="none"/>
              </w:rPr>
            </w:pPr>
          </w:p>
        </w:tc>
        <w:tc>
          <w:tcPr>
            <w:tcW w:w="3201" w:type="dxa"/>
            <w:tcBorders>
              <w:top w:val="nil"/>
              <w:left w:val="single" w:color="000000" w:sz="4" w:space="0"/>
              <w:bottom w:val="nil"/>
              <w:right w:val="single" w:color="000000" w:sz="4" w:space="0"/>
            </w:tcBorders>
            <w:shd w:val="clear" w:color="auto" w:fill="auto"/>
            <w:vAlign w:val="center"/>
          </w:tcPr>
          <w:p w14:paraId="5F5CDB8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 沟道中有积水或杂物</w:t>
            </w:r>
          </w:p>
        </w:tc>
        <w:tc>
          <w:tcPr>
            <w:tcW w:w="2981" w:type="dxa"/>
            <w:tcBorders>
              <w:top w:val="nil"/>
              <w:left w:val="single" w:color="000000" w:sz="4" w:space="0"/>
              <w:bottom w:val="nil"/>
              <w:right w:val="single" w:color="000000" w:sz="4" w:space="0"/>
            </w:tcBorders>
            <w:shd w:val="clear" w:color="auto" w:fill="auto"/>
            <w:vAlign w:val="center"/>
          </w:tcPr>
          <w:p w14:paraId="71CF7D2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 清除杂物</w:t>
            </w:r>
          </w:p>
        </w:tc>
      </w:tr>
      <w:tr w14:paraId="6558D1F0">
        <w:tblPrEx>
          <w:tblCellMar>
            <w:top w:w="0" w:type="dxa"/>
            <w:left w:w="108" w:type="dxa"/>
            <w:bottom w:w="0" w:type="dxa"/>
            <w:right w:w="108" w:type="dxa"/>
          </w:tblCellMar>
        </w:tblPrEx>
        <w:trPr>
          <w:trHeight w:val="971" w:hRule="atLeast"/>
        </w:trPr>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50F6D">
            <w:pPr>
              <w:widowControl/>
              <w:jc w:val="center"/>
              <w:textAlignment w:val="center"/>
              <w:rPr>
                <w:rFonts w:ascii="仿宋" w:hAnsi="仿宋" w:eastAsia="仿宋" w:cs="仿宋"/>
                <w:color w:val="auto"/>
                <w:kern w:val="0"/>
                <w:sz w:val="24"/>
                <w:highlight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85643">
            <w:pPr>
              <w:widowControl/>
              <w:jc w:val="center"/>
              <w:textAlignment w:val="center"/>
              <w:rPr>
                <w:rFonts w:ascii="仿宋" w:hAnsi="仿宋" w:eastAsia="仿宋" w:cs="仿宋"/>
                <w:color w:val="auto"/>
                <w:kern w:val="0"/>
                <w:sz w:val="24"/>
                <w:highlight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791AF">
            <w:pPr>
              <w:widowControl/>
              <w:jc w:val="center"/>
              <w:textAlignment w:val="center"/>
              <w:rPr>
                <w:rFonts w:ascii="仿宋" w:hAnsi="仿宋" w:eastAsia="仿宋" w:cs="仿宋"/>
                <w:color w:val="auto"/>
                <w:kern w:val="0"/>
                <w:sz w:val="24"/>
                <w:highlight w:val="none"/>
              </w:rPr>
            </w:pPr>
          </w:p>
        </w:tc>
        <w:tc>
          <w:tcPr>
            <w:tcW w:w="3201" w:type="dxa"/>
            <w:tcBorders>
              <w:top w:val="nil"/>
              <w:left w:val="single" w:color="000000" w:sz="4" w:space="0"/>
              <w:bottom w:val="nil"/>
              <w:right w:val="single" w:color="000000" w:sz="4" w:space="0"/>
            </w:tcBorders>
            <w:shd w:val="clear" w:color="auto" w:fill="auto"/>
            <w:vAlign w:val="center"/>
          </w:tcPr>
          <w:p w14:paraId="08A221AC">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 沟内支架不牢固、有锈蚀、松动现象</w:t>
            </w:r>
          </w:p>
        </w:tc>
        <w:tc>
          <w:tcPr>
            <w:tcW w:w="2981" w:type="dxa"/>
            <w:tcBorders>
              <w:top w:val="nil"/>
              <w:left w:val="single" w:color="000000" w:sz="4" w:space="0"/>
              <w:bottom w:val="nil"/>
              <w:right w:val="single" w:color="000000" w:sz="4" w:space="0"/>
            </w:tcBorders>
            <w:shd w:val="clear" w:color="auto" w:fill="auto"/>
            <w:vAlign w:val="center"/>
          </w:tcPr>
          <w:p w14:paraId="7D830F2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 外皮破损电缆应进行修补并加以保护</w:t>
            </w:r>
          </w:p>
        </w:tc>
      </w:tr>
      <w:tr w14:paraId="266BBD07">
        <w:tblPrEx>
          <w:tblCellMar>
            <w:top w:w="0" w:type="dxa"/>
            <w:left w:w="108" w:type="dxa"/>
            <w:bottom w:w="0" w:type="dxa"/>
            <w:right w:w="108" w:type="dxa"/>
          </w:tblCellMar>
        </w:tblPrEx>
        <w:trPr>
          <w:trHeight w:val="971" w:hRule="atLeast"/>
        </w:trPr>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879A9">
            <w:pPr>
              <w:widowControl/>
              <w:jc w:val="center"/>
              <w:textAlignment w:val="center"/>
              <w:rPr>
                <w:rFonts w:ascii="仿宋" w:hAnsi="仿宋" w:eastAsia="仿宋" w:cs="仿宋"/>
                <w:color w:val="auto"/>
                <w:kern w:val="0"/>
                <w:sz w:val="24"/>
                <w:highlight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24E10">
            <w:pPr>
              <w:widowControl/>
              <w:jc w:val="center"/>
              <w:textAlignment w:val="center"/>
              <w:rPr>
                <w:rFonts w:ascii="仿宋" w:hAnsi="仿宋" w:eastAsia="仿宋" w:cs="仿宋"/>
                <w:color w:val="auto"/>
                <w:kern w:val="0"/>
                <w:sz w:val="24"/>
                <w:highlight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8F190">
            <w:pPr>
              <w:widowControl/>
              <w:jc w:val="center"/>
              <w:textAlignment w:val="center"/>
              <w:rPr>
                <w:rFonts w:ascii="仿宋" w:hAnsi="仿宋" w:eastAsia="仿宋" w:cs="仿宋"/>
                <w:color w:val="auto"/>
                <w:kern w:val="0"/>
                <w:sz w:val="24"/>
                <w:highlight w:val="none"/>
              </w:rPr>
            </w:pPr>
          </w:p>
        </w:tc>
        <w:tc>
          <w:tcPr>
            <w:tcW w:w="3201" w:type="dxa"/>
            <w:tcBorders>
              <w:top w:val="nil"/>
              <w:left w:val="single" w:color="000000" w:sz="4" w:space="0"/>
              <w:bottom w:val="single" w:color="000000" w:sz="4" w:space="0"/>
              <w:right w:val="single" w:color="000000" w:sz="4" w:space="0"/>
            </w:tcBorders>
            <w:shd w:val="clear" w:color="auto" w:fill="auto"/>
            <w:vAlign w:val="center"/>
          </w:tcPr>
          <w:p w14:paraId="117C0A9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 铠装电缆外皮及铠装有严重锈蚀</w:t>
            </w:r>
          </w:p>
        </w:tc>
        <w:tc>
          <w:tcPr>
            <w:tcW w:w="2981" w:type="dxa"/>
            <w:tcBorders>
              <w:top w:val="nil"/>
              <w:left w:val="single" w:color="000000" w:sz="4" w:space="0"/>
              <w:bottom w:val="single" w:color="000000" w:sz="4" w:space="0"/>
              <w:right w:val="single" w:color="000000" w:sz="4" w:space="0"/>
            </w:tcBorders>
            <w:shd w:val="clear" w:color="auto" w:fill="auto"/>
            <w:vAlign w:val="center"/>
          </w:tcPr>
          <w:p w14:paraId="0A6FB07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 严重锈蚀电缆应进行更换</w:t>
            </w:r>
          </w:p>
        </w:tc>
      </w:tr>
      <w:tr w14:paraId="16A97098">
        <w:tblPrEx>
          <w:tblCellMar>
            <w:top w:w="0" w:type="dxa"/>
            <w:left w:w="108" w:type="dxa"/>
            <w:bottom w:w="0" w:type="dxa"/>
            <w:right w:w="108" w:type="dxa"/>
          </w:tblCellMar>
        </w:tblPrEx>
        <w:trPr>
          <w:trHeight w:val="944"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2B2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FC45">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电缆连接器</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6C5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操作检验</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F20A">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电缆连接器出现接触不良、浸水、变形发热现象</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30E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更换</w:t>
            </w:r>
          </w:p>
        </w:tc>
      </w:tr>
      <w:tr w14:paraId="11CB08A1">
        <w:tblPrEx>
          <w:tblCellMar>
            <w:top w:w="0" w:type="dxa"/>
            <w:left w:w="108" w:type="dxa"/>
            <w:bottom w:w="0" w:type="dxa"/>
            <w:right w:w="108" w:type="dxa"/>
          </w:tblCellMar>
        </w:tblPrEx>
        <w:trPr>
          <w:trHeight w:val="944"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8FC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B05A">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电缆连接头</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C91C">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操作检验</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7FCC">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电缆连接头直接置在金属屋面上(绑扎电缆脱落)</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34C2">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重新绑扎</w:t>
            </w:r>
          </w:p>
        </w:tc>
      </w:tr>
      <w:tr w14:paraId="2C136473">
        <w:tblPrEx>
          <w:tblCellMar>
            <w:top w:w="0" w:type="dxa"/>
            <w:left w:w="108" w:type="dxa"/>
            <w:bottom w:w="0" w:type="dxa"/>
            <w:right w:w="108" w:type="dxa"/>
          </w:tblCellMar>
        </w:tblPrEx>
        <w:trPr>
          <w:trHeight w:val="944"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29B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441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室外线槽</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DA3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0441">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外线槽表面不清洁，槽盖固定不完好，连接片、螺栓等有锈蚀</w:t>
            </w:r>
          </w:p>
        </w:tc>
        <w:tc>
          <w:tcPr>
            <w:tcW w:w="2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F3F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清理，固定槽盖，更换连接器件</w:t>
            </w:r>
          </w:p>
        </w:tc>
      </w:tr>
      <w:tr w14:paraId="4D1DE0D6">
        <w:tblPrEx>
          <w:tblCellMar>
            <w:top w:w="0" w:type="dxa"/>
            <w:left w:w="108" w:type="dxa"/>
            <w:bottom w:w="0" w:type="dxa"/>
            <w:right w:w="108" w:type="dxa"/>
          </w:tblCellMar>
        </w:tblPrEx>
        <w:trPr>
          <w:trHeight w:val="490" w:hRule="atLeast"/>
        </w:trPr>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F0302">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w:t>
            </w:r>
          </w:p>
        </w:tc>
        <w:tc>
          <w:tcPr>
            <w:tcW w:w="16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1B9C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电缆接头温度</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7440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仪器检测</w:t>
            </w:r>
          </w:p>
        </w:tc>
        <w:tc>
          <w:tcPr>
            <w:tcW w:w="3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C0B0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局部温差超过15%或10℃</w:t>
            </w:r>
          </w:p>
        </w:tc>
        <w:tc>
          <w:tcPr>
            <w:tcW w:w="2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86CBD">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断电检修，对电缆接头进行紧固或更换</w:t>
            </w:r>
          </w:p>
        </w:tc>
      </w:tr>
      <w:tr w14:paraId="14FB16FA">
        <w:tblPrEx>
          <w:tblCellMar>
            <w:top w:w="0" w:type="dxa"/>
            <w:left w:w="108" w:type="dxa"/>
            <w:bottom w:w="0" w:type="dxa"/>
            <w:right w:w="108" w:type="dxa"/>
          </w:tblCellMar>
        </w:tblPrEx>
        <w:trPr>
          <w:trHeight w:val="642" w:hRule="atLeast"/>
        </w:trPr>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A411C">
            <w:pPr>
              <w:jc w:val="center"/>
              <w:rPr>
                <w:rFonts w:ascii="Noto Sans SC" w:hAnsi="Noto Sans SC" w:eastAsia="Noto Sans SC" w:cs="Noto Sans SC"/>
                <w:color w:val="auto"/>
                <w:sz w:val="28"/>
                <w:szCs w:val="28"/>
                <w:highlight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AF55F">
            <w:pPr>
              <w:rPr>
                <w:rFonts w:ascii="Noto Sans SC" w:hAnsi="Noto Sans SC" w:eastAsia="Noto Sans SC" w:cs="Noto Sans SC"/>
                <w:color w:val="auto"/>
                <w:sz w:val="28"/>
                <w:szCs w:val="28"/>
                <w:highlight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F7D71">
            <w:pPr>
              <w:jc w:val="center"/>
              <w:rPr>
                <w:rFonts w:ascii="Noto Sans SC" w:hAnsi="Noto Sans SC" w:eastAsia="Noto Sans SC" w:cs="Noto Sans SC"/>
                <w:color w:val="auto"/>
                <w:sz w:val="28"/>
                <w:szCs w:val="28"/>
                <w:highlight w:val="none"/>
              </w:rPr>
            </w:pPr>
          </w:p>
        </w:tc>
        <w:tc>
          <w:tcPr>
            <w:tcW w:w="3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CAAA1">
            <w:pPr>
              <w:rPr>
                <w:rFonts w:ascii="Noto Sans SC" w:hAnsi="Noto Sans SC" w:eastAsia="Noto Sans SC" w:cs="Noto Sans SC"/>
                <w:color w:val="auto"/>
                <w:sz w:val="28"/>
                <w:szCs w:val="28"/>
                <w:highlight w:val="none"/>
              </w:rPr>
            </w:pPr>
          </w:p>
        </w:tc>
        <w:tc>
          <w:tcPr>
            <w:tcW w:w="2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74C51">
            <w:pPr>
              <w:rPr>
                <w:rFonts w:ascii="Noto Sans SC" w:hAnsi="Noto Sans SC" w:eastAsia="Noto Sans SC" w:cs="Noto Sans SC"/>
                <w:color w:val="auto"/>
                <w:sz w:val="28"/>
                <w:szCs w:val="28"/>
                <w:highlight w:val="none"/>
              </w:rPr>
            </w:pPr>
          </w:p>
        </w:tc>
      </w:tr>
    </w:tbl>
    <w:p w14:paraId="2222F33F">
      <w:pPr>
        <w:jc w:val="left"/>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br w:type="page"/>
      </w:r>
    </w:p>
    <w:p w14:paraId="727FF863">
      <w:pPr>
        <w:jc w:val="center"/>
        <w:rPr>
          <w:rFonts w:ascii="宋体" w:hAnsi="宋体" w:cs="宋体"/>
          <w:b/>
          <w:bCs/>
          <w:color w:val="auto"/>
          <w:sz w:val="28"/>
          <w:szCs w:val="36"/>
          <w:highlight w:val="none"/>
        </w:rPr>
      </w:pPr>
      <w:r>
        <w:rPr>
          <w:rFonts w:hint="eastAsia" w:ascii="宋体" w:hAnsi="宋体" w:cs="宋体"/>
          <w:b/>
          <w:bCs/>
          <w:color w:val="auto"/>
          <w:sz w:val="28"/>
          <w:szCs w:val="36"/>
          <w:highlight w:val="none"/>
        </w:rPr>
        <w:t>高压设备及变压器检查项目</w:t>
      </w:r>
    </w:p>
    <w:tbl>
      <w:tblPr>
        <w:tblStyle w:val="19"/>
        <w:tblW w:w="9538" w:type="dxa"/>
        <w:tblInd w:w="91" w:type="dxa"/>
        <w:tblLayout w:type="autofit"/>
        <w:tblCellMar>
          <w:top w:w="0" w:type="dxa"/>
          <w:left w:w="108" w:type="dxa"/>
          <w:bottom w:w="0" w:type="dxa"/>
          <w:right w:w="108" w:type="dxa"/>
        </w:tblCellMar>
      </w:tblPr>
      <w:tblGrid>
        <w:gridCol w:w="794"/>
        <w:gridCol w:w="1597"/>
        <w:gridCol w:w="1153"/>
        <w:gridCol w:w="3104"/>
        <w:gridCol w:w="2890"/>
      </w:tblGrid>
      <w:tr w14:paraId="031C0698">
        <w:tblPrEx>
          <w:tblCellMar>
            <w:top w:w="0" w:type="dxa"/>
            <w:left w:w="108" w:type="dxa"/>
            <w:bottom w:w="0" w:type="dxa"/>
            <w:right w:w="108" w:type="dxa"/>
          </w:tblCellMar>
        </w:tblPrEx>
        <w:trPr>
          <w:trHeight w:val="1079"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0336">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编号</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3CCC">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巡视检查内容</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1FEB">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巡视检查方法</w:t>
            </w:r>
          </w:p>
        </w:tc>
        <w:tc>
          <w:tcPr>
            <w:tcW w:w="3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4350">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异常情况</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186D">
            <w:pPr>
              <w:widowControl/>
              <w:jc w:val="center"/>
              <w:textAlignment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处理措施及注意事项</w:t>
            </w:r>
          </w:p>
        </w:tc>
      </w:tr>
      <w:tr w14:paraId="758AF0C8">
        <w:tblPrEx>
          <w:tblCellMar>
            <w:top w:w="0" w:type="dxa"/>
            <w:left w:w="108" w:type="dxa"/>
            <w:bottom w:w="0" w:type="dxa"/>
            <w:right w:w="108" w:type="dxa"/>
          </w:tblCellMar>
        </w:tblPrEx>
        <w:trPr>
          <w:trHeight w:val="1836"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ADAD">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46E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变压器检查</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6D42">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5128">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变压器/箱变运行声音无异常（无剧烈嗡嗡、放电声）；外表无油污、无锈蚀；油枕高度</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A752">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停电检修，加变压器油处理</w:t>
            </w:r>
          </w:p>
        </w:tc>
      </w:tr>
      <w:tr w14:paraId="54EC81C4">
        <w:tblPrEx>
          <w:tblCellMar>
            <w:top w:w="0" w:type="dxa"/>
            <w:left w:w="108" w:type="dxa"/>
            <w:bottom w:w="0" w:type="dxa"/>
            <w:right w:w="108" w:type="dxa"/>
          </w:tblCellMar>
        </w:tblPrEx>
        <w:trPr>
          <w:trHeight w:val="1379"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AFB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6C1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高压设备检查</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7E3F">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480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环网柜/高压柜仪表指示正常；开关状态正确；外壳接地完好</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9AD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停电检修，严重时更换设备</w:t>
            </w:r>
          </w:p>
        </w:tc>
      </w:tr>
      <w:tr w14:paraId="50018E17">
        <w:tblPrEx>
          <w:tblCellMar>
            <w:top w:w="0" w:type="dxa"/>
            <w:left w:w="108" w:type="dxa"/>
            <w:bottom w:w="0" w:type="dxa"/>
            <w:right w:w="108" w:type="dxa"/>
          </w:tblCellMar>
        </w:tblPrEx>
        <w:trPr>
          <w:trHeight w:val="1379"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94E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BEFD">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低压设备检查</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48CD">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F97B">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低压配电柜 开关位置正确；指示灯正常；无异常声响、异味</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59D4">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停电检修，严重时更换设备</w:t>
            </w:r>
          </w:p>
        </w:tc>
      </w:tr>
      <w:tr w14:paraId="33BBA077">
        <w:tblPrEx>
          <w:tblCellMar>
            <w:top w:w="0" w:type="dxa"/>
            <w:left w:w="108" w:type="dxa"/>
            <w:bottom w:w="0" w:type="dxa"/>
            <w:right w:w="108" w:type="dxa"/>
          </w:tblCellMar>
        </w:tblPrEx>
        <w:trPr>
          <w:trHeight w:val="958"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7083">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A08E">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电能表检查</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D410">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目测</w:t>
            </w:r>
          </w:p>
        </w:tc>
        <w:tc>
          <w:tcPr>
            <w:tcW w:w="3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2039">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电能表读数正常，无告警信号</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0116">
            <w:pPr>
              <w:widowControl/>
              <w:jc w:val="center"/>
              <w:textAlignment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停电检修，严重时更换设备</w:t>
            </w:r>
          </w:p>
        </w:tc>
      </w:tr>
    </w:tbl>
    <w:p w14:paraId="5DF9AE34">
      <w:pPr>
        <w:rPr>
          <w:rFonts w:ascii="宋体" w:hAnsi="宋体" w:cs="宋体"/>
          <w:color w:val="auto"/>
          <w:sz w:val="32"/>
          <w:szCs w:val="40"/>
          <w:highlight w:val="none"/>
        </w:rPr>
      </w:pPr>
    </w:p>
    <w:p w14:paraId="06572759">
      <w:pPr>
        <w:rPr>
          <w:rFonts w:ascii="宋体" w:hAnsi="宋体" w:cs="宋体"/>
          <w:color w:val="auto"/>
          <w:sz w:val="32"/>
          <w:szCs w:val="40"/>
          <w:highlight w:val="none"/>
        </w:rPr>
      </w:pPr>
    </w:p>
    <w:p w14:paraId="7A0A3EC4">
      <w:pPr>
        <w:rPr>
          <w:rFonts w:hint="eastAsia" w:ascii="宋体" w:hAnsi="宋体" w:cs="宋体"/>
          <w:color w:val="auto"/>
          <w:sz w:val="32"/>
          <w:szCs w:val="40"/>
          <w:highlight w:val="none"/>
        </w:rPr>
      </w:pPr>
      <w:r>
        <w:rPr>
          <w:rFonts w:hint="eastAsia" w:ascii="宋体" w:hAnsi="宋体" w:cs="宋体"/>
          <w:color w:val="auto"/>
          <w:sz w:val="32"/>
          <w:szCs w:val="40"/>
          <w:highlight w:val="none"/>
        </w:rPr>
        <w:br w:type="page"/>
      </w:r>
    </w:p>
    <w:p w14:paraId="25DD4561">
      <w:pPr>
        <w:rPr>
          <w:rFonts w:ascii="宋体" w:hAnsi="宋体" w:cs="宋体"/>
          <w:color w:val="auto"/>
          <w:sz w:val="32"/>
          <w:szCs w:val="40"/>
          <w:highlight w:val="none"/>
        </w:rPr>
      </w:pPr>
      <w:r>
        <w:rPr>
          <w:rFonts w:hint="eastAsia" w:ascii="宋体" w:hAnsi="宋体" w:cs="宋体"/>
          <w:color w:val="auto"/>
          <w:sz w:val="32"/>
          <w:szCs w:val="40"/>
          <w:highlight w:val="none"/>
        </w:rPr>
        <w:t>附件2：巡检表</w:t>
      </w:r>
    </w:p>
    <w:tbl>
      <w:tblPr>
        <w:tblStyle w:val="19"/>
        <w:tblW w:w="9619" w:type="dxa"/>
        <w:tblInd w:w="93" w:type="dxa"/>
        <w:tblLayout w:type="fixed"/>
        <w:tblCellMar>
          <w:top w:w="0" w:type="dxa"/>
          <w:left w:w="108" w:type="dxa"/>
          <w:bottom w:w="0" w:type="dxa"/>
          <w:right w:w="108" w:type="dxa"/>
        </w:tblCellMar>
      </w:tblPr>
      <w:tblGrid>
        <w:gridCol w:w="978"/>
        <w:gridCol w:w="925"/>
        <w:gridCol w:w="5666"/>
        <w:gridCol w:w="1025"/>
        <w:gridCol w:w="1025"/>
      </w:tblGrid>
      <w:tr w14:paraId="621B474C">
        <w:tblPrEx>
          <w:tblCellMar>
            <w:top w:w="0" w:type="dxa"/>
            <w:left w:w="108" w:type="dxa"/>
            <w:bottom w:w="0" w:type="dxa"/>
            <w:right w:w="108" w:type="dxa"/>
          </w:tblCellMar>
        </w:tblPrEx>
        <w:trPr>
          <w:trHeight w:val="45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A673">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场站：</w:t>
            </w:r>
          </w:p>
        </w:tc>
        <w:tc>
          <w:tcPr>
            <w:tcW w:w="65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C4AB">
            <w:pPr>
              <w:widowControl/>
              <w:jc w:val="center"/>
              <w:textAlignment w:val="center"/>
              <w:rPr>
                <w:rFonts w:ascii="宋体" w:hAnsi="宋体" w:cs="宋体"/>
                <w:color w:val="auto"/>
                <w:kern w:val="0"/>
                <w:sz w:val="22"/>
                <w:szCs w:val="22"/>
                <w:highlight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A2B4">
            <w:pPr>
              <w:widowControl/>
              <w:jc w:val="left"/>
              <w:textAlignment w:val="center"/>
              <w:rPr>
                <w:rStyle w:val="45"/>
                <w:rFonts w:hint="default"/>
                <w:color w:val="auto"/>
                <w:highlight w:val="none"/>
              </w:rPr>
            </w:pPr>
          </w:p>
        </w:tc>
      </w:tr>
      <w:tr w14:paraId="413D2EC9">
        <w:tblPrEx>
          <w:tblCellMar>
            <w:top w:w="0" w:type="dxa"/>
            <w:left w:w="108" w:type="dxa"/>
            <w:bottom w:w="0" w:type="dxa"/>
            <w:right w:w="108" w:type="dxa"/>
          </w:tblCellMar>
        </w:tblPrEx>
        <w:trPr>
          <w:trHeight w:val="45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475B">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序号</w:t>
            </w:r>
          </w:p>
        </w:tc>
        <w:tc>
          <w:tcPr>
            <w:tcW w:w="65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ECB27">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检查项目</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37B8">
            <w:pPr>
              <w:widowControl/>
              <w:jc w:val="left"/>
              <w:textAlignment w:val="center"/>
              <w:rPr>
                <w:rFonts w:ascii="宋体" w:hAnsi="宋体" w:cs="宋体"/>
                <w:color w:val="auto"/>
                <w:sz w:val="22"/>
                <w:szCs w:val="22"/>
                <w:highlight w:val="none"/>
              </w:rPr>
            </w:pPr>
            <w:r>
              <w:rPr>
                <w:rStyle w:val="45"/>
                <w:rFonts w:hint="default"/>
                <w:color w:val="auto"/>
                <w:highlight w:val="none"/>
              </w:rPr>
              <w:t>检查月份：</w:t>
            </w:r>
            <w:r>
              <w:rPr>
                <w:rStyle w:val="46"/>
                <w:rFonts w:hint="default"/>
                <w:color w:val="auto"/>
                <w:highlight w:val="none"/>
              </w:rPr>
              <w:t xml:space="preserve">  </w:t>
            </w:r>
            <w:r>
              <w:rPr>
                <w:rStyle w:val="45"/>
                <w:rFonts w:hint="default"/>
                <w:color w:val="auto"/>
                <w:highlight w:val="none"/>
              </w:rPr>
              <w:t xml:space="preserve">月  </w:t>
            </w:r>
          </w:p>
        </w:tc>
      </w:tr>
      <w:tr w14:paraId="5B8E4A30">
        <w:tblPrEx>
          <w:tblCellMar>
            <w:top w:w="0" w:type="dxa"/>
            <w:left w:w="108" w:type="dxa"/>
            <w:bottom w:w="0" w:type="dxa"/>
            <w:right w:w="108" w:type="dxa"/>
          </w:tblCellMar>
        </w:tblPrEx>
        <w:trPr>
          <w:trHeight w:val="298" w:hRule="atLeast"/>
        </w:trPr>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2F03">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1</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6C9B">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组件</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A0EB">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组件外观检查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C3BF">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6163">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4CCF1F00">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B792">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2C16">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B339">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温度是否异常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52F2">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76ED">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282BFDAA">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F4C8">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2583">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DF64E">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组件是否异常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0045">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187E">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7D272BBB">
        <w:tblPrEx>
          <w:tblCellMar>
            <w:top w:w="0" w:type="dxa"/>
            <w:left w:w="108" w:type="dxa"/>
            <w:bottom w:w="0" w:type="dxa"/>
            <w:right w:w="108" w:type="dxa"/>
          </w:tblCellMar>
        </w:tblPrEx>
        <w:trPr>
          <w:trHeight w:val="298" w:hRule="atLeast"/>
        </w:trPr>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0E2E">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0599">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逆变器</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304E">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逆变器外观检查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BCD7">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774C">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0554A519">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02AE">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1D00">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1EE6">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逆变器运行状态检查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2FC4">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9EF2">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1C085CDF">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863C">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5D9A">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EE90">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电缆接线、输入输出端子检查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4FFA">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199F">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3C50B134">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9DD0">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C720">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8F59">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逆变器报错检查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632F">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4013">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42571846">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9DF7">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E4B9">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5DAB">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散热风扇检查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EFBB3">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C630">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0E262840">
        <w:tblPrEx>
          <w:tblCellMar>
            <w:top w:w="0" w:type="dxa"/>
            <w:left w:w="108" w:type="dxa"/>
            <w:bottom w:w="0" w:type="dxa"/>
            <w:right w:w="108" w:type="dxa"/>
          </w:tblCellMar>
        </w:tblPrEx>
        <w:trPr>
          <w:trHeight w:val="298" w:hRule="atLeast"/>
        </w:trPr>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0653">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3</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1481">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桥架</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19AA">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电缆进出设备处部位检查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3385">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C85F">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1F6813C4">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A462">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BBF2">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7FBC">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电缆固定支撑点检查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07F8">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6567">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26EE358E">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60B8">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F698">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9CF3">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室外线槽桥架是否被破坏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D9BC">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6852">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2C4C2A64">
        <w:tblPrEx>
          <w:tblCellMar>
            <w:top w:w="0" w:type="dxa"/>
            <w:left w:w="108" w:type="dxa"/>
            <w:bottom w:w="0" w:type="dxa"/>
            <w:right w:w="108" w:type="dxa"/>
          </w:tblCellMar>
        </w:tblPrEx>
        <w:trPr>
          <w:trHeight w:val="298" w:hRule="atLeast"/>
        </w:trPr>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DB15">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4</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57EE">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并网柜</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8ABF">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开关功能检查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4ABC">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A606E">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32BEDF07">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8B92">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64E6">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BAF7A">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柜内元器件温度检查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AC55">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35D2">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09773855">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9BA6">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1A23">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7B4D">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线缆接头检查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C573">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63A68">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1D680048">
        <w:tblPrEx>
          <w:tblCellMar>
            <w:top w:w="0" w:type="dxa"/>
            <w:left w:w="108" w:type="dxa"/>
            <w:bottom w:w="0" w:type="dxa"/>
            <w:right w:w="108" w:type="dxa"/>
          </w:tblCellMar>
        </w:tblPrEx>
        <w:trPr>
          <w:trHeight w:val="298" w:hRule="atLeast"/>
        </w:trPr>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1C56">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5</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E0EB">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支架</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848E">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基础是否沉降、移位、歪斜超出设计要求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CD2C">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9CFB">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005060FE">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CF77">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F8FB">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85DB">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支架结构情况</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D05E">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6491">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6ADD50C2">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A106">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AC7C">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9C6B">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金属材料的防锈涂层剥落和腐蚀</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827B">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665D">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35905994">
        <w:tblPrEx>
          <w:tblCellMar>
            <w:top w:w="0" w:type="dxa"/>
            <w:left w:w="108" w:type="dxa"/>
            <w:bottom w:w="0" w:type="dxa"/>
            <w:right w:w="108" w:type="dxa"/>
          </w:tblCellMar>
        </w:tblPrEx>
        <w:trPr>
          <w:trHeight w:val="298" w:hRule="atLeast"/>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5ECD">
            <w:pPr>
              <w:jc w:val="center"/>
              <w:rPr>
                <w:rFonts w:ascii="宋体" w:hAnsi="宋体" w:cs="宋体"/>
                <w:color w:val="auto"/>
                <w:sz w:val="22"/>
                <w:szCs w:val="22"/>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ED2E">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5ECD">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支架接地情况</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313E">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F67D">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□异常</w:t>
            </w:r>
          </w:p>
        </w:tc>
      </w:tr>
      <w:tr w14:paraId="2B6B86DC">
        <w:tblPrEx>
          <w:tblCellMar>
            <w:top w:w="0" w:type="dxa"/>
            <w:left w:w="108" w:type="dxa"/>
            <w:bottom w:w="0" w:type="dxa"/>
            <w:right w:w="108" w:type="dxa"/>
          </w:tblCellMar>
        </w:tblPrEx>
        <w:trPr>
          <w:trHeight w:val="298" w:hRule="atLeast"/>
        </w:trPr>
        <w:tc>
          <w:tcPr>
            <w:tcW w:w="978" w:type="dxa"/>
            <w:vMerge w:val="restart"/>
            <w:tcBorders>
              <w:top w:val="single" w:color="000000" w:sz="4" w:space="0"/>
              <w:left w:val="single" w:color="000000" w:sz="4" w:space="0"/>
              <w:right w:val="single" w:color="000000" w:sz="4" w:space="0"/>
            </w:tcBorders>
            <w:shd w:val="clear" w:color="auto" w:fill="auto"/>
            <w:noWrap/>
            <w:vAlign w:val="center"/>
          </w:tcPr>
          <w:p w14:paraId="7902ADE3">
            <w:pPr>
              <w:jc w:val="center"/>
              <w:rPr>
                <w:rFonts w:ascii="宋体" w:hAnsi="宋体" w:cs="宋体"/>
                <w:color w:val="auto"/>
                <w:sz w:val="22"/>
                <w:szCs w:val="22"/>
                <w:highlight w:val="none"/>
              </w:rPr>
            </w:pPr>
            <w:r>
              <w:rPr>
                <w:rFonts w:hint="eastAsia" w:ascii="宋体" w:hAnsi="宋体" w:cs="宋体"/>
                <w:color w:val="auto"/>
                <w:sz w:val="22"/>
                <w:szCs w:val="22"/>
                <w:highlight w:val="none"/>
              </w:rPr>
              <w:t>6</w:t>
            </w:r>
          </w:p>
        </w:tc>
        <w:tc>
          <w:tcPr>
            <w:tcW w:w="925" w:type="dxa"/>
            <w:vMerge w:val="restart"/>
            <w:tcBorders>
              <w:top w:val="single" w:color="000000" w:sz="4" w:space="0"/>
              <w:left w:val="single" w:color="000000" w:sz="4" w:space="0"/>
              <w:right w:val="single" w:color="000000" w:sz="4" w:space="0"/>
            </w:tcBorders>
            <w:shd w:val="clear" w:color="auto" w:fill="auto"/>
            <w:noWrap/>
            <w:vAlign w:val="center"/>
          </w:tcPr>
          <w:p w14:paraId="58379B78">
            <w:pPr>
              <w:jc w:val="center"/>
              <w:rPr>
                <w:rFonts w:ascii="宋体" w:hAnsi="宋体" w:cs="宋体"/>
                <w:color w:val="auto"/>
                <w:sz w:val="22"/>
                <w:szCs w:val="22"/>
                <w:highlight w:val="none"/>
              </w:rPr>
            </w:pPr>
            <w:r>
              <w:rPr>
                <w:rFonts w:hint="eastAsia" w:ascii="宋体" w:hAnsi="宋体" w:cs="宋体"/>
                <w:color w:val="auto"/>
                <w:sz w:val="22"/>
                <w:szCs w:val="22"/>
                <w:highlight w:val="none"/>
              </w:rPr>
              <w:t>变压器</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1B45">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变压器外观检查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D542">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4421">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7B50F105">
        <w:tblPrEx>
          <w:tblCellMar>
            <w:top w:w="0" w:type="dxa"/>
            <w:left w:w="108" w:type="dxa"/>
            <w:bottom w:w="0" w:type="dxa"/>
            <w:right w:w="108" w:type="dxa"/>
          </w:tblCellMar>
        </w:tblPrEx>
        <w:trPr>
          <w:trHeight w:val="298" w:hRule="atLeast"/>
        </w:trPr>
        <w:tc>
          <w:tcPr>
            <w:tcW w:w="978" w:type="dxa"/>
            <w:vMerge w:val="continue"/>
            <w:tcBorders>
              <w:left w:val="single" w:color="000000" w:sz="4" w:space="0"/>
              <w:right w:val="single" w:color="000000" w:sz="4" w:space="0"/>
            </w:tcBorders>
            <w:shd w:val="clear" w:color="auto" w:fill="auto"/>
            <w:noWrap/>
            <w:vAlign w:val="center"/>
          </w:tcPr>
          <w:p w14:paraId="324244CD">
            <w:pPr>
              <w:jc w:val="center"/>
              <w:rPr>
                <w:rFonts w:ascii="宋体" w:hAnsi="宋体" w:cs="宋体"/>
                <w:color w:val="auto"/>
                <w:sz w:val="22"/>
                <w:szCs w:val="22"/>
                <w:highlight w:val="none"/>
              </w:rPr>
            </w:pPr>
          </w:p>
        </w:tc>
        <w:tc>
          <w:tcPr>
            <w:tcW w:w="925" w:type="dxa"/>
            <w:vMerge w:val="continue"/>
            <w:tcBorders>
              <w:left w:val="single" w:color="000000" w:sz="4" w:space="0"/>
              <w:right w:val="single" w:color="000000" w:sz="4" w:space="0"/>
            </w:tcBorders>
            <w:shd w:val="clear" w:color="auto" w:fill="auto"/>
            <w:noWrap/>
            <w:vAlign w:val="center"/>
          </w:tcPr>
          <w:p w14:paraId="5309CD62">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8552">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温度是否异常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3EA8">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79C3">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08423466">
        <w:tblPrEx>
          <w:tblCellMar>
            <w:top w:w="0" w:type="dxa"/>
            <w:left w:w="108" w:type="dxa"/>
            <w:bottom w:w="0" w:type="dxa"/>
            <w:right w:w="108" w:type="dxa"/>
          </w:tblCellMar>
        </w:tblPrEx>
        <w:trPr>
          <w:trHeight w:val="298" w:hRule="atLeast"/>
        </w:trPr>
        <w:tc>
          <w:tcPr>
            <w:tcW w:w="978" w:type="dxa"/>
            <w:vMerge w:val="continue"/>
            <w:tcBorders>
              <w:left w:val="single" w:color="000000" w:sz="4" w:space="0"/>
              <w:right w:val="single" w:color="000000" w:sz="4" w:space="0"/>
            </w:tcBorders>
            <w:shd w:val="clear" w:color="auto" w:fill="auto"/>
            <w:noWrap/>
            <w:vAlign w:val="center"/>
          </w:tcPr>
          <w:p w14:paraId="06EA55C8">
            <w:pPr>
              <w:jc w:val="center"/>
              <w:rPr>
                <w:rFonts w:ascii="宋体" w:hAnsi="宋体" w:cs="宋体"/>
                <w:color w:val="auto"/>
                <w:sz w:val="22"/>
                <w:szCs w:val="22"/>
                <w:highlight w:val="none"/>
              </w:rPr>
            </w:pPr>
          </w:p>
        </w:tc>
        <w:tc>
          <w:tcPr>
            <w:tcW w:w="925" w:type="dxa"/>
            <w:vMerge w:val="continue"/>
            <w:tcBorders>
              <w:left w:val="single" w:color="000000" w:sz="4" w:space="0"/>
              <w:right w:val="single" w:color="000000" w:sz="4" w:space="0"/>
            </w:tcBorders>
            <w:shd w:val="clear" w:color="auto" w:fill="auto"/>
            <w:noWrap/>
            <w:vAlign w:val="center"/>
          </w:tcPr>
          <w:p w14:paraId="0BBE05F0">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F60C">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变压器油检查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6E9E">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C50B">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55CA6219">
        <w:tblPrEx>
          <w:tblCellMar>
            <w:top w:w="0" w:type="dxa"/>
            <w:left w:w="108" w:type="dxa"/>
            <w:bottom w:w="0" w:type="dxa"/>
            <w:right w:w="108" w:type="dxa"/>
          </w:tblCellMar>
        </w:tblPrEx>
        <w:trPr>
          <w:trHeight w:val="298" w:hRule="atLeast"/>
        </w:trPr>
        <w:tc>
          <w:tcPr>
            <w:tcW w:w="978" w:type="dxa"/>
            <w:vMerge w:val="continue"/>
            <w:tcBorders>
              <w:left w:val="single" w:color="000000" w:sz="4" w:space="0"/>
              <w:bottom w:val="single" w:color="000000" w:sz="4" w:space="0"/>
              <w:right w:val="single" w:color="000000" w:sz="4" w:space="0"/>
            </w:tcBorders>
            <w:shd w:val="clear" w:color="auto" w:fill="auto"/>
            <w:noWrap/>
            <w:vAlign w:val="center"/>
          </w:tcPr>
          <w:p w14:paraId="24691AF5">
            <w:pPr>
              <w:jc w:val="center"/>
              <w:rPr>
                <w:rFonts w:ascii="宋体" w:hAnsi="宋体" w:cs="宋体"/>
                <w:color w:val="auto"/>
                <w:sz w:val="22"/>
                <w:szCs w:val="22"/>
                <w:highlight w:val="none"/>
              </w:rPr>
            </w:pPr>
          </w:p>
        </w:tc>
        <w:tc>
          <w:tcPr>
            <w:tcW w:w="925" w:type="dxa"/>
            <w:vMerge w:val="continue"/>
            <w:tcBorders>
              <w:left w:val="single" w:color="000000" w:sz="4" w:space="0"/>
              <w:bottom w:val="single" w:color="000000" w:sz="4" w:space="0"/>
              <w:right w:val="single" w:color="000000" w:sz="4" w:space="0"/>
            </w:tcBorders>
            <w:shd w:val="clear" w:color="auto" w:fill="auto"/>
            <w:noWrap/>
            <w:vAlign w:val="center"/>
          </w:tcPr>
          <w:p w14:paraId="54912A75">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DFE7">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柜内紧固件检查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7E32">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467C">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7A9480A5">
        <w:tblPrEx>
          <w:tblCellMar>
            <w:top w:w="0" w:type="dxa"/>
            <w:left w:w="108" w:type="dxa"/>
            <w:bottom w:w="0" w:type="dxa"/>
            <w:right w:w="108" w:type="dxa"/>
          </w:tblCellMar>
        </w:tblPrEx>
        <w:trPr>
          <w:trHeight w:val="298" w:hRule="atLeast"/>
        </w:trPr>
        <w:tc>
          <w:tcPr>
            <w:tcW w:w="978" w:type="dxa"/>
            <w:vMerge w:val="restart"/>
            <w:tcBorders>
              <w:left w:val="single" w:color="000000" w:sz="4" w:space="0"/>
              <w:right w:val="single" w:color="000000" w:sz="4" w:space="0"/>
            </w:tcBorders>
            <w:shd w:val="clear" w:color="auto" w:fill="auto"/>
            <w:noWrap/>
            <w:vAlign w:val="center"/>
          </w:tcPr>
          <w:p w14:paraId="1388C8FB">
            <w:pPr>
              <w:jc w:val="center"/>
              <w:rPr>
                <w:rFonts w:ascii="宋体" w:hAnsi="宋体" w:cs="宋体"/>
                <w:color w:val="auto"/>
                <w:sz w:val="22"/>
                <w:szCs w:val="22"/>
                <w:highlight w:val="none"/>
              </w:rPr>
            </w:pPr>
            <w:r>
              <w:rPr>
                <w:rFonts w:hint="eastAsia" w:ascii="宋体" w:hAnsi="宋体" w:cs="宋体"/>
                <w:color w:val="auto"/>
                <w:sz w:val="22"/>
                <w:szCs w:val="22"/>
                <w:highlight w:val="none"/>
              </w:rPr>
              <w:t>7</w:t>
            </w:r>
          </w:p>
        </w:tc>
        <w:tc>
          <w:tcPr>
            <w:tcW w:w="925" w:type="dxa"/>
            <w:vMerge w:val="restart"/>
            <w:tcBorders>
              <w:left w:val="single" w:color="000000" w:sz="4" w:space="0"/>
              <w:right w:val="single" w:color="000000" w:sz="4" w:space="0"/>
            </w:tcBorders>
            <w:shd w:val="clear" w:color="auto" w:fill="auto"/>
            <w:noWrap/>
            <w:vAlign w:val="center"/>
          </w:tcPr>
          <w:p w14:paraId="51DEA537">
            <w:pPr>
              <w:jc w:val="center"/>
              <w:rPr>
                <w:rFonts w:ascii="宋体" w:hAnsi="宋体" w:cs="宋体"/>
                <w:color w:val="auto"/>
                <w:sz w:val="22"/>
                <w:szCs w:val="22"/>
                <w:highlight w:val="none"/>
              </w:rPr>
            </w:pPr>
            <w:r>
              <w:rPr>
                <w:rFonts w:hint="eastAsia" w:ascii="宋体" w:hAnsi="宋体" w:cs="宋体"/>
                <w:color w:val="auto"/>
                <w:sz w:val="22"/>
                <w:szCs w:val="22"/>
                <w:highlight w:val="none"/>
              </w:rPr>
              <w:t>高压设备</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5A4D">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高压设备外观检查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8F6D">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1F4C">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30458697">
        <w:tblPrEx>
          <w:tblCellMar>
            <w:top w:w="0" w:type="dxa"/>
            <w:left w:w="108" w:type="dxa"/>
            <w:bottom w:w="0" w:type="dxa"/>
            <w:right w:w="108" w:type="dxa"/>
          </w:tblCellMar>
        </w:tblPrEx>
        <w:trPr>
          <w:trHeight w:val="298" w:hRule="atLeast"/>
        </w:trPr>
        <w:tc>
          <w:tcPr>
            <w:tcW w:w="978" w:type="dxa"/>
            <w:vMerge w:val="continue"/>
            <w:tcBorders>
              <w:left w:val="single" w:color="000000" w:sz="4" w:space="0"/>
              <w:right w:val="single" w:color="000000" w:sz="4" w:space="0"/>
            </w:tcBorders>
            <w:shd w:val="clear" w:color="auto" w:fill="auto"/>
            <w:noWrap/>
            <w:vAlign w:val="center"/>
          </w:tcPr>
          <w:p w14:paraId="6829AA72">
            <w:pPr>
              <w:jc w:val="center"/>
              <w:rPr>
                <w:rFonts w:ascii="宋体" w:hAnsi="宋体" w:cs="宋体"/>
                <w:color w:val="auto"/>
                <w:sz w:val="22"/>
                <w:szCs w:val="22"/>
                <w:highlight w:val="none"/>
              </w:rPr>
            </w:pPr>
          </w:p>
        </w:tc>
        <w:tc>
          <w:tcPr>
            <w:tcW w:w="925" w:type="dxa"/>
            <w:vMerge w:val="continue"/>
            <w:tcBorders>
              <w:left w:val="single" w:color="000000" w:sz="4" w:space="0"/>
              <w:right w:val="single" w:color="000000" w:sz="4" w:space="0"/>
            </w:tcBorders>
            <w:shd w:val="clear" w:color="auto" w:fill="auto"/>
            <w:noWrap/>
            <w:vAlign w:val="center"/>
          </w:tcPr>
          <w:p w14:paraId="554C1ED1">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4697">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温度是否异常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0950">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846">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539A3553">
        <w:tblPrEx>
          <w:tblCellMar>
            <w:top w:w="0" w:type="dxa"/>
            <w:left w:w="108" w:type="dxa"/>
            <w:bottom w:w="0" w:type="dxa"/>
            <w:right w:w="108" w:type="dxa"/>
          </w:tblCellMar>
        </w:tblPrEx>
        <w:trPr>
          <w:trHeight w:val="298" w:hRule="atLeast"/>
        </w:trPr>
        <w:tc>
          <w:tcPr>
            <w:tcW w:w="978" w:type="dxa"/>
            <w:vMerge w:val="continue"/>
            <w:tcBorders>
              <w:left w:val="single" w:color="000000" w:sz="4" w:space="0"/>
              <w:right w:val="single" w:color="000000" w:sz="4" w:space="0"/>
            </w:tcBorders>
            <w:shd w:val="clear" w:color="auto" w:fill="auto"/>
            <w:noWrap/>
            <w:vAlign w:val="center"/>
          </w:tcPr>
          <w:p w14:paraId="3BB6C09D">
            <w:pPr>
              <w:jc w:val="center"/>
              <w:rPr>
                <w:rFonts w:ascii="宋体" w:hAnsi="宋体" w:cs="宋体"/>
                <w:color w:val="auto"/>
                <w:sz w:val="22"/>
                <w:szCs w:val="22"/>
                <w:highlight w:val="none"/>
              </w:rPr>
            </w:pPr>
          </w:p>
        </w:tc>
        <w:tc>
          <w:tcPr>
            <w:tcW w:w="925" w:type="dxa"/>
            <w:vMerge w:val="continue"/>
            <w:tcBorders>
              <w:left w:val="single" w:color="000000" w:sz="4" w:space="0"/>
              <w:right w:val="single" w:color="000000" w:sz="4" w:space="0"/>
            </w:tcBorders>
            <w:shd w:val="clear" w:color="auto" w:fill="auto"/>
            <w:noWrap/>
            <w:vAlign w:val="center"/>
          </w:tcPr>
          <w:p w14:paraId="2E0B90E9">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680A">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高压柜开关状态仪表指示是否异常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9156">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8B77">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1EA7A0C6">
        <w:tblPrEx>
          <w:tblCellMar>
            <w:top w:w="0" w:type="dxa"/>
            <w:left w:w="108" w:type="dxa"/>
            <w:bottom w:w="0" w:type="dxa"/>
            <w:right w:w="108" w:type="dxa"/>
          </w:tblCellMar>
        </w:tblPrEx>
        <w:trPr>
          <w:trHeight w:val="298" w:hRule="atLeast"/>
        </w:trPr>
        <w:tc>
          <w:tcPr>
            <w:tcW w:w="978" w:type="dxa"/>
            <w:vMerge w:val="continue"/>
            <w:tcBorders>
              <w:left w:val="single" w:color="000000" w:sz="4" w:space="0"/>
              <w:bottom w:val="single" w:color="000000" w:sz="4" w:space="0"/>
              <w:right w:val="single" w:color="000000" w:sz="4" w:space="0"/>
            </w:tcBorders>
            <w:shd w:val="clear" w:color="auto" w:fill="auto"/>
            <w:noWrap/>
            <w:vAlign w:val="center"/>
          </w:tcPr>
          <w:p w14:paraId="6098B37D">
            <w:pPr>
              <w:jc w:val="center"/>
              <w:rPr>
                <w:rFonts w:ascii="宋体" w:hAnsi="宋体" w:cs="宋体"/>
                <w:color w:val="auto"/>
                <w:sz w:val="22"/>
                <w:szCs w:val="22"/>
                <w:highlight w:val="none"/>
              </w:rPr>
            </w:pPr>
          </w:p>
        </w:tc>
        <w:tc>
          <w:tcPr>
            <w:tcW w:w="925" w:type="dxa"/>
            <w:vMerge w:val="continue"/>
            <w:tcBorders>
              <w:left w:val="single" w:color="000000" w:sz="4" w:space="0"/>
              <w:bottom w:val="single" w:color="000000" w:sz="4" w:space="0"/>
              <w:right w:val="single" w:color="000000" w:sz="4" w:space="0"/>
            </w:tcBorders>
            <w:shd w:val="clear" w:color="auto" w:fill="auto"/>
            <w:noWrap/>
            <w:vAlign w:val="center"/>
          </w:tcPr>
          <w:p w14:paraId="20C4EE4D">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44E9">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外壳接地完好</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B1C2">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703A">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595410B0">
        <w:tblPrEx>
          <w:tblCellMar>
            <w:top w:w="0" w:type="dxa"/>
            <w:left w:w="108" w:type="dxa"/>
            <w:bottom w:w="0" w:type="dxa"/>
            <w:right w:w="108" w:type="dxa"/>
          </w:tblCellMar>
        </w:tblPrEx>
        <w:trPr>
          <w:trHeight w:val="298" w:hRule="atLeast"/>
        </w:trPr>
        <w:tc>
          <w:tcPr>
            <w:tcW w:w="978" w:type="dxa"/>
            <w:vMerge w:val="restart"/>
            <w:tcBorders>
              <w:left w:val="single" w:color="000000" w:sz="4" w:space="0"/>
              <w:right w:val="single" w:color="000000" w:sz="4" w:space="0"/>
            </w:tcBorders>
            <w:shd w:val="clear" w:color="auto" w:fill="auto"/>
            <w:noWrap/>
            <w:vAlign w:val="center"/>
          </w:tcPr>
          <w:p w14:paraId="25931D51">
            <w:pPr>
              <w:jc w:val="center"/>
              <w:rPr>
                <w:rFonts w:ascii="宋体" w:hAnsi="宋体" w:cs="宋体"/>
                <w:color w:val="auto"/>
                <w:sz w:val="22"/>
                <w:szCs w:val="22"/>
                <w:highlight w:val="none"/>
              </w:rPr>
            </w:pPr>
            <w:r>
              <w:rPr>
                <w:rFonts w:hint="eastAsia" w:ascii="宋体" w:hAnsi="宋体" w:cs="宋体"/>
                <w:color w:val="auto"/>
                <w:sz w:val="22"/>
                <w:szCs w:val="22"/>
                <w:highlight w:val="none"/>
              </w:rPr>
              <w:t>8</w:t>
            </w:r>
          </w:p>
        </w:tc>
        <w:tc>
          <w:tcPr>
            <w:tcW w:w="925" w:type="dxa"/>
            <w:vMerge w:val="restart"/>
            <w:tcBorders>
              <w:left w:val="single" w:color="000000" w:sz="4" w:space="0"/>
              <w:right w:val="single" w:color="000000" w:sz="4" w:space="0"/>
            </w:tcBorders>
            <w:shd w:val="clear" w:color="auto" w:fill="auto"/>
            <w:noWrap/>
            <w:vAlign w:val="center"/>
          </w:tcPr>
          <w:p w14:paraId="3486F7BB">
            <w:pPr>
              <w:jc w:val="center"/>
              <w:rPr>
                <w:rFonts w:ascii="宋体" w:hAnsi="宋体" w:cs="宋体"/>
                <w:color w:val="auto"/>
                <w:sz w:val="22"/>
                <w:szCs w:val="22"/>
                <w:highlight w:val="none"/>
              </w:rPr>
            </w:pPr>
            <w:r>
              <w:rPr>
                <w:rFonts w:hint="eastAsia" w:ascii="宋体" w:hAnsi="宋体" w:cs="宋体"/>
                <w:color w:val="auto"/>
                <w:sz w:val="22"/>
                <w:szCs w:val="22"/>
                <w:highlight w:val="none"/>
              </w:rPr>
              <w:t>消防设施</w:t>
            </w: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75DE">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消防设施是否齐全</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15B5">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3CDE">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7700E182">
        <w:tblPrEx>
          <w:tblCellMar>
            <w:top w:w="0" w:type="dxa"/>
            <w:left w:w="108" w:type="dxa"/>
            <w:bottom w:w="0" w:type="dxa"/>
            <w:right w:w="108" w:type="dxa"/>
          </w:tblCellMar>
        </w:tblPrEx>
        <w:trPr>
          <w:trHeight w:val="298" w:hRule="atLeast"/>
        </w:trPr>
        <w:tc>
          <w:tcPr>
            <w:tcW w:w="978" w:type="dxa"/>
            <w:vMerge w:val="continue"/>
            <w:tcBorders>
              <w:left w:val="single" w:color="000000" w:sz="4" w:space="0"/>
              <w:bottom w:val="single" w:color="000000" w:sz="4" w:space="0"/>
              <w:right w:val="single" w:color="000000" w:sz="4" w:space="0"/>
            </w:tcBorders>
            <w:shd w:val="clear" w:color="auto" w:fill="auto"/>
            <w:noWrap/>
            <w:vAlign w:val="center"/>
          </w:tcPr>
          <w:p w14:paraId="70D6B883">
            <w:pPr>
              <w:jc w:val="center"/>
              <w:rPr>
                <w:rFonts w:ascii="宋体" w:hAnsi="宋体" w:cs="宋体"/>
                <w:color w:val="auto"/>
                <w:sz w:val="22"/>
                <w:szCs w:val="22"/>
                <w:highlight w:val="none"/>
              </w:rPr>
            </w:pPr>
          </w:p>
        </w:tc>
        <w:tc>
          <w:tcPr>
            <w:tcW w:w="925" w:type="dxa"/>
            <w:vMerge w:val="continue"/>
            <w:tcBorders>
              <w:left w:val="single" w:color="000000" w:sz="4" w:space="0"/>
              <w:bottom w:val="single" w:color="000000" w:sz="4" w:space="0"/>
              <w:right w:val="single" w:color="000000" w:sz="4" w:space="0"/>
            </w:tcBorders>
            <w:shd w:val="clear" w:color="auto" w:fill="auto"/>
            <w:noWrap/>
            <w:vAlign w:val="center"/>
          </w:tcPr>
          <w:p w14:paraId="2464259A">
            <w:pPr>
              <w:jc w:val="center"/>
              <w:rPr>
                <w:rFonts w:ascii="宋体" w:hAnsi="宋体" w:cs="宋体"/>
                <w:color w:val="auto"/>
                <w:sz w:val="22"/>
                <w:szCs w:val="22"/>
                <w:highlight w:val="none"/>
              </w:rPr>
            </w:pPr>
          </w:p>
        </w:tc>
        <w:tc>
          <w:tcPr>
            <w:tcW w:w="5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173A">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消防设施是否过压或欠压</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05AB">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□正常</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19CB">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□异常</w:t>
            </w:r>
          </w:p>
        </w:tc>
      </w:tr>
      <w:tr w14:paraId="18A06EB6">
        <w:tblPrEx>
          <w:tblCellMar>
            <w:top w:w="0" w:type="dxa"/>
            <w:left w:w="108" w:type="dxa"/>
            <w:bottom w:w="0" w:type="dxa"/>
            <w:right w:w="108" w:type="dxa"/>
          </w:tblCellMar>
        </w:tblPrEx>
        <w:trPr>
          <w:trHeight w:val="2905" w:hRule="atLeast"/>
        </w:trPr>
        <w:tc>
          <w:tcPr>
            <w:tcW w:w="9619" w:type="dxa"/>
            <w:gridSpan w:val="5"/>
            <w:tcBorders>
              <w:top w:val="single" w:color="000000" w:sz="4" w:space="0"/>
              <w:left w:val="single" w:color="000000" w:sz="4" w:space="0"/>
              <w:bottom w:val="single" w:color="000000" w:sz="4" w:space="0"/>
              <w:right w:val="single" w:color="000000" w:sz="4" w:space="0"/>
            </w:tcBorders>
            <w:shd w:val="clear" w:color="auto" w:fill="auto"/>
          </w:tcPr>
          <w:p w14:paraId="5B24A091">
            <w:pPr>
              <w:widowControl/>
              <w:jc w:val="left"/>
              <w:textAlignment w:val="top"/>
              <w:rPr>
                <w:rFonts w:ascii="宋体" w:hAnsi="宋体" w:cs="宋体"/>
                <w:color w:val="auto"/>
                <w:sz w:val="22"/>
                <w:szCs w:val="22"/>
                <w:highlight w:val="none"/>
              </w:rPr>
            </w:pPr>
            <w:r>
              <w:rPr>
                <w:rStyle w:val="45"/>
                <w:rFonts w:hint="default"/>
                <w:color w:val="auto"/>
                <w:highlight w:val="none"/>
              </w:rPr>
              <w:t xml:space="preserve">      </w:t>
            </w:r>
            <w:r>
              <w:rPr>
                <w:rStyle w:val="45"/>
                <w:rFonts w:hint="default"/>
                <w:color w:val="auto"/>
                <w:highlight w:val="none"/>
              </w:rPr>
              <w:br w:type="textWrapping"/>
            </w:r>
            <w:r>
              <w:rPr>
                <w:rStyle w:val="45"/>
                <w:rFonts w:hint="default"/>
                <w:color w:val="auto"/>
                <w:highlight w:val="none"/>
              </w:rPr>
              <w:br w:type="textWrapping"/>
            </w:r>
            <w:r>
              <w:rPr>
                <w:rStyle w:val="45"/>
                <w:rFonts w:hint="default"/>
                <w:color w:val="auto"/>
                <w:highlight w:val="none"/>
              </w:rPr>
              <w:t xml:space="preserve">     备注：（如有异常，描述具体异常，备注发现日期及后续处理过程）</w:t>
            </w:r>
            <w:r>
              <w:rPr>
                <w:rStyle w:val="45"/>
                <w:rFonts w:hint="default"/>
                <w:color w:val="auto"/>
                <w:highlight w:val="none"/>
              </w:rPr>
              <w:br w:type="textWrapping"/>
            </w:r>
            <w:r>
              <w:rPr>
                <w:rStyle w:val="45"/>
                <w:rFonts w:hint="default"/>
                <w:color w:val="auto"/>
                <w:highlight w:val="none"/>
              </w:rPr>
              <w:br w:type="textWrapping"/>
            </w:r>
            <w:r>
              <w:rPr>
                <w:rStyle w:val="45"/>
                <w:rFonts w:hint="default"/>
                <w:color w:val="auto"/>
                <w:highlight w:val="none"/>
              </w:rPr>
              <w:br w:type="textWrapping"/>
            </w:r>
            <w:r>
              <w:rPr>
                <w:rStyle w:val="45"/>
                <w:rFonts w:hint="default"/>
                <w:color w:val="auto"/>
                <w:highlight w:val="none"/>
              </w:rPr>
              <w:br w:type="textWrapping"/>
            </w:r>
            <w:r>
              <w:rPr>
                <w:rStyle w:val="45"/>
                <w:rFonts w:hint="default"/>
                <w:color w:val="auto"/>
                <w:highlight w:val="none"/>
              </w:rPr>
              <w:br w:type="textWrapping"/>
            </w:r>
            <w:r>
              <w:rPr>
                <w:rStyle w:val="45"/>
                <w:rFonts w:hint="default"/>
                <w:color w:val="auto"/>
                <w:highlight w:val="none"/>
              </w:rPr>
              <w:br w:type="textWrapping"/>
            </w:r>
            <w:r>
              <w:rPr>
                <w:rStyle w:val="45"/>
                <w:rFonts w:hint="default"/>
                <w:color w:val="auto"/>
                <w:highlight w:val="none"/>
              </w:rPr>
              <w:br w:type="textWrapping"/>
            </w:r>
            <w:r>
              <w:rPr>
                <w:rStyle w:val="45"/>
                <w:rFonts w:hint="default"/>
                <w:color w:val="auto"/>
                <w:highlight w:val="none"/>
              </w:rPr>
              <w:t xml:space="preserve">                                                   检查人员：</w:t>
            </w:r>
            <w:r>
              <w:rPr>
                <w:rStyle w:val="46"/>
                <w:rFonts w:hint="default"/>
                <w:color w:val="auto"/>
                <w:highlight w:val="none"/>
              </w:rPr>
              <w:t xml:space="preserve">         </w:t>
            </w:r>
          </w:p>
        </w:tc>
      </w:tr>
    </w:tbl>
    <w:p w14:paraId="5A8C3BCB">
      <w:pPr>
        <w:rPr>
          <w:color w:val="auto"/>
          <w:highlight w:val="none"/>
        </w:rPr>
      </w:pPr>
    </w:p>
    <w:p w14:paraId="3AAE86CB">
      <w:pPr>
        <w:snapToGrid w:val="0"/>
        <w:spacing w:line="360" w:lineRule="auto"/>
        <w:ind w:firstLine="420" w:firstLineChars="200"/>
        <w:rPr>
          <w:rFonts w:ascii="宋体" w:hAnsi="宋体" w:cs="宋体"/>
          <w:color w:val="auto"/>
          <w:szCs w:val="21"/>
          <w:highlight w:val="none"/>
        </w:rPr>
      </w:pPr>
    </w:p>
    <w:p w14:paraId="4FE3E71A">
      <w:pPr>
        <w:snapToGrid/>
        <w:spacing w:line="240" w:lineRule="auto"/>
        <w:ind w:firstLine="0" w:firstLineChars="0"/>
        <w:outlineLvl w:val="9"/>
        <w:rPr>
          <w:rFonts w:hint="eastAsia" w:ascii="宋体" w:hAnsi="宋体" w:cs="宋体"/>
          <w:color w:val="auto"/>
          <w:szCs w:val="21"/>
          <w:highlight w:val="none"/>
        </w:rPr>
      </w:pPr>
      <w:r>
        <w:rPr>
          <w:rFonts w:hint="eastAsia" w:ascii="宋体" w:hAnsi="宋体" w:cs="宋体"/>
          <w:color w:val="auto"/>
          <w:szCs w:val="21"/>
          <w:highlight w:val="none"/>
        </w:rPr>
        <w:br w:type="page"/>
      </w:r>
    </w:p>
    <w:p w14:paraId="4EEA1762">
      <w:pPr>
        <w:snapToGrid w:val="0"/>
        <w:spacing w:line="360" w:lineRule="auto"/>
        <w:ind w:firstLine="420" w:firstLineChars="200"/>
        <w:outlineLvl w:val="1"/>
        <w:rPr>
          <w:rFonts w:ascii="宋体" w:hAnsi="宋体" w:cs="宋体"/>
          <w:color w:val="auto"/>
          <w:szCs w:val="21"/>
          <w:highlight w:val="none"/>
        </w:rPr>
      </w:pPr>
      <w:bookmarkStart w:id="986" w:name="_Toc19629"/>
      <w:r>
        <w:rPr>
          <w:rFonts w:hint="eastAsia" w:ascii="宋体" w:hAnsi="宋体" w:cs="宋体"/>
          <w:color w:val="auto"/>
          <w:szCs w:val="21"/>
          <w:highlight w:val="none"/>
        </w:rPr>
        <w:t>四、</w:t>
      </w:r>
      <w:r>
        <w:rPr>
          <w:rFonts w:hint="eastAsia" w:ascii="宋体" w:hAnsi="宋体" w:cs="宋体"/>
          <w:bCs/>
          <w:color w:val="auto"/>
          <w:szCs w:val="21"/>
          <w:highlight w:val="none"/>
        </w:rPr>
        <w:t>招标人推荐品牌</w:t>
      </w:r>
      <w:bookmarkEnd w:id="986"/>
    </w:p>
    <w:p w14:paraId="5C5C9400">
      <w:pPr>
        <w:spacing w:line="360" w:lineRule="auto"/>
        <w:ind w:firstLine="420" w:firstLineChars="200"/>
        <w:jc w:val="center"/>
        <w:outlineLvl w:val="0"/>
        <w:rPr>
          <w:rFonts w:ascii="宋体" w:hAnsi="宋体" w:cs="宋体"/>
          <w:color w:val="auto"/>
          <w:szCs w:val="21"/>
          <w:highlight w:val="none"/>
        </w:rPr>
      </w:pPr>
      <w:bookmarkStart w:id="987" w:name="_Toc1807"/>
      <w:r>
        <w:rPr>
          <w:rFonts w:hint="eastAsia" w:ascii="宋体" w:hAnsi="宋体" w:cs="宋体"/>
          <w:bCs/>
          <w:color w:val="auto"/>
          <w:szCs w:val="21"/>
          <w:highlight w:val="none"/>
        </w:rPr>
        <w:t>品牌推荐表</w:t>
      </w:r>
      <w:bookmarkEnd w:id="987"/>
    </w:p>
    <w:tbl>
      <w:tblPr>
        <w:tblStyle w:val="19"/>
        <w:tblW w:w="9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869"/>
        <w:gridCol w:w="3851"/>
        <w:gridCol w:w="1608"/>
        <w:gridCol w:w="1142"/>
      </w:tblGrid>
      <w:tr w14:paraId="2A7D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47" w:type="dxa"/>
            <w:vAlign w:val="center"/>
          </w:tcPr>
          <w:p w14:paraId="41428EB6">
            <w:pPr>
              <w:widowControl/>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869" w:type="dxa"/>
            <w:vAlign w:val="center"/>
          </w:tcPr>
          <w:p w14:paraId="3BC49EB3">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材料、设备名称</w:t>
            </w:r>
          </w:p>
        </w:tc>
        <w:tc>
          <w:tcPr>
            <w:tcW w:w="3851" w:type="dxa"/>
            <w:vAlign w:val="center"/>
          </w:tcPr>
          <w:p w14:paraId="55BB5BA8">
            <w:pPr>
              <w:widowControl/>
              <w:jc w:val="center"/>
              <w:rPr>
                <w:rFonts w:hint="eastAsia"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参数</w:t>
            </w:r>
          </w:p>
        </w:tc>
        <w:tc>
          <w:tcPr>
            <w:tcW w:w="1608" w:type="dxa"/>
            <w:vAlign w:val="center"/>
          </w:tcPr>
          <w:p w14:paraId="102EEDFD">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推荐品牌</w:t>
            </w:r>
          </w:p>
        </w:tc>
        <w:tc>
          <w:tcPr>
            <w:tcW w:w="1142" w:type="dxa"/>
            <w:vAlign w:val="center"/>
          </w:tcPr>
          <w:p w14:paraId="3BCB6487">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0507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jc w:val="center"/>
        </w:trPr>
        <w:tc>
          <w:tcPr>
            <w:tcW w:w="847" w:type="dxa"/>
            <w:vAlign w:val="center"/>
          </w:tcPr>
          <w:p w14:paraId="49570FFC">
            <w:pPr>
              <w:widowControl/>
              <w:jc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1</w:t>
            </w:r>
          </w:p>
        </w:tc>
        <w:tc>
          <w:tcPr>
            <w:tcW w:w="1869" w:type="dxa"/>
            <w:vAlign w:val="center"/>
          </w:tcPr>
          <w:p w14:paraId="5002A494">
            <w:pPr>
              <w:widowControl/>
              <w:jc w:val="center"/>
              <w:textAlignment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组件</w:t>
            </w:r>
          </w:p>
        </w:tc>
        <w:tc>
          <w:tcPr>
            <w:tcW w:w="3851" w:type="dxa"/>
            <w:vAlign w:val="center"/>
          </w:tcPr>
          <w:p w14:paraId="5F72E23C">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1、</w:t>
            </w:r>
            <w:r>
              <w:rPr>
                <w:rFonts w:hint="eastAsia" w:ascii="宋体" w:hAnsi="宋体" w:eastAsia="宋体" w:cs="宋体"/>
                <w:b w:val="0"/>
                <w:bCs w:val="0"/>
                <w:color w:val="auto"/>
                <w:kern w:val="0"/>
                <w:sz w:val="18"/>
                <w:szCs w:val="18"/>
                <w:highlight w:val="none"/>
              </w:rPr>
              <w:t>采用单块容量为不低于650Wp。具有良好的耐候性，可在室外严酷条件下长期稳定可靠运行。 光伏板应符合 IEC61215、IEC61730 标准及要求，须通过国家批准认证机构的认证，中标单位材料进场前需提供产品认证证书。</w:t>
            </w:r>
          </w:p>
          <w:p w14:paraId="684F1EF8">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2、</w:t>
            </w:r>
            <w:r>
              <w:rPr>
                <w:rFonts w:hint="eastAsia" w:ascii="宋体" w:hAnsi="宋体" w:eastAsia="宋体" w:cs="宋体"/>
                <w:b w:val="0"/>
                <w:bCs w:val="0"/>
                <w:color w:val="auto"/>
                <w:kern w:val="0"/>
                <w:sz w:val="18"/>
                <w:szCs w:val="18"/>
                <w:highlight w:val="none"/>
              </w:rPr>
              <w:t>光伏板选用品牌且必须通过 CE、TUV 认证或者领跑者认证，组件效率&gt;23%，第1 年衰减≤1%，第2年至第 25年每年衰减≤0.5%。</w:t>
            </w:r>
          </w:p>
        </w:tc>
        <w:tc>
          <w:tcPr>
            <w:tcW w:w="1608" w:type="dxa"/>
            <w:vAlign w:val="center"/>
          </w:tcPr>
          <w:p w14:paraId="7051C833">
            <w:pPr>
              <w:widowControl/>
              <w:jc w:val="center"/>
              <w:textAlignment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晶澳、晶科、隆基</w:t>
            </w:r>
            <w:r>
              <w:rPr>
                <w:rFonts w:hint="eastAsia" w:ascii="宋体" w:hAnsi="宋体" w:cs="宋体"/>
                <w:b w:val="0"/>
                <w:bCs w:val="0"/>
                <w:color w:val="auto"/>
                <w:kern w:val="0"/>
                <w:sz w:val="18"/>
                <w:szCs w:val="18"/>
                <w:highlight w:val="none"/>
                <w:lang w:eastAsia="zh-CN"/>
              </w:rPr>
              <w:t>、</w:t>
            </w:r>
            <w:r>
              <w:rPr>
                <w:rFonts w:hint="eastAsia" w:ascii="宋体" w:hAnsi="宋体" w:cs="宋体"/>
                <w:b w:val="0"/>
                <w:bCs w:val="0"/>
                <w:color w:val="auto"/>
                <w:kern w:val="0"/>
                <w:sz w:val="18"/>
                <w:szCs w:val="18"/>
                <w:highlight w:val="none"/>
                <w:lang w:val="en-US" w:eastAsia="zh-CN"/>
              </w:rPr>
              <w:t>天合</w:t>
            </w:r>
          </w:p>
        </w:tc>
        <w:tc>
          <w:tcPr>
            <w:tcW w:w="1142" w:type="dxa"/>
            <w:vAlign w:val="center"/>
          </w:tcPr>
          <w:p w14:paraId="42247CA6">
            <w:pPr>
              <w:widowControl/>
              <w:rPr>
                <w:rFonts w:hint="eastAsia" w:ascii="宋体" w:hAnsi="宋体" w:eastAsia="宋体" w:cs="宋体"/>
                <w:b w:val="0"/>
                <w:bCs w:val="0"/>
                <w:color w:val="auto"/>
                <w:kern w:val="0"/>
                <w:sz w:val="18"/>
                <w:szCs w:val="18"/>
                <w:highlight w:val="none"/>
              </w:rPr>
            </w:pPr>
          </w:p>
        </w:tc>
      </w:tr>
      <w:tr w14:paraId="2C2A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7" w:hRule="atLeast"/>
          <w:jc w:val="center"/>
        </w:trPr>
        <w:tc>
          <w:tcPr>
            <w:tcW w:w="847" w:type="dxa"/>
            <w:vAlign w:val="center"/>
          </w:tcPr>
          <w:p w14:paraId="4312BAE9">
            <w:pPr>
              <w:widowControl/>
              <w:jc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2</w:t>
            </w:r>
          </w:p>
        </w:tc>
        <w:tc>
          <w:tcPr>
            <w:tcW w:w="1869" w:type="dxa"/>
            <w:vAlign w:val="center"/>
          </w:tcPr>
          <w:p w14:paraId="721A3272">
            <w:pPr>
              <w:widowControl/>
              <w:jc w:val="center"/>
              <w:textAlignment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逆变器</w:t>
            </w:r>
          </w:p>
        </w:tc>
        <w:tc>
          <w:tcPr>
            <w:tcW w:w="3851" w:type="dxa"/>
            <w:shd w:val="clear" w:color="auto" w:fill="auto"/>
            <w:vAlign w:val="center"/>
          </w:tcPr>
          <w:p w14:paraId="7369C4CF">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1、</w:t>
            </w:r>
            <w:r>
              <w:rPr>
                <w:rFonts w:hint="eastAsia" w:ascii="宋体" w:hAnsi="宋体" w:eastAsia="宋体" w:cs="宋体"/>
                <w:b w:val="0"/>
                <w:bCs w:val="0"/>
                <w:color w:val="auto"/>
                <w:kern w:val="0"/>
                <w:sz w:val="18"/>
                <w:szCs w:val="18"/>
                <w:highlight w:val="none"/>
              </w:rPr>
              <w:t>满足 NB/T32004-2013《光伏发电并网逆变器技术规范》、GB/T29319-2012《光伏发电系统接入配电网技术规定》的要求。</w:t>
            </w:r>
          </w:p>
          <w:p w14:paraId="47A1C688">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2、</w:t>
            </w:r>
            <w:r>
              <w:rPr>
                <w:rFonts w:hint="eastAsia" w:ascii="宋体" w:hAnsi="宋体" w:eastAsia="宋体" w:cs="宋体"/>
                <w:b w:val="0"/>
                <w:bCs w:val="0"/>
                <w:color w:val="auto"/>
                <w:kern w:val="0"/>
                <w:sz w:val="18"/>
                <w:szCs w:val="18"/>
                <w:highlight w:val="none"/>
              </w:rPr>
              <w:t>设备需通过国家批准认证机构的认证。</w:t>
            </w:r>
          </w:p>
          <w:p w14:paraId="6C25A9A2">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3、</w:t>
            </w:r>
            <w:r>
              <w:rPr>
                <w:rFonts w:hint="eastAsia" w:ascii="宋体" w:hAnsi="宋体" w:eastAsia="宋体" w:cs="宋体"/>
                <w:b w:val="0"/>
                <w:bCs w:val="0"/>
                <w:color w:val="auto"/>
                <w:kern w:val="0"/>
                <w:sz w:val="18"/>
                <w:szCs w:val="18"/>
                <w:highlight w:val="none"/>
              </w:rPr>
              <w:t>选用品牌，转换效率≥98.5%，中国效率≥98%，超前0.8到滞后0.8范围内连续可调。</w:t>
            </w:r>
          </w:p>
          <w:p w14:paraId="1BFA7583">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4、</w:t>
            </w:r>
            <w:r>
              <w:rPr>
                <w:rFonts w:hint="eastAsia" w:ascii="宋体" w:hAnsi="宋体" w:eastAsia="宋体" w:cs="宋体"/>
                <w:b w:val="0"/>
                <w:bCs w:val="0"/>
                <w:color w:val="auto"/>
                <w:kern w:val="0"/>
                <w:sz w:val="18"/>
                <w:szCs w:val="18"/>
                <w:highlight w:val="none"/>
              </w:rPr>
              <w:t>输出电压波形、幅值及相位等与公共电网一致，实现无扰动平滑电网供电。</w:t>
            </w:r>
          </w:p>
          <w:p w14:paraId="6F124D42">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5、</w:t>
            </w:r>
            <w:r>
              <w:rPr>
                <w:rFonts w:hint="eastAsia" w:ascii="宋体" w:hAnsi="宋体" w:eastAsia="宋体" w:cs="宋体"/>
                <w:b w:val="0"/>
                <w:bCs w:val="0"/>
                <w:color w:val="auto"/>
                <w:kern w:val="0"/>
                <w:sz w:val="18"/>
                <w:szCs w:val="18"/>
                <w:highlight w:val="none"/>
              </w:rPr>
              <w:t>防水等级 IP65、RS485、WIFI、GPRS 等通讯接口、噪音≤25DB。</w:t>
            </w:r>
          </w:p>
          <w:p w14:paraId="5A7D4923">
            <w:pPr>
              <w:widowControl/>
              <w:jc w:val="left"/>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6、</w:t>
            </w:r>
            <w:r>
              <w:rPr>
                <w:rFonts w:hint="eastAsia" w:ascii="宋体" w:hAnsi="宋体" w:eastAsia="宋体" w:cs="宋体"/>
                <w:b w:val="0"/>
                <w:bCs w:val="0"/>
                <w:color w:val="auto"/>
                <w:kern w:val="0"/>
                <w:sz w:val="18"/>
                <w:szCs w:val="18"/>
                <w:highlight w:val="none"/>
              </w:rPr>
              <w:t>具备残余电流、孤岛、输出过流、绝缘电阻侦测、防雷电等保护功能。</w:t>
            </w:r>
          </w:p>
        </w:tc>
        <w:tc>
          <w:tcPr>
            <w:tcW w:w="1608" w:type="dxa"/>
            <w:shd w:val="clear" w:color="auto" w:fill="auto"/>
            <w:vAlign w:val="center"/>
          </w:tcPr>
          <w:p w14:paraId="7B1CEA2A">
            <w:pPr>
              <w:widowControl/>
              <w:jc w:val="center"/>
              <w:textAlignment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阳光</w:t>
            </w:r>
            <w:r>
              <w:rPr>
                <w:rFonts w:hint="eastAsia" w:ascii="宋体" w:hAnsi="宋体" w:cs="宋体"/>
                <w:b w:val="0"/>
                <w:bCs w:val="0"/>
                <w:color w:val="auto"/>
                <w:kern w:val="0"/>
                <w:sz w:val="18"/>
                <w:szCs w:val="18"/>
                <w:highlight w:val="none"/>
                <w:lang w:val="en-US" w:eastAsia="zh-CN"/>
              </w:rPr>
              <w:t>电源</w:t>
            </w:r>
            <w:r>
              <w:rPr>
                <w:rFonts w:hint="eastAsia" w:ascii="宋体" w:hAnsi="宋体" w:eastAsia="宋体" w:cs="宋体"/>
                <w:b w:val="0"/>
                <w:bCs w:val="0"/>
                <w:color w:val="auto"/>
                <w:kern w:val="0"/>
                <w:sz w:val="18"/>
                <w:szCs w:val="18"/>
                <w:highlight w:val="none"/>
              </w:rPr>
              <w:t>、固德威、华为</w:t>
            </w:r>
          </w:p>
        </w:tc>
        <w:tc>
          <w:tcPr>
            <w:tcW w:w="1142" w:type="dxa"/>
            <w:vAlign w:val="center"/>
          </w:tcPr>
          <w:p w14:paraId="36127BBF">
            <w:pPr>
              <w:widowControl/>
              <w:rPr>
                <w:rFonts w:hint="eastAsia" w:ascii="宋体" w:hAnsi="宋体" w:eastAsia="宋体" w:cs="宋体"/>
                <w:b w:val="0"/>
                <w:bCs w:val="0"/>
                <w:color w:val="auto"/>
                <w:kern w:val="0"/>
                <w:sz w:val="18"/>
                <w:szCs w:val="18"/>
                <w:highlight w:val="none"/>
              </w:rPr>
            </w:pPr>
          </w:p>
        </w:tc>
      </w:tr>
      <w:tr w14:paraId="57CD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47" w:type="dxa"/>
            <w:vAlign w:val="center"/>
          </w:tcPr>
          <w:p w14:paraId="4D6707B9">
            <w:pPr>
              <w:widowControl/>
              <w:jc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3</w:t>
            </w:r>
          </w:p>
        </w:tc>
        <w:tc>
          <w:tcPr>
            <w:tcW w:w="1869" w:type="dxa"/>
            <w:vAlign w:val="center"/>
          </w:tcPr>
          <w:p w14:paraId="40C25C1E">
            <w:pPr>
              <w:widowControl/>
              <w:jc w:val="center"/>
              <w:textAlignment w:val="center"/>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rPr>
              <w:t>电缆</w:t>
            </w:r>
          </w:p>
        </w:tc>
        <w:tc>
          <w:tcPr>
            <w:tcW w:w="3851" w:type="dxa"/>
            <w:shd w:val="clear" w:color="auto" w:fill="auto"/>
            <w:vAlign w:val="center"/>
          </w:tcPr>
          <w:p w14:paraId="1709BAFA">
            <w:pPr>
              <w:widowControl/>
              <w:jc w:val="center"/>
              <w:textAlignment w:val="center"/>
              <w:rPr>
                <w:rFonts w:hint="default"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符合国标及图纸设计要求</w:t>
            </w:r>
          </w:p>
        </w:tc>
        <w:tc>
          <w:tcPr>
            <w:tcW w:w="1608" w:type="dxa"/>
            <w:shd w:val="clear" w:color="auto" w:fill="auto"/>
            <w:vAlign w:val="center"/>
          </w:tcPr>
          <w:p w14:paraId="2773C48A">
            <w:pPr>
              <w:widowControl/>
              <w:jc w:val="center"/>
              <w:textAlignment w:val="center"/>
              <w:rPr>
                <w:rFonts w:hint="eastAsia" w:ascii="宋体" w:hAnsi="宋体" w:eastAsia="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江南、</w:t>
            </w:r>
            <w:r>
              <w:rPr>
                <w:rFonts w:hint="eastAsia" w:ascii="宋体" w:hAnsi="宋体" w:eastAsia="宋体" w:cs="宋体"/>
                <w:b w:val="0"/>
                <w:bCs w:val="0"/>
                <w:color w:val="auto"/>
                <w:kern w:val="0"/>
                <w:sz w:val="18"/>
                <w:szCs w:val="18"/>
                <w:highlight w:val="none"/>
              </w:rPr>
              <w:t>亨通、上上、远东</w:t>
            </w:r>
          </w:p>
        </w:tc>
        <w:tc>
          <w:tcPr>
            <w:tcW w:w="1142" w:type="dxa"/>
            <w:vAlign w:val="center"/>
          </w:tcPr>
          <w:p w14:paraId="4D23B27C">
            <w:pPr>
              <w:widowControl/>
              <w:rPr>
                <w:rFonts w:hint="eastAsia" w:ascii="宋体" w:hAnsi="宋体" w:eastAsia="宋体" w:cs="宋体"/>
                <w:b w:val="0"/>
                <w:bCs w:val="0"/>
                <w:color w:val="auto"/>
                <w:kern w:val="0"/>
                <w:sz w:val="18"/>
                <w:szCs w:val="18"/>
                <w:highlight w:val="none"/>
              </w:rPr>
            </w:pPr>
          </w:p>
        </w:tc>
      </w:tr>
      <w:tr w14:paraId="73B9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847" w:type="dxa"/>
            <w:vAlign w:val="center"/>
          </w:tcPr>
          <w:p w14:paraId="489CD648">
            <w:pPr>
              <w:widowControl/>
              <w:jc w:val="center"/>
              <w:rPr>
                <w:rFonts w:hint="default" w:ascii="宋体" w:hAnsi="宋体" w:eastAsia="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4</w:t>
            </w:r>
          </w:p>
        </w:tc>
        <w:tc>
          <w:tcPr>
            <w:tcW w:w="1869" w:type="dxa"/>
            <w:vAlign w:val="center"/>
          </w:tcPr>
          <w:p w14:paraId="6C0A26B2">
            <w:pPr>
              <w:widowControl/>
              <w:spacing w:before="0" w:line="240" w:lineRule="auto"/>
              <w:ind w:left="0"/>
              <w:jc w:val="center"/>
              <w:rPr>
                <w:rFonts w:hint="eastAsia" w:ascii="宋体" w:hAnsi="宋体" w:eastAsia="宋体" w:cs="宋体"/>
                <w:color w:val="auto"/>
                <w:spacing w:val="0"/>
                <w:kern w:val="0"/>
                <w:sz w:val="18"/>
                <w:szCs w:val="18"/>
                <w:highlight w:val="none"/>
              </w:rPr>
            </w:pPr>
            <w:r>
              <w:rPr>
                <w:rFonts w:hint="eastAsia" w:ascii="宋体" w:hAnsi="宋体" w:eastAsia="宋体" w:cs="宋体"/>
                <w:color w:val="auto"/>
                <w:spacing w:val="0"/>
                <w:kern w:val="0"/>
                <w:sz w:val="18"/>
                <w:szCs w:val="18"/>
                <w:highlight w:val="none"/>
                <w:lang w:val="en-US" w:eastAsia="zh-CN"/>
              </w:rPr>
              <w:t>并网电力设备</w:t>
            </w:r>
          </w:p>
          <w:p w14:paraId="3770B980">
            <w:pPr>
              <w:widowControl/>
              <w:spacing w:before="0" w:line="240" w:lineRule="auto"/>
              <w:ind w:left="0" w:leftChars="0"/>
              <w:jc w:val="center"/>
              <w:rPr>
                <w:rFonts w:hint="eastAsia" w:ascii="宋体" w:hAnsi="宋体" w:eastAsia="宋体" w:cs="宋体"/>
                <w:b w:val="0"/>
                <w:bCs w:val="0"/>
                <w:color w:val="auto"/>
                <w:kern w:val="0"/>
                <w:sz w:val="18"/>
                <w:szCs w:val="18"/>
                <w:highlight w:val="none"/>
                <w:lang w:val="en-US" w:eastAsia="zh-CN"/>
              </w:rPr>
            </w:pPr>
          </w:p>
        </w:tc>
        <w:tc>
          <w:tcPr>
            <w:tcW w:w="3851" w:type="dxa"/>
            <w:shd w:val="clear" w:color="auto" w:fill="auto"/>
            <w:vAlign w:val="center"/>
          </w:tcPr>
          <w:p w14:paraId="5339F33D">
            <w:pPr>
              <w:widowControl/>
              <w:spacing w:before="0" w:line="240" w:lineRule="auto"/>
              <w:ind w:left="0" w:leftChars="0"/>
              <w:jc w:val="center"/>
              <w:rPr>
                <w:rFonts w:hint="eastAsia" w:ascii="宋体" w:hAnsi="宋体" w:eastAsia="宋体" w:cs="宋体"/>
                <w:b w:val="0"/>
                <w:bCs w:val="0"/>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符合国标及图纸设计要求</w:t>
            </w:r>
          </w:p>
        </w:tc>
        <w:tc>
          <w:tcPr>
            <w:tcW w:w="1608" w:type="dxa"/>
            <w:shd w:val="clear" w:color="auto" w:fill="auto"/>
            <w:vAlign w:val="center"/>
          </w:tcPr>
          <w:p w14:paraId="56E788CF">
            <w:pPr>
              <w:widowControl/>
              <w:spacing w:before="0" w:line="240" w:lineRule="auto"/>
              <w:ind w:left="0"/>
              <w:jc w:val="center"/>
              <w:rPr>
                <w:rFonts w:hint="default" w:ascii="宋体" w:hAnsi="宋体" w:eastAsia="宋体" w:cs="宋体"/>
                <w:color w:val="auto"/>
                <w:spacing w:val="0"/>
                <w:kern w:val="0"/>
                <w:sz w:val="18"/>
                <w:szCs w:val="18"/>
                <w:highlight w:val="none"/>
                <w:lang w:val="en-US"/>
              </w:rPr>
            </w:pPr>
            <w:r>
              <w:rPr>
                <w:rFonts w:hint="eastAsia" w:ascii="宋体" w:hAnsi="宋体" w:eastAsia="宋体" w:cs="宋体"/>
                <w:color w:val="auto"/>
                <w:spacing w:val="0"/>
                <w:kern w:val="0"/>
                <w:sz w:val="18"/>
                <w:szCs w:val="18"/>
                <w:highlight w:val="none"/>
                <w:lang w:val="en-US" w:eastAsia="zh-CN"/>
              </w:rPr>
              <w:t>南京南瑞继保、许继电气、厦门ABB</w:t>
            </w:r>
            <w:r>
              <w:rPr>
                <w:rFonts w:hint="eastAsia" w:ascii="宋体" w:hAnsi="宋体" w:cs="宋体"/>
                <w:color w:val="auto"/>
                <w:spacing w:val="0"/>
                <w:kern w:val="0"/>
                <w:sz w:val="18"/>
                <w:szCs w:val="18"/>
                <w:highlight w:val="none"/>
                <w:lang w:val="en-US" w:eastAsia="zh-CN"/>
              </w:rPr>
              <w:t>、安徽迪康</w:t>
            </w:r>
          </w:p>
          <w:p w14:paraId="58E5BE91">
            <w:pPr>
              <w:widowControl/>
              <w:spacing w:before="0" w:line="240" w:lineRule="auto"/>
              <w:ind w:left="0" w:leftChars="0"/>
              <w:jc w:val="center"/>
              <w:rPr>
                <w:rFonts w:hint="eastAsia" w:ascii="宋体" w:hAnsi="宋体" w:eastAsia="宋体" w:cs="宋体"/>
                <w:b w:val="0"/>
                <w:bCs w:val="0"/>
                <w:color w:val="auto"/>
                <w:kern w:val="0"/>
                <w:sz w:val="18"/>
                <w:szCs w:val="18"/>
                <w:highlight w:val="none"/>
                <w:lang w:eastAsia="zh-CN"/>
              </w:rPr>
            </w:pPr>
          </w:p>
        </w:tc>
        <w:tc>
          <w:tcPr>
            <w:tcW w:w="1142" w:type="dxa"/>
            <w:vAlign w:val="center"/>
          </w:tcPr>
          <w:p w14:paraId="0358629C">
            <w:pPr>
              <w:widowControl/>
              <w:jc w:val="center"/>
              <w:rPr>
                <w:rFonts w:hint="eastAsia" w:ascii="宋体" w:hAnsi="宋体" w:eastAsia="宋体" w:cs="宋体"/>
                <w:b w:val="0"/>
                <w:bCs w:val="0"/>
                <w:color w:val="auto"/>
                <w:kern w:val="0"/>
                <w:sz w:val="18"/>
                <w:szCs w:val="18"/>
                <w:highlight w:val="none"/>
              </w:rPr>
            </w:pPr>
          </w:p>
        </w:tc>
      </w:tr>
      <w:tr w14:paraId="11EE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47" w:type="dxa"/>
            <w:vAlign w:val="center"/>
          </w:tcPr>
          <w:p w14:paraId="4FF1741C">
            <w:pPr>
              <w:widowControl/>
              <w:jc w:val="center"/>
              <w:rPr>
                <w:rFonts w:hint="default"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5</w:t>
            </w:r>
          </w:p>
        </w:tc>
        <w:tc>
          <w:tcPr>
            <w:tcW w:w="1869" w:type="dxa"/>
            <w:vAlign w:val="center"/>
          </w:tcPr>
          <w:p w14:paraId="018E214B">
            <w:pPr>
              <w:widowControl/>
              <w:spacing w:before="0" w:line="240" w:lineRule="auto"/>
              <w:ind w:left="0" w:leftChars="0"/>
              <w:jc w:val="center"/>
              <w:textAlignment w:val="center"/>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pacing w:val="0"/>
                <w:kern w:val="0"/>
                <w:sz w:val="18"/>
                <w:szCs w:val="18"/>
                <w:highlight w:val="none"/>
                <w:lang w:val="en-US" w:eastAsia="zh-CN"/>
              </w:rPr>
              <w:t>变压器</w:t>
            </w:r>
          </w:p>
        </w:tc>
        <w:tc>
          <w:tcPr>
            <w:tcW w:w="3851" w:type="dxa"/>
            <w:shd w:val="clear" w:color="auto" w:fill="auto"/>
            <w:vAlign w:val="center"/>
          </w:tcPr>
          <w:p w14:paraId="745E4F3C">
            <w:pPr>
              <w:widowControl/>
              <w:spacing w:before="0" w:line="240" w:lineRule="auto"/>
              <w:ind w:left="0" w:leftChars="0"/>
              <w:jc w:val="center"/>
              <w:textAlignment w:val="center"/>
              <w:rPr>
                <w:rFonts w:hint="eastAsia" w:ascii="宋体" w:hAnsi="宋体" w:eastAsia="宋体" w:cs="宋体"/>
                <w:color w:val="auto"/>
                <w:spacing w:val="0"/>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符合国标及图纸设计要求</w:t>
            </w:r>
          </w:p>
        </w:tc>
        <w:tc>
          <w:tcPr>
            <w:tcW w:w="1608" w:type="dxa"/>
            <w:shd w:val="clear" w:color="auto" w:fill="auto"/>
            <w:vAlign w:val="center"/>
          </w:tcPr>
          <w:p w14:paraId="1DD3171A">
            <w:pPr>
              <w:widowControl/>
              <w:spacing w:before="0" w:line="240" w:lineRule="auto"/>
              <w:ind w:left="0" w:leftChars="0"/>
              <w:jc w:val="center"/>
              <w:textAlignment w:val="center"/>
              <w:rPr>
                <w:rFonts w:hint="eastAsia" w:ascii="宋体" w:hAnsi="宋体" w:eastAsia="宋体" w:cs="宋体"/>
                <w:b w:val="0"/>
                <w:bCs w:val="0"/>
                <w:color w:val="auto"/>
                <w:kern w:val="0"/>
                <w:sz w:val="18"/>
                <w:szCs w:val="18"/>
                <w:highlight w:val="none"/>
                <w:lang w:eastAsia="zh-CN"/>
              </w:rPr>
            </w:pPr>
            <w:r>
              <w:rPr>
                <w:rFonts w:hint="eastAsia" w:ascii="宋体" w:hAnsi="宋体" w:eastAsia="宋体" w:cs="宋体"/>
                <w:color w:val="auto"/>
                <w:spacing w:val="0"/>
                <w:kern w:val="0"/>
                <w:sz w:val="18"/>
                <w:szCs w:val="18"/>
                <w:highlight w:val="none"/>
                <w:lang w:val="en-US" w:eastAsia="zh-CN"/>
              </w:rPr>
              <w:t>华辰、华鹏、大全、特变电工</w:t>
            </w:r>
          </w:p>
        </w:tc>
        <w:tc>
          <w:tcPr>
            <w:tcW w:w="1142" w:type="dxa"/>
            <w:vAlign w:val="center"/>
          </w:tcPr>
          <w:p w14:paraId="23643C82">
            <w:pPr>
              <w:widowControl/>
              <w:jc w:val="center"/>
              <w:rPr>
                <w:rFonts w:hint="eastAsia" w:ascii="宋体" w:hAnsi="宋体" w:eastAsia="宋体" w:cs="宋体"/>
                <w:b w:val="0"/>
                <w:bCs w:val="0"/>
                <w:color w:val="auto"/>
                <w:kern w:val="0"/>
                <w:sz w:val="18"/>
                <w:szCs w:val="18"/>
                <w:highlight w:val="none"/>
              </w:rPr>
            </w:pPr>
          </w:p>
        </w:tc>
      </w:tr>
    </w:tbl>
    <w:p w14:paraId="2486CEB0">
      <w:pPr>
        <w:snapToGrid w:val="0"/>
        <w:spacing w:line="360" w:lineRule="auto"/>
        <w:rPr>
          <w:rFonts w:hint="eastAsia" w:ascii="宋体" w:hAnsi="宋体" w:eastAsia="宋体" w:cs="宋体"/>
          <w:b w:val="0"/>
          <w:bCs w:val="0"/>
          <w:color w:val="auto"/>
          <w:sz w:val="18"/>
          <w:szCs w:val="18"/>
          <w:highlight w:val="none"/>
        </w:rPr>
      </w:pPr>
    </w:p>
    <w:p w14:paraId="1577373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本表仅针对不采用招标人推荐品牌，采用其他品牌的投标人填写，并注明并提供相关技术参数、业绩等供评标委员会评审。对于招标人推荐品牌的材料、设备，投标人可选用推荐品牌或不低于推荐品牌技术性能指标的其他品牌。未在上表中注明且未提供相关技术参数、业绩，或经评标委员会评审未通过的，中标后只能从招标人推荐品牌中进行选择，价格不予调整。</w:t>
      </w:r>
    </w:p>
    <w:p w14:paraId="084A46A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如本项目招标文件中出现特定性、唯一性品牌的表述，该品牌仅作为参考，施工过程中不具有限定性。对于招标人推荐品牌的材料、设备等，投标人如认为招标人推荐的品牌有限定性、唯一性、明显不在同一档次等级的或者其他疑问的，应在本项目澄清提出的截止时间前通过电子交易系统向招标人提出。</w:t>
      </w:r>
    </w:p>
    <w:p w14:paraId="45E5F15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工程所需材料、设备由中标人自行采购。投标人对主要材料和设备报价时应充分考虑工程的实际需要，慎重报价。在购置主要材料和设备前必须书面报监理和业主确认，经业主及监理公司实地察看得到监理和业主的认可后方可采购。</w:t>
      </w:r>
    </w:p>
    <w:p w14:paraId="1354557D">
      <w:pPr>
        <w:rPr>
          <w:b/>
          <w:bCs/>
          <w:color w:val="auto"/>
          <w:kern w:val="44"/>
          <w:sz w:val="36"/>
          <w:szCs w:val="36"/>
          <w:highlight w:val="none"/>
        </w:rPr>
      </w:pPr>
    </w:p>
    <w:p w14:paraId="17F5F712">
      <w:pPr>
        <w:pStyle w:val="17"/>
        <w:ind w:firstLine="210"/>
        <w:rPr>
          <w:color w:val="auto"/>
          <w:highlight w:val="none"/>
        </w:rPr>
      </w:pPr>
    </w:p>
    <w:p w14:paraId="41E37296">
      <w:pPr>
        <w:rPr>
          <w:color w:val="auto"/>
          <w:highlight w:val="none"/>
        </w:rPr>
      </w:pPr>
    </w:p>
    <w:p w14:paraId="0FE0BC09">
      <w:pPr>
        <w:adjustRightInd w:val="0"/>
        <w:snapToGrid w:val="0"/>
        <w:rPr>
          <w:rFonts w:hint="eastAsia"/>
          <w:color w:val="auto"/>
          <w:sz w:val="36"/>
          <w:szCs w:val="36"/>
          <w:highlight w:val="none"/>
          <w:lang w:val="en-US" w:eastAsia="zh-CN"/>
        </w:rPr>
      </w:pPr>
      <w:r>
        <w:rPr>
          <w:rFonts w:hint="eastAsia"/>
          <w:b/>
          <w:bCs/>
          <w:color w:val="auto"/>
          <w:kern w:val="44"/>
          <w:sz w:val="36"/>
          <w:szCs w:val="36"/>
          <w:highlight w:val="none"/>
        </w:rPr>
        <w:br w:type="page"/>
      </w:r>
      <w:bookmarkStart w:id="988" w:name="_Toc21432"/>
      <w:r>
        <w:rPr>
          <w:rFonts w:hint="eastAsia"/>
          <w:color w:val="auto"/>
          <w:sz w:val="36"/>
          <w:szCs w:val="36"/>
          <w:highlight w:val="none"/>
          <w:lang w:val="en-US" w:eastAsia="zh-CN"/>
        </w:rPr>
        <w:t xml:space="preserve">                 </w:t>
      </w:r>
    </w:p>
    <w:p w14:paraId="4DAF454F">
      <w:pPr>
        <w:adjustRightInd w:val="0"/>
        <w:snapToGrid w:val="0"/>
        <w:rPr>
          <w:color w:val="auto"/>
          <w:sz w:val="36"/>
          <w:szCs w:val="36"/>
          <w:highlight w:val="none"/>
        </w:rPr>
      </w:pPr>
      <w:r>
        <w:rPr>
          <w:rFonts w:hint="eastAsia"/>
          <w:color w:val="auto"/>
          <w:sz w:val="36"/>
          <w:szCs w:val="36"/>
          <w:highlight w:val="none"/>
        </w:rPr>
        <w:t>第七章</w:t>
      </w:r>
      <w:bookmarkEnd w:id="814"/>
      <w:bookmarkStart w:id="989" w:name="_Toc95223531"/>
      <w:r>
        <w:rPr>
          <w:rFonts w:hint="eastAsia"/>
          <w:color w:val="auto"/>
          <w:sz w:val="36"/>
          <w:szCs w:val="36"/>
          <w:highlight w:val="none"/>
        </w:rPr>
        <w:t xml:space="preserve">  投标文件格式</w:t>
      </w:r>
      <w:bookmarkEnd w:id="815"/>
      <w:bookmarkEnd w:id="988"/>
      <w:bookmarkEnd w:id="989"/>
    </w:p>
    <w:p w14:paraId="440312E4">
      <w:pPr>
        <w:adjustRightInd w:val="0"/>
        <w:snapToGrid w:val="0"/>
        <w:spacing w:line="560" w:lineRule="exact"/>
        <w:jc w:val="center"/>
        <w:rPr>
          <w:color w:val="auto"/>
          <w:highlight w:val="none"/>
        </w:rPr>
      </w:pPr>
    </w:p>
    <w:p w14:paraId="6F750100">
      <w:pPr>
        <w:adjustRightInd w:val="0"/>
        <w:snapToGrid w:val="0"/>
        <w:spacing w:line="560" w:lineRule="exact"/>
        <w:rPr>
          <w:color w:val="auto"/>
          <w:highlight w:val="none"/>
        </w:rPr>
      </w:pPr>
    </w:p>
    <w:p w14:paraId="42C0ADB2">
      <w:pPr>
        <w:adjustRightInd w:val="0"/>
        <w:snapToGrid w:val="0"/>
        <w:spacing w:line="560" w:lineRule="exact"/>
        <w:jc w:val="center"/>
        <w:outlineLvl w:val="1"/>
        <w:rPr>
          <w:rFonts w:eastAsia="黑体"/>
          <w:color w:val="auto"/>
          <w:sz w:val="20"/>
          <w:szCs w:val="20"/>
          <w:highlight w:val="none"/>
        </w:rPr>
      </w:pPr>
      <w:r>
        <w:rPr>
          <w:rFonts w:hint="eastAsia" w:eastAsia="黑体"/>
          <w:color w:val="auto"/>
          <w:sz w:val="28"/>
          <w:szCs w:val="28"/>
          <w:highlight w:val="none"/>
          <w:u w:val="single"/>
        </w:rPr>
        <w:t xml:space="preserve"> </w:t>
      </w:r>
      <w:bookmarkStart w:id="990" w:name="_Toc506107339"/>
      <w:bookmarkStart w:id="991" w:name="_Toc15058933"/>
      <w:bookmarkStart w:id="992" w:name="_Toc484173788"/>
      <w:bookmarkStart w:id="993" w:name="_Toc60061573"/>
      <w:r>
        <w:rPr>
          <w:rFonts w:hint="eastAsia" w:eastAsia="黑体"/>
          <w:color w:val="auto"/>
          <w:sz w:val="28"/>
          <w:szCs w:val="28"/>
          <w:highlight w:val="none"/>
          <w:u w:val="single"/>
        </w:rPr>
        <w:t xml:space="preserve">            </w:t>
      </w:r>
      <w:bookmarkEnd w:id="990"/>
      <w:bookmarkEnd w:id="991"/>
      <w:bookmarkEnd w:id="992"/>
      <w:bookmarkEnd w:id="993"/>
      <w:r>
        <w:rPr>
          <w:rFonts w:hint="eastAsia" w:eastAsia="黑体"/>
          <w:color w:val="auto"/>
          <w:sz w:val="28"/>
          <w:szCs w:val="28"/>
          <w:highlight w:val="none"/>
          <w:u w:val="single"/>
        </w:rPr>
        <w:t xml:space="preserve">   </w:t>
      </w:r>
      <w:bookmarkStart w:id="994" w:name="_Toc8195"/>
      <w:r>
        <w:rPr>
          <w:rFonts w:eastAsia="黑体"/>
          <w:color w:val="auto"/>
          <w:sz w:val="28"/>
          <w:szCs w:val="28"/>
          <w:highlight w:val="none"/>
        </w:rPr>
        <w:t>（项目名称</w:t>
      </w:r>
      <w:bookmarkStart w:id="995" w:name="_Toc144974855"/>
      <w:bookmarkStart w:id="996" w:name="_Toc152042575"/>
      <w:bookmarkStart w:id="997" w:name="_Toc179632806"/>
      <w:bookmarkStart w:id="998" w:name="_Toc246996354"/>
      <w:bookmarkStart w:id="999" w:name="_Toc247085872"/>
      <w:bookmarkStart w:id="1000" w:name="_Toc152045786"/>
      <w:bookmarkStart w:id="1001" w:name="_Toc246997097"/>
      <w:r>
        <w:rPr>
          <w:rFonts w:eastAsia="黑体"/>
          <w:color w:val="auto"/>
          <w:sz w:val="28"/>
          <w:szCs w:val="28"/>
          <w:highlight w:val="none"/>
        </w:rPr>
        <w:t>）</w:t>
      </w:r>
      <w:bookmarkEnd w:id="994"/>
      <w:bookmarkStart w:id="1002" w:name="_Toc60061574"/>
      <w:bookmarkStart w:id="1003" w:name="_Toc324404888"/>
      <w:bookmarkStart w:id="1004" w:name="_Toc15058934"/>
      <w:bookmarkStart w:id="1005" w:name="_Toc506107340"/>
    </w:p>
    <w:p w14:paraId="402E9CF0">
      <w:pPr>
        <w:adjustRightInd w:val="0"/>
        <w:snapToGrid w:val="0"/>
        <w:spacing w:line="560" w:lineRule="exact"/>
        <w:jc w:val="center"/>
        <w:rPr>
          <w:rFonts w:eastAsia="黑体"/>
          <w:color w:val="auto"/>
          <w:sz w:val="20"/>
          <w:szCs w:val="20"/>
          <w:highlight w:val="none"/>
        </w:rPr>
      </w:pPr>
    </w:p>
    <w:p w14:paraId="2E662C80">
      <w:pPr>
        <w:adjustRightInd w:val="0"/>
        <w:snapToGrid w:val="0"/>
        <w:spacing w:line="560" w:lineRule="exact"/>
        <w:jc w:val="center"/>
        <w:rPr>
          <w:rFonts w:eastAsia="黑体"/>
          <w:color w:val="auto"/>
          <w:sz w:val="20"/>
          <w:szCs w:val="20"/>
          <w:highlight w:val="none"/>
        </w:rPr>
      </w:pPr>
    </w:p>
    <w:p w14:paraId="6F432509">
      <w:pPr>
        <w:adjustRightInd w:val="0"/>
        <w:snapToGrid w:val="0"/>
        <w:spacing w:line="560" w:lineRule="exact"/>
        <w:rPr>
          <w:rFonts w:eastAsia="黑体"/>
          <w:color w:val="auto"/>
          <w:sz w:val="20"/>
          <w:szCs w:val="20"/>
          <w:highlight w:val="none"/>
        </w:rPr>
      </w:pPr>
    </w:p>
    <w:p w14:paraId="2DA458C4">
      <w:pPr>
        <w:adjustRightInd w:val="0"/>
        <w:snapToGrid w:val="0"/>
        <w:spacing w:line="560" w:lineRule="exact"/>
        <w:jc w:val="center"/>
        <w:rPr>
          <w:rFonts w:eastAsia="黑体"/>
          <w:color w:val="auto"/>
          <w:sz w:val="44"/>
          <w:szCs w:val="44"/>
          <w:highlight w:val="none"/>
        </w:rPr>
      </w:pPr>
      <w:r>
        <w:rPr>
          <w:rFonts w:eastAsia="黑体"/>
          <w:color w:val="auto"/>
          <w:sz w:val="44"/>
          <w:szCs w:val="44"/>
          <w:highlight w:val="none"/>
        </w:rPr>
        <w:t>投  标  文</w:t>
      </w:r>
      <w:bookmarkEnd w:id="995"/>
      <w:bookmarkEnd w:id="996"/>
      <w:bookmarkEnd w:id="997"/>
      <w:bookmarkEnd w:id="998"/>
      <w:bookmarkEnd w:id="999"/>
      <w:bookmarkEnd w:id="1000"/>
      <w:bookmarkEnd w:id="1001"/>
      <w:bookmarkEnd w:id="1002"/>
      <w:bookmarkEnd w:id="1003"/>
      <w:bookmarkEnd w:id="1004"/>
      <w:bookmarkEnd w:id="1005"/>
      <w:r>
        <w:rPr>
          <w:rFonts w:eastAsia="黑体"/>
          <w:color w:val="auto"/>
          <w:sz w:val="44"/>
          <w:szCs w:val="44"/>
          <w:highlight w:val="none"/>
        </w:rPr>
        <w:t xml:space="preserve">  件</w:t>
      </w:r>
      <w:r>
        <w:rPr>
          <w:rFonts w:hint="eastAsia" w:eastAsia="黑体"/>
          <w:color w:val="auto"/>
          <w:sz w:val="44"/>
          <w:szCs w:val="44"/>
          <w:highlight w:val="none"/>
        </w:rPr>
        <w:t xml:space="preserve"> 一</w:t>
      </w:r>
    </w:p>
    <w:p w14:paraId="13208C55">
      <w:pPr>
        <w:adjustRightInd w:val="0"/>
        <w:snapToGrid w:val="0"/>
        <w:spacing w:line="560" w:lineRule="exact"/>
        <w:jc w:val="center"/>
        <w:rPr>
          <w:rFonts w:eastAsia="黑体"/>
          <w:color w:val="auto"/>
          <w:sz w:val="44"/>
          <w:szCs w:val="44"/>
          <w:highlight w:val="none"/>
        </w:rPr>
      </w:pPr>
      <w:r>
        <w:rPr>
          <w:rFonts w:hint="eastAsia" w:eastAsia="黑体"/>
          <w:color w:val="auto"/>
          <w:sz w:val="44"/>
          <w:szCs w:val="44"/>
          <w:highlight w:val="none"/>
        </w:rPr>
        <w:t>（资信证明文件）</w:t>
      </w:r>
    </w:p>
    <w:p w14:paraId="0E7317D9">
      <w:pPr>
        <w:adjustRightInd w:val="0"/>
        <w:snapToGrid w:val="0"/>
        <w:spacing w:line="560" w:lineRule="exact"/>
        <w:rPr>
          <w:rFonts w:eastAsia="黑体"/>
          <w:color w:val="auto"/>
          <w:sz w:val="28"/>
          <w:szCs w:val="28"/>
          <w:highlight w:val="none"/>
        </w:rPr>
      </w:pPr>
    </w:p>
    <w:p w14:paraId="3F8D3A37">
      <w:pPr>
        <w:adjustRightInd w:val="0"/>
        <w:snapToGrid w:val="0"/>
        <w:spacing w:line="560" w:lineRule="exact"/>
        <w:rPr>
          <w:rFonts w:eastAsia="黑体"/>
          <w:color w:val="auto"/>
          <w:sz w:val="28"/>
          <w:szCs w:val="28"/>
          <w:highlight w:val="none"/>
        </w:rPr>
      </w:pPr>
    </w:p>
    <w:p w14:paraId="417C9C51">
      <w:pPr>
        <w:adjustRightInd w:val="0"/>
        <w:snapToGrid w:val="0"/>
        <w:spacing w:line="560" w:lineRule="exact"/>
        <w:rPr>
          <w:rFonts w:eastAsia="黑体"/>
          <w:color w:val="auto"/>
          <w:sz w:val="28"/>
          <w:szCs w:val="28"/>
          <w:highlight w:val="none"/>
        </w:rPr>
      </w:pPr>
    </w:p>
    <w:p w14:paraId="7BD7A18C">
      <w:pPr>
        <w:adjustRightInd w:val="0"/>
        <w:snapToGrid w:val="0"/>
        <w:spacing w:line="560" w:lineRule="exact"/>
        <w:rPr>
          <w:rFonts w:eastAsia="黑体"/>
          <w:color w:val="auto"/>
          <w:sz w:val="28"/>
          <w:szCs w:val="28"/>
          <w:highlight w:val="none"/>
        </w:rPr>
      </w:pPr>
    </w:p>
    <w:p w14:paraId="7EC17541">
      <w:pPr>
        <w:adjustRightInd w:val="0"/>
        <w:snapToGrid w:val="0"/>
        <w:spacing w:line="560" w:lineRule="exact"/>
        <w:rPr>
          <w:rFonts w:eastAsia="黑体"/>
          <w:color w:val="auto"/>
          <w:sz w:val="28"/>
          <w:szCs w:val="28"/>
          <w:highlight w:val="none"/>
        </w:rPr>
      </w:pPr>
    </w:p>
    <w:p w14:paraId="6967F322">
      <w:pPr>
        <w:adjustRightInd w:val="0"/>
        <w:snapToGrid w:val="0"/>
        <w:spacing w:line="560" w:lineRule="exact"/>
        <w:rPr>
          <w:rFonts w:eastAsia="黑体"/>
          <w:color w:val="auto"/>
          <w:sz w:val="28"/>
          <w:szCs w:val="28"/>
          <w:highlight w:val="none"/>
        </w:rPr>
      </w:pPr>
    </w:p>
    <w:p w14:paraId="14F15988">
      <w:pPr>
        <w:adjustRightInd w:val="0"/>
        <w:snapToGrid w:val="0"/>
        <w:spacing w:line="560" w:lineRule="exact"/>
        <w:rPr>
          <w:rFonts w:eastAsia="黑体"/>
          <w:color w:val="auto"/>
          <w:sz w:val="28"/>
          <w:szCs w:val="28"/>
          <w:highlight w:val="none"/>
        </w:rPr>
      </w:pPr>
    </w:p>
    <w:p w14:paraId="3A438CA5">
      <w:pPr>
        <w:adjustRightInd w:val="0"/>
        <w:snapToGrid w:val="0"/>
        <w:spacing w:line="560" w:lineRule="exact"/>
        <w:rPr>
          <w:rFonts w:eastAsia="黑体"/>
          <w:color w:val="auto"/>
          <w:sz w:val="28"/>
          <w:szCs w:val="28"/>
          <w:highlight w:val="none"/>
        </w:rPr>
      </w:pPr>
    </w:p>
    <w:p w14:paraId="550EC0D0">
      <w:pPr>
        <w:adjustRightInd w:val="0"/>
        <w:snapToGrid w:val="0"/>
        <w:spacing w:line="560" w:lineRule="exact"/>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w:t>
      </w:r>
      <w:r>
        <w:rPr>
          <w:rFonts w:eastAsia="黑体"/>
          <w:color w:val="auto"/>
          <w:sz w:val="28"/>
          <w:szCs w:val="28"/>
          <w:highlight w:val="none"/>
        </w:rPr>
        <w:t>章）</w:t>
      </w:r>
    </w:p>
    <w:p w14:paraId="38CF8308">
      <w:pPr>
        <w:adjustRightInd w:val="0"/>
        <w:snapToGrid w:val="0"/>
        <w:spacing w:line="560" w:lineRule="exact"/>
        <w:ind w:firstLine="1960" w:firstLineChars="700"/>
        <w:rPr>
          <w:rFonts w:eastAsia="黑体"/>
          <w:color w:val="auto"/>
          <w:sz w:val="28"/>
          <w:szCs w:val="28"/>
          <w:highlight w:val="none"/>
        </w:rPr>
      </w:pPr>
      <w:r>
        <w:rPr>
          <w:rFonts w:eastAsia="黑体"/>
          <w:color w:val="auto"/>
          <w:sz w:val="28"/>
          <w:szCs w:val="28"/>
          <w:highlight w:val="none"/>
        </w:rPr>
        <w:t>法定代表人：</w:t>
      </w:r>
      <w:r>
        <w:rPr>
          <w:rFonts w:eastAsia="黑体"/>
          <w:color w:val="auto"/>
          <w:sz w:val="28"/>
          <w:szCs w:val="28"/>
          <w:highlight w:val="none"/>
          <w:u w:val="singl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eastAsia="黑体"/>
          <w:color w:val="auto"/>
          <w:sz w:val="28"/>
          <w:szCs w:val="28"/>
          <w:highlight w:val="none"/>
        </w:rPr>
        <w:t>）</w:t>
      </w:r>
    </w:p>
    <w:p w14:paraId="3FDEF259">
      <w:pPr>
        <w:adjustRightInd w:val="0"/>
        <w:snapToGrid w:val="0"/>
        <w:spacing w:line="560" w:lineRule="exact"/>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3DC39590">
      <w:pPr>
        <w:pStyle w:val="3"/>
        <w:rPr>
          <w:color w:val="auto"/>
          <w:highlight w:val="none"/>
        </w:rPr>
      </w:pPr>
      <w:bookmarkStart w:id="1006" w:name="_Toc95223532"/>
      <w:bookmarkStart w:id="1007" w:name="_Toc246996374"/>
      <w:bookmarkStart w:id="1008" w:name="_Toc246997117"/>
      <w:bookmarkStart w:id="1009" w:name="_Toc144974881"/>
      <w:bookmarkStart w:id="1010" w:name="_Toc247085892"/>
      <w:bookmarkStart w:id="1011" w:name="_Toc152042602"/>
      <w:bookmarkStart w:id="1012" w:name="_Toc296602622"/>
      <w:bookmarkStart w:id="1013" w:name="_Toc152045813"/>
      <w:bookmarkStart w:id="1014" w:name="_Toc179632833"/>
    </w:p>
    <w:p w14:paraId="4AFB87F9">
      <w:pPr>
        <w:rPr>
          <w:color w:val="auto"/>
          <w:highlight w:val="none"/>
        </w:rPr>
      </w:pPr>
    </w:p>
    <w:p w14:paraId="48B8AA49">
      <w:pPr>
        <w:pStyle w:val="18"/>
        <w:rPr>
          <w:color w:val="auto"/>
          <w:highlight w:val="none"/>
        </w:rPr>
      </w:pPr>
    </w:p>
    <w:p w14:paraId="498D25B2">
      <w:pPr>
        <w:rPr>
          <w:color w:val="auto"/>
          <w:highlight w:val="none"/>
        </w:rPr>
      </w:pPr>
    </w:p>
    <w:p w14:paraId="698EB702">
      <w:pPr>
        <w:rPr>
          <w:color w:val="auto"/>
          <w:highlight w:val="none"/>
        </w:rPr>
      </w:pPr>
    </w:p>
    <w:p w14:paraId="0A25C7B7">
      <w:pPr>
        <w:rPr>
          <w:color w:val="auto"/>
          <w:highlight w:val="none"/>
        </w:rPr>
      </w:pPr>
    </w:p>
    <w:p w14:paraId="67A3D451">
      <w:pPr>
        <w:rPr>
          <w:color w:val="auto"/>
          <w:highlight w:val="none"/>
        </w:rPr>
      </w:pPr>
    </w:p>
    <w:p w14:paraId="2108ABFD">
      <w:pPr>
        <w:rPr>
          <w:color w:val="auto"/>
          <w:highlight w:val="none"/>
        </w:rPr>
      </w:pPr>
    </w:p>
    <w:p w14:paraId="26BB17E9">
      <w:pPr>
        <w:rPr>
          <w:color w:val="auto"/>
          <w:highlight w:val="none"/>
        </w:rPr>
      </w:pPr>
    </w:p>
    <w:p w14:paraId="3135995F">
      <w:pPr>
        <w:rPr>
          <w:color w:val="auto"/>
          <w:highlight w:val="none"/>
        </w:rPr>
      </w:pPr>
    </w:p>
    <w:p w14:paraId="7EAB7267">
      <w:pPr>
        <w:pStyle w:val="3"/>
        <w:rPr>
          <w:color w:val="auto"/>
          <w:highlight w:val="none"/>
        </w:rPr>
      </w:pPr>
      <w:bookmarkStart w:id="1015" w:name="_Toc29503"/>
      <w:r>
        <w:rPr>
          <w:rFonts w:hint="eastAsia"/>
          <w:color w:val="auto"/>
          <w:highlight w:val="none"/>
        </w:rPr>
        <w:t>投标文件一：资信证明文件目录</w:t>
      </w:r>
      <w:bookmarkEnd w:id="1006"/>
      <w:bookmarkEnd w:id="1015"/>
    </w:p>
    <w:p w14:paraId="28DCD10E">
      <w:pPr>
        <w:numPr>
          <w:ilvl w:val="0"/>
          <w:numId w:val="10"/>
        </w:numPr>
        <w:adjustRightInd w:val="0"/>
        <w:snapToGrid w:val="0"/>
        <w:spacing w:line="520" w:lineRule="exact"/>
        <w:ind w:firstLine="420" w:firstLineChars="200"/>
        <w:rPr>
          <w:rFonts w:ascii="宋体" w:hAnsi="宋体" w:cs="宋体"/>
          <w:color w:val="auto"/>
          <w:highlight w:val="none"/>
        </w:rPr>
      </w:pPr>
      <w:r>
        <w:rPr>
          <w:rFonts w:hint="eastAsia" w:ascii="宋体" w:hAnsi="宋体" w:cs="宋体"/>
          <w:color w:val="auto"/>
          <w:highlight w:val="none"/>
        </w:rPr>
        <w:t>投标人基本情况表；</w:t>
      </w:r>
    </w:p>
    <w:p w14:paraId="657A243E">
      <w:pPr>
        <w:numPr>
          <w:ilvl w:val="0"/>
          <w:numId w:val="10"/>
        </w:numPr>
        <w:adjustRightInd w:val="0"/>
        <w:snapToGrid w:val="0"/>
        <w:spacing w:line="520" w:lineRule="exact"/>
        <w:ind w:firstLine="420" w:firstLineChars="200"/>
        <w:rPr>
          <w:rFonts w:ascii="宋体" w:hAnsi="宋体" w:cs="宋体"/>
          <w:color w:val="auto"/>
          <w:highlight w:val="none"/>
        </w:rPr>
      </w:pPr>
      <w:r>
        <w:rPr>
          <w:rFonts w:hint="eastAsia" w:ascii="宋体" w:hAnsi="宋体" w:cs="宋体"/>
          <w:color w:val="auto"/>
          <w:highlight w:val="none"/>
        </w:rPr>
        <w:t>近年完成的类似项目情况表；</w:t>
      </w:r>
    </w:p>
    <w:p w14:paraId="63493E5D">
      <w:pPr>
        <w:numPr>
          <w:ilvl w:val="0"/>
          <w:numId w:val="10"/>
        </w:numPr>
        <w:adjustRightInd w:val="0"/>
        <w:snapToGrid w:val="0"/>
        <w:spacing w:line="520" w:lineRule="exact"/>
        <w:ind w:firstLine="420" w:firstLineChars="200"/>
        <w:rPr>
          <w:rFonts w:ascii="宋体" w:hAnsi="宋体" w:cs="宋体"/>
          <w:color w:val="auto"/>
          <w:highlight w:val="none"/>
        </w:rPr>
      </w:pPr>
      <w:r>
        <w:rPr>
          <w:rFonts w:hint="eastAsia" w:ascii="宋体" w:hAnsi="宋体" w:cs="宋体"/>
          <w:color w:val="auto"/>
          <w:highlight w:val="none"/>
        </w:rPr>
        <w:t>项目管理机构；</w:t>
      </w:r>
    </w:p>
    <w:p w14:paraId="163CC54F">
      <w:pPr>
        <w:numPr>
          <w:ilvl w:val="0"/>
          <w:numId w:val="10"/>
        </w:numPr>
        <w:adjustRightInd w:val="0"/>
        <w:snapToGrid w:val="0"/>
        <w:spacing w:line="520" w:lineRule="exact"/>
        <w:ind w:firstLine="420" w:firstLineChars="200"/>
        <w:rPr>
          <w:rFonts w:ascii="宋体" w:hAnsi="宋体" w:cs="宋体"/>
          <w:color w:val="auto"/>
          <w:highlight w:val="none"/>
        </w:rPr>
      </w:pPr>
      <w:r>
        <w:rPr>
          <w:rFonts w:hint="eastAsia" w:ascii="宋体" w:hAnsi="宋体" w:cs="宋体"/>
          <w:color w:val="auto"/>
          <w:highlight w:val="none"/>
        </w:rPr>
        <w:t>其他资格审查资料（由以下材料组成）：</w:t>
      </w:r>
    </w:p>
    <w:p w14:paraId="00306510">
      <w:pPr>
        <w:adjustRightInd w:val="0"/>
        <w:snapToGrid w:val="0"/>
        <w:spacing w:line="560" w:lineRule="exact"/>
        <w:ind w:firstLine="420" w:firstLineChars="200"/>
        <w:rPr>
          <w:rFonts w:ascii="宋体" w:hAnsi="宋体" w:cs="宋体"/>
          <w:color w:val="auto"/>
          <w:highlight w:val="none"/>
        </w:rPr>
      </w:pPr>
      <w:r>
        <w:rPr>
          <w:rFonts w:hint="eastAsia" w:ascii="宋体" w:hAnsi="宋体" w:cs="宋体"/>
          <w:color w:val="auto"/>
          <w:highlight w:val="none"/>
        </w:rPr>
        <w:t>①法定代表人身份证明和本人有效身份证(或法定代表人授权委托书和委托代理人有效身份证)；</w:t>
      </w:r>
      <w:r>
        <w:rPr>
          <w:rFonts w:hint="eastAsia" w:ascii="宋体" w:hAnsi="宋体" w:cs="宋体"/>
          <w:color w:val="auto"/>
          <w:szCs w:val="21"/>
          <w:highlight w:val="none"/>
        </w:rPr>
        <w:t>（如为联合体投标，须牵头方提供）</w:t>
      </w:r>
    </w:p>
    <w:p w14:paraId="6B0F832F">
      <w:pPr>
        <w:adjustRightInd w:val="0"/>
        <w:snapToGrid w:val="0"/>
        <w:spacing w:line="560" w:lineRule="exact"/>
        <w:ind w:firstLine="420" w:firstLineChars="200"/>
        <w:rPr>
          <w:rFonts w:ascii="宋体" w:hAnsi="宋体" w:cs="宋体"/>
          <w:color w:val="auto"/>
          <w:highlight w:val="none"/>
        </w:rPr>
      </w:pPr>
      <w:r>
        <w:rPr>
          <w:rFonts w:hint="eastAsia" w:ascii="宋体" w:hAnsi="宋体" w:cs="宋体"/>
          <w:color w:val="auto"/>
          <w:highlight w:val="none"/>
        </w:rPr>
        <w:t>②诚信投标承诺书（或《公共信用信息报告（无违法违规证明版或核查版）》）；</w:t>
      </w:r>
      <w:r>
        <w:rPr>
          <w:rFonts w:hint="eastAsia" w:ascii="宋体" w:hAnsi="宋体" w:cs="宋体"/>
          <w:color w:val="auto"/>
          <w:szCs w:val="21"/>
          <w:highlight w:val="none"/>
        </w:rPr>
        <w:t>（如为联合体投标，双方均需提供）</w:t>
      </w:r>
    </w:p>
    <w:p w14:paraId="0ED12E4C">
      <w:pPr>
        <w:adjustRightInd w:val="0"/>
        <w:snapToGrid w:val="0"/>
        <w:spacing w:line="560" w:lineRule="exact"/>
        <w:ind w:firstLine="420" w:firstLineChars="200"/>
        <w:rPr>
          <w:rFonts w:ascii="宋体" w:hAnsi="宋体" w:cs="宋体"/>
          <w:color w:val="auto"/>
          <w:highlight w:val="none"/>
        </w:rPr>
      </w:pPr>
      <w:r>
        <w:rPr>
          <w:rFonts w:hint="eastAsia" w:ascii="宋体" w:hAnsi="宋体" w:cs="宋体"/>
          <w:color w:val="auto"/>
          <w:highlight w:val="none"/>
        </w:rPr>
        <w:t>③企业法人营业执照；</w:t>
      </w:r>
      <w:r>
        <w:rPr>
          <w:rFonts w:hint="eastAsia" w:ascii="宋体" w:hAnsi="宋体" w:cs="宋体"/>
          <w:color w:val="auto"/>
          <w:szCs w:val="21"/>
          <w:highlight w:val="none"/>
        </w:rPr>
        <w:t>（如为联合体投标，双方均需提供）</w:t>
      </w:r>
    </w:p>
    <w:p w14:paraId="5419D717">
      <w:pPr>
        <w:adjustRightInd w:val="0"/>
        <w:snapToGrid w:val="0"/>
        <w:spacing w:line="560" w:lineRule="exact"/>
        <w:ind w:firstLine="420" w:firstLineChars="200"/>
        <w:rPr>
          <w:rFonts w:ascii="宋体" w:hAnsi="宋体" w:cs="宋体"/>
          <w:color w:val="auto"/>
          <w:highlight w:val="none"/>
        </w:rPr>
      </w:pPr>
      <w:r>
        <w:rPr>
          <w:rFonts w:hint="eastAsia" w:ascii="宋体" w:hAnsi="宋体" w:cs="宋体"/>
          <w:color w:val="auto"/>
          <w:highlight w:val="none"/>
        </w:rPr>
        <w:t>④企业资质证书；</w:t>
      </w:r>
      <w:r>
        <w:rPr>
          <w:rFonts w:hint="eastAsia" w:ascii="宋体" w:hAnsi="宋体" w:cs="宋体"/>
          <w:color w:val="auto"/>
          <w:szCs w:val="21"/>
          <w:highlight w:val="none"/>
        </w:rPr>
        <w:t>（如为联合体投标，双方均需提供）</w:t>
      </w:r>
    </w:p>
    <w:p w14:paraId="0DE1DC23">
      <w:pPr>
        <w:adjustRightInd w:val="0"/>
        <w:snapToGrid w:val="0"/>
        <w:spacing w:line="560" w:lineRule="exact"/>
        <w:ind w:firstLine="420" w:firstLineChars="200"/>
        <w:rPr>
          <w:rFonts w:ascii="宋体" w:hAnsi="宋体" w:cs="宋体"/>
          <w:color w:val="auto"/>
          <w:highlight w:val="none"/>
        </w:rPr>
      </w:pPr>
      <w:r>
        <w:rPr>
          <w:rFonts w:hint="eastAsia" w:ascii="宋体" w:hAnsi="宋体" w:cs="宋体"/>
          <w:color w:val="auto"/>
          <w:highlight w:val="none"/>
        </w:rPr>
        <w:t>⑤企业安全生产许可证；</w:t>
      </w:r>
      <w:r>
        <w:rPr>
          <w:rFonts w:hint="eastAsia" w:ascii="宋体" w:hAnsi="宋体" w:cs="宋体"/>
          <w:color w:val="auto"/>
          <w:szCs w:val="21"/>
          <w:highlight w:val="none"/>
        </w:rPr>
        <w:t>（如为联合体投标，仅施工方提供）</w:t>
      </w:r>
      <w:r>
        <w:rPr>
          <w:rFonts w:hint="eastAsia" w:ascii="宋体" w:hAnsi="宋体" w:cs="宋体"/>
          <w:color w:val="auto"/>
          <w:highlight w:val="none"/>
        </w:rPr>
        <w:t xml:space="preserve"> </w:t>
      </w:r>
    </w:p>
    <w:p w14:paraId="28A11F90">
      <w:pPr>
        <w:adjustRightInd w:val="0"/>
        <w:snapToGrid w:val="0"/>
        <w:spacing w:line="520" w:lineRule="exact"/>
        <w:ind w:firstLine="420" w:firstLineChars="200"/>
        <w:outlineLvl w:val="1"/>
        <w:rPr>
          <w:rFonts w:ascii="宋体" w:hAnsi="宋体" w:cs="宋体"/>
          <w:color w:val="auto"/>
          <w:highlight w:val="none"/>
        </w:rPr>
      </w:pPr>
      <w:bookmarkStart w:id="1016" w:name="_Toc9321"/>
      <w:r>
        <w:rPr>
          <w:rFonts w:hint="eastAsia" w:ascii="宋体" w:hAnsi="宋体" w:cs="宋体"/>
          <w:color w:val="auto"/>
          <w:highlight w:val="none"/>
        </w:rPr>
        <w:t>⑥项目经理和设计负责人有效身份证及对应证书；</w:t>
      </w:r>
      <w:bookmarkEnd w:id="1016"/>
    </w:p>
    <w:p w14:paraId="47E2BB92">
      <w:pPr>
        <w:adjustRightInd w:val="0"/>
        <w:snapToGrid w:val="0"/>
        <w:spacing w:line="520" w:lineRule="exact"/>
        <w:ind w:firstLine="420" w:firstLineChars="200"/>
        <w:rPr>
          <w:rFonts w:ascii="宋体" w:hAnsi="宋体" w:cs="宋体"/>
          <w:color w:val="auto"/>
          <w:highlight w:val="none"/>
        </w:rPr>
      </w:pPr>
      <w:r>
        <w:rPr>
          <w:rFonts w:hint="eastAsia" w:ascii="宋体" w:hAnsi="宋体" w:cs="宋体"/>
          <w:color w:val="auto"/>
          <w:highlight w:val="none"/>
        </w:rPr>
        <w:t>⑦投标人的法定代表人(或委托代理人)、项目经理、设计负责人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p w14:paraId="00887560">
      <w:pPr>
        <w:widowControl/>
        <w:adjustRightInd w:val="0"/>
        <w:snapToGrid w:val="0"/>
        <w:spacing w:line="56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⑧联合体协议书（如有）</w:t>
      </w:r>
    </w:p>
    <w:p w14:paraId="78906EE7">
      <w:pPr>
        <w:adjustRightInd w:val="0"/>
        <w:snapToGrid w:val="0"/>
        <w:spacing w:line="560" w:lineRule="exact"/>
        <w:ind w:firstLine="420" w:firstLineChars="200"/>
        <w:outlineLvl w:val="1"/>
        <w:rPr>
          <w:rFonts w:eastAsia="黑体"/>
          <w:color w:val="auto"/>
          <w:sz w:val="20"/>
          <w:szCs w:val="20"/>
          <w:highlight w:val="none"/>
        </w:rPr>
      </w:pPr>
      <w:bookmarkStart w:id="1017" w:name="_Toc22205"/>
      <w:r>
        <w:rPr>
          <w:rFonts w:hint="eastAsia" w:ascii="宋体" w:hAnsi="宋体" w:cs="宋体"/>
          <w:color w:val="auto"/>
          <w:highlight w:val="none"/>
        </w:rPr>
        <w:t>⑨资信评审业绩、得分业绩等证明和投标人认为需要的其它证明材料</w:t>
      </w:r>
      <w:r>
        <w:rPr>
          <w:rFonts w:hint="eastAsia" w:ascii="宋体" w:hAnsi="宋体" w:cs="宋体"/>
          <w:color w:val="auto"/>
          <w:szCs w:val="21"/>
          <w:highlight w:val="none"/>
        </w:rPr>
        <w:t>；</w:t>
      </w:r>
      <w:bookmarkEnd w:id="1017"/>
    </w:p>
    <w:p w14:paraId="77A34578">
      <w:pPr>
        <w:adjustRightInd w:val="0"/>
        <w:snapToGrid w:val="0"/>
        <w:spacing w:line="520" w:lineRule="exact"/>
        <w:ind w:firstLine="420" w:firstLineChars="200"/>
        <w:rPr>
          <w:rFonts w:ascii="宋体" w:hAnsi="宋体" w:cs="宋体"/>
          <w:color w:val="auto"/>
          <w:highlight w:val="none"/>
        </w:rPr>
      </w:pPr>
    </w:p>
    <w:p w14:paraId="524D8817">
      <w:pPr>
        <w:pStyle w:val="4"/>
        <w:pageBreakBefore/>
        <w:adjustRightInd w:val="0"/>
        <w:snapToGrid w:val="0"/>
        <w:spacing w:line="560" w:lineRule="exact"/>
        <w:jc w:val="center"/>
        <w:rPr>
          <w:color w:val="auto"/>
          <w:highlight w:val="none"/>
        </w:rPr>
      </w:pPr>
      <w:bookmarkStart w:id="1018" w:name="_Toc95223533"/>
      <w:bookmarkStart w:id="1019" w:name="_Toc23288"/>
      <w:r>
        <w:rPr>
          <w:color w:val="auto"/>
          <w:highlight w:val="none"/>
        </w:rPr>
        <w:t>（</w:t>
      </w:r>
      <w:r>
        <w:rPr>
          <w:rFonts w:hint="eastAsia"/>
          <w:color w:val="auto"/>
          <w:highlight w:val="none"/>
        </w:rPr>
        <w:t>1</w:t>
      </w:r>
      <w:r>
        <w:rPr>
          <w:color w:val="auto"/>
          <w:highlight w:val="none"/>
        </w:rPr>
        <w:t>）投标人基本情况表</w:t>
      </w:r>
      <w:bookmarkEnd w:id="1018"/>
      <w:bookmarkEnd w:id="1019"/>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3"/>
        <w:gridCol w:w="1036"/>
        <w:gridCol w:w="1096"/>
        <w:gridCol w:w="969"/>
        <w:gridCol w:w="484"/>
        <w:gridCol w:w="359"/>
        <w:gridCol w:w="1243"/>
        <w:gridCol w:w="565"/>
        <w:gridCol w:w="991"/>
        <w:gridCol w:w="1144"/>
      </w:tblGrid>
      <w:tr w14:paraId="65F7C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321DC8BC">
            <w:pPr>
              <w:topLinePunct/>
              <w:adjustRightInd w:val="0"/>
              <w:snapToGrid w:val="0"/>
              <w:spacing w:line="560" w:lineRule="exact"/>
              <w:jc w:val="center"/>
              <w:rPr>
                <w:color w:val="auto"/>
                <w:szCs w:val="21"/>
                <w:highlight w:val="none"/>
              </w:rPr>
            </w:pPr>
            <w:r>
              <w:rPr>
                <w:color w:val="auto"/>
                <w:szCs w:val="21"/>
                <w:highlight w:val="none"/>
              </w:rPr>
              <w:t>投标人名称</w:t>
            </w:r>
          </w:p>
        </w:tc>
        <w:tc>
          <w:tcPr>
            <w:tcW w:w="7887" w:type="dxa"/>
            <w:gridSpan w:val="9"/>
            <w:tcBorders>
              <w:top w:val="single" w:color="auto" w:sz="4" w:space="0"/>
              <w:left w:val="single" w:color="auto" w:sz="4" w:space="0"/>
              <w:bottom w:val="single" w:color="auto" w:sz="4" w:space="0"/>
              <w:right w:val="single" w:color="auto" w:sz="4" w:space="0"/>
            </w:tcBorders>
            <w:vAlign w:val="center"/>
          </w:tcPr>
          <w:p w14:paraId="4F016881">
            <w:pPr>
              <w:topLinePunct/>
              <w:adjustRightInd w:val="0"/>
              <w:snapToGrid w:val="0"/>
              <w:spacing w:line="560" w:lineRule="exact"/>
              <w:jc w:val="center"/>
              <w:rPr>
                <w:color w:val="auto"/>
                <w:szCs w:val="21"/>
                <w:highlight w:val="none"/>
              </w:rPr>
            </w:pPr>
          </w:p>
        </w:tc>
      </w:tr>
      <w:tr w14:paraId="2E228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2B5BEFA4">
            <w:pPr>
              <w:topLinePunct/>
              <w:adjustRightInd w:val="0"/>
              <w:snapToGrid w:val="0"/>
              <w:spacing w:line="560" w:lineRule="exact"/>
              <w:jc w:val="center"/>
              <w:rPr>
                <w:color w:val="auto"/>
                <w:szCs w:val="21"/>
                <w:highlight w:val="none"/>
              </w:rPr>
            </w:pPr>
            <w:r>
              <w:rPr>
                <w:color w:val="auto"/>
                <w:szCs w:val="21"/>
                <w:highlight w:val="none"/>
              </w:rPr>
              <w:t>注册地址</w:t>
            </w:r>
          </w:p>
        </w:tc>
        <w:tc>
          <w:tcPr>
            <w:tcW w:w="3944" w:type="dxa"/>
            <w:gridSpan w:val="5"/>
            <w:tcBorders>
              <w:top w:val="single" w:color="auto" w:sz="4" w:space="0"/>
              <w:left w:val="single" w:color="auto" w:sz="4" w:space="0"/>
              <w:bottom w:val="single" w:color="auto" w:sz="4" w:space="0"/>
              <w:right w:val="single" w:color="auto" w:sz="4" w:space="0"/>
            </w:tcBorders>
            <w:vAlign w:val="center"/>
          </w:tcPr>
          <w:p w14:paraId="5BF1F2C6">
            <w:pPr>
              <w:topLinePunct/>
              <w:adjustRightInd w:val="0"/>
              <w:snapToGrid w:val="0"/>
              <w:spacing w:line="560" w:lineRule="exact"/>
              <w:jc w:val="center"/>
              <w:rPr>
                <w:color w:val="auto"/>
                <w:szCs w:val="21"/>
                <w:highlight w:val="none"/>
              </w:rPr>
            </w:pPr>
          </w:p>
        </w:tc>
        <w:tc>
          <w:tcPr>
            <w:tcW w:w="1243" w:type="dxa"/>
            <w:tcBorders>
              <w:top w:val="single" w:color="auto" w:sz="4" w:space="0"/>
              <w:left w:val="single" w:color="auto" w:sz="4" w:space="0"/>
              <w:bottom w:val="single" w:color="auto" w:sz="4" w:space="0"/>
              <w:right w:val="single" w:color="auto" w:sz="4" w:space="0"/>
            </w:tcBorders>
            <w:vAlign w:val="center"/>
          </w:tcPr>
          <w:p w14:paraId="03DE5DD2">
            <w:pPr>
              <w:topLinePunct/>
              <w:adjustRightInd w:val="0"/>
              <w:snapToGrid w:val="0"/>
              <w:spacing w:line="560" w:lineRule="exact"/>
              <w:jc w:val="center"/>
              <w:rPr>
                <w:color w:val="auto"/>
                <w:szCs w:val="21"/>
                <w:highlight w:val="none"/>
              </w:rPr>
            </w:pPr>
            <w:r>
              <w:rPr>
                <w:color w:val="auto"/>
                <w:szCs w:val="21"/>
                <w:highlight w:val="none"/>
              </w:rPr>
              <w:t>邮政编码</w:t>
            </w:r>
          </w:p>
        </w:tc>
        <w:tc>
          <w:tcPr>
            <w:tcW w:w="2700" w:type="dxa"/>
            <w:gridSpan w:val="3"/>
            <w:tcBorders>
              <w:top w:val="single" w:color="auto" w:sz="4" w:space="0"/>
              <w:left w:val="single" w:color="auto" w:sz="4" w:space="0"/>
              <w:bottom w:val="single" w:color="auto" w:sz="4" w:space="0"/>
              <w:right w:val="single" w:color="auto" w:sz="4" w:space="0"/>
            </w:tcBorders>
            <w:vAlign w:val="center"/>
          </w:tcPr>
          <w:p w14:paraId="287FAA99">
            <w:pPr>
              <w:topLinePunct/>
              <w:adjustRightInd w:val="0"/>
              <w:snapToGrid w:val="0"/>
              <w:spacing w:line="560" w:lineRule="exact"/>
              <w:jc w:val="center"/>
              <w:rPr>
                <w:color w:val="auto"/>
                <w:szCs w:val="21"/>
                <w:highlight w:val="none"/>
              </w:rPr>
            </w:pPr>
          </w:p>
        </w:tc>
        <w:bookmarkStart w:id="1020" w:name="_Toc296602618"/>
        <w:bookmarkStart w:id="1021" w:name="_Toc246996373"/>
        <w:bookmarkStart w:id="1022" w:name="_Toc152045808"/>
        <w:bookmarkStart w:id="1023" w:name="_Toc324404889"/>
        <w:bookmarkStart w:id="1024" w:name="_Toc144974876"/>
        <w:bookmarkStart w:id="1025" w:name="_Toc179632828"/>
        <w:bookmarkStart w:id="1026" w:name="_Toc246997116"/>
        <w:bookmarkStart w:id="1027" w:name="_Toc152042597"/>
        <w:bookmarkStart w:id="1028" w:name="_Toc247085891"/>
      </w:tr>
      <w:tr w14:paraId="655D4D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8" w:hRule="atLeast"/>
          <w:jc w:val="center"/>
        </w:trPr>
        <w:tc>
          <w:tcPr>
            <w:tcW w:w="1993" w:type="dxa"/>
            <w:vMerge w:val="restart"/>
            <w:tcBorders>
              <w:top w:val="single" w:color="auto" w:sz="4" w:space="0"/>
              <w:left w:val="single" w:color="auto" w:sz="4" w:space="0"/>
              <w:bottom w:val="single" w:color="auto" w:sz="4" w:space="0"/>
              <w:right w:val="single" w:color="auto" w:sz="4" w:space="0"/>
            </w:tcBorders>
            <w:vAlign w:val="center"/>
          </w:tcPr>
          <w:p w14:paraId="75B75084">
            <w:pPr>
              <w:topLinePunct/>
              <w:adjustRightInd w:val="0"/>
              <w:snapToGrid w:val="0"/>
              <w:spacing w:line="560" w:lineRule="exact"/>
              <w:jc w:val="center"/>
              <w:rPr>
                <w:color w:val="auto"/>
                <w:szCs w:val="21"/>
                <w:highlight w:val="none"/>
              </w:rPr>
            </w:pPr>
            <w:r>
              <w:rPr>
                <w:color w:val="auto"/>
                <w:szCs w:val="21"/>
                <w:highlight w:val="none"/>
              </w:rPr>
              <w:t>联系方式</w:t>
            </w:r>
            <w:bookmarkStart w:id="1029" w:name="_Toc16718"/>
          </w:p>
        </w:tc>
        <w:tc>
          <w:tcPr>
            <w:tcW w:w="1036" w:type="dxa"/>
            <w:tcBorders>
              <w:top w:val="single" w:color="auto" w:sz="4" w:space="0"/>
              <w:left w:val="single" w:color="auto" w:sz="4" w:space="0"/>
              <w:bottom w:val="single" w:color="auto" w:sz="4" w:space="0"/>
              <w:right w:val="single" w:color="auto" w:sz="4" w:space="0"/>
            </w:tcBorders>
            <w:vAlign w:val="center"/>
          </w:tcPr>
          <w:p w14:paraId="7763DF84">
            <w:pPr>
              <w:topLinePunct/>
              <w:adjustRightInd w:val="0"/>
              <w:snapToGrid w:val="0"/>
              <w:spacing w:line="560" w:lineRule="exact"/>
              <w:jc w:val="center"/>
              <w:rPr>
                <w:color w:val="auto"/>
                <w:szCs w:val="21"/>
                <w:highlight w:val="none"/>
              </w:rPr>
            </w:pPr>
            <w:bookmarkStart w:id="1030" w:name="_Toc506107341"/>
            <w:bookmarkStart w:id="1031" w:name="_Toc58229116"/>
            <w:bookmarkStart w:id="1032" w:name="_Toc15058935"/>
            <w:bookmarkStart w:id="1033" w:name="_Toc60061575"/>
            <w:r>
              <w:rPr>
                <w:color w:val="auto"/>
                <w:szCs w:val="21"/>
                <w:highlight w:val="none"/>
              </w:rPr>
              <w:t>联系人</w:t>
            </w:r>
          </w:p>
        </w:tc>
        <w:tc>
          <w:tcPr>
            <w:tcW w:w="2908" w:type="dxa"/>
            <w:gridSpan w:val="4"/>
            <w:tcBorders>
              <w:top w:val="single" w:color="auto" w:sz="4" w:space="0"/>
              <w:left w:val="single" w:color="auto" w:sz="4" w:space="0"/>
              <w:bottom w:val="single" w:color="auto" w:sz="4" w:space="0"/>
              <w:right w:val="single" w:color="auto" w:sz="4" w:space="0"/>
            </w:tcBorders>
            <w:vAlign w:val="center"/>
          </w:tcPr>
          <w:p w14:paraId="75CADB6C">
            <w:pPr>
              <w:topLinePunct/>
              <w:adjustRightInd w:val="0"/>
              <w:snapToGrid w:val="0"/>
              <w:spacing w:line="560" w:lineRule="exact"/>
              <w:jc w:val="center"/>
              <w:rPr>
                <w:color w:val="auto"/>
                <w:szCs w:val="21"/>
                <w:highlight w:val="none"/>
              </w:rPr>
            </w:pPr>
          </w:p>
        </w:tc>
        <w:tc>
          <w:tcPr>
            <w:tcW w:w="1243" w:type="dxa"/>
            <w:tcBorders>
              <w:top w:val="single" w:color="auto" w:sz="4" w:space="0"/>
              <w:left w:val="single" w:color="auto" w:sz="4" w:space="0"/>
              <w:bottom w:val="single" w:color="auto" w:sz="4" w:space="0"/>
              <w:right w:val="single" w:color="auto" w:sz="4" w:space="0"/>
            </w:tcBorders>
            <w:vAlign w:val="center"/>
          </w:tcPr>
          <w:p w14:paraId="4C50CC20">
            <w:pPr>
              <w:topLinePunct/>
              <w:adjustRightInd w:val="0"/>
              <w:snapToGrid w:val="0"/>
              <w:spacing w:line="560" w:lineRule="exact"/>
              <w:jc w:val="center"/>
              <w:rPr>
                <w:color w:val="auto"/>
                <w:szCs w:val="21"/>
                <w:highlight w:val="none"/>
              </w:rPr>
            </w:pPr>
            <w:r>
              <w:rPr>
                <w:color w:val="auto"/>
                <w:szCs w:val="21"/>
                <w:highlight w:val="none"/>
              </w:rPr>
              <w:t>电 话</w:t>
            </w:r>
          </w:p>
        </w:tc>
        <w:tc>
          <w:tcPr>
            <w:tcW w:w="2700" w:type="dxa"/>
            <w:gridSpan w:val="3"/>
            <w:tcBorders>
              <w:top w:val="single" w:color="auto" w:sz="4" w:space="0"/>
              <w:left w:val="single" w:color="auto" w:sz="4" w:space="0"/>
              <w:bottom w:val="single" w:color="auto" w:sz="4" w:space="0"/>
              <w:right w:val="single" w:color="auto" w:sz="4" w:space="0"/>
            </w:tcBorders>
            <w:vAlign w:val="center"/>
          </w:tcPr>
          <w:p w14:paraId="138CB919">
            <w:pPr>
              <w:topLinePunct/>
              <w:adjustRightInd w:val="0"/>
              <w:snapToGrid w:val="0"/>
              <w:spacing w:line="560" w:lineRule="exact"/>
              <w:jc w:val="center"/>
              <w:rPr>
                <w:color w:val="auto"/>
                <w:szCs w:val="21"/>
                <w:highlight w:val="none"/>
              </w:rPr>
            </w:pPr>
          </w:p>
        </w:tc>
      </w:t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tr w14:paraId="3C97D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7" w:hRule="atLeast"/>
          <w:jc w:val="center"/>
        </w:trPr>
        <w:tc>
          <w:tcPr>
            <w:tcW w:w="1993" w:type="dxa"/>
            <w:vMerge w:val="continue"/>
            <w:tcBorders>
              <w:top w:val="single" w:color="auto" w:sz="4" w:space="0"/>
              <w:left w:val="single" w:color="auto" w:sz="4" w:space="0"/>
              <w:bottom w:val="single" w:color="auto" w:sz="4" w:space="0"/>
              <w:right w:val="single" w:color="auto" w:sz="4" w:space="0"/>
            </w:tcBorders>
            <w:vAlign w:val="center"/>
          </w:tcPr>
          <w:p w14:paraId="26FF1760">
            <w:pPr>
              <w:topLinePunct/>
              <w:adjustRightInd w:val="0"/>
              <w:snapToGrid w:val="0"/>
              <w:spacing w:line="560" w:lineRule="exact"/>
              <w:jc w:val="center"/>
              <w:rPr>
                <w:color w:val="auto"/>
                <w:szCs w:val="21"/>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14:paraId="0783391C">
            <w:pPr>
              <w:topLinePunct/>
              <w:adjustRightInd w:val="0"/>
              <w:snapToGrid w:val="0"/>
              <w:spacing w:line="560" w:lineRule="exact"/>
              <w:jc w:val="center"/>
              <w:rPr>
                <w:color w:val="auto"/>
                <w:szCs w:val="21"/>
                <w:highlight w:val="none"/>
              </w:rPr>
            </w:pPr>
            <w:r>
              <w:rPr>
                <w:color w:val="auto"/>
                <w:szCs w:val="21"/>
                <w:highlight w:val="none"/>
              </w:rPr>
              <w:t>传  真</w:t>
            </w:r>
          </w:p>
        </w:tc>
        <w:tc>
          <w:tcPr>
            <w:tcW w:w="2908" w:type="dxa"/>
            <w:gridSpan w:val="4"/>
            <w:tcBorders>
              <w:top w:val="single" w:color="auto" w:sz="4" w:space="0"/>
              <w:left w:val="single" w:color="auto" w:sz="4" w:space="0"/>
              <w:bottom w:val="single" w:color="auto" w:sz="4" w:space="0"/>
              <w:right w:val="single" w:color="auto" w:sz="4" w:space="0"/>
            </w:tcBorders>
            <w:vAlign w:val="center"/>
          </w:tcPr>
          <w:p w14:paraId="5108DD9D">
            <w:pPr>
              <w:topLinePunct/>
              <w:adjustRightInd w:val="0"/>
              <w:snapToGrid w:val="0"/>
              <w:spacing w:line="560" w:lineRule="exact"/>
              <w:jc w:val="center"/>
              <w:rPr>
                <w:color w:val="auto"/>
                <w:szCs w:val="21"/>
                <w:highlight w:val="none"/>
              </w:rPr>
            </w:pPr>
          </w:p>
        </w:tc>
        <w:tc>
          <w:tcPr>
            <w:tcW w:w="1243" w:type="dxa"/>
            <w:tcBorders>
              <w:top w:val="single" w:color="auto" w:sz="4" w:space="0"/>
              <w:left w:val="single" w:color="auto" w:sz="4" w:space="0"/>
              <w:bottom w:val="single" w:color="auto" w:sz="4" w:space="0"/>
              <w:right w:val="single" w:color="auto" w:sz="4" w:space="0"/>
            </w:tcBorders>
            <w:vAlign w:val="center"/>
          </w:tcPr>
          <w:p w14:paraId="4A2F33E7">
            <w:pPr>
              <w:topLinePunct/>
              <w:adjustRightInd w:val="0"/>
              <w:snapToGrid w:val="0"/>
              <w:spacing w:line="560" w:lineRule="exact"/>
              <w:jc w:val="center"/>
              <w:rPr>
                <w:color w:val="auto"/>
                <w:szCs w:val="21"/>
                <w:highlight w:val="none"/>
              </w:rPr>
            </w:pPr>
            <w:r>
              <w:rPr>
                <w:color w:val="auto"/>
                <w:szCs w:val="21"/>
                <w:highlight w:val="none"/>
              </w:rPr>
              <w:t>网 址</w:t>
            </w:r>
          </w:p>
        </w:tc>
        <w:tc>
          <w:tcPr>
            <w:tcW w:w="2700" w:type="dxa"/>
            <w:gridSpan w:val="3"/>
            <w:tcBorders>
              <w:top w:val="single" w:color="auto" w:sz="4" w:space="0"/>
              <w:left w:val="single" w:color="auto" w:sz="4" w:space="0"/>
              <w:bottom w:val="single" w:color="auto" w:sz="4" w:space="0"/>
              <w:right w:val="single" w:color="auto" w:sz="4" w:space="0"/>
            </w:tcBorders>
            <w:vAlign w:val="center"/>
          </w:tcPr>
          <w:p w14:paraId="520E5A08">
            <w:pPr>
              <w:topLinePunct/>
              <w:adjustRightInd w:val="0"/>
              <w:snapToGrid w:val="0"/>
              <w:spacing w:line="560" w:lineRule="exact"/>
              <w:jc w:val="center"/>
              <w:rPr>
                <w:color w:val="auto"/>
                <w:szCs w:val="21"/>
                <w:highlight w:val="none"/>
              </w:rPr>
            </w:pPr>
          </w:p>
        </w:tc>
      </w:tr>
      <w:tr w14:paraId="24750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707512C1">
            <w:pPr>
              <w:topLinePunct/>
              <w:adjustRightInd w:val="0"/>
              <w:snapToGrid w:val="0"/>
              <w:spacing w:line="560" w:lineRule="exact"/>
              <w:jc w:val="center"/>
              <w:rPr>
                <w:color w:val="auto"/>
                <w:szCs w:val="21"/>
                <w:highlight w:val="none"/>
              </w:rPr>
            </w:pPr>
            <w:r>
              <w:rPr>
                <w:color w:val="auto"/>
                <w:szCs w:val="21"/>
                <w:highlight w:val="none"/>
              </w:rPr>
              <w:t>组织结构</w:t>
            </w:r>
          </w:p>
        </w:tc>
        <w:tc>
          <w:tcPr>
            <w:tcW w:w="7887" w:type="dxa"/>
            <w:gridSpan w:val="9"/>
            <w:tcBorders>
              <w:top w:val="single" w:color="auto" w:sz="4" w:space="0"/>
              <w:left w:val="single" w:color="auto" w:sz="4" w:space="0"/>
              <w:bottom w:val="single" w:color="auto" w:sz="4" w:space="0"/>
              <w:right w:val="single" w:color="auto" w:sz="4" w:space="0"/>
            </w:tcBorders>
            <w:vAlign w:val="center"/>
          </w:tcPr>
          <w:p w14:paraId="3D083676">
            <w:pPr>
              <w:topLinePunct/>
              <w:adjustRightInd w:val="0"/>
              <w:snapToGrid w:val="0"/>
              <w:spacing w:line="560" w:lineRule="exact"/>
              <w:jc w:val="center"/>
              <w:rPr>
                <w:color w:val="auto"/>
                <w:szCs w:val="21"/>
                <w:highlight w:val="none"/>
              </w:rPr>
            </w:pPr>
          </w:p>
        </w:tc>
      </w:tr>
      <w:tr w14:paraId="5E7BD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1208EEF2">
            <w:pPr>
              <w:topLinePunct/>
              <w:adjustRightInd w:val="0"/>
              <w:snapToGrid w:val="0"/>
              <w:spacing w:line="560" w:lineRule="exact"/>
              <w:jc w:val="center"/>
              <w:rPr>
                <w:color w:val="auto"/>
                <w:szCs w:val="21"/>
                <w:highlight w:val="none"/>
              </w:rPr>
            </w:pPr>
            <w:r>
              <w:rPr>
                <w:color w:val="auto"/>
                <w:szCs w:val="21"/>
                <w:highlight w:val="none"/>
              </w:rPr>
              <w:t>法定代表人</w:t>
            </w:r>
          </w:p>
        </w:tc>
        <w:tc>
          <w:tcPr>
            <w:tcW w:w="1036" w:type="dxa"/>
            <w:tcBorders>
              <w:top w:val="single" w:color="auto" w:sz="4" w:space="0"/>
              <w:left w:val="single" w:color="auto" w:sz="4" w:space="0"/>
              <w:bottom w:val="single" w:color="auto" w:sz="4" w:space="0"/>
              <w:right w:val="single" w:color="auto" w:sz="4" w:space="0"/>
            </w:tcBorders>
            <w:vAlign w:val="center"/>
          </w:tcPr>
          <w:p w14:paraId="56ED0A7E">
            <w:pPr>
              <w:topLinePunct/>
              <w:adjustRightInd w:val="0"/>
              <w:snapToGrid w:val="0"/>
              <w:spacing w:line="560" w:lineRule="exact"/>
              <w:jc w:val="center"/>
              <w:rPr>
                <w:color w:val="auto"/>
                <w:szCs w:val="21"/>
                <w:highlight w:val="none"/>
              </w:rPr>
            </w:pPr>
            <w:r>
              <w:rPr>
                <w:color w:val="auto"/>
                <w:szCs w:val="21"/>
                <w:highlight w:val="none"/>
              </w:rPr>
              <w:t>姓名</w:t>
            </w:r>
          </w:p>
        </w:tc>
        <w:tc>
          <w:tcPr>
            <w:tcW w:w="1096" w:type="dxa"/>
            <w:tcBorders>
              <w:top w:val="single" w:color="auto" w:sz="4" w:space="0"/>
              <w:left w:val="single" w:color="auto" w:sz="4" w:space="0"/>
              <w:bottom w:val="single" w:color="auto" w:sz="4" w:space="0"/>
              <w:right w:val="single" w:color="auto" w:sz="4" w:space="0"/>
            </w:tcBorders>
            <w:vAlign w:val="center"/>
          </w:tcPr>
          <w:p w14:paraId="549CB945">
            <w:pPr>
              <w:topLinePunct/>
              <w:adjustRightInd w:val="0"/>
              <w:snapToGrid w:val="0"/>
              <w:spacing w:line="560" w:lineRule="exact"/>
              <w:jc w:val="center"/>
              <w:rPr>
                <w:color w:val="auto"/>
                <w:szCs w:val="21"/>
                <w:highlight w:val="none"/>
              </w:rPr>
            </w:pPr>
          </w:p>
        </w:tc>
        <w:tc>
          <w:tcPr>
            <w:tcW w:w="1453" w:type="dxa"/>
            <w:gridSpan w:val="2"/>
            <w:tcBorders>
              <w:top w:val="single" w:color="auto" w:sz="4" w:space="0"/>
              <w:left w:val="single" w:color="auto" w:sz="4" w:space="0"/>
              <w:bottom w:val="single" w:color="auto" w:sz="4" w:space="0"/>
              <w:right w:val="single" w:color="auto" w:sz="4" w:space="0"/>
            </w:tcBorders>
            <w:vAlign w:val="center"/>
          </w:tcPr>
          <w:p w14:paraId="70B1E478">
            <w:pPr>
              <w:topLinePunct/>
              <w:adjustRightInd w:val="0"/>
              <w:snapToGrid w:val="0"/>
              <w:spacing w:line="560" w:lineRule="exact"/>
              <w:jc w:val="center"/>
              <w:rPr>
                <w:color w:val="auto"/>
                <w:szCs w:val="21"/>
                <w:highlight w:val="none"/>
              </w:rPr>
            </w:pPr>
            <w:r>
              <w:rPr>
                <w:color w:val="auto"/>
                <w:szCs w:val="21"/>
                <w:highlight w:val="none"/>
              </w:rPr>
              <w:t>技术职称</w:t>
            </w:r>
          </w:p>
        </w:tc>
        <w:tc>
          <w:tcPr>
            <w:tcW w:w="2167" w:type="dxa"/>
            <w:gridSpan w:val="3"/>
            <w:tcBorders>
              <w:top w:val="single" w:color="auto" w:sz="4" w:space="0"/>
              <w:left w:val="single" w:color="auto" w:sz="4" w:space="0"/>
              <w:bottom w:val="single" w:color="auto" w:sz="4" w:space="0"/>
              <w:right w:val="single" w:color="auto" w:sz="4" w:space="0"/>
            </w:tcBorders>
            <w:vAlign w:val="center"/>
          </w:tcPr>
          <w:p w14:paraId="51B31EC0">
            <w:pPr>
              <w:topLinePunct/>
              <w:adjustRightInd w:val="0"/>
              <w:snapToGrid w:val="0"/>
              <w:spacing w:line="560" w:lineRule="exact"/>
              <w:jc w:val="center"/>
              <w:rPr>
                <w:color w:val="auto"/>
                <w:szCs w:val="21"/>
                <w:highlight w:val="none"/>
              </w:rPr>
            </w:pPr>
          </w:p>
        </w:tc>
        <w:tc>
          <w:tcPr>
            <w:tcW w:w="991" w:type="dxa"/>
            <w:tcBorders>
              <w:top w:val="single" w:color="auto" w:sz="4" w:space="0"/>
              <w:left w:val="single" w:color="auto" w:sz="4" w:space="0"/>
              <w:bottom w:val="single" w:color="auto" w:sz="4" w:space="0"/>
              <w:right w:val="single" w:color="auto" w:sz="4" w:space="0"/>
            </w:tcBorders>
            <w:vAlign w:val="center"/>
          </w:tcPr>
          <w:p w14:paraId="40477614">
            <w:pPr>
              <w:topLinePunct/>
              <w:adjustRightInd w:val="0"/>
              <w:snapToGrid w:val="0"/>
              <w:spacing w:line="560" w:lineRule="exact"/>
              <w:jc w:val="center"/>
              <w:rPr>
                <w:color w:val="auto"/>
                <w:szCs w:val="21"/>
                <w:highlight w:val="none"/>
              </w:rPr>
            </w:pPr>
            <w:r>
              <w:rPr>
                <w:color w:val="auto"/>
                <w:szCs w:val="21"/>
                <w:highlight w:val="none"/>
              </w:rPr>
              <w:t>电话</w:t>
            </w:r>
          </w:p>
        </w:tc>
        <w:tc>
          <w:tcPr>
            <w:tcW w:w="1144" w:type="dxa"/>
            <w:tcBorders>
              <w:top w:val="single" w:color="auto" w:sz="4" w:space="0"/>
              <w:left w:val="single" w:color="auto" w:sz="4" w:space="0"/>
              <w:bottom w:val="single" w:color="auto" w:sz="4" w:space="0"/>
              <w:right w:val="single" w:color="auto" w:sz="4" w:space="0"/>
            </w:tcBorders>
            <w:vAlign w:val="center"/>
          </w:tcPr>
          <w:p w14:paraId="39D2B4AF">
            <w:pPr>
              <w:topLinePunct/>
              <w:adjustRightInd w:val="0"/>
              <w:snapToGrid w:val="0"/>
              <w:spacing w:line="560" w:lineRule="exact"/>
              <w:jc w:val="center"/>
              <w:rPr>
                <w:color w:val="auto"/>
                <w:szCs w:val="21"/>
                <w:highlight w:val="none"/>
              </w:rPr>
            </w:pPr>
          </w:p>
        </w:tc>
      </w:tr>
      <w:tr w14:paraId="0BC1F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0310D3CA">
            <w:pPr>
              <w:topLinePunct/>
              <w:adjustRightInd w:val="0"/>
              <w:snapToGrid w:val="0"/>
              <w:spacing w:line="560" w:lineRule="exact"/>
              <w:jc w:val="center"/>
              <w:rPr>
                <w:color w:val="auto"/>
                <w:szCs w:val="21"/>
                <w:highlight w:val="none"/>
              </w:rPr>
            </w:pPr>
            <w:r>
              <w:rPr>
                <w:color w:val="auto"/>
                <w:szCs w:val="21"/>
                <w:highlight w:val="none"/>
              </w:rPr>
              <w:t>技术负责人</w:t>
            </w:r>
          </w:p>
        </w:tc>
        <w:tc>
          <w:tcPr>
            <w:tcW w:w="1036" w:type="dxa"/>
            <w:tcBorders>
              <w:top w:val="single" w:color="auto" w:sz="4" w:space="0"/>
              <w:left w:val="single" w:color="auto" w:sz="4" w:space="0"/>
              <w:bottom w:val="single" w:color="auto" w:sz="4" w:space="0"/>
              <w:right w:val="single" w:color="auto" w:sz="4" w:space="0"/>
            </w:tcBorders>
            <w:vAlign w:val="center"/>
          </w:tcPr>
          <w:p w14:paraId="38C6C5CD">
            <w:pPr>
              <w:topLinePunct/>
              <w:adjustRightInd w:val="0"/>
              <w:snapToGrid w:val="0"/>
              <w:spacing w:line="560" w:lineRule="exact"/>
              <w:jc w:val="center"/>
              <w:rPr>
                <w:color w:val="auto"/>
                <w:szCs w:val="21"/>
                <w:highlight w:val="none"/>
              </w:rPr>
            </w:pPr>
            <w:r>
              <w:rPr>
                <w:color w:val="auto"/>
                <w:szCs w:val="21"/>
                <w:highlight w:val="none"/>
              </w:rPr>
              <w:t>姓名</w:t>
            </w:r>
          </w:p>
        </w:tc>
        <w:tc>
          <w:tcPr>
            <w:tcW w:w="1096" w:type="dxa"/>
            <w:tcBorders>
              <w:top w:val="single" w:color="auto" w:sz="4" w:space="0"/>
              <w:left w:val="single" w:color="auto" w:sz="4" w:space="0"/>
              <w:bottom w:val="single" w:color="auto" w:sz="4" w:space="0"/>
              <w:right w:val="single" w:color="auto" w:sz="4" w:space="0"/>
            </w:tcBorders>
            <w:vAlign w:val="center"/>
          </w:tcPr>
          <w:p w14:paraId="6185BB2D">
            <w:pPr>
              <w:topLinePunct/>
              <w:adjustRightInd w:val="0"/>
              <w:snapToGrid w:val="0"/>
              <w:spacing w:line="560" w:lineRule="exact"/>
              <w:jc w:val="center"/>
              <w:rPr>
                <w:color w:val="auto"/>
                <w:szCs w:val="21"/>
                <w:highlight w:val="none"/>
              </w:rPr>
            </w:pPr>
          </w:p>
        </w:tc>
        <w:tc>
          <w:tcPr>
            <w:tcW w:w="1453" w:type="dxa"/>
            <w:gridSpan w:val="2"/>
            <w:tcBorders>
              <w:top w:val="single" w:color="auto" w:sz="4" w:space="0"/>
              <w:left w:val="single" w:color="auto" w:sz="4" w:space="0"/>
              <w:bottom w:val="single" w:color="auto" w:sz="4" w:space="0"/>
              <w:right w:val="single" w:color="auto" w:sz="4" w:space="0"/>
            </w:tcBorders>
            <w:vAlign w:val="center"/>
          </w:tcPr>
          <w:p w14:paraId="53ACDC7F">
            <w:pPr>
              <w:topLinePunct/>
              <w:adjustRightInd w:val="0"/>
              <w:snapToGrid w:val="0"/>
              <w:spacing w:line="560" w:lineRule="exact"/>
              <w:jc w:val="center"/>
              <w:rPr>
                <w:color w:val="auto"/>
                <w:szCs w:val="21"/>
                <w:highlight w:val="none"/>
              </w:rPr>
            </w:pPr>
            <w:r>
              <w:rPr>
                <w:color w:val="auto"/>
                <w:szCs w:val="21"/>
                <w:highlight w:val="none"/>
              </w:rPr>
              <w:t>技术职称</w:t>
            </w:r>
          </w:p>
        </w:tc>
        <w:tc>
          <w:tcPr>
            <w:tcW w:w="2167" w:type="dxa"/>
            <w:gridSpan w:val="3"/>
            <w:tcBorders>
              <w:top w:val="single" w:color="auto" w:sz="4" w:space="0"/>
              <w:left w:val="single" w:color="auto" w:sz="4" w:space="0"/>
              <w:bottom w:val="single" w:color="auto" w:sz="4" w:space="0"/>
              <w:right w:val="single" w:color="auto" w:sz="4" w:space="0"/>
            </w:tcBorders>
            <w:vAlign w:val="center"/>
          </w:tcPr>
          <w:p w14:paraId="271DE6CF">
            <w:pPr>
              <w:topLinePunct/>
              <w:adjustRightInd w:val="0"/>
              <w:snapToGrid w:val="0"/>
              <w:spacing w:line="560" w:lineRule="exact"/>
              <w:jc w:val="center"/>
              <w:rPr>
                <w:color w:val="auto"/>
                <w:szCs w:val="21"/>
                <w:highlight w:val="none"/>
              </w:rPr>
            </w:pPr>
          </w:p>
        </w:tc>
        <w:tc>
          <w:tcPr>
            <w:tcW w:w="991" w:type="dxa"/>
            <w:tcBorders>
              <w:top w:val="single" w:color="auto" w:sz="4" w:space="0"/>
              <w:left w:val="single" w:color="auto" w:sz="4" w:space="0"/>
              <w:bottom w:val="single" w:color="auto" w:sz="4" w:space="0"/>
              <w:right w:val="single" w:color="auto" w:sz="4" w:space="0"/>
            </w:tcBorders>
            <w:vAlign w:val="center"/>
          </w:tcPr>
          <w:p w14:paraId="7545FB87">
            <w:pPr>
              <w:topLinePunct/>
              <w:adjustRightInd w:val="0"/>
              <w:snapToGrid w:val="0"/>
              <w:spacing w:line="560" w:lineRule="exact"/>
              <w:jc w:val="center"/>
              <w:rPr>
                <w:color w:val="auto"/>
                <w:szCs w:val="21"/>
                <w:highlight w:val="none"/>
              </w:rPr>
            </w:pPr>
            <w:r>
              <w:rPr>
                <w:color w:val="auto"/>
                <w:szCs w:val="21"/>
                <w:highlight w:val="none"/>
              </w:rPr>
              <w:t>电话</w:t>
            </w:r>
          </w:p>
        </w:tc>
        <w:tc>
          <w:tcPr>
            <w:tcW w:w="1144" w:type="dxa"/>
            <w:tcBorders>
              <w:top w:val="single" w:color="auto" w:sz="4" w:space="0"/>
              <w:left w:val="single" w:color="auto" w:sz="4" w:space="0"/>
              <w:bottom w:val="single" w:color="auto" w:sz="4" w:space="0"/>
              <w:right w:val="single" w:color="auto" w:sz="4" w:space="0"/>
            </w:tcBorders>
            <w:vAlign w:val="center"/>
          </w:tcPr>
          <w:p w14:paraId="06FA8FAA">
            <w:pPr>
              <w:topLinePunct/>
              <w:adjustRightInd w:val="0"/>
              <w:snapToGrid w:val="0"/>
              <w:spacing w:line="560" w:lineRule="exact"/>
              <w:jc w:val="center"/>
              <w:rPr>
                <w:color w:val="auto"/>
                <w:szCs w:val="21"/>
                <w:highlight w:val="none"/>
              </w:rPr>
            </w:pPr>
          </w:p>
        </w:tc>
      </w:tr>
      <w:tr w14:paraId="7E02E0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41B8A643">
            <w:pPr>
              <w:topLinePunct/>
              <w:adjustRightInd w:val="0"/>
              <w:snapToGrid w:val="0"/>
              <w:spacing w:line="560" w:lineRule="exact"/>
              <w:jc w:val="center"/>
              <w:rPr>
                <w:color w:val="auto"/>
                <w:szCs w:val="21"/>
                <w:highlight w:val="none"/>
              </w:rPr>
            </w:pPr>
            <w:r>
              <w:rPr>
                <w:color w:val="auto"/>
                <w:szCs w:val="21"/>
                <w:highlight w:val="none"/>
              </w:rPr>
              <w:t>成立时间</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5939367F">
            <w:pPr>
              <w:topLinePunct/>
              <w:adjustRightInd w:val="0"/>
              <w:snapToGrid w:val="0"/>
              <w:spacing w:line="560" w:lineRule="exact"/>
              <w:jc w:val="center"/>
              <w:rPr>
                <w:color w:val="auto"/>
                <w:szCs w:val="21"/>
                <w:highlight w:val="none"/>
              </w:rPr>
            </w:pPr>
          </w:p>
        </w:tc>
        <w:tc>
          <w:tcPr>
            <w:tcW w:w="5755" w:type="dxa"/>
            <w:gridSpan w:val="7"/>
            <w:tcBorders>
              <w:top w:val="single" w:color="auto" w:sz="4" w:space="0"/>
              <w:left w:val="single" w:color="auto" w:sz="4" w:space="0"/>
              <w:bottom w:val="single" w:color="auto" w:sz="4" w:space="0"/>
              <w:right w:val="single" w:color="auto" w:sz="4" w:space="0"/>
            </w:tcBorders>
            <w:vAlign w:val="center"/>
          </w:tcPr>
          <w:p w14:paraId="1EEA1061">
            <w:pPr>
              <w:topLinePunct/>
              <w:adjustRightInd w:val="0"/>
              <w:snapToGrid w:val="0"/>
              <w:spacing w:line="560" w:lineRule="exact"/>
              <w:ind w:firstLine="105" w:firstLineChars="50"/>
              <w:jc w:val="center"/>
              <w:rPr>
                <w:color w:val="auto"/>
                <w:szCs w:val="21"/>
                <w:highlight w:val="none"/>
              </w:rPr>
            </w:pPr>
            <w:r>
              <w:rPr>
                <w:color w:val="auto"/>
                <w:szCs w:val="21"/>
                <w:highlight w:val="none"/>
              </w:rPr>
              <w:t>员工总人数：</w:t>
            </w:r>
          </w:p>
        </w:tc>
      </w:tr>
      <w:tr w14:paraId="6F193B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2"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3A922FD4">
            <w:pPr>
              <w:topLinePunct/>
              <w:adjustRightInd w:val="0"/>
              <w:snapToGrid w:val="0"/>
              <w:spacing w:line="560" w:lineRule="exact"/>
              <w:jc w:val="center"/>
              <w:rPr>
                <w:color w:val="auto"/>
                <w:szCs w:val="21"/>
                <w:highlight w:val="none"/>
              </w:rPr>
            </w:pPr>
            <w:r>
              <w:rPr>
                <w:color w:val="auto"/>
                <w:szCs w:val="21"/>
                <w:highlight w:val="none"/>
              </w:rPr>
              <w:t>企业资质等级</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6127B04B">
            <w:pPr>
              <w:topLinePunct/>
              <w:adjustRightInd w:val="0"/>
              <w:snapToGrid w:val="0"/>
              <w:spacing w:line="560" w:lineRule="exact"/>
              <w:jc w:val="center"/>
              <w:rPr>
                <w:color w:val="auto"/>
                <w:szCs w:val="21"/>
                <w:highlight w:val="none"/>
              </w:rPr>
            </w:pPr>
          </w:p>
        </w:tc>
        <w:tc>
          <w:tcPr>
            <w:tcW w:w="969" w:type="dxa"/>
            <w:vMerge w:val="restart"/>
            <w:tcBorders>
              <w:top w:val="single" w:color="auto" w:sz="4" w:space="0"/>
              <w:left w:val="single" w:color="auto" w:sz="4" w:space="0"/>
              <w:bottom w:val="single" w:color="auto" w:sz="4" w:space="0"/>
              <w:right w:val="single" w:color="auto" w:sz="4" w:space="0"/>
            </w:tcBorders>
            <w:vAlign w:val="center"/>
          </w:tcPr>
          <w:p w14:paraId="5BB1CF94">
            <w:pPr>
              <w:topLinePunct/>
              <w:adjustRightInd w:val="0"/>
              <w:snapToGrid w:val="0"/>
              <w:spacing w:line="560" w:lineRule="exact"/>
              <w:jc w:val="center"/>
              <w:rPr>
                <w:color w:val="auto"/>
                <w:szCs w:val="21"/>
                <w:highlight w:val="none"/>
              </w:rPr>
            </w:pPr>
            <w:r>
              <w:rPr>
                <w:color w:val="auto"/>
                <w:szCs w:val="21"/>
                <w:highlight w:val="none"/>
              </w:rPr>
              <w:t>其中</w:t>
            </w:r>
          </w:p>
        </w:tc>
        <w:tc>
          <w:tcPr>
            <w:tcW w:w="2651" w:type="dxa"/>
            <w:gridSpan w:val="4"/>
            <w:tcBorders>
              <w:top w:val="single" w:color="auto" w:sz="4" w:space="0"/>
              <w:left w:val="single" w:color="auto" w:sz="4" w:space="0"/>
              <w:bottom w:val="single" w:color="auto" w:sz="4" w:space="0"/>
              <w:right w:val="single" w:color="auto" w:sz="4" w:space="0"/>
            </w:tcBorders>
            <w:vAlign w:val="center"/>
          </w:tcPr>
          <w:p w14:paraId="39AE69C6">
            <w:pPr>
              <w:topLinePunct/>
              <w:adjustRightInd w:val="0"/>
              <w:snapToGrid w:val="0"/>
              <w:spacing w:line="560" w:lineRule="exact"/>
              <w:jc w:val="center"/>
              <w:rPr>
                <w:color w:val="auto"/>
                <w:szCs w:val="21"/>
                <w:highlight w:val="none"/>
              </w:rPr>
            </w:pPr>
            <w:r>
              <w:rPr>
                <w:color w:val="auto"/>
                <w:szCs w:val="21"/>
                <w:highlight w:val="none"/>
              </w:rPr>
              <w:t>项目经理（建造师）</w:t>
            </w:r>
          </w:p>
        </w:tc>
        <w:tc>
          <w:tcPr>
            <w:tcW w:w="2135" w:type="dxa"/>
            <w:gridSpan w:val="2"/>
            <w:tcBorders>
              <w:top w:val="single" w:color="auto" w:sz="4" w:space="0"/>
              <w:left w:val="single" w:color="auto" w:sz="4" w:space="0"/>
              <w:bottom w:val="single" w:color="auto" w:sz="4" w:space="0"/>
              <w:right w:val="single" w:color="auto" w:sz="4" w:space="0"/>
            </w:tcBorders>
            <w:vAlign w:val="center"/>
          </w:tcPr>
          <w:p w14:paraId="6B44302D">
            <w:pPr>
              <w:topLinePunct/>
              <w:adjustRightInd w:val="0"/>
              <w:snapToGrid w:val="0"/>
              <w:spacing w:line="560" w:lineRule="exact"/>
              <w:jc w:val="center"/>
              <w:rPr>
                <w:color w:val="auto"/>
                <w:szCs w:val="21"/>
                <w:highlight w:val="none"/>
              </w:rPr>
            </w:pPr>
          </w:p>
        </w:tc>
      </w:tr>
      <w:tr w14:paraId="5364D2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48F7AB18">
            <w:pPr>
              <w:topLinePunct/>
              <w:adjustRightInd w:val="0"/>
              <w:snapToGrid w:val="0"/>
              <w:spacing w:line="560" w:lineRule="exact"/>
              <w:jc w:val="center"/>
              <w:rPr>
                <w:color w:val="auto"/>
                <w:szCs w:val="21"/>
                <w:highlight w:val="none"/>
              </w:rPr>
            </w:pPr>
            <w:r>
              <w:rPr>
                <w:color w:val="auto"/>
                <w:szCs w:val="21"/>
                <w:highlight w:val="none"/>
              </w:rPr>
              <w:t>营业执照号</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4EED3223">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14:paraId="4C3D6391">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vAlign w:val="center"/>
          </w:tcPr>
          <w:p w14:paraId="393C08FE">
            <w:pPr>
              <w:topLinePunct/>
              <w:adjustRightInd w:val="0"/>
              <w:snapToGrid w:val="0"/>
              <w:spacing w:line="560" w:lineRule="exact"/>
              <w:jc w:val="center"/>
              <w:rPr>
                <w:color w:val="auto"/>
                <w:szCs w:val="21"/>
                <w:highlight w:val="none"/>
              </w:rPr>
            </w:pPr>
            <w:r>
              <w:rPr>
                <w:color w:val="auto"/>
                <w:szCs w:val="21"/>
                <w:highlight w:val="none"/>
              </w:rPr>
              <w:t>高级职称人员</w:t>
            </w:r>
          </w:p>
        </w:tc>
        <w:tc>
          <w:tcPr>
            <w:tcW w:w="2135" w:type="dxa"/>
            <w:gridSpan w:val="2"/>
            <w:tcBorders>
              <w:top w:val="single" w:color="auto" w:sz="4" w:space="0"/>
              <w:left w:val="single" w:color="auto" w:sz="4" w:space="0"/>
              <w:bottom w:val="single" w:color="auto" w:sz="4" w:space="0"/>
              <w:right w:val="single" w:color="auto" w:sz="4" w:space="0"/>
            </w:tcBorders>
            <w:vAlign w:val="center"/>
          </w:tcPr>
          <w:p w14:paraId="77595A94">
            <w:pPr>
              <w:topLinePunct/>
              <w:adjustRightInd w:val="0"/>
              <w:snapToGrid w:val="0"/>
              <w:spacing w:line="560" w:lineRule="exact"/>
              <w:jc w:val="center"/>
              <w:rPr>
                <w:color w:val="auto"/>
                <w:szCs w:val="21"/>
                <w:highlight w:val="none"/>
              </w:rPr>
            </w:pPr>
          </w:p>
        </w:tc>
      </w:tr>
      <w:tr w14:paraId="600B1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7878D698">
            <w:pPr>
              <w:topLinePunct/>
              <w:adjustRightInd w:val="0"/>
              <w:snapToGrid w:val="0"/>
              <w:spacing w:line="560" w:lineRule="exact"/>
              <w:jc w:val="center"/>
              <w:rPr>
                <w:color w:val="auto"/>
                <w:szCs w:val="21"/>
                <w:highlight w:val="none"/>
              </w:rPr>
            </w:pPr>
            <w:r>
              <w:rPr>
                <w:color w:val="auto"/>
                <w:szCs w:val="21"/>
                <w:highlight w:val="none"/>
              </w:rPr>
              <w:t>注册资金</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724717C0">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14:paraId="46CE0014">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vAlign w:val="center"/>
          </w:tcPr>
          <w:p w14:paraId="0AC7C625">
            <w:pPr>
              <w:topLinePunct/>
              <w:adjustRightInd w:val="0"/>
              <w:snapToGrid w:val="0"/>
              <w:spacing w:line="560" w:lineRule="exact"/>
              <w:jc w:val="center"/>
              <w:rPr>
                <w:color w:val="auto"/>
                <w:szCs w:val="21"/>
                <w:highlight w:val="none"/>
              </w:rPr>
            </w:pPr>
            <w:r>
              <w:rPr>
                <w:color w:val="auto"/>
                <w:szCs w:val="21"/>
                <w:highlight w:val="none"/>
              </w:rPr>
              <w:t>中级职称人员</w:t>
            </w:r>
          </w:p>
        </w:tc>
        <w:tc>
          <w:tcPr>
            <w:tcW w:w="2135" w:type="dxa"/>
            <w:gridSpan w:val="2"/>
            <w:tcBorders>
              <w:top w:val="single" w:color="auto" w:sz="4" w:space="0"/>
              <w:left w:val="single" w:color="auto" w:sz="4" w:space="0"/>
              <w:bottom w:val="single" w:color="auto" w:sz="4" w:space="0"/>
              <w:right w:val="single" w:color="auto" w:sz="4" w:space="0"/>
            </w:tcBorders>
            <w:vAlign w:val="center"/>
          </w:tcPr>
          <w:p w14:paraId="578BCB3B">
            <w:pPr>
              <w:topLinePunct/>
              <w:adjustRightInd w:val="0"/>
              <w:snapToGrid w:val="0"/>
              <w:spacing w:line="560" w:lineRule="exact"/>
              <w:jc w:val="center"/>
              <w:rPr>
                <w:color w:val="auto"/>
                <w:szCs w:val="21"/>
                <w:highlight w:val="none"/>
              </w:rPr>
            </w:pPr>
          </w:p>
        </w:tc>
      </w:tr>
      <w:tr w14:paraId="09800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3"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05E7E521">
            <w:pPr>
              <w:topLinePunct/>
              <w:adjustRightInd w:val="0"/>
              <w:snapToGrid w:val="0"/>
              <w:spacing w:line="560" w:lineRule="exact"/>
              <w:jc w:val="center"/>
              <w:rPr>
                <w:color w:val="auto"/>
                <w:szCs w:val="21"/>
                <w:highlight w:val="none"/>
              </w:rPr>
            </w:pPr>
            <w:r>
              <w:rPr>
                <w:color w:val="auto"/>
                <w:szCs w:val="21"/>
                <w:highlight w:val="none"/>
              </w:rPr>
              <w:t>开户银行</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6AFE066D">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14:paraId="16A6518B">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vAlign w:val="center"/>
          </w:tcPr>
          <w:p w14:paraId="0C318082">
            <w:pPr>
              <w:topLinePunct/>
              <w:adjustRightInd w:val="0"/>
              <w:snapToGrid w:val="0"/>
              <w:spacing w:line="560" w:lineRule="exact"/>
              <w:jc w:val="center"/>
              <w:rPr>
                <w:color w:val="auto"/>
                <w:szCs w:val="21"/>
                <w:highlight w:val="none"/>
              </w:rPr>
            </w:pPr>
            <w:r>
              <w:rPr>
                <w:color w:val="auto"/>
                <w:szCs w:val="21"/>
                <w:highlight w:val="none"/>
              </w:rPr>
              <w:t>初级职称人员</w:t>
            </w:r>
          </w:p>
        </w:tc>
        <w:tc>
          <w:tcPr>
            <w:tcW w:w="2135" w:type="dxa"/>
            <w:gridSpan w:val="2"/>
            <w:tcBorders>
              <w:top w:val="single" w:color="auto" w:sz="4" w:space="0"/>
              <w:left w:val="single" w:color="auto" w:sz="4" w:space="0"/>
              <w:bottom w:val="single" w:color="auto" w:sz="4" w:space="0"/>
              <w:right w:val="single" w:color="auto" w:sz="4" w:space="0"/>
            </w:tcBorders>
            <w:vAlign w:val="center"/>
          </w:tcPr>
          <w:p w14:paraId="2AD3BA93">
            <w:pPr>
              <w:topLinePunct/>
              <w:adjustRightInd w:val="0"/>
              <w:snapToGrid w:val="0"/>
              <w:spacing w:line="560" w:lineRule="exact"/>
              <w:jc w:val="center"/>
              <w:rPr>
                <w:color w:val="auto"/>
                <w:szCs w:val="21"/>
                <w:highlight w:val="none"/>
              </w:rPr>
            </w:pPr>
          </w:p>
        </w:tc>
      </w:tr>
      <w:tr w14:paraId="18577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9"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2136A820">
            <w:pPr>
              <w:topLinePunct/>
              <w:adjustRightInd w:val="0"/>
              <w:snapToGrid w:val="0"/>
              <w:spacing w:line="560" w:lineRule="exact"/>
              <w:jc w:val="center"/>
              <w:rPr>
                <w:color w:val="auto"/>
                <w:szCs w:val="21"/>
                <w:highlight w:val="none"/>
              </w:rPr>
            </w:pPr>
            <w:r>
              <w:rPr>
                <w:color w:val="auto"/>
                <w:szCs w:val="21"/>
                <w:highlight w:val="none"/>
              </w:rPr>
              <w:t>账号</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56CD1BC5">
            <w:pPr>
              <w:topLinePunct/>
              <w:adjustRightInd w:val="0"/>
              <w:snapToGrid w:val="0"/>
              <w:spacing w:line="560" w:lineRule="exact"/>
              <w:jc w:val="center"/>
              <w:rPr>
                <w:color w:val="auto"/>
                <w:szCs w:val="21"/>
                <w:highlight w:val="none"/>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14:paraId="341FE4B8">
            <w:pPr>
              <w:topLinePunct/>
              <w:adjustRightInd w:val="0"/>
              <w:snapToGrid w:val="0"/>
              <w:spacing w:line="560" w:lineRule="exact"/>
              <w:jc w:val="center"/>
              <w:rPr>
                <w:color w:val="auto"/>
                <w:szCs w:val="21"/>
                <w:highlight w:val="none"/>
              </w:rPr>
            </w:pPr>
          </w:p>
        </w:tc>
        <w:tc>
          <w:tcPr>
            <w:tcW w:w="2651" w:type="dxa"/>
            <w:gridSpan w:val="4"/>
            <w:tcBorders>
              <w:top w:val="single" w:color="auto" w:sz="4" w:space="0"/>
              <w:left w:val="single" w:color="auto" w:sz="4" w:space="0"/>
              <w:bottom w:val="single" w:color="auto" w:sz="4" w:space="0"/>
              <w:right w:val="single" w:color="auto" w:sz="4" w:space="0"/>
            </w:tcBorders>
            <w:vAlign w:val="center"/>
          </w:tcPr>
          <w:p w14:paraId="68880EE3">
            <w:pPr>
              <w:topLinePunct/>
              <w:adjustRightInd w:val="0"/>
              <w:snapToGrid w:val="0"/>
              <w:spacing w:line="560" w:lineRule="exact"/>
              <w:jc w:val="center"/>
              <w:rPr>
                <w:color w:val="auto"/>
                <w:highlight w:val="none"/>
              </w:rPr>
            </w:pPr>
            <w:r>
              <w:rPr>
                <w:color w:val="auto"/>
                <w:szCs w:val="21"/>
                <w:highlight w:val="none"/>
              </w:rPr>
              <w:t>技</w:t>
            </w:r>
            <w:r>
              <w:rPr>
                <w:rFonts w:hint="eastAsia"/>
                <w:color w:val="auto"/>
                <w:szCs w:val="21"/>
                <w:highlight w:val="none"/>
              </w:rPr>
              <w:t xml:space="preserve">  </w:t>
            </w:r>
            <w:r>
              <w:rPr>
                <w:color w:val="auto"/>
                <w:szCs w:val="21"/>
                <w:highlight w:val="none"/>
              </w:rPr>
              <w:t>工</w:t>
            </w:r>
          </w:p>
        </w:tc>
        <w:tc>
          <w:tcPr>
            <w:tcW w:w="2135" w:type="dxa"/>
            <w:gridSpan w:val="2"/>
            <w:tcBorders>
              <w:top w:val="single" w:color="auto" w:sz="4" w:space="0"/>
              <w:left w:val="single" w:color="auto" w:sz="4" w:space="0"/>
              <w:bottom w:val="single" w:color="auto" w:sz="4" w:space="0"/>
              <w:right w:val="single" w:color="auto" w:sz="4" w:space="0"/>
            </w:tcBorders>
            <w:vAlign w:val="center"/>
          </w:tcPr>
          <w:p w14:paraId="0E786774">
            <w:pPr>
              <w:topLinePunct/>
              <w:adjustRightInd w:val="0"/>
              <w:snapToGrid w:val="0"/>
              <w:spacing w:line="560" w:lineRule="exact"/>
              <w:jc w:val="center"/>
              <w:rPr>
                <w:color w:val="auto"/>
                <w:szCs w:val="21"/>
                <w:highlight w:val="none"/>
              </w:rPr>
            </w:pPr>
          </w:p>
        </w:tc>
      </w:tr>
      <w:tr w14:paraId="76595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9" w:hRule="atLeast"/>
          <w:jc w:val="center"/>
        </w:trPr>
        <w:tc>
          <w:tcPr>
            <w:tcW w:w="1993" w:type="dxa"/>
            <w:tcBorders>
              <w:top w:val="single" w:color="auto" w:sz="4" w:space="0"/>
              <w:left w:val="single" w:color="auto" w:sz="4" w:space="0"/>
              <w:right w:val="single" w:color="auto" w:sz="4" w:space="0"/>
            </w:tcBorders>
            <w:vAlign w:val="center"/>
          </w:tcPr>
          <w:p w14:paraId="154BEAE4">
            <w:pPr>
              <w:topLinePunct/>
              <w:adjustRightInd w:val="0"/>
              <w:snapToGrid w:val="0"/>
              <w:spacing w:line="560" w:lineRule="exact"/>
              <w:ind w:firstLine="210" w:firstLineChars="100"/>
              <w:jc w:val="center"/>
              <w:rPr>
                <w:color w:val="auto"/>
                <w:szCs w:val="21"/>
                <w:highlight w:val="none"/>
              </w:rPr>
            </w:pPr>
            <w:r>
              <w:rPr>
                <w:color w:val="auto"/>
                <w:szCs w:val="21"/>
                <w:highlight w:val="none"/>
              </w:rPr>
              <w:t>经营范围</w:t>
            </w:r>
          </w:p>
        </w:tc>
        <w:tc>
          <w:tcPr>
            <w:tcW w:w="7887" w:type="dxa"/>
            <w:gridSpan w:val="9"/>
            <w:tcBorders>
              <w:top w:val="single" w:color="auto" w:sz="4" w:space="0"/>
              <w:left w:val="single" w:color="auto" w:sz="4" w:space="0"/>
              <w:right w:val="single" w:color="auto" w:sz="4" w:space="0"/>
            </w:tcBorders>
            <w:vAlign w:val="center"/>
          </w:tcPr>
          <w:p w14:paraId="1D7CFAA6">
            <w:pPr>
              <w:topLinePunct/>
              <w:adjustRightInd w:val="0"/>
              <w:snapToGrid w:val="0"/>
              <w:spacing w:line="560" w:lineRule="exact"/>
              <w:rPr>
                <w:color w:val="auto"/>
                <w:szCs w:val="21"/>
                <w:highlight w:val="none"/>
              </w:rPr>
            </w:pPr>
          </w:p>
        </w:tc>
      </w:tr>
      <w:tr w14:paraId="3B6ED1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1993" w:type="dxa"/>
            <w:tcBorders>
              <w:top w:val="single" w:color="auto" w:sz="4" w:space="0"/>
              <w:left w:val="single" w:color="auto" w:sz="4" w:space="0"/>
              <w:bottom w:val="single" w:color="auto" w:sz="4" w:space="0"/>
              <w:right w:val="single" w:color="auto" w:sz="4" w:space="0"/>
            </w:tcBorders>
            <w:vAlign w:val="center"/>
          </w:tcPr>
          <w:p w14:paraId="28480AE9">
            <w:pPr>
              <w:topLinePunct/>
              <w:adjustRightInd w:val="0"/>
              <w:snapToGrid w:val="0"/>
              <w:spacing w:line="560" w:lineRule="exact"/>
              <w:jc w:val="center"/>
              <w:rPr>
                <w:color w:val="auto"/>
                <w:szCs w:val="21"/>
                <w:highlight w:val="none"/>
              </w:rPr>
            </w:pPr>
            <w:r>
              <w:rPr>
                <w:color w:val="auto"/>
                <w:szCs w:val="21"/>
                <w:highlight w:val="none"/>
              </w:rPr>
              <w:t>备注</w:t>
            </w:r>
          </w:p>
        </w:tc>
        <w:tc>
          <w:tcPr>
            <w:tcW w:w="7887" w:type="dxa"/>
            <w:gridSpan w:val="9"/>
            <w:tcBorders>
              <w:top w:val="single" w:color="auto" w:sz="4" w:space="0"/>
              <w:left w:val="single" w:color="auto" w:sz="4" w:space="0"/>
              <w:bottom w:val="single" w:color="auto" w:sz="4" w:space="0"/>
              <w:right w:val="single" w:color="auto" w:sz="4" w:space="0"/>
            </w:tcBorders>
            <w:vAlign w:val="center"/>
          </w:tcPr>
          <w:p w14:paraId="78563DA5">
            <w:pPr>
              <w:topLinePunct/>
              <w:adjustRightInd w:val="0"/>
              <w:snapToGrid w:val="0"/>
              <w:spacing w:line="560" w:lineRule="exact"/>
              <w:jc w:val="center"/>
              <w:rPr>
                <w:color w:val="auto"/>
                <w:szCs w:val="21"/>
                <w:highlight w:val="none"/>
              </w:rPr>
            </w:pPr>
          </w:p>
        </w:tc>
      </w:tr>
    </w:tbl>
    <w:p w14:paraId="48BD99F4">
      <w:pPr>
        <w:pStyle w:val="4"/>
        <w:adjustRightInd w:val="0"/>
        <w:snapToGrid w:val="0"/>
        <w:spacing w:line="560" w:lineRule="exact"/>
        <w:jc w:val="center"/>
        <w:rPr>
          <w:color w:val="auto"/>
          <w:highlight w:val="none"/>
        </w:rPr>
      </w:pPr>
      <w:bookmarkStart w:id="1034" w:name="_Toc95223537"/>
    </w:p>
    <w:p w14:paraId="30957238">
      <w:pPr>
        <w:rPr>
          <w:color w:val="auto"/>
          <w:highlight w:val="none"/>
        </w:rPr>
      </w:pPr>
    </w:p>
    <w:p w14:paraId="09176AB1">
      <w:pPr>
        <w:pStyle w:val="4"/>
        <w:adjustRightInd w:val="0"/>
        <w:snapToGrid w:val="0"/>
        <w:spacing w:line="560" w:lineRule="exact"/>
        <w:jc w:val="center"/>
        <w:rPr>
          <w:color w:val="auto"/>
          <w:sz w:val="23"/>
          <w:szCs w:val="23"/>
          <w:highlight w:val="none"/>
        </w:rPr>
      </w:pPr>
      <w:bookmarkStart w:id="1035" w:name="_Toc30357"/>
      <w:r>
        <w:rPr>
          <w:color w:val="auto"/>
          <w:highlight w:val="none"/>
        </w:rPr>
        <w:t>（</w:t>
      </w:r>
      <w:r>
        <w:rPr>
          <w:rFonts w:hint="eastAsia"/>
          <w:color w:val="auto"/>
          <w:highlight w:val="none"/>
        </w:rPr>
        <w:t>2</w:t>
      </w:r>
      <w:r>
        <w:rPr>
          <w:color w:val="auto"/>
          <w:highlight w:val="none"/>
        </w:rPr>
        <w:t>）近年完成的类似项目情况表</w:t>
      </w:r>
      <w:bookmarkEnd w:id="1035"/>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6912"/>
      </w:tblGrid>
      <w:tr w14:paraId="3425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508" w:type="dxa"/>
            <w:vAlign w:val="center"/>
          </w:tcPr>
          <w:p w14:paraId="167383EA">
            <w:pPr>
              <w:topLinePunct/>
              <w:adjustRightInd w:val="0"/>
              <w:snapToGrid w:val="0"/>
              <w:spacing w:line="560" w:lineRule="exact"/>
              <w:jc w:val="center"/>
              <w:rPr>
                <w:color w:val="auto"/>
                <w:szCs w:val="21"/>
                <w:highlight w:val="none"/>
              </w:rPr>
            </w:pPr>
            <w:r>
              <w:rPr>
                <w:color w:val="auto"/>
                <w:szCs w:val="21"/>
                <w:highlight w:val="none"/>
              </w:rPr>
              <w:t>项目名</w:t>
            </w:r>
            <w:bookmarkStart w:id="1036" w:name="_Toc247514301"/>
            <w:bookmarkStart w:id="1037" w:name="_Toc152042598"/>
            <w:bookmarkStart w:id="1038" w:name="_Toc296602619"/>
            <w:bookmarkStart w:id="1039" w:name="_Toc265953295"/>
            <w:bookmarkStart w:id="1040" w:name="_Toc324404890"/>
            <w:bookmarkStart w:id="1041" w:name="_Toc26734"/>
            <w:bookmarkStart w:id="1042" w:name="_Toc144974877"/>
            <w:bookmarkStart w:id="1043" w:name="_Toc152045809"/>
            <w:bookmarkStart w:id="1044" w:name="_Toc506107342"/>
            <w:bookmarkStart w:id="1045" w:name="_Toc15058936"/>
            <w:bookmarkStart w:id="1046" w:name="_Toc247527849"/>
            <w:bookmarkStart w:id="1047" w:name="_Toc60061576"/>
            <w:bookmarkStart w:id="1048" w:name="_Toc58229117"/>
            <w:r>
              <w:rPr>
                <w:color w:val="auto"/>
                <w:szCs w:val="21"/>
                <w:highlight w:val="none"/>
              </w:rPr>
              <w:t>称</w:t>
            </w:r>
          </w:p>
        </w:tc>
        <w:tc>
          <w:tcPr>
            <w:tcW w:w="6912" w:type="dxa"/>
          </w:tcPr>
          <w:p w14:paraId="1A1EF08B">
            <w:pPr>
              <w:topLinePunct/>
              <w:adjustRightInd w:val="0"/>
              <w:snapToGrid w:val="0"/>
              <w:spacing w:line="560" w:lineRule="exact"/>
              <w:rPr>
                <w:color w:val="auto"/>
                <w:szCs w:val="21"/>
                <w:highlight w:val="none"/>
              </w:rPr>
            </w:pPr>
          </w:p>
        </w:tc>
      </w:tr>
      <w:tr w14:paraId="4315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508" w:type="dxa"/>
            <w:vAlign w:val="center"/>
          </w:tcPr>
          <w:p w14:paraId="0D93297A">
            <w:pPr>
              <w:topLinePunct/>
              <w:adjustRightInd w:val="0"/>
              <w:snapToGrid w:val="0"/>
              <w:spacing w:line="560" w:lineRule="exact"/>
              <w:jc w:val="center"/>
              <w:rPr>
                <w:color w:val="auto"/>
                <w:szCs w:val="21"/>
                <w:highlight w:val="none"/>
              </w:rPr>
            </w:pPr>
            <w:r>
              <w:rPr>
                <w:color w:val="auto"/>
                <w:szCs w:val="21"/>
                <w:highlight w:val="none"/>
              </w:rPr>
              <w:t>项目所在地</w:t>
            </w:r>
          </w:p>
          <w:bookmarkEnd w:id="1036"/>
          <w:bookmarkEnd w:id="1037"/>
          <w:bookmarkEnd w:id="1038"/>
          <w:bookmarkEnd w:id="1039"/>
          <w:bookmarkEnd w:id="1040"/>
          <w:bookmarkEnd w:id="1041"/>
          <w:bookmarkEnd w:id="1042"/>
          <w:bookmarkEnd w:id="1043"/>
          <w:bookmarkEnd w:id="1044"/>
          <w:bookmarkEnd w:id="1045"/>
          <w:bookmarkEnd w:id="1046"/>
        </w:tc>
        <w:tc>
          <w:tcPr>
            <w:tcW w:w="6912" w:type="dxa"/>
          </w:tcPr>
          <w:p w14:paraId="62346375">
            <w:pPr>
              <w:topLinePunct/>
              <w:adjustRightInd w:val="0"/>
              <w:snapToGrid w:val="0"/>
              <w:spacing w:line="560" w:lineRule="exact"/>
              <w:rPr>
                <w:color w:val="auto"/>
                <w:szCs w:val="21"/>
                <w:highlight w:val="none"/>
              </w:rPr>
            </w:pPr>
          </w:p>
        </w:tc>
      </w:tr>
      <w:tr w14:paraId="3682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508" w:type="dxa"/>
            <w:vAlign w:val="center"/>
          </w:tcPr>
          <w:p w14:paraId="6D009B37">
            <w:pPr>
              <w:topLinePunct/>
              <w:adjustRightInd w:val="0"/>
              <w:snapToGrid w:val="0"/>
              <w:spacing w:line="560" w:lineRule="exact"/>
              <w:jc w:val="center"/>
              <w:rPr>
                <w:color w:val="auto"/>
                <w:szCs w:val="21"/>
                <w:highlight w:val="none"/>
              </w:rPr>
            </w:pPr>
            <w:r>
              <w:rPr>
                <w:color w:val="auto"/>
                <w:szCs w:val="21"/>
                <w:highlight w:val="none"/>
              </w:rPr>
              <w:t>发包人名称</w:t>
            </w:r>
          </w:p>
          <w:bookmarkEnd w:id="1047"/>
          <w:bookmarkEnd w:id="1048"/>
        </w:tc>
        <w:tc>
          <w:tcPr>
            <w:tcW w:w="6912" w:type="dxa"/>
          </w:tcPr>
          <w:p w14:paraId="797E0598">
            <w:pPr>
              <w:topLinePunct/>
              <w:adjustRightInd w:val="0"/>
              <w:snapToGrid w:val="0"/>
              <w:spacing w:line="560" w:lineRule="exact"/>
              <w:rPr>
                <w:color w:val="auto"/>
                <w:szCs w:val="21"/>
                <w:highlight w:val="none"/>
              </w:rPr>
            </w:pPr>
          </w:p>
        </w:tc>
        <w:bookmarkStart w:id="1049" w:name="_Toc296602620"/>
        <w:bookmarkStart w:id="1050" w:name="_Toc15058937"/>
        <w:bookmarkStart w:id="1051" w:name="_Toc60061577"/>
        <w:bookmarkStart w:id="1052" w:name="_Toc265953296"/>
        <w:bookmarkStart w:id="1053" w:name="_Toc152045810"/>
        <w:bookmarkStart w:id="1054" w:name="_Toc324404891"/>
        <w:bookmarkStart w:id="1055" w:name="_Toc152042599"/>
        <w:bookmarkStart w:id="1056" w:name="_Toc11124"/>
        <w:bookmarkStart w:id="1057" w:name="_Toc247514302"/>
        <w:bookmarkStart w:id="1058" w:name="_Toc58229118"/>
        <w:bookmarkStart w:id="1059" w:name="_Toc247527850"/>
        <w:bookmarkStart w:id="1060" w:name="_Toc144974878"/>
        <w:bookmarkStart w:id="1061" w:name="_Toc506107343"/>
      </w:tr>
      <w:tr w14:paraId="77E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08" w:type="dxa"/>
            <w:vAlign w:val="center"/>
          </w:tcPr>
          <w:p w14:paraId="551549B2">
            <w:pPr>
              <w:topLinePunct/>
              <w:adjustRightInd w:val="0"/>
              <w:snapToGrid w:val="0"/>
              <w:spacing w:line="560" w:lineRule="exact"/>
              <w:jc w:val="center"/>
              <w:rPr>
                <w:color w:val="auto"/>
                <w:szCs w:val="21"/>
                <w:highlight w:val="none"/>
              </w:rPr>
            </w:pPr>
            <w:r>
              <w:rPr>
                <w:color w:val="auto"/>
                <w:szCs w:val="21"/>
                <w:highlight w:val="none"/>
              </w:rPr>
              <w:t>发包人地址</w:t>
            </w:r>
          </w:p>
        </w:tc>
        <w:tc>
          <w:tcPr>
            <w:tcW w:w="6912" w:type="dxa"/>
          </w:tcPr>
          <w:p w14:paraId="1AF76D88">
            <w:pPr>
              <w:topLinePunct/>
              <w:adjustRightInd w:val="0"/>
              <w:snapToGrid w:val="0"/>
              <w:spacing w:line="560" w:lineRule="exact"/>
              <w:rPr>
                <w:color w:val="auto"/>
                <w:szCs w:val="21"/>
                <w:highlight w:val="none"/>
              </w:rPr>
            </w:pPr>
          </w:p>
        </w:tc>
      </w:tr>
      <w:tr w14:paraId="5A32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508" w:type="dxa"/>
            <w:vAlign w:val="center"/>
          </w:tcPr>
          <w:p w14:paraId="48F65783">
            <w:pPr>
              <w:topLinePunct/>
              <w:adjustRightInd w:val="0"/>
              <w:snapToGrid w:val="0"/>
              <w:spacing w:line="560" w:lineRule="exact"/>
              <w:jc w:val="center"/>
              <w:rPr>
                <w:color w:val="auto"/>
                <w:szCs w:val="21"/>
                <w:highlight w:val="none"/>
              </w:rPr>
            </w:pPr>
            <w:r>
              <w:rPr>
                <w:color w:val="auto"/>
                <w:szCs w:val="21"/>
                <w:highlight w:val="none"/>
              </w:rPr>
              <w:t>发包人电话</w:t>
            </w:r>
          </w:p>
          <w:bookmarkEnd w:id="1049"/>
          <w:bookmarkEnd w:id="1050"/>
          <w:bookmarkEnd w:id="1051"/>
          <w:bookmarkEnd w:id="1052"/>
          <w:bookmarkEnd w:id="1053"/>
          <w:bookmarkEnd w:id="1054"/>
          <w:bookmarkEnd w:id="1055"/>
          <w:bookmarkEnd w:id="1056"/>
          <w:bookmarkEnd w:id="1057"/>
          <w:bookmarkEnd w:id="1058"/>
          <w:bookmarkEnd w:id="1059"/>
          <w:bookmarkEnd w:id="1060"/>
          <w:bookmarkEnd w:id="1061"/>
        </w:tc>
        <w:tc>
          <w:tcPr>
            <w:tcW w:w="6912" w:type="dxa"/>
          </w:tcPr>
          <w:p w14:paraId="56E26648">
            <w:pPr>
              <w:topLinePunct/>
              <w:adjustRightInd w:val="0"/>
              <w:snapToGrid w:val="0"/>
              <w:spacing w:line="560" w:lineRule="exact"/>
              <w:rPr>
                <w:color w:val="auto"/>
                <w:szCs w:val="21"/>
                <w:highlight w:val="none"/>
              </w:rPr>
            </w:pPr>
          </w:p>
        </w:tc>
      </w:tr>
      <w:tr w14:paraId="326F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508" w:type="dxa"/>
            <w:vAlign w:val="center"/>
          </w:tcPr>
          <w:p w14:paraId="479CEE2B">
            <w:pPr>
              <w:topLinePunct/>
              <w:adjustRightInd w:val="0"/>
              <w:snapToGrid w:val="0"/>
              <w:spacing w:line="560" w:lineRule="exact"/>
              <w:jc w:val="center"/>
              <w:rPr>
                <w:color w:val="auto"/>
                <w:szCs w:val="21"/>
                <w:highlight w:val="none"/>
              </w:rPr>
            </w:pPr>
            <w:r>
              <w:rPr>
                <w:color w:val="auto"/>
                <w:szCs w:val="21"/>
                <w:highlight w:val="none"/>
              </w:rPr>
              <w:t>合同价格</w:t>
            </w:r>
          </w:p>
        </w:tc>
        <w:tc>
          <w:tcPr>
            <w:tcW w:w="6912" w:type="dxa"/>
          </w:tcPr>
          <w:p w14:paraId="3D5A0326">
            <w:pPr>
              <w:topLinePunct/>
              <w:adjustRightInd w:val="0"/>
              <w:snapToGrid w:val="0"/>
              <w:spacing w:line="560" w:lineRule="exact"/>
              <w:rPr>
                <w:color w:val="auto"/>
                <w:szCs w:val="21"/>
                <w:highlight w:val="none"/>
              </w:rPr>
            </w:pPr>
          </w:p>
        </w:tc>
      </w:tr>
      <w:tr w14:paraId="0F87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508" w:type="dxa"/>
            <w:vAlign w:val="center"/>
          </w:tcPr>
          <w:p w14:paraId="011C68C5">
            <w:pPr>
              <w:topLinePunct/>
              <w:adjustRightInd w:val="0"/>
              <w:snapToGrid w:val="0"/>
              <w:spacing w:line="560" w:lineRule="exact"/>
              <w:jc w:val="center"/>
              <w:rPr>
                <w:color w:val="auto"/>
                <w:szCs w:val="21"/>
                <w:highlight w:val="none"/>
              </w:rPr>
            </w:pPr>
            <w:r>
              <w:rPr>
                <w:color w:val="auto"/>
                <w:szCs w:val="21"/>
                <w:highlight w:val="none"/>
              </w:rPr>
              <w:t>开工日期</w:t>
            </w:r>
          </w:p>
        </w:tc>
        <w:tc>
          <w:tcPr>
            <w:tcW w:w="6912" w:type="dxa"/>
          </w:tcPr>
          <w:p w14:paraId="3C420680">
            <w:pPr>
              <w:topLinePunct/>
              <w:adjustRightInd w:val="0"/>
              <w:snapToGrid w:val="0"/>
              <w:spacing w:line="560" w:lineRule="exact"/>
              <w:rPr>
                <w:color w:val="auto"/>
                <w:szCs w:val="21"/>
                <w:highlight w:val="none"/>
              </w:rPr>
            </w:pPr>
          </w:p>
        </w:tc>
      </w:tr>
      <w:tr w14:paraId="666B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2508" w:type="dxa"/>
            <w:vAlign w:val="center"/>
          </w:tcPr>
          <w:p w14:paraId="479C49BE">
            <w:pPr>
              <w:topLinePunct/>
              <w:adjustRightInd w:val="0"/>
              <w:snapToGrid w:val="0"/>
              <w:spacing w:line="560" w:lineRule="exact"/>
              <w:jc w:val="center"/>
              <w:rPr>
                <w:color w:val="auto"/>
                <w:szCs w:val="21"/>
                <w:highlight w:val="none"/>
              </w:rPr>
            </w:pPr>
            <w:r>
              <w:rPr>
                <w:rFonts w:hint="eastAsia"/>
                <w:color w:val="auto"/>
                <w:highlight w:val="none"/>
              </w:rPr>
              <w:t>竣工</w:t>
            </w:r>
            <w:r>
              <w:rPr>
                <w:color w:val="auto"/>
                <w:szCs w:val="21"/>
                <w:highlight w:val="none"/>
              </w:rPr>
              <w:t>日期</w:t>
            </w:r>
          </w:p>
        </w:tc>
        <w:tc>
          <w:tcPr>
            <w:tcW w:w="6912" w:type="dxa"/>
          </w:tcPr>
          <w:p w14:paraId="6319E4FA">
            <w:pPr>
              <w:topLinePunct/>
              <w:adjustRightInd w:val="0"/>
              <w:snapToGrid w:val="0"/>
              <w:spacing w:line="560" w:lineRule="exact"/>
              <w:rPr>
                <w:color w:val="auto"/>
                <w:szCs w:val="21"/>
                <w:highlight w:val="none"/>
              </w:rPr>
            </w:pPr>
          </w:p>
        </w:tc>
      </w:tr>
      <w:tr w14:paraId="18EE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508" w:type="dxa"/>
            <w:vAlign w:val="center"/>
          </w:tcPr>
          <w:p w14:paraId="2FC118D8">
            <w:pPr>
              <w:topLinePunct/>
              <w:adjustRightInd w:val="0"/>
              <w:snapToGrid w:val="0"/>
              <w:spacing w:line="560" w:lineRule="exact"/>
              <w:jc w:val="center"/>
              <w:rPr>
                <w:color w:val="auto"/>
                <w:szCs w:val="21"/>
                <w:highlight w:val="none"/>
              </w:rPr>
            </w:pPr>
            <w:r>
              <w:rPr>
                <w:color w:val="auto"/>
                <w:szCs w:val="21"/>
                <w:highlight w:val="none"/>
              </w:rPr>
              <w:t>承担的工作</w:t>
            </w:r>
          </w:p>
        </w:tc>
        <w:tc>
          <w:tcPr>
            <w:tcW w:w="6912" w:type="dxa"/>
          </w:tcPr>
          <w:p w14:paraId="5CDE4632">
            <w:pPr>
              <w:topLinePunct/>
              <w:adjustRightInd w:val="0"/>
              <w:snapToGrid w:val="0"/>
              <w:spacing w:line="560" w:lineRule="exact"/>
              <w:rPr>
                <w:color w:val="auto"/>
                <w:szCs w:val="21"/>
                <w:highlight w:val="none"/>
              </w:rPr>
            </w:pPr>
          </w:p>
        </w:tc>
      </w:tr>
      <w:tr w14:paraId="5743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2508" w:type="dxa"/>
            <w:vAlign w:val="center"/>
          </w:tcPr>
          <w:p w14:paraId="7E342E53">
            <w:pPr>
              <w:topLinePunct/>
              <w:adjustRightInd w:val="0"/>
              <w:snapToGrid w:val="0"/>
              <w:spacing w:line="560" w:lineRule="exact"/>
              <w:jc w:val="center"/>
              <w:rPr>
                <w:color w:val="auto"/>
                <w:szCs w:val="21"/>
                <w:highlight w:val="none"/>
              </w:rPr>
            </w:pPr>
            <w:r>
              <w:rPr>
                <w:color w:val="auto"/>
                <w:szCs w:val="21"/>
                <w:highlight w:val="none"/>
              </w:rPr>
              <w:t>工程质量</w:t>
            </w:r>
          </w:p>
        </w:tc>
        <w:tc>
          <w:tcPr>
            <w:tcW w:w="6912" w:type="dxa"/>
          </w:tcPr>
          <w:p w14:paraId="64AFFBB7">
            <w:pPr>
              <w:topLinePunct/>
              <w:adjustRightInd w:val="0"/>
              <w:snapToGrid w:val="0"/>
              <w:spacing w:line="560" w:lineRule="exact"/>
              <w:rPr>
                <w:color w:val="auto"/>
                <w:szCs w:val="21"/>
                <w:highlight w:val="none"/>
              </w:rPr>
            </w:pPr>
          </w:p>
        </w:tc>
      </w:tr>
      <w:tr w14:paraId="4068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508" w:type="dxa"/>
            <w:vAlign w:val="center"/>
          </w:tcPr>
          <w:p w14:paraId="1840E22F">
            <w:pPr>
              <w:topLinePunct/>
              <w:adjustRightInd w:val="0"/>
              <w:snapToGrid w:val="0"/>
              <w:spacing w:line="560" w:lineRule="exact"/>
              <w:jc w:val="center"/>
              <w:rPr>
                <w:color w:val="auto"/>
                <w:szCs w:val="21"/>
                <w:highlight w:val="none"/>
              </w:rPr>
            </w:pPr>
            <w:r>
              <w:rPr>
                <w:color w:val="auto"/>
                <w:szCs w:val="21"/>
                <w:highlight w:val="none"/>
              </w:rPr>
              <w:t>项目经理（建造师）</w:t>
            </w:r>
          </w:p>
        </w:tc>
        <w:tc>
          <w:tcPr>
            <w:tcW w:w="6912" w:type="dxa"/>
          </w:tcPr>
          <w:p w14:paraId="4B5123A7">
            <w:pPr>
              <w:topLinePunct/>
              <w:adjustRightInd w:val="0"/>
              <w:snapToGrid w:val="0"/>
              <w:spacing w:line="560" w:lineRule="exact"/>
              <w:rPr>
                <w:color w:val="auto"/>
                <w:szCs w:val="21"/>
                <w:highlight w:val="none"/>
              </w:rPr>
            </w:pPr>
          </w:p>
        </w:tc>
      </w:tr>
      <w:tr w14:paraId="42C3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508" w:type="dxa"/>
            <w:vAlign w:val="center"/>
          </w:tcPr>
          <w:p w14:paraId="25803398">
            <w:pPr>
              <w:topLinePunct/>
              <w:adjustRightInd w:val="0"/>
              <w:snapToGrid w:val="0"/>
              <w:spacing w:line="560" w:lineRule="exact"/>
              <w:jc w:val="center"/>
              <w:rPr>
                <w:color w:val="auto"/>
                <w:szCs w:val="21"/>
                <w:highlight w:val="none"/>
              </w:rPr>
            </w:pPr>
            <w:r>
              <w:rPr>
                <w:color w:val="auto"/>
                <w:szCs w:val="21"/>
                <w:highlight w:val="none"/>
              </w:rPr>
              <w:t>技术负责人</w:t>
            </w:r>
          </w:p>
        </w:tc>
        <w:tc>
          <w:tcPr>
            <w:tcW w:w="6912" w:type="dxa"/>
          </w:tcPr>
          <w:p w14:paraId="5561E7EE">
            <w:pPr>
              <w:topLinePunct/>
              <w:adjustRightInd w:val="0"/>
              <w:snapToGrid w:val="0"/>
              <w:spacing w:line="560" w:lineRule="exact"/>
              <w:rPr>
                <w:color w:val="auto"/>
                <w:szCs w:val="21"/>
                <w:highlight w:val="none"/>
              </w:rPr>
            </w:pPr>
          </w:p>
        </w:tc>
      </w:tr>
      <w:tr w14:paraId="3039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2508" w:type="dxa"/>
            <w:vAlign w:val="center"/>
          </w:tcPr>
          <w:p w14:paraId="33BB2737">
            <w:pPr>
              <w:topLinePunct/>
              <w:adjustRightInd w:val="0"/>
              <w:snapToGrid w:val="0"/>
              <w:spacing w:line="560" w:lineRule="exact"/>
              <w:jc w:val="center"/>
              <w:rPr>
                <w:color w:val="auto"/>
                <w:szCs w:val="21"/>
                <w:highlight w:val="none"/>
              </w:rPr>
            </w:pPr>
            <w:r>
              <w:rPr>
                <w:color w:val="auto"/>
                <w:szCs w:val="21"/>
                <w:highlight w:val="none"/>
              </w:rPr>
              <w:t>项目描述</w:t>
            </w:r>
          </w:p>
        </w:tc>
        <w:tc>
          <w:tcPr>
            <w:tcW w:w="6912" w:type="dxa"/>
          </w:tcPr>
          <w:p w14:paraId="388D02F5">
            <w:pPr>
              <w:topLinePunct/>
              <w:adjustRightInd w:val="0"/>
              <w:snapToGrid w:val="0"/>
              <w:spacing w:line="560" w:lineRule="exact"/>
              <w:rPr>
                <w:color w:val="auto"/>
                <w:szCs w:val="21"/>
                <w:highlight w:val="none"/>
              </w:rPr>
            </w:pPr>
          </w:p>
          <w:p w14:paraId="663555A9">
            <w:pPr>
              <w:topLinePunct/>
              <w:adjustRightInd w:val="0"/>
              <w:snapToGrid w:val="0"/>
              <w:spacing w:line="560" w:lineRule="exact"/>
              <w:rPr>
                <w:color w:val="auto"/>
                <w:szCs w:val="21"/>
                <w:highlight w:val="none"/>
              </w:rPr>
            </w:pPr>
          </w:p>
          <w:p w14:paraId="5B5A4225">
            <w:pPr>
              <w:topLinePunct/>
              <w:adjustRightInd w:val="0"/>
              <w:snapToGrid w:val="0"/>
              <w:spacing w:line="560" w:lineRule="exact"/>
              <w:rPr>
                <w:color w:val="auto"/>
                <w:szCs w:val="21"/>
                <w:highlight w:val="none"/>
              </w:rPr>
            </w:pPr>
          </w:p>
        </w:tc>
      </w:tr>
      <w:tr w14:paraId="145D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508" w:type="dxa"/>
            <w:vAlign w:val="center"/>
          </w:tcPr>
          <w:p w14:paraId="128A6A89">
            <w:pPr>
              <w:topLinePunct/>
              <w:adjustRightInd w:val="0"/>
              <w:snapToGrid w:val="0"/>
              <w:spacing w:line="560" w:lineRule="exact"/>
              <w:jc w:val="center"/>
              <w:rPr>
                <w:color w:val="auto"/>
                <w:szCs w:val="21"/>
                <w:highlight w:val="none"/>
              </w:rPr>
            </w:pPr>
            <w:r>
              <w:rPr>
                <w:color w:val="auto"/>
                <w:szCs w:val="21"/>
                <w:highlight w:val="none"/>
              </w:rPr>
              <w:t>备注</w:t>
            </w:r>
          </w:p>
        </w:tc>
        <w:tc>
          <w:tcPr>
            <w:tcW w:w="6912" w:type="dxa"/>
          </w:tcPr>
          <w:p w14:paraId="3D02550B">
            <w:pPr>
              <w:topLinePunct/>
              <w:adjustRightInd w:val="0"/>
              <w:snapToGrid w:val="0"/>
              <w:spacing w:line="560" w:lineRule="exact"/>
              <w:rPr>
                <w:color w:val="auto"/>
                <w:szCs w:val="21"/>
                <w:highlight w:val="none"/>
              </w:rPr>
            </w:pPr>
          </w:p>
        </w:tc>
      </w:tr>
    </w:tbl>
    <w:p w14:paraId="41E57794">
      <w:pPr>
        <w:pStyle w:val="4"/>
        <w:adjustRightInd w:val="0"/>
        <w:snapToGrid w:val="0"/>
        <w:spacing w:line="560" w:lineRule="exact"/>
        <w:jc w:val="center"/>
        <w:rPr>
          <w:color w:val="auto"/>
          <w:highlight w:val="none"/>
        </w:rPr>
      </w:pPr>
    </w:p>
    <w:bookmarkEnd w:id="1034"/>
    <w:p w14:paraId="11049A6B">
      <w:pPr>
        <w:adjustRightInd w:val="0"/>
        <w:snapToGrid w:val="0"/>
        <w:spacing w:line="560" w:lineRule="exact"/>
        <w:ind w:firstLine="5775" w:firstLineChars="2750"/>
        <w:rPr>
          <w:rFonts w:ascii="宋体" w:hAnsi="宋体"/>
          <w:color w:val="auto"/>
          <w:szCs w:val="21"/>
          <w:highlight w:val="none"/>
        </w:rPr>
      </w:pPr>
      <w:bookmarkStart w:id="1062" w:name="_Toc179632823"/>
      <w:bookmarkStart w:id="1063" w:name="_Toc144974871"/>
      <w:bookmarkStart w:id="1064" w:name="_Toc152045803"/>
      <w:bookmarkStart w:id="1065" w:name="_Toc152042592"/>
    </w:p>
    <w:bookmarkEnd w:id="1062"/>
    <w:bookmarkEnd w:id="1063"/>
    <w:bookmarkEnd w:id="1064"/>
    <w:bookmarkEnd w:id="1065"/>
    <w:p w14:paraId="2AF32ED1">
      <w:pPr>
        <w:pStyle w:val="4"/>
        <w:adjustRightInd w:val="0"/>
        <w:snapToGrid w:val="0"/>
        <w:spacing w:line="560" w:lineRule="exact"/>
        <w:jc w:val="center"/>
        <w:rPr>
          <w:color w:val="auto"/>
          <w:highlight w:val="none"/>
        </w:rPr>
      </w:pPr>
      <w:bookmarkStart w:id="1066" w:name="_Toc95223536"/>
      <w:bookmarkStart w:id="1067" w:name="_Toc32002"/>
      <w:bookmarkStart w:id="1068" w:name="_Toc95223538"/>
      <w:r>
        <w:rPr>
          <w:color w:val="auto"/>
          <w:highlight w:val="none"/>
        </w:rPr>
        <w:t>（</w:t>
      </w:r>
      <w:r>
        <w:rPr>
          <w:rFonts w:hint="eastAsia"/>
          <w:color w:val="auto"/>
          <w:highlight w:val="none"/>
        </w:rPr>
        <w:t>3</w:t>
      </w:r>
      <w:r>
        <w:rPr>
          <w:color w:val="auto"/>
          <w:highlight w:val="none"/>
        </w:rPr>
        <w:t>）正在</w:t>
      </w:r>
      <w:r>
        <w:rPr>
          <w:rFonts w:hint="eastAsia"/>
          <w:color w:val="auto"/>
          <w:highlight w:val="none"/>
        </w:rPr>
        <w:t>实施</w:t>
      </w:r>
      <w:r>
        <w:rPr>
          <w:color w:val="auto"/>
          <w:highlight w:val="none"/>
        </w:rPr>
        <w:t>的和新承接的项目情况表</w:t>
      </w:r>
      <w:bookmarkEnd w:id="1066"/>
      <w:bookmarkEnd w:id="1067"/>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2"/>
        <w:gridCol w:w="7408"/>
      </w:tblGrid>
      <w:tr w14:paraId="45DE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452" w:type="dxa"/>
            <w:vAlign w:val="center"/>
          </w:tcPr>
          <w:p w14:paraId="0AD91966">
            <w:pPr>
              <w:topLinePunct/>
              <w:adjustRightInd w:val="0"/>
              <w:snapToGrid w:val="0"/>
              <w:spacing w:line="560" w:lineRule="exact"/>
              <w:jc w:val="center"/>
              <w:rPr>
                <w:color w:val="auto"/>
                <w:szCs w:val="21"/>
                <w:highlight w:val="none"/>
              </w:rPr>
            </w:pPr>
            <w:r>
              <w:rPr>
                <w:color w:val="auto"/>
                <w:szCs w:val="21"/>
                <w:highlight w:val="none"/>
              </w:rPr>
              <w:t>项目名称</w:t>
            </w:r>
          </w:p>
        </w:tc>
        <w:tc>
          <w:tcPr>
            <w:tcW w:w="7408" w:type="dxa"/>
          </w:tcPr>
          <w:p w14:paraId="4C0C8E88">
            <w:pPr>
              <w:topLinePunct/>
              <w:adjustRightInd w:val="0"/>
              <w:snapToGrid w:val="0"/>
              <w:spacing w:line="560" w:lineRule="exact"/>
              <w:rPr>
                <w:color w:val="auto"/>
                <w:szCs w:val="21"/>
                <w:highlight w:val="none"/>
              </w:rPr>
            </w:pPr>
          </w:p>
        </w:tc>
      </w:tr>
      <w:tr w14:paraId="61B7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452" w:type="dxa"/>
            <w:vAlign w:val="center"/>
          </w:tcPr>
          <w:p w14:paraId="67DCA7A0">
            <w:pPr>
              <w:topLinePunct/>
              <w:adjustRightInd w:val="0"/>
              <w:snapToGrid w:val="0"/>
              <w:spacing w:line="560" w:lineRule="exact"/>
              <w:jc w:val="center"/>
              <w:rPr>
                <w:color w:val="auto"/>
                <w:szCs w:val="21"/>
                <w:highlight w:val="none"/>
              </w:rPr>
            </w:pPr>
            <w:r>
              <w:rPr>
                <w:color w:val="auto"/>
                <w:szCs w:val="21"/>
                <w:highlight w:val="none"/>
              </w:rPr>
              <w:t>项目所在地</w:t>
            </w:r>
          </w:p>
        </w:tc>
        <w:tc>
          <w:tcPr>
            <w:tcW w:w="7408" w:type="dxa"/>
          </w:tcPr>
          <w:p w14:paraId="6367E00E">
            <w:pPr>
              <w:topLinePunct/>
              <w:adjustRightInd w:val="0"/>
              <w:snapToGrid w:val="0"/>
              <w:spacing w:line="560" w:lineRule="exact"/>
              <w:rPr>
                <w:color w:val="auto"/>
                <w:szCs w:val="21"/>
                <w:highlight w:val="none"/>
              </w:rPr>
            </w:pPr>
          </w:p>
        </w:tc>
      </w:tr>
      <w:tr w14:paraId="3C7D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2452" w:type="dxa"/>
            <w:vAlign w:val="center"/>
          </w:tcPr>
          <w:p w14:paraId="0930AE73">
            <w:pPr>
              <w:topLinePunct/>
              <w:adjustRightInd w:val="0"/>
              <w:snapToGrid w:val="0"/>
              <w:spacing w:line="560" w:lineRule="exact"/>
              <w:jc w:val="center"/>
              <w:rPr>
                <w:color w:val="auto"/>
                <w:szCs w:val="21"/>
                <w:highlight w:val="none"/>
              </w:rPr>
            </w:pPr>
            <w:r>
              <w:rPr>
                <w:color w:val="auto"/>
                <w:szCs w:val="21"/>
                <w:highlight w:val="none"/>
              </w:rPr>
              <w:t>发包人名</w:t>
            </w:r>
            <w:bookmarkStart w:id="1069" w:name="_Toc247527851"/>
            <w:bookmarkStart w:id="1070" w:name="_Toc506107344"/>
            <w:bookmarkStart w:id="1071" w:name="_Toc30815"/>
            <w:bookmarkStart w:id="1072" w:name="_Toc265953297"/>
            <w:bookmarkStart w:id="1073" w:name="_Toc15058938"/>
            <w:bookmarkStart w:id="1074" w:name="_Toc152042600"/>
            <w:bookmarkStart w:id="1075" w:name="_Toc144974879"/>
            <w:bookmarkStart w:id="1076" w:name="_Toc324404892"/>
            <w:bookmarkStart w:id="1077" w:name="_Toc152045811"/>
            <w:bookmarkStart w:id="1078" w:name="_Toc58229119"/>
            <w:bookmarkStart w:id="1079" w:name="_Toc247514303"/>
            <w:bookmarkStart w:id="1080" w:name="_Toc60061578"/>
            <w:bookmarkStart w:id="1081" w:name="_Toc296602621"/>
            <w:r>
              <w:rPr>
                <w:color w:val="auto"/>
                <w:szCs w:val="21"/>
                <w:highlight w:val="none"/>
              </w:rPr>
              <w:t>称</w:t>
            </w:r>
          </w:p>
        </w:tc>
        <w:tc>
          <w:tcPr>
            <w:tcW w:w="7408" w:type="dxa"/>
          </w:tcPr>
          <w:p w14:paraId="72159907">
            <w:pPr>
              <w:topLinePunct/>
              <w:adjustRightInd w:val="0"/>
              <w:snapToGrid w:val="0"/>
              <w:spacing w:line="560" w:lineRule="exact"/>
              <w:rPr>
                <w:color w:val="auto"/>
                <w:szCs w:val="21"/>
                <w:highlight w:val="none"/>
              </w:rPr>
            </w:pPr>
          </w:p>
        </w:tc>
      </w:tr>
      <w:tr w14:paraId="2186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2452" w:type="dxa"/>
            <w:vAlign w:val="center"/>
          </w:tcPr>
          <w:p w14:paraId="174C580C">
            <w:pPr>
              <w:topLinePunct/>
              <w:adjustRightInd w:val="0"/>
              <w:snapToGrid w:val="0"/>
              <w:spacing w:line="560" w:lineRule="exact"/>
              <w:jc w:val="center"/>
              <w:rPr>
                <w:color w:val="auto"/>
                <w:szCs w:val="21"/>
                <w:highlight w:val="none"/>
              </w:rPr>
            </w:pPr>
            <w:r>
              <w:rPr>
                <w:color w:val="auto"/>
                <w:szCs w:val="21"/>
                <w:highlight w:val="none"/>
              </w:rPr>
              <w:t>发包人地址</w:t>
            </w:r>
          </w:p>
        </w:tc>
        <w:tc>
          <w:tcPr>
            <w:tcW w:w="7408" w:type="dxa"/>
          </w:tcPr>
          <w:p w14:paraId="18DA0137">
            <w:pPr>
              <w:topLinePunct/>
              <w:adjustRightInd w:val="0"/>
              <w:snapToGrid w:val="0"/>
              <w:spacing w:line="560" w:lineRule="exact"/>
              <w:rPr>
                <w:color w:val="auto"/>
                <w:szCs w:val="21"/>
                <w:highlight w:val="none"/>
              </w:rPr>
            </w:pPr>
          </w:p>
        </w:tc>
      </w:tr>
      <w:tr w14:paraId="70C8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2452" w:type="dxa"/>
            <w:vAlign w:val="center"/>
          </w:tcPr>
          <w:p w14:paraId="37F6D727">
            <w:pPr>
              <w:topLinePunct/>
              <w:adjustRightInd w:val="0"/>
              <w:snapToGrid w:val="0"/>
              <w:spacing w:line="560" w:lineRule="exact"/>
              <w:jc w:val="center"/>
              <w:rPr>
                <w:color w:val="auto"/>
                <w:szCs w:val="21"/>
                <w:highlight w:val="none"/>
              </w:rPr>
            </w:pPr>
            <w:r>
              <w:rPr>
                <w:color w:val="auto"/>
                <w:szCs w:val="21"/>
                <w:highlight w:val="none"/>
              </w:rPr>
              <w:t>发包人电话</w:t>
            </w:r>
          </w:p>
          <w:bookmarkEnd w:id="1069"/>
          <w:bookmarkEnd w:id="1070"/>
          <w:bookmarkEnd w:id="1071"/>
          <w:bookmarkEnd w:id="1072"/>
          <w:bookmarkEnd w:id="1073"/>
          <w:bookmarkEnd w:id="1074"/>
          <w:bookmarkEnd w:id="1075"/>
          <w:bookmarkEnd w:id="1076"/>
          <w:bookmarkEnd w:id="1077"/>
          <w:bookmarkEnd w:id="1078"/>
          <w:bookmarkEnd w:id="1079"/>
          <w:bookmarkEnd w:id="1080"/>
          <w:bookmarkEnd w:id="1081"/>
        </w:tc>
        <w:tc>
          <w:tcPr>
            <w:tcW w:w="7408" w:type="dxa"/>
          </w:tcPr>
          <w:p w14:paraId="1D62790A">
            <w:pPr>
              <w:topLinePunct/>
              <w:adjustRightInd w:val="0"/>
              <w:snapToGrid w:val="0"/>
              <w:spacing w:line="560" w:lineRule="exact"/>
              <w:rPr>
                <w:color w:val="auto"/>
                <w:szCs w:val="21"/>
                <w:highlight w:val="none"/>
              </w:rPr>
            </w:pPr>
          </w:p>
        </w:tc>
      </w:tr>
      <w:tr w14:paraId="01AF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452" w:type="dxa"/>
            <w:vAlign w:val="center"/>
          </w:tcPr>
          <w:p w14:paraId="36EA0D7B">
            <w:pPr>
              <w:topLinePunct/>
              <w:adjustRightInd w:val="0"/>
              <w:snapToGrid w:val="0"/>
              <w:spacing w:line="560" w:lineRule="exact"/>
              <w:jc w:val="center"/>
              <w:rPr>
                <w:color w:val="auto"/>
                <w:szCs w:val="21"/>
                <w:highlight w:val="none"/>
              </w:rPr>
            </w:pPr>
            <w:r>
              <w:rPr>
                <w:color w:val="auto"/>
                <w:szCs w:val="21"/>
                <w:highlight w:val="none"/>
              </w:rPr>
              <w:t>签约合同价</w:t>
            </w:r>
          </w:p>
        </w:tc>
        <w:tc>
          <w:tcPr>
            <w:tcW w:w="7408" w:type="dxa"/>
          </w:tcPr>
          <w:p w14:paraId="6D697CE5">
            <w:pPr>
              <w:topLinePunct/>
              <w:adjustRightInd w:val="0"/>
              <w:snapToGrid w:val="0"/>
              <w:spacing w:line="560" w:lineRule="exact"/>
              <w:rPr>
                <w:color w:val="auto"/>
                <w:szCs w:val="21"/>
                <w:highlight w:val="none"/>
              </w:rPr>
            </w:pPr>
          </w:p>
        </w:tc>
      </w:tr>
      <w:tr w14:paraId="11E3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452" w:type="dxa"/>
            <w:vAlign w:val="center"/>
          </w:tcPr>
          <w:p w14:paraId="6026382E">
            <w:pPr>
              <w:topLinePunct/>
              <w:adjustRightInd w:val="0"/>
              <w:snapToGrid w:val="0"/>
              <w:spacing w:line="560" w:lineRule="exact"/>
              <w:jc w:val="center"/>
              <w:rPr>
                <w:color w:val="auto"/>
                <w:szCs w:val="21"/>
                <w:highlight w:val="none"/>
              </w:rPr>
            </w:pPr>
            <w:r>
              <w:rPr>
                <w:color w:val="auto"/>
                <w:szCs w:val="21"/>
                <w:highlight w:val="none"/>
              </w:rPr>
              <w:t>开工日期</w:t>
            </w:r>
          </w:p>
        </w:tc>
        <w:tc>
          <w:tcPr>
            <w:tcW w:w="7408" w:type="dxa"/>
          </w:tcPr>
          <w:p w14:paraId="3B1C69EA">
            <w:pPr>
              <w:topLinePunct/>
              <w:adjustRightInd w:val="0"/>
              <w:snapToGrid w:val="0"/>
              <w:spacing w:line="560" w:lineRule="exact"/>
              <w:rPr>
                <w:color w:val="auto"/>
                <w:szCs w:val="21"/>
                <w:highlight w:val="none"/>
              </w:rPr>
            </w:pPr>
          </w:p>
        </w:tc>
      </w:tr>
      <w:tr w14:paraId="1222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452" w:type="dxa"/>
            <w:vAlign w:val="center"/>
          </w:tcPr>
          <w:p w14:paraId="05E4EFEA">
            <w:pPr>
              <w:topLinePunct/>
              <w:adjustRightInd w:val="0"/>
              <w:snapToGrid w:val="0"/>
              <w:spacing w:line="560" w:lineRule="exact"/>
              <w:jc w:val="center"/>
              <w:rPr>
                <w:color w:val="auto"/>
                <w:szCs w:val="21"/>
                <w:highlight w:val="none"/>
              </w:rPr>
            </w:pPr>
            <w:r>
              <w:rPr>
                <w:color w:val="auto"/>
                <w:szCs w:val="21"/>
                <w:highlight w:val="none"/>
              </w:rPr>
              <w:t>计划</w:t>
            </w:r>
            <w:r>
              <w:rPr>
                <w:rFonts w:hint="eastAsia"/>
                <w:color w:val="auto"/>
                <w:highlight w:val="none"/>
              </w:rPr>
              <w:t>竣工</w:t>
            </w:r>
            <w:r>
              <w:rPr>
                <w:color w:val="auto"/>
                <w:szCs w:val="21"/>
                <w:highlight w:val="none"/>
              </w:rPr>
              <w:t>日期</w:t>
            </w:r>
          </w:p>
        </w:tc>
        <w:tc>
          <w:tcPr>
            <w:tcW w:w="7408" w:type="dxa"/>
          </w:tcPr>
          <w:p w14:paraId="12709BF4">
            <w:pPr>
              <w:topLinePunct/>
              <w:adjustRightInd w:val="0"/>
              <w:snapToGrid w:val="0"/>
              <w:spacing w:line="560" w:lineRule="exact"/>
              <w:rPr>
                <w:color w:val="auto"/>
                <w:szCs w:val="21"/>
                <w:highlight w:val="none"/>
              </w:rPr>
            </w:pPr>
          </w:p>
        </w:tc>
      </w:tr>
      <w:tr w14:paraId="7867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452" w:type="dxa"/>
            <w:vAlign w:val="center"/>
          </w:tcPr>
          <w:p w14:paraId="12E40E53">
            <w:pPr>
              <w:topLinePunct/>
              <w:adjustRightInd w:val="0"/>
              <w:snapToGrid w:val="0"/>
              <w:spacing w:line="560" w:lineRule="exact"/>
              <w:jc w:val="center"/>
              <w:rPr>
                <w:color w:val="auto"/>
                <w:szCs w:val="21"/>
                <w:highlight w:val="none"/>
              </w:rPr>
            </w:pPr>
            <w:r>
              <w:rPr>
                <w:color w:val="auto"/>
                <w:szCs w:val="21"/>
                <w:highlight w:val="none"/>
              </w:rPr>
              <w:t>承担的工作</w:t>
            </w:r>
          </w:p>
        </w:tc>
        <w:tc>
          <w:tcPr>
            <w:tcW w:w="7408" w:type="dxa"/>
          </w:tcPr>
          <w:p w14:paraId="704D20E6">
            <w:pPr>
              <w:topLinePunct/>
              <w:adjustRightInd w:val="0"/>
              <w:snapToGrid w:val="0"/>
              <w:spacing w:line="560" w:lineRule="exact"/>
              <w:rPr>
                <w:color w:val="auto"/>
                <w:szCs w:val="21"/>
                <w:highlight w:val="none"/>
              </w:rPr>
            </w:pPr>
          </w:p>
        </w:tc>
      </w:tr>
      <w:tr w14:paraId="0F48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2452" w:type="dxa"/>
            <w:vAlign w:val="center"/>
          </w:tcPr>
          <w:p w14:paraId="0C5D0180">
            <w:pPr>
              <w:topLinePunct/>
              <w:adjustRightInd w:val="0"/>
              <w:snapToGrid w:val="0"/>
              <w:spacing w:line="560" w:lineRule="exact"/>
              <w:jc w:val="center"/>
              <w:rPr>
                <w:color w:val="auto"/>
                <w:szCs w:val="21"/>
                <w:highlight w:val="none"/>
              </w:rPr>
            </w:pPr>
            <w:r>
              <w:rPr>
                <w:color w:val="auto"/>
                <w:szCs w:val="21"/>
                <w:highlight w:val="none"/>
              </w:rPr>
              <w:t>工程质量</w:t>
            </w:r>
          </w:p>
        </w:tc>
        <w:tc>
          <w:tcPr>
            <w:tcW w:w="7408" w:type="dxa"/>
          </w:tcPr>
          <w:p w14:paraId="236951E4">
            <w:pPr>
              <w:topLinePunct/>
              <w:adjustRightInd w:val="0"/>
              <w:snapToGrid w:val="0"/>
              <w:spacing w:line="560" w:lineRule="exact"/>
              <w:rPr>
                <w:color w:val="auto"/>
                <w:szCs w:val="21"/>
                <w:highlight w:val="none"/>
              </w:rPr>
            </w:pPr>
          </w:p>
        </w:tc>
      </w:tr>
      <w:tr w14:paraId="45C2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452" w:type="dxa"/>
            <w:vAlign w:val="center"/>
          </w:tcPr>
          <w:p w14:paraId="6C38B02F">
            <w:pPr>
              <w:topLinePunct/>
              <w:adjustRightInd w:val="0"/>
              <w:snapToGrid w:val="0"/>
              <w:spacing w:line="560" w:lineRule="exact"/>
              <w:jc w:val="center"/>
              <w:rPr>
                <w:color w:val="auto"/>
                <w:szCs w:val="21"/>
                <w:highlight w:val="none"/>
              </w:rPr>
            </w:pPr>
            <w:r>
              <w:rPr>
                <w:color w:val="auto"/>
                <w:szCs w:val="21"/>
                <w:highlight w:val="none"/>
              </w:rPr>
              <w:t>项目经理（建造师）</w:t>
            </w:r>
          </w:p>
        </w:tc>
        <w:tc>
          <w:tcPr>
            <w:tcW w:w="7408" w:type="dxa"/>
          </w:tcPr>
          <w:p w14:paraId="73AD856A">
            <w:pPr>
              <w:topLinePunct/>
              <w:adjustRightInd w:val="0"/>
              <w:snapToGrid w:val="0"/>
              <w:spacing w:line="560" w:lineRule="exact"/>
              <w:rPr>
                <w:color w:val="auto"/>
                <w:szCs w:val="21"/>
                <w:highlight w:val="none"/>
              </w:rPr>
            </w:pPr>
          </w:p>
        </w:tc>
      </w:tr>
      <w:tr w14:paraId="48A0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2452" w:type="dxa"/>
            <w:vAlign w:val="center"/>
          </w:tcPr>
          <w:p w14:paraId="704518AC">
            <w:pPr>
              <w:topLinePunct/>
              <w:adjustRightInd w:val="0"/>
              <w:snapToGrid w:val="0"/>
              <w:spacing w:line="560" w:lineRule="exact"/>
              <w:jc w:val="center"/>
              <w:rPr>
                <w:color w:val="auto"/>
                <w:szCs w:val="21"/>
                <w:highlight w:val="none"/>
              </w:rPr>
            </w:pPr>
            <w:r>
              <w:rPr>
                <w:color w:val="auto"/>
                <w:szCs w:val="21"/>
                <w:highlight w:val="none"/>
              </w:rPr>
              <w:t>技术负责人</w:t>
            </w:r>
          </w:p>
        </w:tc>
        <w:tc>
          <w:tcPr>
            <w:tcW w:w="7408" w:type="dxa"/>
          </w:tcPr>
          <w:p w14:paraId="31E80F4E">
            <w:pPr>
              <w:topLinePunct/>
              <w:adjustRightInd w:val="0"/>
              <w:snapToGrid w:val="0"/>
              <w:spacing w:line="560" w:lineRule="exact"/>
              <w:rPr>
                <w:color w:val="auto"/>
                <w:szCs w:val="21"/>
                <w:highlight w:val="none"/>
              </w:rPr>
            </w:pPr>
          </w:p>
        </w:tc>
      </w:tr>
      <w:tr w14:paraId="4628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2452" w:type="dxa"/>
            <w:vAlign w:val="center"/>
          </w:tcPr>
          <w:p w14:paraId="3D9F14A4">
            <w:pPr>
              <w:topLinePunct/>
              <w:adjustRightInd w:val="0"/>
              <w:snapToGrid w:val="0"/>
              <w:spacing w:line="560" w:lineRule="exact"/>
              <w:jc w:val="center"/>
              <w:rPr>
                <w:color w:val="auto"/>
                <w:szCs w:val="21"/>
                <w:highlight w:val="none"/>
              </w:rPr>
            </w:pPr>
            <w:r>
              <w:rPr>
                <w:color w:val="auto"/>
                <w:szCs w:val="21"/>
                <w:highlight w:val="none"/>
              </w:rPr>
              <w:t>项目描述</w:t>
            </w:r>
          </w:p>
        </w:tc>
        <w:tc>
          <w:tcPr>
            <w:tcW w:w="7408" w:type="dxa"/>
          </w:tcPr>
          <w:p w14:paraId="7FA63576">
            <w:pPr>
              <w:topLinePunct/>
              <w:adjustRightInd w:val="0"/>
              <w:snapToGrid w:val="0"/>
              <w:spacing w:line="560" w:lineRule="exact"/>
              <w:rPr>
                <w:color w:val="auto"/>
                <w:szCs w:val="21"/>
                <w:highlight w:val="none"/>
              </w:rPr>
            </w:pPr>
          </w:p>
          <w:p w14:paraId="1E928A4F">
            <w:pPr>
              <w:topLinePunct/>
              <w:adjustRightInd w:val="0"/>
              <w:snapToGrid w:val="0"/>
              <w:spacing w:line="560" w:lineRule="exact"/>
              <w:rPr>
                <w:color w:val="auto"/>
                <w:szCs w:val="21"/>
                <w:highlight w:val="none"/>
              </w:rPr>
            </w:pPr>
          </w:p>
          <w:p w14:paraId="73AA3A33">
            <w:pPr>
              <w:topLinePunct/>
              <w:adjustRightInd w:val="0"/>
              <w:snapToGrid w:val="0"/>
              <w:spacing w:line="560" w:lineRule="exact"/>
              <w:rPr>
                <w:color w:val="auto"/>
                <w:szCs w:val="21"/>
                <w:highlight w:val="none"/>
              </w:rPr>
            </w:pPr>
          </w:p>
          <w:p w14:paraId="137C5F58">
            <w:pPr>
              <w:topLinePunct/>
              <w:adjustRightInd w:val="0"/>
              <w:snapToGrid w:val="0"/>
              <w:spacing w:line="560" w:lineRule="exact"/>
              <w:rPr>
                <w:color w:val="auto"/>
                <w:szCs w:val="21"/>
                <w:highlight w:val="none"/>
              </w:rPr>
            </w:pPr>
          </w:p>
          <w:p w14:paraId="62FC9F4C">
            <w:pPr>
              <w:topLinePunct/>
              <w:adjustRightInd w:val="0"/>
              <w:snapToGrid w:val="0"/>
              <w:spacing w:line="560" w:lineRule="exact"/>
              <w:rPr>
                <w:color w:val="auto"/>
                <w:szCs w:val="21"/>
                <w:highlight w:val="none"/>
              </w:rPr>
            </w:pPr>
          </w:p>
          <w:p w14:paraId="172810B1">
            <w:pPr>
              <w:topLinePunct/>
              <w:adjustRightInd w:val="0"/>
              <w:snapToGrid w:val="0"/>
              <w:spacing w:line="560" w:lineRule="exact"/>
              <w:rPr>
                <w:color w:val="auto"/>
                <w:szCs w:val="21"/>
                <w:highlight w:val="none"/>
              </w:rPr>
            </w:pPr>
          </w:p>
          <w:p w14:paraId="5C8B377E">
            <w:pPr>
              <w:topLinePunct/>
              <w:adjustRightInd w:val="0"/>
              <w:snapToGrid w:val="0"/>
              <w:spacing w:line="560" w:lineRule="exact"/>
              <w:rPr>
                <w:color w:val="auto"/>
                <w:szCs w:val="21"/>
                <w:highlight w:val="none"/>
              </w:rPr>
            </w:pPr>
          </w:p>
        </w:tc>
      </w:tr>
      <w:tr w14:paraId="17D6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452" w:type="dxa"/>
            <w:vAlign w:val="center"/>
          </w:tcPr>
          <w:p w14:paraId="72031CBA">
            <w:pPr>
              <w:topLinePunct/>
              <w:adjustRightInd w:val="0"/>
              <w:snapToGrid w:val="0"/>
              <w:spacing w:line="560" w:lineRule="exact"/>
              <w:jc w:val="center"/>
              <w:rPr>
                <w:color w:val="auto"/>
                <w:szCs w:val="21"/>
                <w:highlight w:val="none"/>
              </w:rPr>
            </w:pPr>
            <w:r>
              <w:rPr>
                <w:color w:val="auto"/>
                <w:szCs w:val="21"/>
                <w:highlight w:val="none"/>
              </w:rPr>
              <w:t>备注</w:t>
            </w:r>
          </w:p>
        </w:tc>
        <w:tc>
          <w:tcPr>
            <w:tcW w:w="7408" w:type="dxa"/>
          </w:tcPr>
          <w:p w14:paraId="12297611">
            <w:pPr>
              <w:topLinePunct/>
              <w:adjustRightInd w:val="0"/>
              <w:snapToGrid w:val="0"/>
              <w:spacing w:line="560" w:lineRule="exact"/>
              <w:rPr>
                <w:color w:val="auto"/>
                <w:szCs w:val="21"/>
                <w:highlight w:val="none"/>
              </w:rPr>
            </w:pPr>
          </w:p>
        </w:tc>
      </w:tr>
    </w:tbl>
    <w:p w14:paraId="1CA49AA4">
      <w:pPr>
        <w:pStyle w:val="4"/>
        <w:adjustRightInd w:val="0"/>
        <w:snapToGrid w:val="0"/>
        <w:spacing w:line="560" w:lineRule="exact"/>
        <w:jc w:val="center"/>
        <w:rPr>
          <w:color w:val="auto"/>
          <w:highlight w:val="none"/>
        </w:rPr>
      </w:pPr>
      <w:bookmarkStart w:id="1082" w:name="_Toc10080"/>
      <w:r>
        <w:rPr>
          <w:rFonts w:hint="eastAsia"/>
          <w:color w:val="auto"/>
          <w:highlight w:val="none"/>
        </w:rPr>
        <w:t>（4）</w:t>
      </w:r>
      <w:r>
        <w:rPr>
          <w:color w:val="auto"/>
          <w:highlight w:val="none"/>
        </w:rPr>
        <w:t>项目管理机构</w:t>
      </w:r>
      <w:bookmarkEnd w:id="1082"/>
    </w:p>
    <w:p w14:paraId="2D4C1E3E">
      <w:pPr>
        <w:pStyle w:val="5"/>
        <w:jc w:val="center"/>
        <w:rPr>
          <w:color w:val="auto"/>
          <w:highlight w:val="none"/>
        </w:rPr>
      </w:pPr>
      <w:r>
        <w:rPr>
          <w:rFonts w:hint="eastAsia"/>
          <w:color w:val="auto"/>
          <w:highlight w:val="none"/>
        </w:rPr>
        <w:t>附表1：</w:t>
      </w:r>
      <w:r>
        <w:rPr>
          <w:color w:val="auto"/>
          <w:highlight w:val="none"/>
        </w:rPr>
        <w:t>项目管理机构</w:t>
      </w:r>
      <w:r>
        <w:rPr>
          <w:rFonts w:hint="eastAsia"/>
          <w:color w:val="auto"/>
          <w:highlight w:val="none"/>
        </w:rPr>
        <w:t>主要人员</w:t>
      </w:r>
      <w:r>
        <w:rPr>
          <w:color w:val="auto"/>
          <w:highlight w:val="none"/>
        </w:rPr>
        <w:t>组成表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875"/>
        <w:gridCol w:w="800"/>
        <w:gridCol w:w="1412"/>
        <w:gridCol w:w="963"/>
        <w:gridCol w:w="950"/>
        <w:gridCol w:w="1112"/>
        <w:gridCol w:w="1606"/>
        <w:gridCol w:w="759"/>
      </w:tblGrid>
      <w:tr w14:paraId="6EFB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43" w:type="dxa"/>
            <w:vMerge w:val="restart"/>
            <w:vAlign w:val="center"/>
          </w:tcPr>
          <w:p w14:paraId="4F440D65">
            <w:pPr>
              <w:adjustRightInd w:val="0"/>
              <w:snapToGrid w:val="0"/>
              <w:spacing w:line="560" w:lineRule="exact"/>
              <w:jc w:val="center"/>
              <w:rPr>
                <w:color w:val="auto"/>
                <w:szCs w:val="21"/>
                <w:highlight w:val="none"/>
              </w:rPr>
            </w:pPr>
            <w:r>
              <w:rPr>
                <w:color w:val="auto"/>
                <w:szCs w:val="21"/>
                <w:highlight w:val="none"/>
              </w:rPr>
              <w:t>职务</w:t>
            </w:r>
          </w:p>
        </w:tc>
        <w:tc>
          <w:tcPr>
            <w:tcW w:w="875" w:type="dxa"/>
            <w:vMerge w:val="restart"/>
            <w:vAlign w:val="center"/>
          </w:tcPr>
          <w:p w14:paraId="6773BC1D">
            <w:pPr>
              <w:adjustRightInd w:val="0"/>
              <w:snapToGrid w:val="0"/>
              <w:spacing w:line="560" w:lineRule="exact"/>
              <w:jc w:val="center"/>
              <w:rPr>
                <w:color w:val="auto"/>
                <w:szCs w:val="21"/>
                <w:highlight w:val="none"/>
              </w:rPr>
            </w:pPr>
            <w:r>
              <w:rPr>
                <w:color w:val="auto"/>
                <w:szCs w:val="21"/>
                <w:highlight w:val="none"/>
              </w:rPr>
              <w:t>姓名</w:t>
            </w:r>
          </w:p>
        </w:tc>
        <w:tc>
          <w:tcPr>
            <w:tcW w:w="800" w:type="dxa"/>
            <w:vMerge w:val="restart"/>
            <w:vAlign w:val="center"/>
          </w:tcPr>
          <w:p w14:paraId="616B4EE8">
            <w:pPr>
              <w:adjustRightInd w:val="0"/>
              <w:snapToGrid w:val="0"/>
              <w:spacing w:line="560" w:lineRule="exact"/>
              <w:jc w:val="center"/>
              <w:rPr>
                <w:color w:val="auto"/>
                <w:szCs w:val="21"/>
                <w:highlight w:val="none"/>
              </w:rPr>
            </w:pPr>
            <w:r>
              <w:rPr>
                <w:color w:val="auto"/>
                <w:szCs w:val="21"/>
                <w:highlight w:val="none"/>
              </w:rPr>
              <w:t>职称</w:t>
            </w:r>
          </w:p>
        </w:tc>
        <w:tc>
          <w:tcPr>
            <w:tcW w:w="6043" w:type="dxa"/>
            <w:gridSpan w:val="5"/>
            <w:vAlign w:val="center"/>
          </w:tcPr>
          <w:p w14:paraId="20D78C76">
            <w:pPr>
              <w:adjustRightInd w:val="0"/>
              <w:snapToGrid w:val="0"/>
              <w:spacing w:line="560" w:lineRule="exact"/>
              <w:jc w:val="center"/>
              <w:rPr>
                <w:color w:val="auto"/>
                <w:szCs w:val="21"/>
                <w:highlight w:val="none"/>
              </w:rPr>
            </w:pPr>
            <w:r>
              <w:rPr>
                <w:color w:val="auto"/>
                <w:szCs w:val="21"/>
                <w:highlight w:val="none"/>
              </w:rPr>
              <w:t>执业或职业资格证明</w:t>
            </w:r>
          </w:p>
        </w:tc>
        <w:tc>
          <w:tcPr>
            <w:tcW w:w="759" w:type="dxa"/>
            <w:vAlign w:val="center"/>
          </w:tcPr>
          <w:p w14:paraId="6EA1535B">
            <w:pPr>
              <w:adjustRightInd w:val="0"/>
              <w:snapToGrid w:val="0"/>
              <w:spacing w:line="560" w:lineRule="exact"/>
              <w:jc w:val="center"/>
              <w:rPr>
                <w:color w:val="auto"/>
                <w:szCs w:val="21"/>
                <w:highlight w:val="none"/>
              </w:rPr>
            </w:pPr>
            <w:r>
              <w:rPr>
                <w:color w:val="auto"/>
                <w:szCs w:val="21"/>
                <w:highlight w:val="none"/>
              </w:rPr>
              <w:t>备注</w:t>
            </w:r>
          </w:p>
        </w:tc>
      </w:tr>
      <w:tr w14:paraId="331C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43" w:type="dxa"/>
            <w:vMerge w:val="continue"/>
            <w:vAlign w:val="center"/>
          </w:tcPr>
          <w:p w14:paraId="1C1F3E76">
            <w:pPr>
              <w:adjustRightInd w:val="0"/>
              <w:snapToGrid w:val="0"/>
              <w:spacing w:line="560" w:lineRule="exact"/>
              <w:jc w:val="center"/>
              <w:rPr>
                <w:color w:val="auto"/>
                <w:szCs w:val="21"/>
                <w:highlight w:val="none"/>
              </w:rPr>
            </w:pPr>
          </w:p>
        </w:tc>
        <w:tc>
          <w:tcPr>
            <w:tcW w:w="875" w:type="dxa"/>
            <w:vMerge w:val="continue"/>
            <w:vAlign w:val="center"/>
          </w:tcPr>
          <w:p w14:paraId="5FB77178">
            <w:pPr>
              <w:adjustRightInd w:val="0"/>
              <w:snapToGrid w:val="0"/>
              <w:spacing w:line="560" w:lineRule="exact"/>
              <w:jc w:val="center"/>
              <w:rPr>
                <w:color w:val="auto"/>
                <w:szCs w:val="21"/>
                <w:highlight w:val="none"/>
              </w:rPr>
            </w:pPr>
          </w:p>
        </w:tc>
        <w:tc>
          <w:tcPr>
            <w:tcW w:w="800" w:type="dxa"/>
            <w:vMerge w:val="continue"/>
            <w:vAlign w:val="center"/>
          </w:tcPr>
          <w:p w14:paraId="601CD419">
            <w:pPr>
              <w:adjustRightInd w:val="0"/>
              <w:snapToGrid w:val="0"/>
              <w:spacing w:line="560" w:lineRule="exact"/>
              <w:jc w:val="center"/>
              <w:rPr>
                <w:color w:val="auto"/>
                <w:szCs w:val="21"/>
                <w:highlight w:val="none"/>
              </w:rPr>
            </w:pPr>
          </w:p>
        </w:tc>
        <w:tc>
          <w:tcPr>
            <w:tcW w:w="1412" w:type="dxa"/>
            <w:vAlign w:val="center"/>
          </w:tcPr>
          <w:p w14:paraId="450E4961">
            <w:pPr>
              <w:adjustRightInd w:val="0"/>
              <w:snapToGrid w:val="0"/>
              <w:spacing w:line="560" w:lineRule="exact"/>
              <w:jc w:val="center"/>
              <w:rPr>
                <w:color w:val="auto"/>
                <w:szCs w:val="21"/>
                <w:highlight w:val="none"/>
              </w:rPr>
            </w:pPr>
            <w:r>
              <w:rPr>
                <w:color w:val="auto"/>
                <w:szCs w:val="21"/>
                <w:highlight w:val="none"/>
              </w:rPr>
              <w:t>证书名称</w:t>
            </w:r>
          </w:p>
        </w:tc>
        <w:tc>
          <w:tcPr>
            <w:tcW w:w="963" w:type="dxa"/>
            <w:vAlign w:val="center"/>
          </w:tcPr>
          <w:p w14:paraId="722122DF">
            <w:pPr>
              <w:adjustRightInd w:val="0"/>
              <w:snapToGrid w:val="0"/>
              <w:spacing w:line="560" w:lineRule="exact"/>
              <w:jc w:val="center"/>
              <w:rPr>
                <w:color w:val="auto"/>
                <w:szCs w:val="21"/>
                <w:highlight w:val="none"/>
              </w:rPr>
            </w:pPr>
            <w:r>
              <w:rPr>
                <w:color w:val="auto"/>
                <w:szCs w:val="21"/>
                <w:highlight w:val="none"/>
              </w:rPr>
              <w:t>级别</w:t>
            </w:r>
          </w:p>
        </w:tc>
        <w:tc>
          <w:tcPr>
            <w:tcW w:w="950" w:type="dxa"/>
            <w:vAlign w:val="center"/>
          </w:tcPr>
          <w:p w14:paraId="2F3E7534">
            <w:pPr>
              <w:adjustRightInd w:val="0"/>
              <w:snapToGrid w:val="0"/>
              <w:spacing w:line="560" w:lineRule="exact"/>
              <w:jc w:val="center"/>
              <w:rPr>
                <w:color w:val="auto"/>
                <w:szCs w:val="21"/>
                <w:highlight w:val="none"/>
              </w:rPr>
            </w:pPr>
            <w:r>
              <w:rPr>
                <w:color w:val="auto"/>
                <w:szCs w:val="21"/>
                <w:highlight w:val="none"/>
              </w:rPr>
              <w:t>证号</w:t>
            </w:r>
          </w:p>
        </w:tc>
        <w:tc>
          <w:tcPr>
            <w:tcW w:w="1112" w:type="dxa"/>
            <w:vAlign w:val="center"/>
          </w:tcPr>
          <w:p w14:paraId="0C34A393">
            <w:pPr>
              <w:adjustRightInd w:val="0"/>
              <w:snapToGrid w:val="0"/>
              <w:spacing w:line="560" w:lineRule="exact"/>
              <w:jc w:val="center"/>
              <w:rPr>
                <w:color w:val="auto"/>
                <w:szCs w:val="21"/>
                <w:highlight w:val="none"/>
              </w:rPr>
            </w:pPr>
            <w:r>
              <w:rPr>
                <w:color w:val="auto"/>
                <w:szCs w:val="21"/>
                <w:highlight w:val="none"/>
              </w:rPr>
              <w:t>专业</w:t>
            </w:r>
          </w:p>
        </w:tc>
        <w:tc>
          <w:tcPr>
            <w:tcW w:w="1606" w:type="dxa"/>
            <w:vAlign w:val="center"/>
          </w:tcPr>
          <w:p w14:paraId="383F620A">
            <w:pPr>
              <w:adjustRightInd w:val="0"/>
              <w:snapToGrid w:val="0"/>
              <w:spacing w:line="560" w:lineRule="exact"/>
              <w:jc w:val="center"/>
              <w:rPr>
                <w:color w:val="auto"/>
                <w:szCs w:val="21"/>
                <w:highlight w:val="none"/>
              </w:rPr>
            </w:pPr>
            <w:r>
              <w:rPr>
                <w:color w:val="auto"/>
                <w:szCs w:val="21"/>
                <w:highlight w:val="none"/>
              </w:rPr>
              <w:t>养老保险</w:t>
            </w:r>
          </w:p>
        </w:tc>
        <w:tc>
          <w:tcPr>
            <w:tcW w:w="759" w:type="dxa"/>
            <w:vAlign w:val="center"/>
          </w:tcPr>
          <w:p w14:paraId="4CBD9AA5">
            <w:pPr>
              <w:adjustRightInd w:val="0"/>
              <w:snapToGrid w:val="0"/>
              <w:spacing w:line="560" w:lineRule="exact"/>
              <w:jc w:val="center"/>
              <w:rPr>
                <w:color w:val="auto"/>
                <w:szCs w:val="21"/>
                <w:highlight w:val="none"/>
              </w:rPr>
            </w:pPr>
          </w:p>
        </w:tc>
      </w:tr>
      <w:tr w14:paraId="23A3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43" w:type="dxa"/>
          </w:tcPr>
          <w:p w14:paraId="0C1E23B8">
            <w:pPr>
              <w:adjustRightInd w:val="0"/>
              <w:snapToGrid w:val="0"/>
              <w:spacing w:line="560" w:lineRule="exact"/>
              <w:jc w:val="center"/>
              <w:rPr>
                <w:color w:val="auto"/>
                <w:szCs w:val="21"/>
                <w:highlight w:val="none"/>
              </w:rPr>
            </w:pPr>
            <w:r>
              <w:rPr>
                <w:rFonts w:hint="eastAsia"/>
                <w:color w:val="auto"/>
                <w:szCs w:val="21"/>
                <w:highlight w:val="none"/>
              </w:rPr>
              <w:t>项目经理（建造师）</w:t>
            </w:r>
          </w:p>
        </w:tc>
        <w:tc>
          <w:tcPr>
            <w:tcW w:w="875" w:type="dxa"/>
          </w:tcPr>
          <w:p w14:paraId="4D4CB72D">
            <w:pPr>
              <w:adjustRightInd w:val="0"/>
              <w:snapToGrid w:val="0"/>
              <w:spacing w:line="560" w:lineRule="exact"/>
              <w:jc w:val="center"/>
              <w:rPr>
                <w:color w:val="auto"/>
                <w:szCs w:val="21"/>
                <w:highlight w:val="none"/>
              </w:rPr>
            </w:pPr>
          </w:p>
        </w:tc>
        <w:tc>
          <w:tcPr>
            <w:tcW w:w="800" w:type="dxa"/>
          </w:tcPr>
          <w:p w14:paraId="29212EA3">
            <w:pPr>
              <w:adjustRightInd w:val="0"/>
              <w:snapToGrid w:val="0"/>
              <w:spacing w:line="560" w:lineRule="exact"/>
              <w:jc w:val="center"/>
              <w:rPr>
                <w:color w:val="auto"/>
                <w:szCs w:val="21"/>
                <w:highlight w:val="none"/>
              </w:rPr>
            </w:pPr>
          </w:p>
        </w:tc>
        <w:tc>
          <w:tcPr>
            <w:tcW w:w="1412" w:type="dxa"/>
          </w:tcPr>
          <w:p w14:paraId="0E0997A0">
            <w:pPr>
              <w:adjustRightInd w:val="0"/>
              <w:snapToGrid w:val="0"/>
              <w:spacing w:line="560" w:lineRule="exact"/>
              <w:jc w:val="center"/>
              <w:rPr>
                <w:color w:val="auto"/>
                <w:szCs w:val="21"/>
                <w:highlight w:val="none"/>
              </w:rPr>
            </w:pPr>
          </w:p>
        </w:tc>
        <w:tc>
          <w:tcPr>
            <w:tcW w:w="963" w:type="dxa"/>
          </w:tcPr>
          <w:p w14:paraId="55BB34D8">
            <w:pPr>
              <w:adjustRightInd w:val="0"/>
              <w:snapToGrid w:val="0"/>
              <w:spacing w:line="560" w:lineRule="exact"/>
              <w:jc w:val="center"/>
              <w:rPr>
                <w:color w:val="auto"/>
                <w:szCs w:val="21"/>
                <w:highlight w:val="none"/>
              </w:rPr>
            </w:pPr>
          </w:p>
        </w:tc>
        <w:tc>
          <w:tcPr>
            <w:tcW w:w="950" w:type="dxa"/>
          </w:tcPr>
          <w:p w14:paraId="07765A13">
            <w:pPr>
              <w:adjustRightInd w:val="0"/>
              <w:snapToGrid w:val="0"/>
              <w:spacing w:line="560" w:lineRule="exact"/>
              <w:jc w:val="center"/>
              <w:rPr>
                <w:color w:val="auto"/>
                <w:szCs w:val="21"/>
                <w:highlight w:val="none"/>
              </w:rPr>
            </w:pPr>
          </w:p>
        </w:tc>
        <w:tc>
          <w:tcPr>
            <w:tcW w:w="1112" w:type="dxa"/>
          </w:tcPr>
          <w:p w14:paraId="099481BF">
            <w:pPr>
              <w:adjustRightInd w:val="0"/>
              <w:snapToGrid w:val="0"/>
              <w:spacing w:line="560" w:lineRule="exact"/>
              <w:jc w:val="center"/>
              <w:rPr>
                <w:color w:val="auto"/>
                <w:szCs w:val="21"/>
                <w:highlight w:val="none"/>
              </w:rPr>
            </w:pPr>
          </w:p>
        </w:tc>
        <w:tc>
          <w:tcPr>
            <w:tcW w:w="1606" w:type="dxa"/>
          </w:tcPr>
          <w:p w14:paraId="04E349AF">
            <w:pPr>
              <w:adjustRightInd w:val="0"/>
              <w:snapToGrid w:val="0"/>
              <w:spacing w:line="560" w:lineRule="exact"/>
              <w:jc w:val="center"/>
              <w:rPr>
                <w:color w:val="auto"/>
                <w:szCs w:val="21"/>
                <w:highlight w:val="none"/>
              </w:rPr>
            </w:pPr>
          </w:p>
        </w:tc>
        <w:tc>
          <w:tcPr>
            <w:tcW w:w="759" w:type="dxa"/>
          </w:tcPr>
          <w:p w14:paraId="6378DD69">
            <w:pPr>
              <w:adjustRightInd w:val="0"/>
              <w:snapToGrid w:val="0"/>
              <w:spacing w:line="560" w:lineRule="exact"/>
              <w:jc w:val="center"/>
              <w:rPr>
                <w:color w:val="auto"/>
                <w:szCs w:val="21"/>
                <w:highlight w:val="none"/>
              </w:rPr>
            </w:pPr>
          </w:p>
        </w:tc>
      </w:tr>
      <w:tr w14:paraId="4099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43" w:type="dxa"/>
          </w:tcPr>
          <w:p w14:paraId="3D3BB90B">
            <w:pPr>
              <w:adjustRightInd w:val="0"/>
              <w:snapToGrid w:val="0"/>
              <w:spacing w:line="560" w:lineRule="exact"/>
              <w:jc w:val="center"/>
              <w:rPr>
                <w:color w:val="auto"/>
                <w:szCs w:val="21"/>
                <w:highlight w:val="none"/>
              </w:rPr>
            </w:pPr>
            <w:r>
              <w:rPr>
                <w:rFonts w:hint="eastAsia"/>
                <w:color w:val="auto"/>
                <w:szCs w:val="21"/>
                <w:highlight w:val="none"/>
              </w:rPr>
              <w:t>运维负责人</w:t>
            </w:r>
          </w:p>
        </w:tc>
        <w:tc>
          <w:tcPr>
            <w:tcW w:w="875" w:type="dxa"/>
          </w:tcPr>
          <w:p w14:paraId="0B98431D">
            <w:pPr>
              <w:adjustRightInd w:val="0"/>
              <w:snapToGrid w:val="0"/>
              <w:spacing w:line="560" w:lineRule="exact"/>
              <w:jc w:val="center"/>
              <w:rPr>
                <w:color w:val="auto"/>
                <w:szCs w:val="21"/>
                <w:highlight w:val="none"/>
              </w:rPr>
            </w:pPr>
          </w:p>
        </w:tc>
        <w:tc>
          <w:tcPr>
            <w:tcW w:w="800" w:type="dxa"/>
          </w:tcPr>
          <w:p w14:paraId="05F265F3">
            <w:pPr>
              <w:adjustRightInd w:val="0"/>
              <w:snapToGrid w:val="0"/>
              <w:spacing w:line="560" w:lineRule="exact"/>
              <w:jc w:val="center"/>
              <w:rPr>
                <w:color w:val="auto"/>
                <w:szCs w:val="21"/>
                <w:highlight w:val="none"/>
              </w:rPr>
            </w:pPr>
          </w:p>
        </w:tc>
        <w:tc>
          <w:tcPr>
            <w:tcW w:w="1412" w:type="dxa"/>
          </w:tcPr>
          <w:p w14:paraId="642A1F8F">
            <w:pPr>
              <w:adjustRightInd w:val="0"/>
              <w:snapToGrid w:val="0"/>
              <w:spacing w:line="560" w:lineRule="exact"/>
              <w:jc w:val="center"/>
              <w:rPr>
                <w:color w:val="auto"/>
                <w:szCs w:val="21"/>
                <w:highlight w:val="none"/>
              </w:rPr>
            </w:pPr>
          </w:p>
        </w:tc>
        <w:tc>
          <w:tcPr>
            <w:tcW w:w="963" w:type="dxa"/>
          </w:tcPr>
          <w:p w14:paraId="4F4CE7E9">
            <w:pPr>
              <w:adjustRightInd w:val="0"/>
              <w:snapToGrid w:val="0"/>
              <w:spacing w:line="560" w:lineRule="exact"/>
              <w:jc w:val="center"/>
              <w:rPr>
                <w:color w:val="auto"/>
                <w:szCs w:val="21"/>
                <w:highlight w:val="none"/>
              </w:rPr>
            </w:pPr>
          </w:p>
        </w:tc>
        <w:tc>
          <w:tcPr>
            <w:tcW w:w="950" w:type="dxa"/>
          </w:tcPr>
          <w:p w14:paraId="230989E7">
            <w:pPr>
              <w:adjustRightInd w:val="0"/>
              <w:snapToGrid w:val="0"/>
              <w:spacing w:line="560" w:lineRule="exact"/>
              <w:jc w:val="center"/>
              <w:rPr>
                <w:color w:val="auto"/>
                <w:szCs w:val="21"/>
                <w:highlight w:val="none"/>
              </w:rPr>
            </w:pPr>
          </w:p>
        </w:tc>
        <w:tc>
          <w:tcPr>
            <w:tcW w:w="1112" w:type="dxa"/>
          </w:tcPr>
          <w:p w14:paraId="5E0274EE">
            <w:pPr>
              <w:adjustRightInd w:val="0"/>
              <w:snapToGrid w:val="0"/>
              <w:spacing w:line="560" w:lineRule="exact"/>
              <w:jc w:val="center"/>
              <w:rPr>
                <w:color w:val="auto"/>
                <w:szCs w:val="21"/>
                <w:highlight w:val="none"/>
              </w:rPr>
            </w:pPr>
          </w:p>
        </w:tc>
        <w:tc>
          <w:tcPr>
            <w:tcW w:w="1606" w:type="dxa"/>
          </w:tcPr>
          <w:p w14:paraId="75A2F23C">
            <w:pPr>
              <w:adjustRightInd w:val="0"/>
              <w:snapToGrid w:val="0"/>
              <w:spacing w:line="560" w:lineRule="exact"/>
              <w:jc w:val="center"/>
              <w:rPr>
                <w:color w:val="auto"/>
                <w:szCs w:val="21"/>
                <w:highlight w:val="none"/>
              </w:rPr>
            </w:pPr>
          </w:p>
        </w:tc>
        <w:tc>
          <w:tcPr>
            <w:tcW w:w="759" w:type="dxa"/>
          </w:tcPr>
          <w:p w14:paraId="4DA18EA5">
            <w:pPr>
              <w:adjustRightInd w:val="0"/>
              <w:snapToGrid w:val="0"/>
              <w:spacing w:line="560" w:lineRule="exact"/>
              <w:jc w:val="center"/>
              <w:rPr>
                <w:color w:val="auto"/>
                <w:szCs w:val="21"/>
                <w:highlight w:val="none"/>
              </w:rPr>
            </w:pPr>
          </w:p>
        </w:tc>
      </w:tr>
      <w:tr w14:paraId="0F72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43" w:type="dxa"/>
          </w:tcPr>
          <w:p w14:paraId="5E7AF418">
            <w:pPr>
              <w:adjustRightInd w:val="0"/>
              <w:snapToGrid w:val="0"/>
              <w:spacing w:line="560" w:lineRule="exact"/>
              <w:jc w:val="center"/>
              <w:rPr>
                <w:color w:val="auto"/>
                <w:szCs w:val="21"/>
                <w:highlight w:val="none"/>
              </w:rPr>
            </w:pPr>
            <w:r>
              <w:rPr>
                <w:rFonts w:hint="eastAsia"/>
                <w:color w:val="auto"/>
                <w:szCs w:val="21"/>
                <w:highlight w:val="none"/>
              </w:rPr>
              <w:t>设计负责人</w:t>
            </w:r>
          </w:p>
        </w:tc>
        <w:tc>
          <w:tcPr>
            <w:tcW w:w="875" w:type="dxa"/>
          </w:tcPr>
          <w:p w14:paraId="7CFDDA1B">
            <w:pPr>
              <w:adjustRightInd w:val="0"/>
              <w:snapToGrid w:val="0"/>
              <w:spacing w:line="560" w:lineRule="exact"/>
              <w:jc w:val="center"/>
              <w:rPr>
                <w:color w:val="auto"/>
                <w:szCs w:val="21"/>
                <w:highlight w:val="none"/>
              </w:rPr>
            </w:pPr>
          </w:p>
        </w:tc>
        <w:tc>
          <w:tcPr>
            <w:tcW w:w="800" w:type="dxa"/>
          </w:tcPr>
          <w:p w14:paraId="70EA3549">
            <w:pPr>
              <w:adjustRightInd w:val="0"/>
              <w:snapToGrid w:val="0"/>
              <w:spacing w:line="560" w:lineRule="exact"/>
              <w:jc w:val="center"/>
              <w:rPr>
                <w:color w:val="auto"/>
                <w:szCs w:val="21"/>
                <w:highlight w:val="none"/>
              </w:rPr>
            </w:pPr>
          </w:p>
        </w:tc>
        <w:tc>
          <w:tcPr>
            <w:tcW w:w="1412" w:type="dxa"/>
          </w:tcPr>
          <w:p w14:paraId="6295DF67">
            <w:pPr>
              <w:adjustRightInd w:val="0"/>
              <w:snapToGrid w:val="0"/>
              <w:spacing w:line="560" w:lineRule="exact"/>
              <w:jc w:val="center"/>
              <w:rPr>
                <w:color w:val="auto"/>
                <w:szCs w:val="21"/>
                <w:highlight w:val="none"/>
              </w:rPr>
            </w:pPr>
          </w:p>
        </w:tc>
        <w:tc>
          <w:tcPr>
            <w:tcW w:w="963" w:type="dxa"/>
          </w:tcPr>
          <w:p w14:paraId="75D9578D">
            <w:pPr>
              <w:adjustRightInd w:val="0"/>
              <w:snapToGrid w:val="0"/>
              <w:spacing w:line="560" w:lineRule="exact"/>
              <w:jc w:val="center"/>
              <w:rPr>
                <w:color w:val="auto"/>
                <w:szCs w:val="21"/>
                <w:highlight w:val="none"/>
              </w:rPr>
            </w:pPr>
          </w:p>
        </w:tc>
        <w:tc>
          <w:tcPr>
            <w:tcW w:w="950" w:type="dxa"/>
          </w:tcPr>
          <w:p w14:paraId="06C6A47F">
            <w:pPr>
              <w:adjustRightInd w:val="0"/>
              <w:snapToGrid w:val="0"/>
              <w:spacing w:line="560" w:lineRule="exact"/>
              <w:jc w:val="center"/>
              <w:rPr>
                <w:color w:val="auto"/>
                <w:szCs w:val="21"/>
                <w:highlight w:val="none"/>
              </w:rPr>
            </w:pPr>
          </w:p>
        </w:tc>
        <w:tc>
          <w:tcPr>
            <w:tcW w:w="1112" w:type="dxa"/>
          </w:tcPr>
          <w:p w14:paraId="1F66867B">
            <w:pPr>
              <w:adjustRightInd w:val="0"/>
              <w:snapToGrid w:val="0"/>
              <w:spacing w:line="560" w:lineRule="exact"/>
              <w:jc w:val="center"/>
              <w:rPr>
                <w:color w:val="auto"/>
                <w:szCs w:val="21"/>
                <w:highlight w:val="none"/>
              </w:rPr>
            </w:pPr>
          </w:p>
        </w:tc>
        <w:tc>
          <w:tcPr>
            <w:tcW w:w="1606" w:type="dxa"/>
          </w:tcPr>
          <w:p w14:paraId="421086F1">
            <w:pPr>
              <w:adjustRightInd w:val="0"/>
              <w:snapToGrid w:val="0"/>
              <w:spacing w:line="560" w:lineRule="exact"/>
              <w:jc w:val="center"/>
              <w:rPr>
                <w:color w:val="auto"/>
                <w:szCs w:val="21"/>
                <w:highlight w:val="none"/>
              </w:rPr>
            </w:pPr>
          </w:p>
        </w:tc>
        <w:tc>
          <w:tcPr>
            <w:tcW w:w="759" w:type="dxa"/>
          </w:tcPr>
          <w:p w14:paraId="1F17D9BF">
            <w:pPr>
              <w:adjustRightInd w:val="0"/>
              <w:snapToGrid w:val="0"/>
              <w:spacing w:line="560" w:lineRule="exact"/>
              <w:jc w:val="center"/>
              <w:rPr>
                <w:color w:val="auto"/>
                <w:szCs w:val="21"/>
                <w:highlight w:val="none"/>
              </w:rPr>
            </w:pPr>
          </w:p>
        </w:tc>
      </w:tr>
      <w:tr w14:paraId="7205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43" w:type="dxa"/>
          </w:tcPr>
          <w:p w14:paraId="18BA83B8">
            <w:pPr>
              <w:adjustRightInd w:val="0"/>
              <w:snapToGrid w:val="0"/>
              <w:spacing w:line="560" w:lineRule="exact"/>
              <w:jc w:val="center"/>
              <w:rPr>
                <w:color w:val="auto"/>
                <w:szCs w:val="21"/>
                <w:highlight w:val="none"/>
              </w:rPr>
            </w:pPr>
          </w:p>
        </w:tc>
        <w:tc>
          <w:tcPr>
            <w:tcW w:w="875" w:type="dxa"/>
          </w:tcPr>
          <w:p w14:paraId="01A36D14">
            <w:pPr>
              <w:adjustRightInd w:val="0"/>
              <w:snapToGrid w:val="0"/>
              <w:spacing w:line="560" w:lineRule="exact"/>
              <w:jc w:val="center"/>
              <w:rPr>
                <w:color w:val="auto"/>
                <w:szCs w:val="21"/>
                <w:highlight w:val="none"/>
              </w:rPr>
            </w:pPr>
          </w:p>
        </w:tc>
        <w:tc>
          <w:tcPr>
            <w:tcW w:w="800" w:type="dxa"/>
          </w:tcPr>
          <w:p w14:paraId="6D9CAAFE">
            <w:pPr>
              <w:adjustRightInd w:val="0"/>
              <w:snapToGrid w:val="0"/>
              <w:spacing w:line="560" w:lineRule="exact"/>
              <w:jc w:val="center"/>
              <w:rPr>
                <w:color w:val="auto"/>
                <w:szCs w:val="21"/>
                <w:highlight w:val="none"/>
              </w:rPr>
            </w:pPr>
          </w:p>
        </w:tc>
        <w:tc>
          <w:tcPr>
            <w:tcW w:w="1412" w:type="dxa"/>
          </w:tcPr>
          <w:p w14:paraId="70190B60">
            <w:pPr>
              <w:adjustRightInd w:val="0"/>
              <w:snapToGrid w:val="0"/>
              <w:spacing w:line="560" w:lineRule="exact"/>
              <w:jc w:val="center"/>
              <w:rPr>
                <w:color w:val="auto"/>
                <w:szCs w:val="21"/>
                <w:highlight w:val="none"/>
              </w:rPr>
            </w:pPr>
          </w:p>
        </w:tc>
        <w:tc>
          <w:tcPr>
            <w:tcW w:w="963" w:type="dxa"/>
          </w:tcPr>
          <w:p w14:paraId="4D77D596">
            <w:pPr>
              <w:adjustRightInd w:val="0"/>
              <w:snapToGrid w:val="0"/>
              <w:spacing w:line="560" w:lineRule="exact"/>
              <w:jc w:val="center"/>
              <w:rPr>
                <w:color w:val="auto"/>
                <w:szCs w:val="21"/>
                <w:highlight w:val="none"/>
              </w:rPr>
            </w:pPr>
          </w:p>
        </w:tc>
        <w:tc>
          <w:tcPr>
            <w:tcW w:w="950" w:type="dxa"/>
          </w:tcPr>
          <w:p w14:paraId="08D9E100">
            <w:pPr>
              <w:adjustRightInd w:val="0"/>
              <w:snapToGrid w:val="0"/>
              <w:spacing w:line="560" w:lineRule="exact"/>
              <w:jc w:val="center"/>
              <w:rPr>
                <w:color w:val="auto"/>
                <w:szCs w:val="21"/>
                <w:highlight w:val="none"/>
              </w:rPr>
            </w:pPr>
          </w:p>
        </w:tc>
        <w:tc>
          <w:tcPr>
            <w:tcW w:w="1112" w:type="dxa"/>
          </w:tcPr>
          <w:p w14:paraId="5A3219AB">
            <w:pPr>
              <w:adjustRightInd w:val="0"/>
              <w:snapToGrid w:val="0"/>
              <w:spacing w:line="560" w:lineRule="exact"/>
              <w:jc w:val="center"/>
              <w:rPr>
                <w:color w:val="auto"/>
                <w:szCs w:val="21"/>
                <w:highlight w:val="none"/>
              </w:rPr>
            </w:pPr>
          </w:p>
        </w:tc>
        <w:tc>
          <w:tcPr>
            <w:tcW w:w="1606" w:type="dxa"/>
          </w:tcPr>
          <w:p w14:paraId="51DF96A8">
            <w:pPr>
              <w:adjustRightInd w:val="0"/>
              <w:snapToGrid w:val="0"/>
              <w:spacing w:line="560" w:lineRule="exact"/>
              <w:jc w:val="center"/>
              <w:rPr>
                <w:color w:val="auto"/>
                <w:szCs w:val="21"/>
                <w:highlight w:val="none"/>
              </w:rPr>
            </w:pPr>
          </w:p>
        </w:tc>
        <w:tc>
          <w:tcPr>
            <w:tcW w:w="759" w:type="dxa"/>
          </w:tcPr>
          <w:p w14:paraId="01F90C6D">
            <w:pPr>
              <w:adjustRightInd w:val="0"/>
              <w:snapToGrid w:val="0"/>
              <w:spacing w:line="560" w:lineRule="exact"/>
              <w:jc w:val="center"/>
              <w:rPr>
                <w:color w:val="auto"/>
                <w:szCs w:val="21"/>
                <w:highlight w:val="none"/>
              </w:rPr>
            </w:pPr>
          </w:p>
        </w:tc>
      </w:tr>
    </w:tbl>
    <w:p w14:paraId="5734B5C0">
      <w:pPr>
        <w:adjustRightInd w:val="0"/>
        <w:snapToGrid w:val="0"/>
        <w:spacing w:line="560" w:lineRule="exact"/>
        <w:rPr>
          <w:color w:val="auto"/>
          <w:highlight w:val="none"/>
        </w:rPr>
      </w:pPr>
      <w:r>
        <w:rPr>
          <w:rFonts w:hint="eastAsia"/>
          <w:b/>
          <w:color w:val="auto"/>
          <w:szCs w:val="21"/>
          <w:highlight w:val="none"/>
        </w:rPr>
        <w:t>备注：</w:t>
      </w:r>
      <w:r>
        <w:rPr>
          <w:rFonts w:hint="eastAsia"/>
          <w:color w:val="auto"/>
          <w:highlight w:val="none"/>
        </w:rPr>
        <w:t>根据安徽省住房和城乡建设厅《关于调整招标投标活动中有关住房城乡建设领域现场专业人员证书要求的通知》（建市函〔2019〕1112 号）要求，不再将住房城乡建设领域现场专业技术人员（包括施工员、质量员、安全员、资料员、材料员、劳务员、机械员、标准员）及取样员持证情况列入招标投标文件，招标人或招标代理机构需按照住房和城乡建设部及安徽省相关标准规定 明确投标人需要配备其他主要管理人员和技术人员数量的最低要求。中标人和招标人在签订合同时应按照不低于上述人员配置的要求填写承包人主要施工管理人员表，并作为合同的附件之一。</w:t>
      </w:r>
    </w:p>
    <w:p w14:paraId="1EB3A391">
      <w:pPr>
        <w:rPr>
          <w:color w:val="auto"/>
          <w:highlight w:val="none"/>
        </w:rPr>
      </w:pPr>
      <w:r>
        <w:rPr>
          <w:rFonts w:hint="eastAsia"/>
          <w:color w:val="auto"/>
          <w:highlight w:val="none"/>
        </w:rPr>
        <w:br w:type="page"/>
      </w:r>
    </w:p>
    <w:p w14:paraId="41D72B71">
      <w:pPr>
        <w:pStyle w:val="18"/>
        <w:rPr>
          <w:color w:val="auto"/>
          <w:highlight w:val="none"/>
        </w:rPr>
      </w:pPr>
    </w:p>
    <w:p w14:paraId="5CDB81BA">
      <w:pPr>
        <w:pStyle w:val="5"/>
        <w:jc w:val="center"/>
        <w:rPr>
          <w:color w:val="auto"/>
          <w:sz w:val="23"/>
          <w:szCs w:val="23"/>
          <w:highlight w:val="none"/>
        </w:rPr>
      </w:pPr>
      <w:r>
        <w:rPr>
          <w:rFonts w:hint="eastAsia"/>
          <w:color w:val="auto"/>
          <w:highlight w:val="none"/>
        </w:rPr>
        <w:t>附表2：拟任项目经理（建造师）</w:t>
      </w:r>
      <w:r>
        <w:rPr>
          <w:color w:val="auto"/>
          <w:highlight w:val="none"/>
        </w:rPr>
        <w:t>简历表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394"/>
        <w:gridCol w:w="791"/>
        <w:gridCol w:w="1018"/>
        <w:gridCol w:w="1170"/>
        <w:gridCol w:w="777"/>
        <w:gridCol w:w="1385"/>
        <w:gridCol w:w="177"/>
        <w:gridCol w:w="2345"/>
      </w:tblGrid>
      <w:tr w14:paraId="569D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vAlign w:val="center"/>
          </w:tcPr>
          <w:p w14:paraId="1E92D378">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姓  名</w:t>
            </w:r>
          </w:p>
        </w:tc>
        <w:tc>
          <w:tcPr>
            <w:tcW w:w="1185" w:type="dxa"/>
            <w:gridSpan w:val="2"/>
            <w:vAlign w:val="center"/>
          </w:tcPr>
          <w:p w14:paraId="647D38D4">
            <w:pPr>
              <w:adjustRightInd w:val="0"/>
              <w:snapToGrid w:val="0"/>
              <w:spacing w:line="560" w:lineRule="exact"/>
              <w:jc w:val="center"/>
              <w:rPr>
                <w:rFonts w:ascii="宋体" w:hAnsi="宋体"/>
                <w:color w:val="auto"/>
                <w:szCs w:val="21"/>
                <w:highlight w:val="none"/>
              </w:rPr>
            </w:pPr>
          </w:p>
        </w:tc>
        <w:tc>
          <w:tcPr>
            <w:tcW w:w="1018" w:type="dxa"/>
            <w:vAlign w:val="center"/>
          </w:tcPr>
          <w:p w14:paraId="4AE96431">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年 龄</w:t>
            </w:r>
          </w:p>
        </w:tc>
        <w:tc>
          <w:tcPr>
            <w:tcW w:w="1170" w:type="dxa"/>
            <w:vAlign w:val="center"/>
          </w:tcPr>
          <w:p w14:paraId="39717FA7">
            <w:pPr>
              <w:adjustRightInd w:val="0"/>
              <w:snapToGrid w:val="0"/>
              <w:spacing w:line="560" w:lineRule="exact"/>
              <w:jc w:val="center"/>
              <w:rPr>
                <w:rFonts w:ascii="宋体" w:hAnsi="宋体"/>
                <w:color w:val="auto"/>
                <w:szCs w:val="21"/>
                <w:highlight w:val="none"/>
              </w:rPr>
            </w:pPr>
          </w:p>
        </w:tc>
        <w:tc>
          <w:tcPr>
            <w:tcW w:w="2339" w:type="dxa"/>
            <w:gridSpan w:val="3"/>
            <w:vAlign w:val="center"/>
          </w:tcPr>
          <w:p w14:paraId="52EC3283">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学历</w:t>
            </w:r>
          </w:p>
        </w:tc>
        <w:tc>
          <w:tcPr>
            <w:tcW w:w="2345" w:type="dxa"/>
            <w:vAlign w:val="center"/>
          </w:tcPr>
          <w:p w14:paraId="51EBCE72">
            <w:pPr>
              <w:adjustRightInd w:val="0"/>
              <w:snapToGrid w:val="0"/>
              <w:spacing w:line="560" w:lineRule="exact"/>
              <w:rPr>
                <w:rFonts w:ascii="宋体" w:hAnsi="宋体"/>
                <w:color w:val="auto"/>
                <w:szCs w:val="21"/>
                <w:highlight w:val="none"/>
              </w:rPr>
            </w:pPr>
          </w:p>
        </w:tc>
      </w:tr>
      <w:tr w14:paraId="561A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vAlign w:val="center"/>
          </w:tcPr>
          <w:p w14:paraId="712E0274">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称</w:t>
            </w:r>
          </w:p>
        </w:tc>
        <w:tc>
          <w:tcPr>
            <w:tcW w:w="1185" w:type="dxa"/>
            <w:gridSpan w:val="2"/>
            <w:vAlign w:val="center"/>
          </w:tcPr>
          <w:p w14:paraId="46C7E155">
            <w:pPr>
              <w:adjustRightInd w:val="0"/>
              <w:snapToGrid w:val="0"/>
              <w:spacing w:line="560" w:lineRule="exact"/>
              <w:jc w:val="center"/>
              <w:rPr>
                <w:rFonts w:ascii="宋体" w:hAnsi="宋体"/>
                <w:color w:val="auto"/>
                <w:szCs w:val="21"/>
                <w:highlight w:val="none"/>
              </w:rPr>
            </w:pPr>
          </w:p>
        </w:tc>
        <w:tc>
          <w:tcPr>
            <w:tcW w:w="1018" w:type="dxa"/>
            <w:vAlign w:val="center"/>
          </w:tcPr>
          <w:p w14:paraId="667054FC">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务</w:t>
            </w:r>
          </w:p>
        </w:tc>
        <w:tc>
          <w:tcPr>
            <w:tcW w:w="1170" w:type="dxa"/>
            <w:vAlign w:val="center"/>
          </w:tcPr>
          <w:p w14:paraId="36183172">
            <w:pPr>
              <w:adjustRightInd w:val="0"/>
              <w:snapToGrid w:val="0"/>
              <w:spacing w:line="560" w:lineRule="exact"/>
              <w:jc w:val="center"/>
              <w:rPr>
                <w:rFonts w:ascii="宋体" w:hAnsi="宋体"/>
                <w:color w:val="auto"/>
                <w:szCs w:val="21"/>
                <w:highlight w:val="none"/>
              </w:rPr>
            </w:pPr>
          </w:p>
        </w:tc>
        <w:tc>
          <w:tcPr>
            <w:tcW w:w="2339" w:type="dxa"/>
            <w:gridSpan w:val="3"/>
            <w:vAlign w:val="center"/>
          </w:tcPr>
          <w:p w14:paraId="6FABD2BA">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拟在本合同任职</w:t>
            </w:r>
          </w:p>
        </w:tc>
        <w:tc>
          <w:tcPr>
            <w:tcW w:w="2345" w:type="dxa"/>
            <w:vAlign w:val="center"/>
          </w:tcPr>
          <w:p w14:paraId="7D6BEBA8">
            <w:pPr>
              <w:adjustRightInd w:val="0"/>
              <w:snapToGrid w:val="0"/>
              <w:spacing w:line="560" w:lineRule="exact"/>
              <w:rPr>
                <w:rFonts w:ascii="宋体" w:hAnsi="宋体"/>
                <w:color w:val="auto"/>
                <w:szCs w:val="21"/>
                <w:highlight w:val="none"/>
              </w:rPr>
            </w:pPr>
          </w:p>
        </w:tc>
      </w:tr>
      <w:tr w14:paraId="0049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vAlign w:val="center"/>
          </w:tcPr>
          <w:p w14:paraId="319E8BF0">
            <w:pPr>
              <w:adjustRightInd w:val="0"/>
              <w:snapToGrid w:val="0"/>
              <w:spacing w:line="560" w:lineRule="exact"/>
              <w:rPr>
                <w:rFonts w:ascii="宋体" w:hAnsi="宋体"/>
                <w:color w:val="auto"/>
                <w:szCs w:val="21"/>
                <w:highlight w:val="none"/>
              </w:rPr>
            </w:pPr>
            <w:r>
              <w:rPr>
                <w:rFonts w:ascii="宋体" w:hAnsi="宋体"/>
                <w:color w:val="auto"/>
                <w:szCs w:val="21"/>
                <w:highlight w:val="none"/>
              </w:rPr>
              <w:t>毕业学校</w:t>
            </w:r>
          </w:p>
        </w:tc>
        <w:tc>
          <w:tcPr>
            <w:tcW w:w="8057" w:type="dxa"/>
            <w:gridSpan w:val="8"/>
          </w:tcPr>
          <w:p w14:paraId="55D96DC0">
            <w:pPr>
              <w:adjustRightInd w:val="0"/>
              <w:snapToGrid w:val="0"/>
              <w:spacing w:line="560" w:lineRule="exact"/>
              <w:rPr>
                <w:rFonts w:ascii="宋体" w:hAnsi="宋体"/>
                <w:color w:val="auto"/>
                <w:szCs w:val="21"/>
                <w:highlight w:val="none"/>
              </w:rPr>
            </w:pPr>
            <w:r>
              <w:rPr>
                <w:rFonts w:ascii="宋体" w:hAnsi="宋体"/>
                <w:color w:val="auto"/>
                <w:szCs w:val="21"/>
                <w:highlight w:val="none"/>
              </w:rPr>
              <w:t xml:space="preserve">      年毕业于            学校        专业</w:t>
            </w:r>
          </w:p>
        </w:tc>
      </w:tr>
      <w:tr w14:paraId="0ABD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360" w:type="dxa"/>
            <w:gridSpan w:val="9"/>
            <w:vAlign w:val="center"/>
          </w:tcPr>
          <w:p w14:paraId="43E85689">
            <w:pPr>
              <w:adjustRightInd w:val="0"/>
              <w:snapToGrid w:val="0"/>
              <w:spacing w:line="560" w:lineRule="exact"/>
              <w:rPr>
                <w:rFonts w:ascii="宋体" w:hAnsi="宋体"/>
                <w:color w:val="auto"/>
                <w:szCs w:val="21"/>
                <w:highlight w:val="none"/>
              </w:rPr>
            </w:pPr>
            <w:r>
              <w:rPr>
                <w:rFonts w:ascii="宋体" w:hAnsi="宋体"/>
                <w:color w:val="auto"/>
                <w:szCs w:val="21"/>
                <w:highlight w:val="none"/>
              </w:rPr>
              <w:t>主要工作经历</w:t>
            </w:r>
          </w:p>
        </w:tc>
      </w:tr>
      <w:tr w14:paraId="2505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697" w:type="dxa"/>
            <w:gridSpan w:val="2"/>
            <w:vAlign w:val="center"/>
          </w:tcPr>
          <w:p w14:paraId="69E82CDF">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时  间</w:t>
            </w:r>
          </w:p>
        </w:tc>
        <w:tc>
          <w:tcPr>
            <w:tcW w:w="3756" w:type="dxa"/>
            <w:gridSpan w:val="4"/>
            <w:vAlign w:val="center"/>
          </w:tcPr>
          <w:p w14:paraId="2B7AF8CB">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参加过的类似项目</w:t>
            </w:r>
          </w:p>
        </w:tc>
        <w:tc>
          <w:tcPr>
            <w:tcW w:w="1385" w:type="dxa"/>
            <w:vAlign w:val="center"/>
          </w:tcPr>
          <w:p w14:paraId="22761696">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担任职务</w:t>
            </w:r>
          </w:p>
        </w:tc>
        <w:tc>
          <w:tcPr>
            <w:tcW w:w="2522" w:type="dxa"/>
            <w:gridSpan w:val="2"/>
            <w:vAlign w:val="center"/>
          </w:tcPr>
          <w:p w14:paraId="0CC0A585">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发包人及联系电话</w:t>
            </w:r>
          </w:p>
        </w:tc>
      </w:tr>
      <w:tr w14:paraId="7C7E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4259A0F3">
            <w:pPr>
              <w:adjustRightInd w:val="0"/>
              <w:snapToGrid w:val="0"/>
              <w:spacing w:line="560" w:lineRule="exact"/>
              <w:rPr>
                <w:rFonts w:eastAsia="黑体"/>
                <w:color w:val="auto"/>
                <w:szCs w:val="21"/>
                <w:highlight w:val="none"/>
              </w:rPr>
            </w:pPr>
          </w:p>
        </w:tc>
        <w:tc>
          <w:tcPr>
            <w:tcW w:w="3756" w:type="dxa"/>
            <w:gridSpan w:val="4"/>
          </w:tcPr>
          <w:p w14:paraId="60CD482B">
            <w:pPr>
              <w:adjustRightInd w:val="0"/>
              <w:snapToGrid w:val="0"/>
              <w:spacing w:line="560" w:lineRule="exact"/>
              <w:rPr>
                <w:rFonts w:eastAsia="黑体"/>
                <w:color w:val="auto"/>
                <w:szCs w:val="21"/>
                <w:highlight w:val="none"/>
              </w:rPr>
            </w:pPr>
          </w:p>
        </w:tc>
        <w:tc>
          <w:tcPr>
            <w:tcW w:w="1385" w:type="dxa"/>
          </w:tcPr>
          <w:p w14:paraId="3E8F973E">
            <w:pPr>
              <w:adjustRightInd w:val="0"/>
              <w:snapToGrid w:val="0"/>
              <w:spacing w:line="560" w:lineRule="exact"/>
              <w:rPr>
                <w:rFonts w:eastAsia="黑体"/>
                <w:color w:val="auto"/>
                <w:szCs w:val="21"/>
                <w:highlight w:val="none"/>
              </w:rPr>
            </w:pPr>
          </w:p>
        </w:tc>
        <w:tc>
          <w:tcPr>
            <w:tcW w:w="2522" w:type="dxa"/>
            <w:gridSpan w:val="2"/>
          </w:tcPr>
          <w:p w14:paraId="05E34664">
            <w:pPr>
              <w:adjustRightInd w:val="0"/>
              <w:snapToGrid w:val="0"/>
              <w:spacing w:line="560" w:lineRule="exact"/>
              <w:rPr>
                <w:rFonts w:eastAsia="黑体"/>
                <w:color w:val="auto"/>
                <w:szCs w:val="21"/>
                <w:highlight w:val="none"/>
              </w:rPr>
            </w:pPr>
          </w:p>
        </w:tc>
      </w:tr>
      <w:tr w14:paraId="7054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6ABB43A3">
            <w:pPr>
              <w:adjustRightInd w:val="0"/>
              <w:snapToGrid w:val="0"/>
              <w:spacing w:line="560" w:lineRule="exact"/>
              <w:rPr>
                <w:rFonts w:eastAsia="黑体"/>
                <w:color w:val="auto"/>
                <w:szCs w:val="21"/>
                <w:highlight w:val="none"/>
              </w:rPr>
            </w:pPr>
          </w:p>
        </w:tc>
        <w:tc>
          <w:tcPr>
            <w:tcW w:w="3756" w:type="dxa"/>
            <w:gridSpan w:val="4"/>
          </w:tcPr>
          <w:p w14:paraId="4094574F">
            <w:pPr>
              <w:adjustRightInd w:val="0"/>
              <w:snapToGrid w:val="0"/>
              <w:spacing w:line="560" w:lineRule="exact"/>
              <w:rPr>
                <w:rFonts w:eastAsia="黑体"/>
                <w:color w:val="auto"/>
                <w:szCs w:val="21"/>
                <w:highlight w:val="none"/>
              </w:rPr>
            </w:pPr>
          </w:p>
        </w:tc>
        <w:tc>
          <w:tcPr>
            <w:tcW w:w="1385" w:type="dxa"/>
          </w:tcPr>
          <w:p w14:paraId="7171514E">
            <w:pPr>
              <w:adjustRightInd w:val="0"/>
              <w:snapToGrid w:val="0"/>
              <w:spacing w:line="560" w:lineRule="exact"/>
              <w:rPr>
                <w:rFonts w:eastAsia="黑体"/>
                <w:color w:val="auto"/>
                <w:szCs w:val="21"/>
                <w:highlight w:val="none"/>
              </w:rPr>
            </w:pPr>
          </w:p>
        </w:tc>
        <w:tc>
          <w:tcPr>
            <w:tcW w:w="2522" w:type="dxa"/>
            <w:gridSpan w:val="2"/>
          </w:tcPr>
          <w:p w14:paraId="16CCE25F">
            <w:pPr>
              <w:adjustRightInd w:val="0"/>
              <w:snapToGrid w:val="0"/>
              <w:spacing w:line="560" w:lineRule="exact"/>
              <w:rPr>
                <w:rFonts w:eastAsia="黑体"/>
                <w:color w:val="auto"/>
                <w:szCs w:val="21"/>
                <w:highlight w:val="none"/>
              </w:rPr>
            </w:pPr>
          </w:p>
        </w:tc>
      </w:tr>
      <w:tr w14:paraId="45AA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6177E6ED">
            <w:pPr>
              <w:adjustRightInd w:val="0"/>
              <w:snapToGrid w:val="0"/>
              <w:spacing w:line="560" w:lineRule="exact"/>
              <w:rPr>
                <w:rFonts w:eastAsia="黑体"/>
                <w:color w:val="auto"/>
                <w:szCs w:val="21"/>
                <w:highlight w:val="none"/>
              </w:rPr>
            </w:pPr>
          </w:p>
        </w:tc>
        <w:tc>
          <w:tcPr>
            <w:tcW w:w="3756" w:type="dxa"/>
            <w:gridSpan w:val="4"/>
          </w:tcPr>
          <w:p w14:paraId="54AAA0D9">
            <w:pPr>
              <w:adjustRightInd w:val="0"/>
              <w:snapToGrid w:val="0"/>
              <w:spacing w:line="560" w:lineRule="exact"/>
              <w:rPr>
                <w:rFonts w:eastAsia="黑体"/>
                <w:color w:val="auto"/>
                <w:szCs w:val="21"/>
                <w:highlight w:val="none"/>
              </w:rPr>
            </w:pPr>
          </w:p>
        </w:tc>
        <w:tc>
          <w:tcPr>
            <w:tcW w:w="1385" w:type="dxa"/>
          </w:tcPr>
          <w:p w14:paraId="6AE21DA0">
            <w:pPr>
              <w:adjustRightInd w:val="0"/>
              <w:snapToGrid w:val="0"/>
              <w:spacing w:line="560" w:lineRule="exact"/>
              <w:rPr>
                <w:rFonts w:eastAsia="黑体"/>
                <w:color w:val="auto"/>
                <w:szCs w:val="21"/>
                <w:highlight w:val="none"/>
              </w:rPr>
            </w:pPr>
          </w:p>
        </w:tc>
        <w:tc>
          <w:tcPr>
            <w:tcW w:w="2522" w:type="dxa"/>
            <w:gridSpan w:val="2"/>
          </w:tcPr>
          <w:p w14:paraId="16044D58">
            <w:pPr>
              <w:adjustRightInd w:val="0"/>
              <w:snapToGrid w:val="0"/>
              <w:spacing w:line="560" w:lineRule="exact"/>
              <w:rPr>
                <w:rFonts w:eastAsia="黑体"/>
                <w:color w:val="auto"/>
                <w:szCs w:val="21"/>
                <w:highlight w:val="none"/>
              </w:rPr>
            </w:pPr>
          </w:p>
        </w:tc>
      </w:tr>
      <w:tr w14:paraId="1CE8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58937C9E">
            <w:pPr>
              <w:adjustRightInd w:val="0"/>
              <w:snapToGrid w:val="0"/>
              <w:spacing w:line="560" w:lineRule="exact"/>
              <w:rPr>
                <w:rFonts w:eastAsia="黑体"/>
                <w:color w:val="auto"/>
                <w:szCs w:val="21"/>
                <w:highlight w:val="none"/>
              </w:rPr>
            </w:pPr>
          </w:p>
        </w:tc>
        <w:tc>
          <w:tcPr>
            <w:tcW w:w="3756" w:type="dxa"/>
            <w:gridSpan w:val="4"/>
          </w:tcPr>
          <w:p w14:paraId="024930AD">
            <w:pPr>
              <w:adjustRightInd w:val="0"/>
              <w:snapToGrid w:val="0"/>
              <w:spacing w:line="560" w:lineRule="exact"/>
              <w:rPr>
                <w:rFonts w:eastAsia="黑体"/>
                <w:color w:val="auto"/>
                <w:szCs w:val="21"/>
                <w:highlight w:val="none"/>
              </w:rPr>
            </w:pPr>
          </w:p>
        </w:tc>
        <w:tc>
          <w:tcPr>
            <w:tcW w:w="1385" w:type="dxa"/>
          </w:tcPr>
          <w:p w14:paraId="5DD654B1">
            <w:pPr>
              <w:adjustRightInd w:val="0"/>
              <w:snapToGrid w:val="0"/>
              <w:spacing w:line="560" w:lineRule="exact"/>
              <w:rPr>
                <w:rFonts w:eastAsia="黑体"/>
                <w:color w:val="auto"/>
                <w:szCs w:val="21"/>
                <w:highlight w:val="none"/>
              </w:rPr>
            </w:pPr>
          </w:p>
        </w:tc>
        <w:tc>
          <w:tcPr>
            <w:tcW w:w="2522" w:type="dxa"/>
            <w:gridSpan w:val="2"/>
          </w:tcPr>
          <w:p w14:paraId="18FA2C1D">
            <w:pPr>
              <w:adjustRightInd w:val="0"/>
              <w:snapToGrid w:val="0"/>
              <w:spacing w:line="560" w:lineRule="exact"/>
              <w:rPr>
                <w:rFonts w:eastAsia="黑体"/>
                <w:color w:val="auto"/>
                <w:szCs w:val="21"/>
                <w:highlight w:val="none"/>
              </w:rPr>
            </w:pPr>
          </w:p>
        </w:tc>
      </w:tr>
      <w:tr w14:paraId="73F0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4DC0C714">
            <w:pPr>
              <w:adjustRightInd w:val="0"/>
              <w:snapToGrid w:val="0"/>
              <w:spacing w:line="560" w:lineRule="exact"/>
              <w:rPr>
                <w:rFonts w:eastAsia="黑体"/>
                <w:color w:val="auto"/>
                <w:szCs w:val="21"/>
                <w:highlight w:val="none"/>
              </w:rPr>
            </w:pPr>
          </w:p>
        </w:tc>
        <w:tc>
          <w:tcPr>
            <w:tcW w:w="3756" w:type="dxa"/>
            <w:gridSpan w:val="4"/>
          </w:tcPr>
          <w:p w14:paraId="0BA6C8E1">
            <w:pPr>
              <w:adjustRightInd w:val="0"/>
              <w:snapToGrid w:val="0"/>
              <w:spacing w:line="560" w:lineRule="exact"/>
              <w:rPr>
                <w:rFonts w:eastAsia="黑体"/>
                <w:color w:val="auto"/>
                <w:szCs w:val="21"/>
                <w:highlight w:val="none"/>
              </w:rPr>
            </w:pPr>
          </w:p>
        </w:tc>
        <w:tc>
          <w:tcPr>
            <w:tcW w:w="1385" w:type="dxa"/>
          </w:tcPr>
          <w:p w14:paraId="22631910">
            <w:pPr>
              <w:adjustRightInd w:val="0"/>
              <w:snapToGrid w:val="0"/>
              <w:spacing w:line="560" w:lineRule="exact"/>
              <w:rPr>
                <w:rFonts w:eastAsia="黑体"/>
                <w:color w:val="auto"/>
                <w:szCs w:val="21"/>
                <w:highlight w:val="none"/>
              </w:rPr>
            </w:pPr>
          </w:p>
        </w:tc>
        <w:tc>
          <w:tcPr>
            <w:tcW w:w="2522" w:type="dxa"/>
            <w:gridSpan w:val="2"/>
          </w:tcPr>
          <w:p w14:paraId="21B26B81">
            <w:pPr>
              <w:adjustRightInd w:val="0"/>
              <w:snapToGrid w:val="0"/>
              <w:spacing w:line="560" w:lineRule="exact"/>
              <w:rPr>
                <w:rFonts w:eastAsia="黑体"/>
                <w:color w:val="auto"/>
                <w:szCs w:val="21"/>
                <w:highlight w:val="none"/>
              </w:rPr>
            </w:pPr>
          </w:p>
        </w:tc>
      </w:tr>
      <w:tr w14:paraId="1309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4EB0F198">
            <w:pPr>
              <w:adjustRightInd w:val="0"/>
              <w:snapToGrid w:val="0"/>
              <w:spacing w:line="560" w:lineRule="exact"/>
              <w:rPr>
                <w:rFonts w:eastAsia="黑体"/>
                <w:color w:val="auto"/>
                <w:szCs w:val="21"/>
                <w:highlight w:val="none"/>
              </w:rPr>
            </w:pPr>
          </w:p>
        </w:tc>
        <w:tc>
          <w:tcPr>
            <w:tcW w:w="3756" w:type="dxa"/>
            <w:gridSpan w:val="4"/>
          </w:tcPr>
          <w:p w14:paraId="6C460965">
            <w:pPr>
              <w:adjustRightInd w:val="0"/>
              <w:snapToGrid w:val="0"/>
              <w:spacing w:line="560" w:lineRule="exact"/>
              <w:rPr>
                <w:rFonts w:eastAsia="黑体"/>
                <w:color w:val="auto"/>
                <w:szCs w:val="21"/>
                <w:highlight w:val="none"/>
              </w:rPr>
            </w:pPr>
          </w:p>
        </w:tc>
        <w:tc>
          <w:tcPr>
            <w:tcW w:w="1385" w:type="dxa"/>
          </w:tcPr>
          <w:p w14:paraId="203C8884">
            <w:pPr>
              <w:adjustRightInd w:val="0"/>
              <w:snapToGrid w:val="0"/>
              <w:spacing w:line="560" w:lineRule="exact"/>
              <w:rPr>
                <w:rFonts w:eastAsia="黑体"/>
                <w:color w:val="auto"/>
                <w:szCs w:val="21"/>
                <w:highlight w:val="none"/>
              </w:rPr>
            </w:pPr>
          </w:p>
        </w:tc>
        <w:tc>
          <w:tcPr>
            <w:tcW w:w="2522" w:type="dxa"/>
            <w:gridSpan w:val="2"/>
          </w:tcPr>
          <w:p w14:paraId="0B98F4AD">
            <w:pPr>
              <w:adjustRightInd w:val="0"/>
              <w:snapToGrid w:val="0"/>
              <w:spacing w:line="560" w:lineRule="exact"/>
              <w:rPr>
                <w:rFonts w:eastAsia="黑体"/>
                <w:color w:val="auto"/>
                <w:szCs w:val="21"/>
                <w:highlight w:val="none"/>
              </w:rPr>
            </w:pPr>
          </w:p>
        </w:tc>
      </w:tr>
      <w:tr w14:paraId="17C4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716021A6">
            <w:pPr>
              <w:adjustRightInd w:val="0"/>
              <w:snapToGrid w:val="0"/>
              <w:spacing w:line="560" w:lineRule="exact"/>
              <w:rPr>
                <w:rFonts w:eastAsia="黑体"/>
                <w:color w:val="auto"/>
                <w:szCs w:val="21"/>
                <w:highlight w:val="none"/>
              </w:rPr>
            </w:pPr>
          </w:p>
        </w:tc>
        <w:tc>
          <w:tcPr>
            <w:tcW w:w="3756" w:type="dxa"/>
            <w:gridSpan w:val="4"/>
          </w:tcPr>
          <w:p w14:paraId="723785B4">
            <w:pPr>
              <w:adjustRightInd w:val="0"/>
              <w:snapToGrid w:val="0"/>
              <w:spacing w:line="560" w:lineRule="exact"/>
              <w:rPr>
                <w:rFonts w:eastAsia="黑体"/>
                <w:color w:val="auto"/>
                <w:szCs w:val="21"/>
                <w:highlight w:val="none"/>
              </w:rPr>
            </w:pPr>
          </w:p>
        </w:tc>
        <w:tc>
          <w:tcPr>
            <w:tcW w:w="1385" w:type="dxa"/>
          </w:tcPr>
          <w:p w14:paraId="6AA5348C">
            <w:pPr>
              <w:adjustRightInd w:val="0"/>
              <w:snapToGrid w:val="0"/>
              <w:spacing w:line="560" w:lineRule="exact"/>
              <w:rPr>
                <w:rFonts w:eastAsia="黑体"/>
                <w:color w:val="auto"/>
                <w:szCs w:val="21"/>
                <w:highlight w:val="none"/>
              </w:rPr>
            </w:pPr>
          </w:p>
        </w:tc>
        <w:tc>
          <w:tcPr>
            <w:tcW w:w="2522" w:type="dxa"/>
            <w:gridSpan w:val="2"/>
          </w:tcPr>
          <w:p w14:paraId="75B08A1F">
            <w:pPr>
              <w:adjustRightInd w:val="0"/>
              <w:snapToGrid w:val="0"/>
              <w:spacing w:line="560" w:lineRule="exact"/>
              <w:rPr>
                <w:rFonts w:eastAsia="黑体"/>
                <w:color w:val="auto"/>
                <w:szCs w:val="21"/>
                <w:highlight w:val="none"/>
              </w:rPr>
            </w:pPr>
          </w:p>
        </w:tc>
      </w:tr>
      <w:tr w14:paraId="4069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5795DA32">
            <w:pPr>
              <w:adjustRightInd w:val="0"/>
              <w:snapToGrid w:val="0"/>
              <w:spacing w:line="560" w:lineRule="exact"/>
              <w:rPr>
                <w:rFonts w:eastAsia="黑体"/>
                <w:color w:val="auto"/>
                <w:szCs w:val="21"/>
                <w:highlight w:val="none"/>
              </w:rPr>
            </w:pPr>
          </w:p>
        </w:tc>
        <w:tc>
          <w:tcPr>
            <w:tcW w:w="3756" w:type="dxa"/>
            <w:gridSpan w:val="4"/>
          </w:tcPr>
          <w:p w14:paraId="2B0138B5">
            <w:pPr>
              <w:adjustRightInd w:val="0"/>
              <w:snapToGrid w:val="0"/>
              <w:spacing w:line="560" w:lineRule="exact"/>
              <w:rPr>
                <w:rFonts w:eastAsia="黑体"/>
                <w:color w:val="auto"/>
                <w:szCs w:val="21"/>
                <w:highlight w:val="none"/>
              </w:rPr>
            </w:pPr>
          </w:p>
        </w:tc>
        <w:tc>
          <w:tcPr>
            <w:tcW w:w="1385" w:type="dxa"/>
          </w:tcPr>
          <w:p w14:paraId="47468BF2">
            <w:pPr>
              <w:adjustRightInd w:val="0"/>
              <w:snapToGrid w:val="0"/>
              <w:spacing w:line="560" w:lineRule="exact"/>
              <w:rPr>
                <w:rFonts w:eastAsia="黑体"/>
                <w:color w:val="auto"/>
                <w:szCs w:val="21"/>
                <w:highlight w:val="none"/>
              </w:rPr>
            </w:pPr>
          </w:p>
        </w:tc>
        <w:tc>
          <w:tcPr>
            <w:tcW w:w="2522" w:type="dxa"/>
            <w:gridSpan w:val="2"/>
          </w:tcPr>
          <w:p w14:paraId="2FA5E26F">
            <w:pPr>
              <w:adjustRightInd w:val="0"/>
              <w:snapToGrid w:val="0"/>
              <w:spacing w:line="560" w:lineRule="exact"/>
              <w:rPr>
                <w:rFonts w:eastAsia="黑体"/>
                <w:color w:val="auto"/>
                <w:szCs w:val="21"/>
                <w:highlight w:val="none"/>
              </w:rPr>
            </w:pPr>
          </w:p>
        </w:tc>
      </w:tr>
      <w:tr w14:paraId="7038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Pr>
          <w:p w14:paraId="66EDC577">
            <w:pPr>
              <w:adjustRightInd w:val="0"/>
              <w:snapToGrid w:val="0"/>
              <w:spacing w:line="560" w:lineRule="exact"/>
              <w:rPr>
                <w:rFonts w:eastAsia="黑体"/>
                <w:color w:val="auto"/>
                <w:szCs w:val="21"/>
                <w:highlight w:val="none"/>
              </w:rPr>
            </w:pPr>
          </w:p>
        </w:tc>
        <w:tc>
          <w:tcPr>
            <w:tcW w:w="3756" w:type="dxa"/>
            <w:gridSpan w:val="4"/>
          </w:tcPr>
          <w:p w14:paraId="644EAC49">
            <w:pPr>
              <w:adjustRightInd w:val="0"/>
              <w:snapToGrid w:val="0"/>
              <w:spacing w:line="560" w:lineRule="exact"/>
              <w:rPr>
                <w:rFonts w:eastAsia="黑体"/>
                <w:color w:val="auto"/>
                <w:szCs w:val="21"/>
                <w:highlight w:val="none"/>
              </w:rPr>
            </w:pPr>
          </w:p>
        </w:tc>
        <w:tc>
          <w:tcPr>
            <w:tcW w:w="1385" w:type="dxa"/>
          </w:tcPr>
          <w:p w14:paraId="6F18C0A1">
            <w:pPr>
              <w:adjustRightInd w:val="0"/>
              <w:snapToGrid w:val="0"/>
              <w:spacing w:line="560" w:lineRule="exact"/>
              <w:rPr>
                <w:rFonts w:eastAsia="黑体"/>
                <w:color w:val="auto"/>
                <w:szCs w:val="21"/>
                <w:highlight w:val="none"/>
              </w:rPr>
            </w:pPr>
          </w:p>
        </w:tc>
        <w:tc>
          <w:tcPr>
            <w:tcW w:w="2522" w:type="dxa"/>
            <w:gridSpan w:val="2"/>
          </w:tcPr>
          <w:p w14:paraId="44346E0C">
            <w:pPr>
              <w:adjustRightInd w:val="0"/>
              <w:snapToGrid w:val="0"/>
              <w:spacing w:line="560" w:lineRule="exact"/>
              <w:rPr>
                <w:rFonts w:eastAsia="黑体"/>
                <w:color w:val="auto"/>
                <w:szCs w:val="21"/>
                <w:highlight w:val="none"/>
              </w:rPr>
            </w:pPr>
          </w:p>
        </w:tc>
      </w:tr>
      <w:tr w14:paraId="4A52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97" w:type="dxa"/>
            <w:gridSpan w:val="2"/>
          </w:tcPr>
          <w:p w14:paraId="5E46BA71">
            <w:pPr>
              <w:adjustRightInd w:val="0"/>
              <w:snapToGrid w:val="0"/>
              <w:spacing w:line="560" w:lineRule="exact"/>
              <w:rPr>
                <w:rFonts w:eastAsia="黑体"/>
                <w:color w:val="auto"/>
                <w:szCs w:val="21"/>
                <w:highlight w:val="none"/>
              </w:rPr>
            </w:pPr>
          </w:p>
        </w:tc>
        <w:tc>
          <w:tcPr>
            <w:tcW w:w="3756" w:type="dxa"/>
            <w:gridSpan w:val="4"/>
          </w:tcPr>
          <w:p w14:paraId="31082930">
            <w:pPr>
              <w:adjustRightInd w:val="0"/>
              <w:snapToGrid w:val="0"/>
              <w:spacing w:line="560" w:lineRule="exact"/>
              <w:rPr>
                <w:rFonts w:eastAsia="黑体"/>
                <w:color w:val="auto"/>
                <w:szCs w:val="21"/>
                <w:highlight w:val="none"/>
              </w:rPr>
            </w:pPr>
          </w:p>
        </w:tc>
        <w:tc>
          <w:tcPr>
            <w:tcW w:w="1385" w:type="dxa"/>
          </w:tcPr>
          <w:p w14:paraId="5EB73D14">
            <w:pPr>
              <w:adjustRightInd w:val="0"/>
              <w:snapToGrid w:val="0"/>
              <w:spacing w:line="560" w:lineRule="exact"/>
              <w:rPr>
                <w:rFonts w:eastAsia="黑体"/>
                <w:color w:val="auto"/>
                <w:szCs w:val="21"/>
                <w:highlight w:val="none"/>
              </w:rPr>
            </w:pPr>
          </w:p>
        </w:tc>
        <w:tc>
          <w:tcPr>
            <w:tcW w:w="2522" w:type="dxa"/>
            <w:gridSpan w:val="2"/>
          </w:tcPr>
          <w:p w14:paraId="2D8EC90A">
            <w:pPr>
              <w:adjustRightInd w:val="0"/>
              <w:snapToGrid w:val="0"/>
              <w:spacing w:line="560" w:lineRule="exact"/>
              <w:rPr>
                <w:rFonts w:eastAsia="黑体"/>
                <w:color w:val="auto"/>
                <w:szCs w:val="21"/>
                <w:highlight w:val="none"/>
              </w:rPr>
            </w:pPr>
          </w:p>
        </w:tc>
      </w:tr>
      <w:tr w14:paraId="4A40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97" w:type="dxa"/>
            <w:gridSpan w:val="2"/>
          </w:tcPr>
          <w:p w14:paraId="0FF59301">
            <w:pPr>
              <w:adjustRightInd w:val="0"/>
              <w:snapToGrid w:val="0"/>
              <w:spacing w:line="560" w:lineRule="exact"/>
              <w:rPr>
                <w:rFonts w:eastAsia="黑体"/>
                <w:color w:val="auto"/>
                <w:szCs w:val="21"/>
                <w:highlight w:val="none"/>
              </w:rPr>
            </w:pPr>
          </w:p>
        </w:tc>
        <w:tc>
          <w:tcPr>
            <w:tcW w:w="3756" w:type="dxa"/>
            <w:gridSpan w:val="4"/>
          </w:tcPr>
          <w:p w14:paraId="4B791866">
            <w:pPr>
              <w:adjustRightInd w:val="0"/>
              <w:snapToGrid w:val="0"/>
              <w:spacing w:line="560" w:lineRule="exact"/>
              <w:rPr>
                <w:rFonts w:eastAsia="黑体"/>
                <w:color w:val="auto"/>
                <w:szCs w:val="21"/>
                <w:highlight w:val="none"/>
              </w:rPr>
            </w:pPr>
          </w:p>
        </w:tc>
        <w:tc>
          <w:tcPr>
            <w:tcW w:w="1385" w:type="dxa"/>
          </w:tcPr>
          <w:p w14:paraId="1C81C2EE">
            <w:pPr>
              <w:adjustRightInd w:val="0"/>
              <w:snapToGrid w:val="0"/>
              <w:spacing w:line="560" w:lineRule="exact"/>
              <w:rPr>
                <w:rFonts w:eastAsia="黑体"/>
                <w:color w:val="auto"/>
                <w:szCs w:val="21"/>
                <w:highlight w:val="none"/>
              </w:rPr>
            </w:pPr>
          </w:p>
        </w:tc>
        <w:tc>
          <w:tcPr>
            <w:tcW w:w="2522" w:type="dxa"/>
            <w:gridSpan w:val="2"/>
          </w:tcPr>
          <w:p w14:paraId="594276BC">
            <w:pPr>
              <w:adjustRightInd w:val="0"/>
              <w:snapToGrid w:val="0"/>
              <w:spacing w:line="560" w:lineRule="exact"/>
              <w:rPr>
                <w:rFonts w:eastAsia="黑体"/>
                <w:color w:val="auto"/>
                <w:szCs w:val="21"/>
                <w:highlight w:val="none"/>
              </w:rPr>
            </w:pPr>
          </w:p>
        </w:tc>
      </w:tr>
    </w:tbl>
    <w:p w14:paraId="5DA339BA">
      <w:pPr>
        <w:pStyle w:val="5"/>
        <w:jc w:val="center"/>
        <w:rPr>
          <w:rFonts w:hint="eastAsia"/>
          <w:color w:val="auto"/>
          <w:highlight w:val="none"/>
        </w:rPr>
      </w:pPr>
    </w:p>
    <w:p w14:paraId="311660B1">
      <w:pPr>
        <w:pStyle w:val="5"/>
        <w:jc w:val="center"/>
        <w:rPr>
          <w:color w:val="auto"/>
          <w:sz w:val="23"/>
          <w:szCs w:val="23"/>
          <w:highlight w:val="none"/>
        </w:rPr>
      </w:pPr>
      <w:r>
        <w:rPr>
          <w:rFonts w:hint="eastAsia"/>
          <w:color w:val="auto"/>
          <w:highlight w:val="none"/>
        </w:rPr>
        <w:t>附表3：拟任项目设计负责人、运维负责人简历表</w:t>
      </w:r>
    </w:p>
    <w:tbl>
      <w:tblPr>
        <w:tblStyle w:val="19"/>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396"/>
        <w:gridCol w:w="794"/>
        <w:gridCol w:w="1023"/>
        <w:gridCol w:w="1175"/>
        <w:gridCol w:w="781"/>
        <w:gridCol w:w="1390"/>
        <w:gridCol w:w="178"/>
        <w:gridCol w:w="2355"/>
      </w:tblGrid>
      <w:tr w14:paraId="056D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vAlign w:val="center"/>
          </w:tcPr>
          <w:p w14:paraId="20AF381A">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姓  名</w:t>
            </w:r>
          </w:p>
        </w:tc>
        <w:tc>
          <w:tcPr>
            <w:tcW w:w="1190" w:type="dxa"/>
            <w:gridSpan w:val="2"/>
            <w:vAlign w:val="center"/>
          </w:tcPr>
          <w:p w14:paraId="18CC8E9D">
            <w:pPr>
              <w:adjustRightInd w:val="0"/>
              <w:snapToGrid w:val="0"/>
              <w:spacing w:line="560" w:lineRule="exact"/>
              <w:jc w:val="center"/>
              <w:rPr>
                <w:rFonts w:ascii="宋体" w:hAnsi="宋体"/>
                <w:color w:val="auto"/>
                <w:szCs w:val="21"/>
                <w:highlight w:val="none"/>
              </w:rPr>
            </w:pPr>
          </w:p>
        </w:tc>
        <w:tc>
          <w:tcPr>
            <w:tcW w:w="1023" w:type="dxa"/>
            <w:vAlign w:val="center"/>
          </w:tcPr>
          <w:p w14:paraId="7D9E8C26">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年 龄</w:t>
            </w:r>
          </w:p>
        </w:tc>
        <w:tc>
          <w:tcPr>
            <w:tcW w:w="1175" w:type="dxa"/>
            <w:vAlign w:val="center"/>
          </w:tcPr>
          <w:p w14:paraId="09E1D566">
            <w:pPr>
              <w:adjustRightInd w:val="0"/>
              <w:snapToGrid w:val="0"/>
              <w:spacing w:line="560" w:lineRule="exact"/>
              <w:jc w:val="center"/>
              <w:rPr>
                <w:rFonts w:ascii="宋体" w:hAnsi="宋体"/>
                <w:color w:val="auto"/>
                <w:szCs w:val="21"/>
                <w:highlight w:val="none"/>
              </w:rPr>
            </w:pPr>
          </w:p>
        </w:tc>
        <w:tc>
          <w:tcPr>
            <w:tcW w:w="2349" w:type="dxa"/>
            <w:gridSpan w:val="3"/>
            <w:vAlign w:val="center"/>
          </w:tcPr>
          <w:p w14:paraId="22E01013">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学历</w:t>
            </w:r>
          </w:p>
        </w:tc>
        <w:tc>
          <w:tcPr>
            <w:tcW w:w="2355" w:type="dxa"/>
            <w:vAlign w:val="center"/>
          </w:tcPr>
          <w:p w14:paraId="4C5C8914">
            <w:pPr>
              <w:adjustRightInd w:val="0"/>
              <w:snapToGrid w:val="0"/>
              <w:spacing w:line="560" w:lineRule="exact"/>
              <w:rPr>
                <w:rFonts w:ascii="宋体" w:hAnsi="宋体"/>
                <w:color w:val="auto"/>
                <w:szCs w:val="21"/>
                <w:highlight w:val="none"/>
              </w:rPr>
            </w:pPr>
          </w:p>
        </w:tc>
      </w:tr>
      <w:tr w14:paraId="43A3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vAlign w:val="center"/>
          </w:tcPr>
          <w:p w14:paraId="48B0DFCF">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称</w:t>
            </w:r>
          </w:p>
        </w:tc>
        <w:tc>
          <w:tcPr>
            <w:tcW w:w="1190" w:type="dxa"/>
            <w:gridSpan w:val="2"/>
            <w:vAlign w:val="center"/>
          </w:tcPr>
          <w:p w14:paraId="27583DD4">
            <w:pPr>
              <w:adjustRightInd w:val="0"/>
              <w:snapToGrid w:val="0"/>
              <w:spacing w:line="560" w:lineRule="exact"/>
              <w:jc w:val="center"/>
              <w:rPr>
                <w:rFonts w:ascii="宋体" w:hAnsi="宋体"/>
                <w:color w:val="auto"/>
                <w:szCs w:val="21"/>
                <w:highlight w:val="none"/>
              </w:rPr>
            </w:pPr>
          </w:p>
        </w:tc>
        <w:tc>
          <w:tcPr>
            <w:tcW w:w="1023" w:type="dxa"/>
            <w:vAlign w:val="center"/>
          </w:tcPr>
          <w:p w14:paraId="7A3D4A71">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职 务</w:t>
            </w:r>
          </w:p>
        </w:tc>
        <w:tc>
          <w:tcPr>
            <w:tcW w:w="1175" w:type="dxa"/>
            <w:vAlign w:val="center"/>
          </w:tcPr>
          <w:p w14:paraId="4DD7DA0F">
            <w:pPr>
              <w:adjustRightInd w:val="0"/>
              <w:snapToGrid w:val="0"/>
              <w:spacing w:line="560" w:lineRule="exact"/>
              <w:jc w:val="center"/>
              <w:rPr>
                <w:rFonts w:ascii="宋体" w:hAnsi="宋体"/>
                <w:color w:val="auto"/>
                <w:szCs w:val="21"/>
                <w:highlight w:val="none"/>
              </w:rPr>
            </w:pPr>
          </w:p>
        </w:tc>
        <w:tc>
          <w:tcPr>
            <w:tcW w:w="2349" w:type="dxa"/>
            <w:gridSpan w:val="3"/>
            <w:vAlign w:val="center"/>
          </w:tcPr>
          <w:p w14:paraId="0A9BF550">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拟在本合同任职</w:t>
            </w:r>
          </w:p>
        </w:tc>
        <w:tc>
          <w:tcPr>
            <w:tcW w:w="2355" w:type="dxa"/>
            <w:vAlign w:val="center"/>
          </w:tcPr>
          <w:p w14:paraId="6ED1F124">
            <w:pPr>
              <w:adjustRightInd w:val="0"/>
              <w:snapToGrid w:val="0"/>
              <w:spacing w:line="560" w:lineRule="exact"/>
              <w:rPr>
                <w:rFonts w:ascii="宋体" w:hAnsi="宋体"/>
                <w:color w:val="auto"/>
                <w:szCs w:val="21"/>
                <w:highlight w:val="none"/>
              </w:rPr>
            </w:pPr>
          </w:p>
        </w:tc>
      </w:tr>
      <w:tr w14:paraId="3457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vAlign w:val="center"/>
          </w:tcPr>
          <w:p w14:paraId="50E6C512">
            <w:pPr>
              <w:adjustRightInd w:val="0"/>
              <w:snapToGrid w:val="0"/>
              <w:spacing w:line="560" w:lineRule="exact"/>
              <w:rPr>
                <w:rFonts w:ascii="宋体" w:hAnsi="宋体"/>
                <w:color w:val="auto"/>
                <w:szCs w:val="21"/>
                <w:highlight w:val="none"/>
              </w:rPr>
            </w:pPr>
            <w:r>
              <w:rPr>
                <w:rFonts w:ascii="宋体" w:hAnsi="宋体"/>
                <w:color w:val="auto"/>
                <w:szCs w:val="21"/>
                <w:highlight w:val="none"/>
              </w:rPr>
              <w:t>毕业学校</w:t>
            </w:r>
          </w:p>
        </w:tc>
        <w:tc>
          <w:tcPr>
            <w:tcW w:w="8092" w:type="dxa"/>
            <w:gridSpan w:val="8"/>
          </w:tcPr>
          <w:p w14:paraId="00D70CC6">
            <w:pPr>
              <w:adjustRightInd w:val="0"/>
              <w:snapToGrid w:val="0"/>
              <w:spacing w:line="560" w:lineRule="exact"/>
              <w:rPr>
                <w:rFonts w:ascii="宋体" w:hAnsi="宋体"/>
                <w:color w:val="auto"/>
                <w:szCs w:val="21"/>
                <w:highlight w:val="none"/>
              </w:rPr>
            </w:pPr>
            <w:r>
              <w:rPr>
                <w:rFonts w:ascii="宋体" w:hAnsi="宋体"/>
                <w:color w:val="auto"/>
                <w:szCs w:val="21"/>
                <w:highlight w:val="none"/>
              </w:rPr>
              <w:t xml:space="preserve">      年毕业于            学校        专业</w:t>
            </w:r>
          </w:p>
        </w:tc>
      </w:tr>
      <w:tr w14:paraId="561F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00" w:type="dxa"/>
            <w:gridSpan w:val="9"/>
            <w:vAlign w:val="center"/>
          </w:tcPr>
          <w:p w14:paraId="37A33CF3">
            <w:pPr>
              <w:adjustRightInd w:val="0"/>
              <w:snapToGrid w:val="0"/>
              <w:spacing w:line="560" w:lineRule="exact"/>
              <w:rPr>
                <w:rFonts w:ascii="宋体" w:hAnsi="宋体"/>
                <w:color w:val="auto"/>
                <w:szCs w:val="21"/>
                <w:highlight w:val="none"/>
              </w:rPr>
            </w:pPr>
            <w:r>
              <w:rPr>
                <w:rFonts w:ascii="宋体" w:hAnsi="宋体"/>
                <w:color w:val="auto"/>
                <w:szCs w:val="21"/>
                <w:highlight w:val="none"/>
              </w:rPr>
              <w:t>主要工作经历</w:t>
            </w:r>
          </w:p>
        </w:tc>
      </w:tr>
      <w:tr w14:paraId="187B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704" w:type="dxa"/>
            <w:gridSpan w:val="2"/>
            <w:vAlign w:val="center"/>
          </w:tcPr>
          <w:p w14:paraId="4601006E">
            <w:pPr>
              <w:adjustRightInd w:val="0"/>
              <w:snapToGrid w:val="0"/>
              <w:spacing w:line="560" w:lineRule="exact"/>
              <w:rPr>
                <w:rFonts w:ascii="宋体" w:hAnsi="宋体"/>
                <w:color w:val="auto"/>
                <w:szCs w:val="21"/>
                <w:highlight w:val="none"/>
              </w:rPr>
            </w:pPr>
            <w:r>
              <w:rPr>
                <w:rFonts w:ascii="宋体" w:hAnsi="宋体"/>
                <w:color w:val="auto"/>
                <w:szCs w:val="21"/>
                <w:highlight w:val="none"/>
              </w:rPr>
              <w:t>时  间</w:t>
            </w:r>
          </w:p>
        </w:tc>
        <w:tc>
          <w:tcPr>
            <w:tcW w:w="3773" w:type="dxa"/>
            <w:gridSpan w:val="4"/>
            <w:vAlign w:val="center"/>
          </w:tcPr>
          <w:p w14:paraId="79C01338">
            <w:pPr>
              <w:adjustRightInd w:val="0"/>
              <w:snapToGrid w:val="0"/>
              <w:spacing w:line="560" w:lineRule="exact"/>
              <w:rPr>
                <w:rFonts w:ascii="宋体" w:hAnsi="宋体"/>
                <w:color w:val="auto"/>
                <w:szCs w:val="21"/>
                <w:highlight w:val="none"/>
              </w:rPr>
            </w:pPr>
            <w:r>
              <w:rPr>
                <w:rFonts w:ascii="宋体" w:hAnsi="宋体"/>
                <w:color w:val="auto"/>
                <w:szCs w:val="21"/>
                <w:highlight w:val="none"/>
              </w:rPr>
              <w:t>参加过的类似项目</w:t>
            </w:r>
          </w:p>
        </w:tc>
        <w:tc>
          <w:tcPr>
            <w:tcW w:w="1390" w:type="dxa"/>
            <w:vAlign w:val="center"/>
          </w:tcPr>
          <w:p w14:paraId="1AE60C09">
            <w:pPr>
              <w:adjustRightInd w:val="0"/>
              <w:snapToGrid w:val="0"/>
              <w:spacing w:line="560" w:lineRule="exact"/>
              <w:rPr>
                <w:rFonts w:ascii="宋体" w:hAnsi="宋体"/>
                <w:color w:val="auto"/>
                <w:szCs w:val="21"/>
                <w:highlight w:val="none"/>
              </w:rPr>
            </w:pPr>
            <w:r>
              <w:rPr>
                <w:rFonts w:ascii="宋体" w:hAnsi="宋体"/>
                <w:color w:val="auto"/>
                <w:szCs w:val="21"/>
                <w:highlight w:val="none"/>
              </w:rPr>
              <w:t>担任职务</w:t>
            </w:r>
          </w:p>
        </w:tc>
        <w:tc>
          <w:tcPr>
            <w:tcW w:w="2533" w:type="dxa"/>
            <w:gridSpan w:val="2"/>
            <w:vAlign w:val="center"/>
          </w:tcPr>
          <w:p w14:paraId="099E8F0F">
            <w:pPr>
              <w:adjustRightInd w:val="0"/>
              <w:snapToGrid w:val="0"/>
              <w:spacing w:line="560" w:lineRule="exact"/>
              <w:rPr>
                <w:rFonts w:ascii="宋体" w:hAnsi="宋体"/>
                <w:color w:val="auto"/>
                <w:szCs w:val="21"/>
                <w:highlight w:val="none"/>
              </w:rPr>
            </w:pPr>
            <w:r>
              <w:rPr>
                <w:rFonts w:ascii="宋体" w:hAnsi="宋体"/>
                <w:color w:val="auto"/>
                <w:szCs w:val="21"/>
                <w:highlight w:val="none"/>
              </w:rPr>
              <w:t>发包人及联系电话</w:t>
            </w:r>
          </w:p>
        </w:tc>
      </w:tr>
      <w:tr w14:paraId="3B62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0AF0CF31">
            <w:pPr>
              <w:adjustRightInd w:val="0"/>
              <w:snapToGrid w:val="0"/>
              <w:spacing w:line="560" w:lineRule="exact"/>
              <w:rPr>
                <w:rFonts w:eastAsia="黑体"/>
                <w:color w:val="auto"/>
                <w:szCs w:val="21"/>
                <w:highlight w:val="none"/>
              </w:rPr>
            </w:pPr>
          </w:p>
        </w:tc>
        <w:tc>
          <w:tcPr>
            <w:tcW w:w="3773" w:type="dxa"/>
            <w:gridSpan w:val="4"/>
          </w:tcPr>
          <w:p w14:paraId="3ED893EF">
            <w:pPr>
              <w:adjustRightInd w:val="0"/>
              <w:snapToGrid w:val="0"/>
              <w:spacing w:line="560" w:lineRule="exact"/>
              <w:rPr>
                <w:rFonts w:eastAsia="黑体"/>
                <w:color w:val="auto"/>
                <w:szCs w:val="21"/>
                <w:highlight w:val="none"/>
              </w:rPr>
            </w:pPr>
          </w:p>
        </w:tc>
        <w:tc>
          <w:tcPr>
            <w:tcW w:w="1390" w:type="dxa"/>
          </w:tcPr>
          <w:p w14:paraId="76E5CEEC">
            <w:pPr>
              <w:adjustRightInd w:val="0"/>
              <w:snapToGrid w:val="0"/>
              <w:spacing w:line="560" w:lineRule="exact"/>
              <w:rPr>
                <w:rFonts w:eastAsia="黑体"/>
                <w:color w:val="auto"/>
                <w:szCs w:val="21"/>
                <w:highlight w:val="none"/>
              </w:rPr>
            </w:pPr>
          </w:p>
        </w:tc>
        <w:tc>
          <w:tcPr>
            <w:tcW w:w="2533" w:type="dxa"/>
            <w:gridSpan w:val="2"/>
          </w:tcPr>
          <w:p w14:paraId="1A626A37">
            <w:pPr>
              <w:adjustRightInd w:val="0"/>
              <w:snapToGrid w:val="0"/>
              <w:spacing w:line="560" w:lineRule="exact"/>
              <w:rPr>
                <w:rFonts w:eastAsia="黑体"/>
                <w:color w:val="auto"/>
                <w:szCs w:val="21"/>
                <w:highlight w:val="none"/>
              </w:rPr>
            </w:pPr>
          </w:p>
        </w:tc>
      </w:tr>
      <w:tr w14:paraId="2AA9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58789107">
            <w:pPr>
              <w:adjustRightInd w:val="0"/>
              <w:snapToGrid w:val="0"/>
              <w:spacing w:line="560" w:lineRule="exact"/>
              <w:rPr>
                <w:rFonts w:eastAsia="黑体"/>
                <w:color w:val="auto"/>
                <w:szCs w:val="21"/>
                <w:highlight w:val="none"/>
              </w:rPr>
            </w:pPr>
          </w:p>
        </w:tc>
        <w:tc>
          <w:tcPr>
            <w:tcW w:w="3773" w:type="dxa"/>
            <w:gridSpan w:val="4"/>
          </w:tcPr>
          <w:p w14:paraId="0B1FACD0">
            <w:pPr>
              <w:adjustRightInd w:val="0"/>
              <w:snapToGrid w:val="0"/>
              <w:spacing w:line="560" w:lineRule="exact"/>
              <w:rPr>
                <w:rFonts w:eastAsia="黑体"/>
                <w:color w:val="auto"/>
                <w:szCs w:val="21"/>
                <w:highlight w:val="none"/>
              </w:rPr>
            </w:pPr>
          </w:p>
        </w:tc>
        <w:tc>
          <w:tcPr>
            <w:tcW w:w="1390" w:type="dxa"/>
          </w:tcPr>
          <w:p w14:paraId="0F89CE4C">
            <w:pPr>
              <w:adjustRightInd w:val="0"/>
              <w:snapToGrid w:val="0"/>
              <w:spacing w:line="560" w:lineRule="exact"/>
              <w:rPr>
                <w:rFonts w:eastAsia="黑体"/>
                <w:color w:val="auto"/>
                <w:szCs w:val="21"/>
                <w:highlight w:val="none"/>
              </w:rPr>
            </w:pPr>
          </w:p>
        </w:tc>
        <w:tc>
          <w:tcPr>
            <w:tcW w:w="2533" w:type="dxa"/>
            <w:gridSpan w:val="2"/>
          </w:tcPr>
          <w:p w14:paraId="6C0B2BA6">
            <w:pPr>
              <w:adjustRightInd w:val="0"/>
              <w:snapToGrid w:val="0"/>
              <w:spacing w:line="560" w:lineRule="exact"/>
              <w:rPr>
                <w:rFonts w:eastAsia="黑体"/>
                <w:color w:val="auto"/>
                <w:szCs w:val="21"/>
                <w:highlight w:val="none"/>
              </w:rPr>
            </w:pPr>
          </w:p>
        </w:tc>
      </w:tr>
      <w:tr w14:paraId="1AAA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254B646A">
            <w:pPr>
              <w:adjustRightInd w:val="0"/>
              <w:snapToGrid w:val="0"/>
              <w:spacing w:line="560" w:lineRule="exact"/>
              <w:rPr>
                <w:rFonts w:eastAsia="黑体"/>
                <w:color w:val="auto"/>
                <w:szCs w:val="21"/>
                <w:highlight w:val="none"/>
              </w:rPr>
            </w:pPr>
          </w:p>
        </w:tc>
        <w:tc>
          <w:tcPr>
            <w:tcW w:w="3773" w:type="dxa"/>
            <w:gridSpan w:val="4"/>
          </w:tcPr>
          <w:p w14:paraId="4BF79E39">
            <w:pPr>
              <w:adjustRightInd w:val="0"/>
              <w:snapToGrid w:val="0"/>
              <w:spacing w:line="560" w:lineRule="exact"/>
              <w:rPr>
                <w:rFonts w:eastAsia="黑体"/>
                <w:color w:val="auto"/>
                <w:szCs w:val="21"/>
                <w:highlight w:val="none"/>
              </w:rPr>
            </w:pPr>
          </w:p>
        </w:tc>
        <w:tc>
          <w:tcPr>
            <w:tcW w:w="1390" w:type="dxa"/>
          </w:tcPr>
          <w:p w14:paraId="5CF59DFB">
            <w:pPr>
              <w:adjustRightInd w:val="0"/>
              <w:snapToGrid w:val="0"/>
              <w:spacing w:line="560" w:lineRule="exact"/>
              <w:rPr>
                <w:rFonts w:eastAsia="黑体"/>
                <w:color w:val="auto"/>
                <w:szCs w:val="21"/>
                <w:highlight w:val="none"/>
              </w:rPr>
            </w:pPr>
          </w:p>
        </w:tc>
        <w:tc>
          <w:tcPr>
            <w:tcW w:w="2533" w:type="dxa"/>
            <w:gridSpan w:val="2"/>
          </w:tcPr>
          <w:p w14:paraId="223DBD05">
            <w:pPr>
              <w:adjustRightInd w:val="0"/>
              <w:snapToGrid w:val="0"/>
              <w:spacing w:line="560" w:lineRule="exact"/>
              <w:rPr>
                <w:rFonts w:eastAsia="黑体"/>
                <w:color w:val="auto"/>
                <w:szCs w:val="21"/>
                <w:highlight w:val="none"/>
              </w:rPr>
            </w:pPr>
          </w:p>
        </w:tc>
      </w:tr>
      <w:tr w14:paraId="49D6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73D54FB8">
            <w:pPr>
              <w:adjustRightInd w:val="0"/>
              <w:snapToGrid w:val="0"/>
              <w:spacing w:line="560" w:lineRule="exact"/>
              <w:rPr>
                <w:rFonts w:eastAsia="黑体"/>
                <w:color w:val="auto"/>
                <w:szCs w:val="21"/>
                <w:highlight w:val="none"/>
              </w:rPr>
            </w:pPr>
          </w:p>
        </w:tc>
        <w:tc>
          <w:tcPr>
            <w:tcW w:w="3773" w:type="dxa"/>
            <w:gridSpan w:val="4"/>
          </w:tcPr>
          <w:p w14:paraId="3DB11A65">
            <w:pPr>
              <w:adjustRightInd w:val="0"/>
              <w:snapToGrid w:val="0"/>
              <w:spacing w:line="560" w:lineRule="exact"/>
              <w:rPr>
                <w:rFonts w:eastAsia="黑体"/>
                <w:color w:val="auto"/>
                <w:szCs w:val="21"/>
                <w:highlight w:val="none"/>
              </w:rPr>
            </w:pPr>
          </w:p>
        </w:tc>
        <w:tc>
          <w:tcPr>
            <w:tcW w:w="1390" w:type="dxa"/>
          </w:tcPr>
          <w:p w14:paraId="318BC9F1">
            <w:pPr>
              <w:adjustRightInd w:val="0"/>
              <w:snapToGrid w:val="0"/>
              <w:spacing w:line="560" w:lineRule="exact"/>
              <w:rPr>
                <w:rFonts w:eastAsia="黑体"/>
                <w:color w:val="auto"/>
                <w:szCs w:val="21"/>
                <w:highlight w:val="none"/>
              </w:rPr>
            </w:pPr>
          </w:p>
        </w:tc>
        <w:tc>
          <w:tcPr>
            <w:tcW w:w="2533" w:type="dxa"/>
            <w:gridSpan w:val="2"/>
          </w:tcPr>
          <w:p w14:paraId="5EC1D779">
            <w:pPr>
              <w:adjustRightInd w:val="0"/>
              <w:snapToGrid w:val="0"/>
              <w:spacing w:line="560" w:lineRule="exact"/>
              <w:rPr>
                <w:rFonts w:eastAsia="黑体"/>
                <w:color w:val="auto"/>
                <w:szCs w:val="21"/>
                <w:highlight w:val="none"/>
              </w:rPr>
            </w:pPr>
          </w:p>
        </w:tc>
      </w:tr>
      <w:tr w14:paraId="002C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1A0A1FF1">
            <w:pPr>
              <w:adjustRightInd w:val="0"/>
              <w:snapToGrid w:val="0"/>
              <w:spacing w:line="560" w:lineRule="exact"/>
              <w:rPr>
                <w:rFonts w:eastAsia="黑体"/>
                <w:color w:val="auto"/>
                <w:szCs w:val="21"/>
                <w:highlight w:val="none"/>
              </w:rPr>
            </w:pPr>
          </w:p>
        </w:tc>
        <w:tc>
          <w:tcPr>
            <w:tcW w:w="3773" w:type="dxa"/>
            <w:gridSpan w:val="4"/>
          </w:tcPr>
          <w:p w14:paraId="491C19E4">
            <w:pPr>
              <w:adjustRightInd w:val="0"/>
              <w:snapToGrid w:val="0"/>
              <w:spacing w:line="560" w:lineRule="exact"/>
              <w:rPr>
                <w:rFonts w:eastAsia="黑体"/>
                <w:color w:val="auto"/>
                <w:szCs w:val="21"/>
                <w:highlight w:val="none"/>
              </w:rPr>
            </w:pPr>
          </w:p>
        </w:tc>
        <w:tc>
          <w:tcPr>
            <w:tcW w:w="1390" w:type="dxa"/>
          </w:tcPr>
          <w:p w14:paraId="1DE2189A">
            <w:pPr>
              <w:adjustRightInd w:val="0"/>
              <w:snapToGrid w:val="0"/>
              <w:spacing w:line="560" w:lineRule="exact"/>
              <w:rPr>
                <w:rFonts w:eastAsia="黑体"/>
                <w:color w:val="auto"/>
                <w:szCs w:val="21"/>
                <w:highlight w:val="none"/>
              </w:rPr>
            </w:pPr>
          </w:p>
        </w:tc>
        <w:tc>
          <w:tcPr>
            <w:tcW w:w="2533" w:type="dxa"/>
            <w:gridSpan w:val="2"/>
          </w:tcPr>
          <w:p w14:paraId="46B77233">
            <w:pPr>
              <w:adjustRightInd w:val="0"/>
              <w:snapToGrid w:val="0"/>
              <w:spacing w:line="560" w:lineRule="exact"/>
              <w:rPr>
                <w:rFonts w:eastAsia="黑体"/>
                <w:color w:val="auto"/>
                <w:szCs w:val="21"/>
                <w:highlight w:val="none"/>
              </w:rPr>
            </w:pPr>
          </w:p>
        </w:tc>
      </w:tr>
      <w:tr w14:paraId="3A86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1877C4C1">
            <w:pPr>
              <w:adjustRightInd w:val="0"/>
              <w:snapToGrid w:val="0"/>
              <w:spacing w:line="560" w:lineRule="exact"/>
              <w:rPr>
                <w:rFonts w:eastAsia="黑体"/>
                <w:color w:val="auto"/>
                <w:szCs w:val="21"/>
                <w:highlight w:val="none"/>
              </w:rPr>
            </w:pPr>
          </w:p>
        </w:tc>
        <w:tc>
          <w:tcPr>
            <w:tcW w:w="3773" w:type="dxa"/>
            <w:gridSpan w:val="4"/>
          </w:tcPr>
          <w:p w14:paraId="058CAA80">
            <w:pPr>
              <w:adjustRightInd w:val="0"/>
              <w:snapToGrid w:val="0"/>
              <w:spacing w:line="560" w:lineRule="exact"/>
              <w:rPr>
                <w:rFonts w:eastAsia="黑体"/>
                <w:color w:val="auto"/>
                <w:szCs w:val="21"/>
                <w:highlight w:val="none"/>
              </w:rPr>
            </w:pPr>
          </w:p>
        </w:tc>
        <w:tc>
          <w:tcPr>
            <w:tcW w:w="1390" w:type="dxa"/>
          </w:tcPr>
          <w:p w14:paraId="19534BDF">
            <w:pPr>
              <w:adjustRightInd w:val="0"/>
              <w:snapToGrid w:val="0"/>
              <w:spacing w:line="560" w:lineRule="exact"/>
              <w:rPr>
                <w:rFonts w:eastAsia="黑体"/>
                <w:color w:val="auto"/>
                <w:szCs w:val="21"/>
                <w:highlight w:val="none"/>
              </w:rPr>
            </w:pPr>
          </w:p>
        </w:tc>
        <w:tc>
          <w:tcPr>
            <w:tcW w:w="2533" w:type="dxa"/>
            <w:gridSpan w:val="2"/>
          </w:tcPr>
          <w:p w14:paraId="7727E833">
            <w:pPr>
              <w:adjustRightInd w:val="0"/>
              <w:snapToGrid w:val="0"/>
              <w:spacing w:line="560" w:lineRule="exact"/>
              <w:rPr>
                <w:rFonts w:eastAsia="黑体"/>
                <w:color w:val="auto"/>
                <w:szCs w:val="21"/>
                <w:highlight w:val="none"/>
              </w:rPr>
            </w:pPr>
          </w:p>
        </w:tc>
      </w:tr>
      <w:tr w14:paraId="38F1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7306B205">
            <w:pPr>
              <w:adjustRightInd w:val="0"/>
              <w:snapToGrid w:val="0"/>
              <w:spacing w:line="560" w:lineRule="exact"/>
              <w:rPr>
                <w:rFonts w:eastAsia="黑体"/>
                <w:color w:val="auto"/>
                <w:szCs w:val="21"/>
                <w:highlight w:val="none"/>
              </w:rPr>
            </w:pPr>
          </w:p>
        </w:tc>
        <w:tc>
          <w:tcPr>
            <w:tcW w:w="3773" w:type="dxa"/>
            <w:gridSpan w:val="4"/>
          </w:tcPr>
          <w:p w14:paraId="5EA43ED0">
            <w:pPr>
              <w:adjustRightInd w:val="0"/>
              <w:snapToGrid w:val="0"/>
              <w:spacing w:line="560" w:lineRule="exact"/>
              <w:rPr>
                <w:rFonts w:eastAsia="黑体"/>
                <w:color w:val="auto"/>
                <w:szCs w:val="21"/>
                <w:highlight w:val="none"/>
              </w:rPr>
            </w:pPr>
          </w:p>
        </w:tc>
        <w:tc>
          <w:tcPr>
            <w:tcW w:w="1390" w:type="dxa"/>
          </w:tcPr>
          <w:p w14:paraId="4F97DE41">
            <w:pPr>
              <w:adjustRightInd w:val="0"/>
              <w:snapToGrid w:val="0"/>
              <w:spacing w:line="560" w:lineRule="exact"/>
              <w:rPr>
                <w:rFonts w:eastAsia="黑体"/>
                <w:color w:val="auto"/>
                <w:szCs w:val="21"/>
                <w:highlight w:val="none"/>
              </w:rPr>
            </w:pPr>
          </w:p>
        </w:tc>
        <w:tc>
          <w:tcPr>
            <w:tcW w:w="2533" w:type="dxa"/>
            <w:gridSpan w:val="2"/>
          </w:tcPr>
          <w:p w14:paraId="7F8F00A2">
            <w:pPr>
              <w:adjustRightInd w:val="0"/>
              <w:snapToGrid w:val="0"/>
              <w:spacing w:line="560" w:lineRule="exact"/>
              <w:rPr>
                <w:rFonts w:eastAsia="黑体"/>
                <w:color w:val="auto"/>
                <w:szCs w:val="21"/>
                <w:highlight w:val="none"/>
              </w:rPr>
            </w:pPr>
          </w:p>
        </w:tc>
      </w:tr>
      <w:tr w14:paraId="4396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353FC191">
            <w:pPr>
              <w:adjustRightInd w:val="0"/>
              <w:snapToGrid w:val="0"/>
              <w:spacing w:line="560" w:lineRule="exact"/>
              <w:rPr>
                <w:rFonts w:eastAsia="黑体"/>
                <w:color w:val="auto"/>
                <w:szCs w:val="21"/>
                <w:highlight w:val="none"/>
              </w:rPr>
            </w:pPr>
          </w:p>
        </w:tc>
        <w:tc>
          <w:tcPr>
            <w:tcW w:w="3773" w:type="dxa"/>
            <w:gridSpan w:val="4"/>
          </w:tcPr>
          <w:p w14:paraId="11AED4B2">
            <w:pPr>
              <w:adjustRightInd w:val="0"/>
              <w:snapToGrid w:val="0"/>
              <w:spacing w:line="560" w:lineRule="exact"/>
              <w:rPr>
                <w:rFonts w:eastAsia="黑体"/>
                <w:color w:val="auto"/>
                <w:szCs w:val="21"/>
                <w:highlight w:val="none"/>
              </w:rPr>
            </w:pPr>
          </w:p>
        </w:tc>
        <w:tc>
          <w:tcPr>
            <w:tcW w:w="1390" w:type="dxa"/>
          </w:tcPr>
          <w:p w14:paraId="5FAD8F1D">
            <w:pPr>
              <w:adjustRightInd w:val="0"/>
              <w:snapToGrid w:val="0"/>
              <w:spacing w:line="560" w:lineRule="exact"/>
              <w:rPr>
                <w:rFonts w:eastAsia="黑体"/>
                <w:color w:val="auto"/>
                <w:szCs w:val="21"/>
                <w:highlight w:val="none"/>
              </w:rPr>
            </w:pPr>
          </w:p>
        </w:tc>
        <w:tc>
          <w:tcPr>
            <w:tcW w:w="2533" w:type="dxa"/>
            <w:gridSpan w:val="2"/>
          </w:tcPr>
          <w:p w14:paraId="1BCCD9EF">
            <w:pPr>
              <w:adjustRightInd w:val="0"/>
              <w:snapToGrid w:val="0"/>
              <w:spacing w:line="560" w:lineRule="exact"/>
              <w:rPr>
                <w:rFonts w:eastAsia="黑体"/>
                <w:color w:val="auto"/>
                <w:szCs w:val="21"/>
                <w:highlight w:val="none"/>
              </w:rPr>
            </w:pPr>
          </w:p>
        </w:tc>
      </w:tr>
      <w:tr w14:paraId="4073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1B7B4B59">
            <w:pPr>
              <w:adjustRightInd w:val="0"/>
              <w:snapToGrid w:val="0"/>
              <w:spacing w:line="560" w:lineRule="exact"/>
              <w:rPr>
                <w:rFonts w:eastAsia="黑体"/>
                <w:color w:val="auto"/>
                <w:szCs w:val="21"/>
                <w:highlight w:val="none"/>
              </w:rPr>
            </w:pPr>
          </w:p>
        </w:tc>
        <w:tc>
          <w:tcPr>
            <w:tcW w:w="3773" w:type="dxa"/>
            <w:gridSpan w:val="4"/>
          </w:tcPr>
          <w:p w14:paraId="54470138">
            <w:pPr>
              <w:adjustRightInd w:val="0"/>
              <w:snapToGrid w:val="0"/>
              <w:spacing w:line="560" w:lineRule="exact"/>
              <w:rPr>
                <w:rFonts w:eastAsia="黑体"/>
                <w:color w:val="auto"/>
                <w:szCs w:val="21"/>
                <w:highlight w:val="none"/>
              </w:rPr>
            </w:pPr>
          </w:p>
        </w:tc>
        <w:tc>
          <w:tcPr>
            <w:tcW w:w="1390" w:type="dxa"/>
          </w:tcPr>
          <w:p w14:paraId="01365E69">
            <w:pPr>
              <w:adjustRightInd w:val="0"/>
              <w:snapToGrid w:val="0"/>
              <w:spacing w:line="560" w:lineRule="exact"/>
              <w:rPr>
                <w:rFonts w:eastAsia="黑体"/>
                <w:color w:val="auto"/>
                <w:szCs w:val="21"/>
                <w:highlight w:val="none"/>
              </w:rPr>
            </w:pPr>
          </w:p>
        </w:tc>
        <w:tc>
          <w:tcPr>
            <w:tcW w:w="2533" w:type="dxa"/>
            <w:gridSpan w:val="2"/>
          </w:tcPr>
          <w:p w14:paraId="0C564853">
            <w:pPr>
              <w:adjustRightInd w:val="0"/>
              <w:snapToGrid w:val="0"/>
              <w:spacing w:line="560" w:lineRule="exact"/>
              <w:rPr>
                <w:rFonts w:eastAsia="黑体"/>
                <w:color w:val="auto"/>
                <w:szCs w:val="21"/>
                <w:highlight w:val="none"/>
              </w:rPr>
            </w:pPr>
          </w:p>
        </w:tc>
      </w:tr>
      <w:tr w14:paraId="3CFD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4BDEB271">
            <w:pPr>
              <w:adjustRightInd w:val="0"/>
              <w:snapToGrid w:val="0"/>
              <w:spacing w:line="560" w:lineRule="exact"/>
              <w:rPr>
                <w:rFonts w:eastAsia="黑体"/>
                <w:color w:val="auto"/>
                <w:szCs w:val="21"/>
                <w:highlight w:val="none"/>
              </w:rPr>
            </w:pPr>
          </w:p>
        </w:tc>
        <w:tc>
          <w:tcPr>
            <w:tcW w:w="3773" w:type="dxa"/>
            <w:gridSpan w:val="4"/>
          </w:tcPr>
          <w:p w14:paraId="65BD387A">
            <w:pPr>
              <w:adjustRightInd w:val="0"/>
              <w:snapToGrid w:val="0"/>
              <w:spacing w:line="560" w:lineRule="exact"/>
              <w:rPr>
                <w:rFonts w:eastAsia="黑体"/>
                <w:color w:val="auto"/>
                <w:szCs w:val="21"/>
                <w:highlight w:val="none"/>
              </w:rPr>
            </w:pPr>
          </w:p>
        </w:tc>
        <w:tc>
          <w:tcPr>
            <w:tcW w:w="1390" w:type="dxa"/>
          </w:tcPr>
          <w:p w14:paraId="619C041A">
            <w:pPr>
              <w:adjustRightInd w:val="0"/>
              <w:snapToGrid w:val="0"/>
              <w:spacing w:line="560" w:lineRule="exact"/>
              <w:rPr>
                <w:rFonts w:eastAsia="黑体"/>
                <w:color w:val="auto"/>
                <w:szCs w:val="21"/>
                <w:highlight w:val="none"/>
              </w:rPr>
            </w:pPr>
          </w:p>
        </w:tc>
        <w:tc>
          <w:tcPr>
            <w:tcW w:w="2533" w:type="dxa"/>
            <w:gridSpan w:val="2"/>
          </w:tcPr>
          <w:p w14:paraId="0A8ED9FD">
            <w:pPr>
              <w:adjustRightInd w:val="0"/>
              <w:snapToGrid w:val="0"/>
              <w:spacing w:line="560" w:lineRule="exact"/>
              <w:rPr>
                <w:rFonts w:eastAsia="黑体"/>
                <w:color w:val="auto"/>
                <w:szCs w:val="21"/>
                <w:highlight w:val="none"/>
              </w:rPr>
            </w:pPr>
          </w:p>
        </w:tc>
      </w:tr>
      <w:tr w14:paraId="418A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0C67A735">
            <w:pPr>
              <w:adjustRightInd w:val="0"/>
              <w:snapToGrid w:val="0"/>
              <w:spacing w:line="560" w:lineRule="exact"/>
              <w:rPr>
                <w:rFonts w:eastAsia="黑体"/>
                <w:color w:val="auto"/>
                <w:szCs w:val="21"/>
                <w:highlight w:val="none"/>
              </w:rPr>
            </w:pPr>
          </w:p>
        </w:tc>
        <w:tc>
          <w:tcPr>
            <w:tcW w:w="3773" w:type="dxa"/>
            <w:gridSpan w:val="4"/>
          </w:tcPr>
          <w:p w14:paraId="0E1DCC3B">
            <w:pPr>
              <w:adjustRightInd w:val="0"/>
              <w:snapToGrid w:val="0"/>
              <w:spacing w:line="560" w:lineRule="exact"/>
              <w:rPr>
                <w:rFonts w:eastAsia="黑体"/>
                <w:color w:val="auto"/>
                <w:szCs w:val="21"/>
                <w:highlight w:val="none"/>
              </w:rPr>
            </w:pPr>
          </w:p>
        </w:tc>
        <w:tc>
          <w:tcPr>
            <w:tcW w:w="1390" w:type="dxa"/>
          </w:tcPr>
          <w:p w14:paraId="2D193725">
            <w:pPr>
              <w:adjustRightInd w:val="0"/>
              <w:snapToGrid w:val="0"/>
              <w:spacing w:line="560" w:lineRule="exact"/>
              <w:rPr>
                <w:rFonts w:eastAsia="黑体"/>
                <w:color w:val="auto"/>
                <w:szCs w:val="21"/>
                <w:highlight w:val="none"/>
              </w:rPr>
            </w:pPr>
          </w:p>
        </w:tc>
        <w:tc>
          <w:tcPr>
            <w:tcW w:w="2533" w:type="dxa"/>
            <w:gridSpan w:val="2"/>
          </w:tcPr>
          <w:p w14:paraId="46987A32">
            <w:pPr>
              <w:adjustRightInd w:val="0"/>
              <w:snapToGrid w:val="0"/>
              <w:spacing w:line="560" w:lineRule="exact"/>
              <w:rPr>
                <w:rFonts w:eastAsia="黑体"/>
                <w:color w:val="auto"/>
                <w:szCs w:val="21"/>
                <w:highlight w:val="none"/>
              </w:rPr>
            </w:pPr>
          </w:p>
        </w:tc>
      </w:tr>
      <w:tr w14:paraId="4F53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Pr>
          <w:p w14:paraId="7E4E8741">
            <w:pPr>
              <w:adjustRightInd w:val="0"/>
              <w:snapToGrid w:val="0"/>
              <w:spacing w:line="560" w:lineRule="exact"/>
              <w:rPr>
                <w:rFonts w:eastAsia="黑体"/>
                <w:color w:val="auto"/>
                <w:szCs w:val="21"/>
                <w:highlight w:val="none"/>
              </w:rPr>
            </w:pPr>
          </w:p>
        </w:tc>
        <w:tc>
          <w:tcPr>
            <w:tcW w:w="3773" w:type="dxa"/>
            <w:gridSpan w:val="4"/>
          </w:tcPr>
          <w:p w14:paraId="079E2881">
            <w:pPr>
              <w:adjustRightInd w:val="0"/>
              <w:snapToGrid w:val="0"/>
              <w:spacing w:line="560" w:lineRule="exact"/>
              <w:rPr>
                <w:rFonts w:eastAsia="黑体"/>
                <w:color w:val="auto"/>
                <w:szCs w:val="21"/>
                <w:highlight w:val="none"/>
              </w:rPr>
            </w:pPr>
          </w:p>
        </w:tc>
        <w:tc>
          <w:tcPr>
            <w:tcW w:w="1390" w:type="dxa"/>
          </w:tcPr>
          <w:p w14:paraId="08D477AC">
            <w:pPr>
              <w:adjustRightInd w:val="0"/>
              <w:snapToGrid w:val="0"/>
              <w:spacing w:line="560" w:lineRule="exact"/>
              <w:rPr>
                <w:rFonts w:eastAsia="黑体"/>
                <w:color w:val="auto"/>
                <w:szCs w:val="21"/>
                <w:highlight w:val="none"/>
              </w:rPr>
            </w:pPr>
          </w:p>
        </w:tc>
        <w:tc>
          <w:tcPr>
            <w:tcW w:w="2533" w:type="dxa"/>
            <w:gridSpan w:val="2"/>
          </w:tcPr>
          <w:p w14:paraId="78678BB5">
            <w:pPr>
              <w:adjustRightInd w:val="0"/>
              <w:snapToGrid w:val="0"/>
              <w:spacing w:line="560" w:lineRule="exact"/>
              <w:rPr>
                <w:rFonts w:eastAsia="黑体"/>
                <w:color w:val="auto"/>
                <w:szCs w:val="21"/>
                <w:highlight w:val="none"/>
              </w:rPr>
            </w:pPr>
          </w:p>
        </w:tc>
      </w:tr>
    </w:tbl>
    <w:p w14:paraId="4CA89233">
      <w:pPr>
        <w:pStyle w:val="4"/>
        <w:adjustRightInd w:val="0"/>
        <w:snapToGrid w:val="0"/>
        <w:spacing w:line="560" w:lineRule="exact"/>
        <w:jc w:val="center"/>
        <w:rPr>
          <w:color w:val="auto"/>
          <w:highlight w:val="none"/>
        </w:rPr>
      </w:pPr>
      <w:bookmarkStart w:id="1083" w:name="_Toc21254"/>
      <w:r>
        <w:rPr>
          <w:rFonts w:hint="eastAsia"/>
          <w:color w:val="auto"/>
          <w:highlight w:val="none"/>
        </w:rPr>
        <w:t>（4）其他资格审查资料</w:t>
      </w:r>
      <w:bookmarkEnd w:id="1068"/>
      <w:bookmarkEnd w:id="1083"/>
    </w:p>
    <w:p w14:paraId="4D32C4B5">
      <w:pPr>
        <w:adjustRightInd w:val="0"/>
        <w:snapToGrid w:val="0"/>
        <w:spacing w:line="560" w:lineRule="exact"/>
        <w:jc w:val="center"/>
        <w:rPr>
          <w:color w:val="auto"/>
          <w:highlight w:val="none"/>
        </w:rPr>
      </w:pPr>
      <w:r>
        <w:rPr>
          <w:rFonts w:hint="eastAsia"/>
          <w:color w:val="auto"/>
          <w:highlight w:val="none"/>
        </w:rPr>
        <w:t>可扩展填写</w:t>
      </w:r>
    </w:p>
    <w:p w14:paraId="19240CF9">
      <w:pPr>
        <w:adjustRightInd w:val="0"/>
        <w:snapToGrid w:val="0"/>
        <w:spacing w:line="560" w:lineRule="exact"/>
        <w:rPr>
          <w:rFonts w:eastAsia="黑体"/>
          <w:color w:val="auto"/>
          <w:sz w:val="20"/>
          <w:szCs w:val="20"/>
          <w:highlight w:val="none"/>
        </w:rPr>
      </w:pPr>
    </w:p>
    <w:p w14:paraId="0576B38E">
      <w:pPr>
        <w:adjustRightInd w:val="0"/>
        <w:snapToGrid w:val="0"/>
        <w:spacing w:line="560" w:lineRule="exact"/>
        <w:rPr>
          <w:rFonts w:eastAsia="黑体"/>
          <w:color w:val="auto"/>
          <w:sz w:val="20"/>
          <w:szCs w:val="20"/>
          <w:highlight w:val="none"/>
        </w:rPr>
      </w:pPr>
    </w:p>
    <w:p w14:paraId="00007A37">
      <w:pPr>
        <w:adjustRightInd w:val="0"/>
        <w:snapToGrid w:val="0"/>
        <w:spacing w:line="560" w:lineRule="exact"/>
        <w:rPr>
          <w:rFonts w:eastAsia="黑体"/>
          <w:color w:val="auto"/>
          <w:sz w:val="20"/>
          <w:szCs w:val="20"/>
          <w:highlight w:val="none"/>
        </w:rPr>
      </w:pPr>
    </w:p>
    <w:p w14:paraId="64222743">
      <w:pPr>
        <w:adjustRightInd w:val="0"/>
        <w:snapToGrid w:val="0"/>
        <w:spacing w:line="560" w:lineRule="exact"/>
        <w:jc w:val="center"/>
        <w:rPr>
          <w:b/>
          <w:color w:val="auto"/>
          <w:sz w:val="28"/>
          <w:szCs w:val="28"/>
          <w:highlight w:val="none"/>
        </w:rPr>
      </w:pPr>
    </w:p>
    <w:p w14:paraId="2F2319C9">
      <w:pPr>
        <w:adjustRightInd w:val="0"/>
        <w:snapToGrid w:val="0"/>
        <w:spacing w:line="560" w:lineRule="exact"/>
        <w:jc w:val="center"/>
        <w:rPr>
          <w:b/>
          <w:color w:val="auto"/>
          <w:sz w:val="28"/>
          <w:szCs w:val="28"/>
          <w:highlight w:val="none"/>
        </w:rPr>
      </w:pPr>
    </w:p>
    <w:p w14:paraId="12530868">
      <w:pPr>
        <w:adjustRightInd w:val="0"/>
        <w:snapToGrid w:val="0"/>
        <w:spacing w:line="560" w:lineRule="exact"/>
        <w:jc w:val="center"/>
        <w:rPr>
          <w:b/>
          <w:color w:val="auto"/>
          <w:sz w:val="28"/>
          <w:szCs w:val="28"/>
          <w:highlight w:val="none"/>
        </w:rPr>
      </w:pPr>
    </w:p>
    <w:p w14:paraId="2898A879">
      <w:pPr>
        <w:adjustRightInd w:val="0"/>
        <w:snapToGrid w:val="0"/>
        <w:spacing w:line="560" w:lineRule="exact"/>
        <w:jc w:val="center"/>
        <w:rPr>
          <w:b/>
          <w:color w:val="auto"/>
          <w:sz w:val="28"/>
          <w:szCs w:val="28"/>
          <w:highlight w:val="none"/>
        </w:rPr>
      </w:pPr>
    </w:p>
    <w:p w14:paraId="3D24A311">
      <w:pPr>
        <w:adjustRightInd w:val="0"/>
        <w:snapToGrid w:val="0"/>
        <w:spacing w:line="560" w:lineRule="exact"/>
        <w:jc w:val="center"/>
        <w:rPr>
          <w:b/>
          <w:color w:val="auto"/>
          <w:sz w:val="28"/>
          <w:szCs w:val="28"/>
          <w:highlight w:val="none"/>
        </w:rPr>
      </w:pPr>
    </w:p>
    <w:p w14:paraId="2AFFC021">
      <w:pPr>
        <w:adjustRightInd w:val="0"/>
        <w:snapToGrid w:val="0"/>
        <w:spacing w:line="560" w:lineRule="exact"/>
        <w:jc w:val="center"/>
        <w:rPr>
          <w:b/>
          <w:color w:val="auto"/>
          <w:sz w:val="28"/>
          <w:szCs w:val="28"/>
          <w:highlight w:val="none"/>
        </w:rPr>
      </w:pPr>
    </w:p>
    <w:p w14:paraId="01D77324">
      <w:pPr>
        <w:adjustRightInd w:val="0"/>
        <w:snapToGrid w:val="0"/>
        <w:spacing w:line="560" w:lineRule="exact"/>
        <w:jc w:val="center"/>
        <w:rPr>
          <w:b/>
          <w:color w:val="auto"/>
          <w:sz w:val="28"/>
          <w:szCs w:val="28"/>
          <w:highlight w:val="none"/>
        </w:rPr>
      </w:pPr>
    </w:p>
    <w:p w14:paraId="6CD8C98B">
      <w:pPr>
        <w:adjustRightInd w:val="0"/>
        <w:snapToGrid w:val="0"/>
        <w:spacing w:line="560" w:lineRule="exact"/>
        <w:jc w:val="center"/>
        <w:rPr>
          <w:b/>
          <w:color w:val="auto"/>
          <w:sz w:val="28"/>
          <w:szCs w:val="28"/>
          <w:highlight w:val="none"/>
        </w:rPr>
      </w:pPr>
    </w:p>
    <w:p w14:paraId="53B0A5AE">
      <w:pPr>
        <w:adjustRightInd w:val="0"/>
        <w:snapToGrid w:val="0"/>
        <w:spacing w:line="560" w:lineRule="exact"/>
        <w:jc w:val="center"/>
        <w:rPr>
          <w:b/>
          <w:color w:val="auto"/>
          <w:sz w:val="28"/>
          <w:szCs w:val="28"/>
          <w:highlight w:val="none"/>
        </w:rPr>
      </w:pPr>
    </w:p>
    <w:p w14:paraId="250CFD8D">
      <w:pPr>
        <w:adjustRightInd w:val="0"/>
        <w:snapToGrid w:val="0"/>
        <w:spacing w:line="560" w:lineRule="exact"/>
        <w:jc w:val="center"/>
        <w:rPr>
          <w:b/>
          <w:color w:val="auto"/>
          <w:sz w:val="28"/>
          <w:szCs w:val="28"/>
          <w:highlight w:val="none"/>
        </w:rPr>
      </w:pPr>
    </w:p>
    <w:p w14:paraId="26C280BF">
      <w:pPr>
        <w:adjustRightInd w:val="0"/>
        <w:snapToGrid w:val="0"/>
        <w:spacing w:line="560" w:lineRule="exact"/>
        <w:jc w:val="center"/>
        <w:rPr>
          <w:b/>
          <w:color w:val="auto"/>
          <w:sz w:val="28"/>
          <w:szCs w:val="28"/>
          <w:highlight w:val="none"/>
        </w:rPr>
      </w:pPr>
    </w:p>
    <w:p w14:paraId="42880B66">
      <w:pPr>
        <w:adjustRightInd w:val="0"/>
        <w:snapToGrid w:val="0"/>
        <w:spacing w:line="560" w:lineRule="exact"/>
        <w:jc w:val="center"/>
        <w:rPr>
          <w:b/>
          <w:color w:val="auto"/>
          <w:sz w:val="28"/>
          <w:szCs w:val="28"/>
          <w:highlight w:val="none"/>
        </w:rPr>
      </w:pPr>
    </w:p>
    <w:p w14:paraId="62F6625E">
      <w:pPr>
        <w:adjustRightInd w:val="0"/>
        <w:snapToGrid w:val="0"/>
        <w:spacing w:line="560" w:lineRule="exact"/>
        <w:jc w:val="center"/>
        <w:rPr>
          <w:b/>
          <w:color w:val="auto"/>
          <w:sz w:val="28"/>
          <w:szCs w:val="28"/>
          <w:highlight w:val="none"/>
        </w:rPr>
      </w:pPr>
    </w:p>
    <w:p w14:paraId="7950514F">
      <w:pPr>
        <w:adjustRightInd w:val="0"/>
        <w:snapToGrid w:val="0"/>
        <w:spacing w:line="560" w:lineRule="exact"/>
        <w:jc w:val="center"/>
        <w:rPr>
          <w:b/>
          <w:color w:val="auto"/>
          <w:sz w:val="28"/>
          <w:szCs w:val="28"/>
          <w:highlight w:val="none"/>
        </w:rPr>
      </w:pPr>
    </w:p>
    <w:p w14:paraId="166318B8">
      <w:pPr>
        <w:pStyle w:val="18"/>
        <w:rPr>
          <w:color w:val="auto"/>
          <w:highlight w:val="none"/>
        </w:rPr>
      </w:pPr>
    </w:p>
    <w:p w14:paraId="2CCCEE21">
      <w:pPr>
        <w:adjustRightInd w:val="0"/>
        <w:snapToGrid w:val="0"/>
        <w:spacing w:line="560" w:lineRule="exact"/>
        <w:jc w:val="center"/>
        <w:rPr>
          <w:b/>
          <w:color w:val="auto"/>
          <w:sz w:val="28"/>
          <w:szCs w:val="28"/>
          <w:highlight w:val="none"/>
        </w:rPr>
      </w:pPr>
    </w:p>
    <w:p w14:paraId="3071841D">
      <w:pPr>
        <w:adjustRightInd w:val="0"/>
        <w:snapToGrid w:val="0"/>
        <w:spacing w:line="560" w:lineRule="exact"/>
        <w:jc w:val="center"/>
        <w:rPr>
          <w:b/>
          <w:color w:val="auto"/>
          <w:sz w:val="28"/>
          <w:szCs w:val="28"/>
          <w:highlight w:val="none"/>
        </w:rPr>
      </w:pPr>
    </w:p>
    <w:p w14:paraId="2CF51608">
      <w:pPr>
        <w:pStyle w:val="18"/>
        <w:adjustRightInd w:val="0"/>
        <w:snapToGrid w:val="0"/>
        <w:spacing w:line="560" w:lineRule="exact"/>
        <w:ind w:left="0" w:leftChars="0" w:firstLine="562"/>
        <w:rPr>
          <w:b/>
          <w:color w:val="auto"/>
          <w:sz w:val="28"/>
          <w:szCs w:val="28"/>
          <w:highlight w:val="none"/>
        </w:rPr>
      </w:pPr>
    </w:p>
    <w:p w14:paraId="157A6410">
      <w:pPr>
        <w:adjustRightInd w:val="0"/>
        <w:snapToGrid w:val="0"/>
        <w:spacing w:line="560" w:lineRule="exact"/>
        <w:rPr>
          <w:b/>
          <w:color w:val="auto"/>
          <w:sz w:val="28"/>
          <w:szCs w:val="28"/>
          <w:highlight w:val="none"/>
        </w:rPr>
      </w:pPr>
    </w:p>
    <w:p w14:paraId="1D475F01">
      <w:pPr>
        <w:pStyle w:val="18"/>
        <w:adjustRightInd w:val="0"/>
        <w:snapToGrid w:val="0"/>
        <w:spacing w:line="560" w:lineRule="exact"/>
        <w:ind w:left="0" w:leftChars="0" w:firstLine="562"/>
        <w:rPr>
          <w:b/>
          <w:color w:val="auto"/>
          <w:sz w:val="28"/>
          <w:szCs w:val="28"/>
          <w:highlight w:val="none"/>
        </w:rPr>
      </w:pPr>
    </w:p>
    <w:p w14:paraId="094A74F1">
      <w:pPr>
        <w:adjustRightInd w:val="0"/>
        <w:snapToGrid w:val="0"/>
        <w:spacing w:line="560" w:lineRule="exact"/>
        <w:rPr>
          <w:b/>
          <w:color w:val="auto"/>
          <w:sz w:val="28"/>
          <w:szCs w:val="28"/>
          <w:highlight w:val="none"/>
        </w:rPr>
      </w:pPr>
      <w:bookmarkStart w:id="1084" w:name="_Toc58229121"/>
      <w:bookmarkStart w:id="1085" w:name="_Toc60061581"/>
      <w:bookmarkStart w:id="1086" w:name="_Toc324404893"/>
      <w:bookmarkStart w:id="1087" w:name="_Toc484173797"/>
      <w:bookmarkStart w:id="1088" w:name="_Toc506107353"/>
      <w:bookmarkStart w:id="1089" w:name="_Toc11719"/>
      <w:bookmarkStart w:id="1090" w:name="_Toc15058940"/>
      <w:bookmarkStart w:id="1091" w:name="_Toc499804616"/>
    </w:p>
    <w:bookmarkEnd w:id="1007"/>
    <w:bookmarkEnd w:id="1008"/>
    <w:bookmarkEnd w:id="1009"/>
    <w:bookmarkEnd w:id="1010"/>
    <w:bookmarkEnd w:id="1011"/>
    <w:bookmarkEnd w:id="1012"/>
    <w:bookmarkEnd w:id="1013"/>
    <w:bookmarkEnd w:id="1014"/>
    <w:bookmarkEnd w:id="1084"/>
    <w:bookmarkEnd w:id="1085"/>
    <w:bookmarkEnd w:id="1086"/>
    <w:bookmarkEnd w:id="1087"/>
    <w:bookmarkEnd w:id="1088"/>
    <w:bookmarkEnd w:id="1089"/>
    <w:bookmarkEnd w:id="1090"/>
    <w:bookmarkEnd w:id="1091"/>
    <w:p w14:paraId="35183D1A">
      <w:pPr>
        <w:adjustRightInd w:val="0"/>
        <w:snapToGrid w:val="0"/>
        <w:spacing w:line="560" w:lineRule="exact"/>
        <w:jc w:val="center"/>
        <w:outlineLvl w:val="1"/>
        <w:rPr>
          <w:rFonts w:ascii="宋体"/>
          <w:b/>
          <w:color w:val="auto"/>
          <w:sz w:val="28"/>
          <w:szCs w:val="28"/>
          <w:highlight w:val="none"/>
        </w:rPr>
      </w:pPr>
      <w:bookmarkStart w:id="1092" w:name="_Toc25796"/>
      <w:r>
        <w:rPr>
          <w:rFonts w:hint="eastAsia"/>
          <w:b/>
          <w:color w:val="auto"/>
          <w:sz w:val="28"/>
          <w:szCs w:val="28"/>
          <w:highlight w:val="none"/>
        </w:rPr>
        <w:t>①法定代表人身份证明或授权委托书</w:t>
      </w:r>
      <w:bookmarkEnd w:id="1092"/>
    </w:p>
    <w:p w14:paraId="6A5F80E5">
      <w:pPr>
        <w:pStyle w:val="47"/>
        <w:adjustRightInd w:val="0"/>
        <w:snapToGrid w:val="0"/>
        <w:spacing w:line="560" w:lineRule="exact"/>
        <w:outlineLvl w:val="2"/>
        <w:rPr>
          <w:rFonts w:ascii="宋体"/>
          <w:b/>
          <w:color w:val="auto"/>
          <w:sz w:val="30"/>
          <w:szCs w:val="30"/>
          <w:highlight w:val="none"/>
        </w:rPr>
      </w:pPr>
      <w:bookmarkStart w:id="1093" w:name="_Toc29357"/>
      <w:r>
        <w:rPr>
          <w:rFonts w:hint="eastAsia" w:ascii="宋体"/>
          <w:color w:val="auto"/>
          <w:sz w:val="30"/>
          <w:szCs w:val="30"/>
          <w:highlight w:val="none"/>
        </w:rPr>
        <w:t>1.法定代表人身份证明</w:t>
      </w:r>
      <w:bookmarkEnd w:id="1093"/>
    </w:p>
    <w:p w14:paraId="338AF4FE">
      <w:pPr>
        <w:adjustRightInd w:val="0"/>
        <w:snapToGrid w:val="0"/>
        <w:spacing w:line="560" w:lineRule="exact"/>
        <w:rPr>
          <w:rFonts w:ascii="宋体"/>
          <w:color w:val="auto"/>
          <w:sz w:val="28"/>
          <w:szCs w:val="28"/>
          <w:highlight w:val="none"/>
        </w:rPr>
      </w:pPr>
      <w:r>
        <w:rPr>
          <w:rFonts w:hint="eastAsia" w:ascii="宋体"/>
          <w:color w:val="auto"/>
          <w:sz w:val="28"/>
          <w:szCs w:val="28"/>
          <w:highlight w:val="none"/>
        </w:rPr>
        <w:t>投标人名称：</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1AEBEF84">
      <w:pPr>
        <w:adjustRightInd w:val="0"/>
        <w:snapToGrid w:val="0"/>
        <w:spacing w:line="560" w:lineRule="exact"/>
        <w:rPr>
          <w:rFonts w:ascii="宋体"/>
          <w:color w:val="auto"/>
          <w:sz w:val="28"/>
          <w:szCs w:val="28"/>
          <w:highlight w:val="none"/>
        </w:rPr>
      </w:pPr>
      <w:r>
        <w:rPr>
          <w:rFonts w:hint="eastAsia" w:ascii="宋体"/>
          <w:color w:val="auto"/>
          <w:sz w:val="28"/>
          <w:szCs w:val="28"/>
          <w:highlight w:val="none"/>
        </w:rPr>
        <w:t xml:space="preserve">单位性质： </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2F472495">
      <w:pPr>
        <w:adjustRightInd w:val="0"/>
        <w:snapToGrid w:val="0"/>
        <w:spacing w:line="560" w:lineRule="exact"/>
        <w:rPr>
          <w:rFonts w:ascii="宋体"/>
          <w:color w:val="auto"/>
          <w:sz w:val="28"/>
          <w:szCs w:val="28"/>
          <w:highlight w:val="none"/>
        </w:rPr>
      </w:pPr>
      <w:r>
        <w:rPr>
          <w:rFonts w:hint="eastAsia" w:ascii="宋体"/>
          <w:color w:val="auto"/>
          <w:sz w:val="28"/>
          <w:szCs w:val="28"/>
          <w:highlight w:val="none"/>
        </w:rPr>
        <w:t>地    址：</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7F992D08">
      <w:pPr>
        <w:adjustRightInd w:val="0"/>
        <w:snapToGrid w:val="0"/>
        <w:spacing w:line="560" w:lineRule="exact"/>
        <w:rPr>
          <w:rFonts w:ascii="宋体"/>
          <w:color w:val="auto"/>
          <w:sz w:val="28"/>
          <w:szCs w:val="28"/>
          <w:highlight w:val="none"/>
        </w:rPr>
      </w:pPr>
      <w:r>
        <w:rPr>
          <w:rFonts w:hint="eastAsia" w:ascii="宋体"/>
          <w:color w:val="auto"/>
          <w:sz w:val="28"/>
          <w:szCs w:val="28"/>
          <w:highlight w:val="none"/>
        </w:rPr>
        <w:t>成立时间：</w:t>
      </w: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115E42D9">
      <w:pPr>
        <w:adjustRightInd w:val="0"/>
        <w:snapToGrid w:val="0"/>
        <w:spacing w:line="560" w:lineRule="exact"/>
        <w:rPr>
          <w:rFonts w:ascii="宋体"/>
          <w:color w:val="auto"/>
          <w:sz w:val="28"/>
          <w:szCs w:val="28"/>
          <w:highlight w:val="none"/>
        </w:rPr>
      </w:pPr>
      <w:r>
        <w:rPr>
          <w:rFonts w:hint="eastAsia" w:ascii="宋体"/>
          <w:color w:val="auto"/>
          <w:sz w:val="28"/>
          <w:szCs w:val="28"/>
          <w:highlight w:val="none"/>
        </w:rPr>
        <w:t>经营期限：</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w:t>
      </w:r>
    </w:p>
    <w:p w14:paraId="6DB9677B">
      <w:pPr>
        <w:adjustRightInd w:val="0"/>
        <w:snapToGrid w:val="0"/>
        <w:spacing w:line="560" w:lineRule="exact"/>
        <w:jc w:val="left"/>
        <w:rPr>
          <w:rFonts w:ascii="宋体"/>
          <w:color w:val="auto"/>
          <w:sz w:val="28"/>
          <w:szCs w:val="28"/>
          <w:highlight w:val="none"/>
          <w:u w:val="single"/>
        </w:rPr>
      </w:pPr>
      <w:r>
        <w:rPr>
          <w:rFonts w:hint="eastAsia" w:ascii="宋体"/>
          <w:color w:val="auto"/>
          <w:spacing w:val="240"/>
          <w:sz w:val="28"/>
          <w:szCs w:val="28"/>
          <w:highlight w:val="none"/>
        </w:rPr>
        <w:t>姓</w:t>
      </w:r>
      <w:r>
        <w:rPr>
          <w:rFonts w:hint="eastAsia" w:ascii="宋体"/>
          <w:color w:val="auto"/>
          <w:sz w:val="28"/>
          <w:szCs w:val="28"/>
          <w:highlight w:val="none"/>
        </w:rPr>
        <w:t>名：</w:t>
      </w:r>
      <w:r>
        <w:rPr>
          <w:rFonts w:hint="eastAsia" w:ascii="宋体"/>
          <w:color w:val="auto"/>
          <w:sz w:val="28"/>
          <w:szCs w:val="28"/>
          <w:highlight w:val="none"/>
          <w:u w:val="single"/>
        </w:rPr>
        <w:t xml:space="preserve">           </w:t>
      </w:r>
      <w:r>
        <w:rPr>
          <w:rFonts w:hint="eastAsia" w:ascii="宋体"/>
          <w:color w:val="auto"/>
          <w:sz w:val="28"/>
          <w:szCs w:val="28"/>
          <w:highlight w:val="none"/>
        </w:rPr>
        <w:t>身份证号码：</w:t>
      </w:r>
      <w:r>
        <w:rPr>
          <w:rFonts w:hint="eastAsia" w:ascii="宋体"/>
          <w:color w:val="auto"/>
          <w:sz w:val="28"/>
          <w:szCs w:val="28"/>
          <w:highlight w:val="none"/>
          <w:u w:val="single"/>
        </w:rPr>
        <w:t xml:space="preserve">             </w:t>
      </w:r>
      <w:r>
        <w:rPr>
          <w:rFonts w:hint="eastAsia" w:ascii="宋体"/>
          <w:color w:val="auto"/>
          <w:sz w:val="28"/>
          <w:szCs w:val="28"/>
          <w:highlight w:val="none"/>
        </w:rPr>
        <w:t>性别</w:t>
      </w:r>
      <w:r>
        <w:rPr>
          <w:rFonts w:hint="eastAsia" w:ascii="宋体"/>
          <w:color w:val="auto"/>
          <w:sz w:val="28"/>
          <w:szCs w:val="28"/>
          <w:highlight w:val="none"/>
          <w:u w:val="single"/>
        </w:rPr>
        <w:t xml:space="preserve">：            </w:t>
      </w:r>
      <w:r>
        <w:rPr>
          <w:rFonts w:hint="eastAsia" w:ascii="宋体"/>
          <w:color w:val="auto"/>
          <w:sz w:val="28"/>
          <w:szCs w:val="28"/>
          <w:highlight w:val="none"/>
        </w:rPr>
        <w:t>年龄：</w:t>
      </w:r>
      <w:r>
        <w:rPr>
          <w:rFonts w:hint="eastAsia" w:ascii="宋体"/>
          <w:color w:val="auto"/>
          <w:sz w:val="28"/>
          <w:szCs w:val="28"/>
          <w:highlight w:val="none"/>
          <w:u w:val="single"/>
        </w:rPr>
        <w:t xml:space="preserve">   </w:t>
      </w:r>
      <w:r>
        <w:rPr>
          <w:rFonts w:hint="eastAsia" w:ascii="宋体"/>
          <w:color w:val="auto"/>
          <w:sz w:val="28"/>
          <w:szCs w:val="28"/>
          <w:highlight w:val="none"/>
        </w:rPr>
        <w:t>职务：</w:t>
      </w:r>
      <w:r>
        <w:rPr>
          <w:rFonts w:hint="eastAsia" w:ascii="宋体"/>
          <w:color w:val="auto"/>
          <w:sz w:val="28"/>
          <w:szCs w:val="28"/>
          <w:highlight w:val="none"/>
          <w:u w:val="single"/>
        </w:rPr>
        <w:t xml:space="preserve">       </w:t>
      </w:r>
      <w:r>
        <w:rPr>
          <w:rFonts w:hint="eastAsia" w:ascii="宋体"/>
          <w:color w:val="auto"/>
          <w:sz w:val="28"/>
          <w:szCs w:val="28"/>
          <w:highlight w:val="none"/>
        </w:rPr>
        <w:t>，系</w:t>
      </w:r>
      <w:r>
        <w:rPr>
          <w:rFonts w:hint="eastAsia" w:ascii="宋体"/>
          <w:color w:val="auto"/>
          <w:sz w:val="28"/>
          <w:szCs w:val="28"/>
          <w:highlight w:val="none"/>
          <w:u w:val="single"/>
        </w:rPr>
        <w:t xml:space="preserve">                       </w:t>
      </w:r>
      <w:r>
        <w:rPr>
          <w:rFonts w:hint="eastAsia" w:ascii="宋体"/>
          <w:color w:val="auto"/>
          <w:sz w:val="28"/>
          <w:szCs w:val="28"/>
          <w:highlight w:val="none"/>
        </w:rPr>
        <w:t>（投标人名称）的法定代表人。</w:t>
      </w:r>
    </w:p>
    <w:p w14:paraId="55D31BF7">
      <w:pPr>
        <w:adjustRightInd w:val="0"/>
        <w:snapToGrid w:val="0"/>
        <w:spacing w:line="560" w:lineRule="exact"/>
        <w:rPr>
          <w:rFonts w:ascii="宋体"/>
          <w:color w:val="auto"/>
          <w:sz w:val="28"/>
          <w:szCs w:val="28"/>
          <w:highlight w:val="none"/>
        </w:rPr>
      </w:pPr>
      <w:r>
        <w:rPr>
          <w:rFonts w:hint="eastAsia" w:ascii="宋体"/>
          <w:color w:val="auto"/>
          <w:sz w:val="28"/>
          <w:szCs w:val="28"/>
          <w:highlight w:val="none"/>
        </w:rPr>
        <w:t>特此证明。</w:t>
      </w:r>
    </w:p>
    <w:p w14:paraId="1196DB0C">
      <w:pPr>
        <w:adjustRightInd w:val="0"/>
        <w:snapToGrid w:val="0"/>
        <w:spacing w:line="560" w:lineRule="exact"/>
        <w:rPr>
          <w:rFonts w:ascii="宋体"/>
          <w:color w:val="auto"/>
          <w:sz w:val="28"/>
          <w:szCs w:val="28"/>
          <w:highlight w:val="none"/>
        </w:rPr>
      </w:pPr>
    </w:p>
    <w:p w14:paraId="77FE2919">
      <w:pPr>
        <w:adjustRightInd w:val="0"/>
        <w:snapToGrid w:val="0"/>
        <w:spacing w:line="560" w:lineRule="exact"/>
        <w:rPr>
          <w:rFonts w:ascii="宋体"/>
          <w:color w:val="auto"/>
          <w:sz w:val="28"/>
          <w:szCs w:val="28"/>
          <w:highlight w:val="none"/>
        </w:rPr>
      </w:pPr>
    </w:p>
    <w:p w14:paraId="0D498298">
      <w:pPr>
        <w:adjustRightInd w:val="0"/>
        <w:snapToGrid w:val="0"/>
        <w:spacing w:line="560" w:lineRule="exact"/>
        <w:rPr>
          <w:rFonts w:ascii="宋体"/>
          <w:color w:val="auto"/>
          <w:sz w:val="28"/>
          <w:szCs w:val="28"/>
          <w:highlight w:val="none"/>
        </w:rPr>
      </w:pPr>
    </w:p>
    <w:p w14:paraId="1D1EDEA4">
      <w:pPr>
        <w:adjustRightInd w:val="0"/>
        <w:snapToGrid w:val="0"/>
        <w:spacing w:line="560" w:lineRule="exact"/>
        <w:ind w:firstLine="4340" w:firstLineChars="1550"/>
        <w:rPr>
          <w:rFonts w:ascii="宋体"/>
          <w:color w:val="auto"/>
          <w:sz w:val="28"/>
          <w:szCs w:val="28"/>
          <w:highlight w:val="non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3248254F">
      <w:pPr>
        <w:adjustRightInd w:val="0"/>
        <w:snapToGrid w:val="0"/>
        <w:spacing w:line="560" w:lineRule="exact"/>
        <w:rPr>
          <w:rFonts w:ascii="宋体"/>
          <w:color w:val="auto"/>
          <w:sz w:val="28"/>
          <w:szCs w:val="28"/>
          <w:highlight w:val="none"/>
        </w:rPr>
      </w:pPr>
      <w:r>
        <w:rPr>
          <w:rFonts w:hint="eastAsia" w:ascii="宋体"/>
          <w:color w:val="auto"/>
          <w:sz w:val="28"/>
          <w:szCs w:val="28"/>
          <w:highlight w:val="none"/>
        </w:rPr>
        <w:t xml:space="preserve">                                        年    月     日</w:t>
      </w:r>
    </w:p>
    <w:p w14:paraId="170A0C07">
      <w:pPr>
        <w:adjustRightInd w:val="0"/>
        <w:snapToGrid w:val="0"/>
        <w:spacing w:line="560" w:lineRule="exact"/>
        <w:rPr>
          <w:rFonts w:ascii="宋体"/>
          <w:color w:val="auto"/>
          <w:sz w:val="28"/>
          <w:szCs w:val="28"/>
          <w:highlight w:val="none"/>
        </w:rPr>
      </w:pPr>
    </w:p>
    <w:p w14:paraId="6F0088D2">
      <w:pPr>
        <w:adjustRightInd w:val="0"/>
        <w:snapToGrid w:val="0"/>
        <w:spacing w:line="560" w:lineRule="exact"/>
        <w:rPr>
          <w:rFonts w:ascii="宋体"/>
          <w:color w:val="auto"/>
          <w:sz w:val="28"/>
          <w:szCs w:val="28"/>
          <w:highlight w:val="none"/>
        </w:rPr>
      </w:pPr>
    </w:p>
    <w:p w14:paraId="7F7F3A99">
      <w:pPr>
        <w:pStyle w:val="47"/>
        <w:adjustRightInd w:val="0"/>
        <w:snapToGrid w:val="0"/>
        <w:spacing w:line="560" w:lineRule="exact"/>
        <w:rPr>
          <w:rFonts w:ascii="宋体"/>
          <w:color w:val="auto"/>
          <w:sz w:val="30"/>
          <w:szCs w:val="30"/>
          <w:highlight w:val="none"/>
        </w:rPr>
      </w:pPr>
    </w:p>
    <w:p w14:paraId="5D1EF877">
      <w:pPr>
        <w:rPr>
          <w:color w:val="auto"/>
          <w:highlight w:val="none"/>
        </w:rPr>
      </w:pPr>
    </w:p>
    <w:p w14:paraId="1A1834D5">
      <w:pPr>
        <w:pStyle w:val="18"/>
        <w:rPr>
          <w:color w:val="auto"/>
          <w:highlight w:val="none"/>
        </w:rPr>
      </w:pPr>
    </w:p>
    <w:p w14:paraId="64D9D544">
      <w:pPr>
        <w:rPr>
          <w:color w:val="auto"/>
          <w:highlight w:val="none"/>
        </w:rPr>
      </w:pPr>
    </w:p>
    <w:p w14:paraId="5CA99C23">
      <w:pPr>
        <w:pStyle w:val="18"/>
        <w:rPr>
          <w:color w:val="auto"/>
          <w:highlight w:val="none"/>
        </w:rPr>
      </w:pPr>
    </w:p>
    <w:p w14:paraId="24C195F9">
      <w:pPr>
        <w:rPr>
          <w:color w:val="auto"/>
          <w:highlight w:val="none"/>
        </w:rPr>
      </w:pPr>
    </w:p>
    <w:p w14:paraId="63F0ABA8">
      <w:pPr>
        <w:pStyle w:val="18"/>
        <w:rPr>
          <w:color w:val="auto"/>
          <w:highlight w:val="none"/>
        </w:rPr>
      </w:pPr>
    </w:p>
    <w:p w14:paraId="6572A4BF">
      <w:pPr>
        <w:pStyle w:val="47"/>
        <w:adjustRightInd w:val="0"/>
        <w:snapToGrid w:val="0"/>
        <w:spacing w:line="560" w:lineRule="exact"/>
        <w:rPr>
          <w:rFonts w:ascii="宋体"/>
          <w:color w:val="auto"/>
          <w:sz w:val="30"/>
          <w:szCs w:val="30"/>
          <w:highlight w:val="none"/>
        </w:rPr>
      </w:pPr>
    </w:p>
    <w:p w14:paraId="4BED0FDE">
      <w:pPr>
        <w:rPr>
          <w:color w:val="auto"/>
          <w:highlight w:val="none"/>
        </w:rPr>
      </w:pPr>
    </w:p>
    <w:p w14:paraId="2854C878">
      <w:pPr>
        <w:rPr>
          <w:color w:val="auto"/>
          <w:highlight w:val="none"/>
        </w:rPr>
      </w:pPr>
    </w:p>
    <w:p w14:paraId="7C66E7BA">
      <w:pPr>
        <w:pStyle w:val="47"/>
        <w:adjustRightInd w:val="0"/>
        <w:snapToGrid w:val="0"/>
        <w:spacing w:line="560" w:lineRule="exact"/>
        <w:rPr>
          <w:rFonts w:ascii="宋体"/>
          <w:color w:val="auto"/>
          <w:sz w:val="30"/>
          <w:szCs w:val="30"/>
          <w:highlight w:val="none"/>
        </w:rPr>
      </w:pPr>
    </w:p>
    <w:p w14:paraId="56D01019">
      <w:pPr>
        <w:pStyle w:val="47"/>
        <w:adjustRightInd w:val="0"/>
        <w:snapToGrid w:val="0"/>
        <w:spacing w:line="560" w:lineRule="exact"/>
        <w:rPr>
          <w:rFonts w:ascii="宋体"/>
          <w:color w:val="auto"/>
          <w:sz w:val="30"/>
          <w:szCs w:val="30"/>
          <w:highlight w:val="none"/>
        </w:rPr>
      </w:pPr>
    </w:p>
    <w:p w14:paraId="3226D616">
      <w:pPr>
        <w:pStyle w:val="47"/>
        <w:adjustRightInd w:val="0"/>
        <w:snapToGrid w:val="0"/>
        <w:spacing w:line="560" w:lineRule="exact"/>
        <w:rPr>
          <w:rFonts w:ascii="宋体"/>
          <w:color w:val="auto"/>
          <w:sz w:val="30"/>
          <w:szCs w:val="30"/>
          <w:highlight w:val="none"/>
        </w:rPr>
      </w:pPr>
    </w:p>
    <w:p w14:paraId="440B7F3A">
      <w:pPr>
        <w:pStyle w:val="47"/>
        <w:adjustRightInd w:val="0"/>
        <w:snapToGrid w:val="0"/>
        <w:spacing w:line="560" w:lineRule="exact"/>
        <w:outlineLvl w:val="2"/>
        <w:rPr>
          <w:rFonts w:ascii="宋体"/>
          <w:color w:val="auto"/>
          <w:sz w:val="30"/>
          <w:szCs w:val="30"/>
          <w:highlight w:val="none"/>
        </w:rPr>
      </w:pPr>
      <w:bookmarkStart w:id="1094" w:name="_Toc15349"/>
      <w:r>
        <w:rPr>
          <w:rFonts w:hint="eastAsia" w:ascii="宋体"/>
          <w:color w:val="auto"/>
          <w:sz w:val="30"/>
          <w:szCs w:val="30"/>
          <w:highlight w:val="none"/>
        </w:rPr>
        <w:t>2. 授权委托书</w:t>
      </w:r>
      <w:bookmarkEnd w:id="1094"/>
    </w:p>
    <w:p w14:paraId="292CA6DE">
      <w:pPr>
        <w:adjustRightInd w:val="0"/>
        <w:snapToGrid w:val="0"/>
        <w:spacing w:line="560" w:lineRule="exact"/>
        <w:ind w:firstLine="560" w:firstLineChars="200"/>
        <w:rPr>
          <w:rFonts w:ascii="宋体"/>
          <w:color w:val="auto"/>
          <w:sz w:val="28"/>
          <w:szCs w:val="28"/>
          <w:highlight w:val="none"/>
        </w:rPr>
      </w:pPr>
      <w:r>
        <w:rPr>
          <w:rFonts w:hint="eastAsia" w:ascii="宋体"/>
          <w:color w:val="auto"/>
          <w:sz w:val="28"/>
          <w:szCs w:val="28"/>
          <w:highlight w:val="none"/>
        </w:rPr>
        <w:t xml:space="preserve">本人 </w:t>
      </w:r>
      <w:r>
        <w:rPr>
          <w:rFonts w:hint="eastAsia" w:ascii="宋体"/>
          <w:color w:val="auto"/>
          <w:sz w:val="28"/>
          <w:szCs w:val="28"/>
          <w:highlight w:val="none"/>
          <w:u w:val="single"/>
        </w:rPr>
        <w:t xml:space="preserve">    </w:t>
      </w:r>
      <w:r>
        <w:rPr>
          <w:rFonts w:hint="eastAsia" w:ascii="宋体"/>
          <w:color w:val="auto"/>
          <w:sz w:val="28"/>
          <w:szCs w:val="28"/>
          <w:highlight w:val="none"/>
        </w:rPr>
        <w:t>（姓名）系</w:t>
      </w:r>
      <w:r>
        <w:rPr>
          <w:rFonts w:hint="eastAsia" w:ascii="宋体"/>
          <w:color w:val="auto"/>
          <w:sz w:val="28"/>
          <w:szCs w:val="28"/>
          <w:highlight w:val="none"/>
          <w:u w:val="single"/>
        </w:rPr>
        <w:t xml:space="preserve">       </w:t>
      </w:r>
      <w:r>
        <w:rPr>
          <w:rFonts w:hint="eastAsia" w:ascii="宋体"/>
          <w:color w:val="auto"/>
          <w:sz w:val="28"/>
          <w:szCs w:val="28"/>
          <w:highlight w:val="none"/>
        </w:rPr>
        <w:t>（投标人）的法定代表人，现委托</w:t>
      </w:r>
      <w:r>
        <w:rPr>
          <w:rFonts w:hint="eastAsia" w:ascii="宋体"/>
          <w:color w:val="auto"/>
          <w:sz w:val="28"/>
          <w:szCs w:val="28"/>
          <w:highlight w:val="none"/>
          <w:u w:val="single"/>
        </w:rPr>
        <w:t xml:space="preserve">   </w:t>
      </w:r>
      <w:r>
        <w:rPr>
          <w:rFonts w:hint="eastAsia" w:ascii="宋体"/>
          <w:color w:val="auto"/>
          <w:sz w:val="28"/>
          <w:szCs w:val="28"/>
          <w:highlight w:val="none"/>
        </w:rPr>
        <w:t>（姓名）为我方代理人。代理人根据授权，以我方名义签署、澄清、说明、补正、递交、撤回、修改 “</w:t>
      </w:r>
      <w:r>
        <w:rPr>
          <w:rFonts w:hint="eastAsia" w:ascii="宋体"/>
          <w:color w:val="auto"/>
          <w:sz w:val="28"/>
          <w:szCs w:val="28"/>
          <w:highlight w:val="none"/>
          <w:u w:val="single"/>
        </w:rPr>
        <w:t xml:space="preserve">      </w:t>
      </w:r>
      <w:r>
        <w:rPr>
          <w:rFonts w:hint="eastAsia" w:ascii="宋体"/>
          <w:color w:val="auto"/>
          <w:sz w:val="28"/>
          <w:szCs w:val="28"/>
          <w:highlight w:val="none"/>
        </w:rPr>
        <w:t xml:space="preserve"> ”(项目名称、编号）投标文件，全权处理与该项目投标、评审答疑、签订合同以及与合同执行有关的一切事务，其法律后果由我方承担。</w:t>
      </w:r>
    </w:p>
    <w:p w14:paraId="70938C3A">
      <w:pPr>
        <w:adjustRightInd w:val="0"/>
        <w:snapToGrid w:val="0"/>
        <w:spacing w:line="560" w:lineRule="exact"/>
        <w:ind w:firstLine="560" w:firstLineChars="200"/>
        <w:rPr>
          <w:rFonts w:ascii="宋体"/>
          <w:color w:val="auto"/>
          <w:sz w:val="28"/>
          <w:szCs w:val="28"/>
          <w:highlight w:val="none"/>
        </w:rPr>
      </w:pPr>
      <w:r>
        <w:rPr>
          <w:rFonts w:hint="eastAsia" w:ascii="宋体"/>
          <w:color w:val="auto"/>
          <w:sz w:val="28"/>
          <w:szCs w:val="28"/>
          <w:highlight w:val="none"/>
        </w:rPr>
        <w:t xml:space="preserve">委托期限： </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w:t>
      </w:r>
      <w:r>
        <w:rPr>
          <w:rFonts w:hint="eastAsia" w:ascii="宋体"/>
          <w:color w:val="auto"/>
          <w:sz w:val="28"/>
          <w:szCs w:val="28"/>
          <w:highlight w:val="none"/>
        </w:rPr>
        <w:t xml:space="preserve">                     </w:t>
      </w:r>
    </w:p>
    <w:p w14:paraId="65E90A39">
      <w:pPr>
        <w:adjustRightInd w:val="0"/>
        <w:snapToGrid w:val="0"/>
        <w:spacing w:line="560" w:lineRule="exact"/>
        <w:ind w:firstLine="560" w:firstLineChars="200"/>
        <w:rPr>
          <w:rFonts w:ascii="宋体"/>
          <w:color w:val="auto"/>
          <w:sz w:val="28"/>
          <w:szCs w:val="28"/>
          <w:highlight w:val="none"/>
        </w:rPr>
      </w:pPr>
      <w:r>
        <w:rPr>
          <w:rFonts w:hint="eastAsia" w:ascii="宋体"/>
          <w:color w:val="auto"/>
          <w:sz w:val="28"/>
          <w:szCs w:val="28"/>
          <w:highlight w:val="none"/>
        </w:rPr>
        <w:t>代理人无转委托权。</w:t>
      </w:r>
    </w:p>
    <w:p w14:paraId="1491512E">
      <w:pPr>
        <w:adjustRightInd w:val="0"/>
        <w:snapToGrid w:val="0"/>
        <w:spacing w:line="560" w:lineRule="exact"/>
        <w:ind w:firstLine="560" w:firstLineChars="200"/>
        <w:rPr>
          <w:rFonts w:ascii="宋体"/>
          <w:b/>
          <w:color w:val="auto"/>
          <w:sz w:val="28"/>
          <w:szCs w:val="28"/>
          <w:highlight w:val="none"/>
        </w:rPr>
      </w:pPr>
      <w:r>
        <w:rPr>
          <w:rFonts w:hint="eastAsia" w:ascii="宋体"/>
          <w:color w:val="auto"/>
          <w:sz w:val="28"/>
          <w:szCs w:val="28"/>
          <w:highlight w:val="none"/>
        </w:rPr>
        <w:t>附：</w:t>
      </w:r>
      <w:r>
        <w:rPr>
          <w:rFonts w:hint="eastAsia" w:ascii="宋体"/>
          <w:b/>
          <w:color w:val="auto"/>
          <w:sz w:val="28"/>
          <w:szCs w:val="28"/>
          <w:highlight w:val="none"/>
        </w:rPr>
        <w:t>委托代理人有效身份证扫描件</w:t>
      </w:r>
    </w:p>
    <w:p w14:paraId="202C0C95">
      <w:pPr>
        <w:adjustRightInd w:val="0"/>
        <w:snapToGrid w:val="0"/>
        <w:spacing w:line="560" w:lineRule="exact"/>
        <w:ind w:firstLine="1116" w:firstLineChars="397"/>
        <w:outlineLvl w:val="1"/>
        <w:rPr>
          <w:rFonts w:ascii="宋体"/>
          <w:b/>
          <w:color w:val="auto"/>
          <w:sz w:val="28"/>
          <w:szCs w:val="28"/>
          <w:highlight w:val="none"/>
        </w:rPr>
      </w:pPr>
      <w:bookmarkStart w:id="1095" w:name="_Toc4550"/>
      <w:r>
        <w:rPr>
          <w:rFonts w:hint="eastAsia" w:ascii="宋体"/>
          <w:b/>
          <w:color w:val="auto"/>
          <w:sz w:val="28"/>
          <w:szCs w:val="28"/>
          <w:highlight w:val="none"/>
        </w:rPr>
        <w:t>法定代表人有效身份证扫描件</w:t>
      </w:r>
      <w:bookmarkEnd w:id="1095"/>
    </w:p>
    <w:p w14:paraId="1FEA9F79">
      <w:pPr>
        <w:adjustRightInd w:val="0"/>
        <w:snapToGrid w:val="0"/>
        <w:spacing w:line="560" w:lineRule="exact"/>
        <w:ind w:firstLine="560" w:firstLineChars="200"/>
        <w:rPr>
          <w:rFonts w:ascii="宋体"/>
          <w:color w:val="auto"/>
          <w:sz w:val="28"/>
          <w:szCs w:val="28"/>
          <w:highlight w:val="none"/>
        </w:rPr>
      </w:pPr>
    </w:p>
    <w:p w14:paraId="7F7F25FB">
      <w:pPr>
        <w:adjustRightInd w:val="0"/>
        <w:snapToGrid w:val="0"/>
        <w:spacing w:line="560" w:lineRule="exact"/>
        <w:ind w:firstLine="200"/>
        <w:rPr>
          <w:rFonts w:ascii="宋体"/>
          <w:color w:val="auto"/>
          <w:sz w:val="28"/>
          <w:szCs w:val="28"/>
          <w:highlight w:val="none"/>
        </w:rPr>
      </w:pPr>
      <w:r>
        <w:rPr>
          <w:rFonts w:hint="eastAsia" w:ascii="宋体"/>
          <w:color w:val="auto"/>
          <w:sz w:val="28"/>
          <w:szCs w:val="28"/>
          <w:highlight w:val="none"/>
        </w:rPr>
        <w:t xml:space="preserve">                           投标人（签章）：</w:t>
      </w:r>
    </w:p>
    <w:p w14:paraId="276033BA">
      <w:pPr>
        <w:adjustRightInd w:val="0"/>
        <w:snapToGrid w:val="0"/>
        <w:spacing w:line="560" w:lineRule="exact"/>
        <w:ind w:firstLine="2660" w:firstLineChars="950"/>
        <w:rPr>
          <w:rFonts w:ascii="宋体"/>
          <w:color w:val="auto"/>
          <w:sz w:val="28"/>
          <w:szCs w:val="28"/>
          <w:highlight w:val="none"/>
        </w:rPr>
      </w:pPr>
      <w:r>
        <w:rPr>
          <w:rFonts w:hint="eastAsia" w:ascii="宋体"/>
          <w:color w:val="auto"/>
          <w:sz w:val="28"/>
          <w:szCs w:val="28"/>
          <w:highlight w:val="none"/>
        </w:rPr>
        <w:t>法定代表人（身份证号码）：             （签章）</w:t>
      </w:r>
    </w:p>
    <w:p w14:paraId="5146198F">
      <w:pPr>
        <w:pStyle w:val="18"/>
        <w:rPr>
          <w:rFonts w:ascii="宋体"/>
          <w:color w:val="auto"/>
          <w:sz w:val="28"/>
          <w:szCs w:val="28"/>
          <w:highlight w:val="none"/>
        </w:rPr>
      </w:pPr>
      <w:r>
        <w:rPr>
          <w:rFonts w:hint="eastAsia"/>
          <w:color w:val="auto"/>
          <w:highlight w:val="none"/>
        </w:rPr>
        <w:t xml:space="preserve">                                 </w:t>
      </w:r>
      <w:r>
        <w:rPr>
          <w:rFonts w:hint="eastAsia" w:ascii="宋体"/>
          <w:color w:val="auto"/>
          <w:sz w:val="28"/>
          <w:szCs w:val="28"/>
          <w:highlight w:val="none"/>
        </w:rPr>
        <w:t xml:space="preserve">    联系方式：</w:t>
      </w:r>
    </w:p>
    <w:p w14:paraId="5F826027">
      <w:pPr>
        <w:adjustRightInd w:val="0"/>
        <w:snapToGrid w:val="0"/>
        <w:spacing w:line="560" w:lineRule="exact"/>
        <w:ind w:firstLine="2660" w:firstLineChars="950"/>
        <w:rPr>
          <w:rFonts w:ascii="宋体"/>
          <w:color w:val="auto"/>
          <w:sz w:val="28"/>
          <w:szCs w:val="28"/>
          <w:highlight w:val="none"/>
        </w:rPr>
      </w:pPr>
      <w:r>
        <w:rPr>
          <w:rFonts w:hint="eastAsia" w:ascii="宋体"/>
          <w:color w:val="auto"/>
          <w:sz w:val="28"/>
          <w:szCs w:val="28"/>
          <w:highlight w:val="none"/>
        </w:rPr>
        <w:t xml:space="preserve">委托代理人（身份证号码）：      </w:t>
      </w:r>
    </w:p>
    <w:p w14:paraId="0CFCBF60">
      <w:pPr>
        <w:adjustRightInd w:val="0"/>
        <w:snapToGrid w:val="0"/>
        <w:spacing w:line="560" w:lineRule="exact"/>
        <w:ind w:firstLine="2660" w:firstLineChars="950"/>
        <w:rPr>
          <w:rFonts w:ascii="宋体"/>
          <w:color w:val="auto"/>
          <w:sz w:val="28"/>
          <w:szCs w:val="28"/>
          <w:highlight w:val="none"/>
        </w:rPr>
      </w:pPr>
      <w:r>
        <w:rPr>
          <w:rFonts w:hint="eastAsia" w:ascii="宋体"/>
          <w:color w:val="auto"/>
          <w:sz w:val="28"/>
          <w:szCs w:val="28"/>
          <w:highlight w:val="none"/>
        </w:rPr>
        <w:t xml:space="preserve">                联系方式：</w:t>
      </w:r>
    </w:p>
    <w:p w14:paraId="6387C367">
      <w:pPr>
        <w:adjustRightInd w:val="0"/>
        <w:snapToGrid w:val="0"/>
        <w:spacing w:line="560" w:lineRule="exact"/>
        <w:ind w:firstLine="3290" w:firstLineChars="1175"/>
        <w:rPr>
          <w:rFonts w:ascii="宋体"/>
          <w:color w:val="auto"/>
          <w:sz w:val="28"/>
          <w:szCs w:val="28"/>
          <w:highlight w:val="none"/>
        </w:rPr>
      </w:pPr>
      <w:r>
        <w:rPr>
          <w:rFonts w:hint="eastAsia" w:ascii="宋体"/>
          <w:color w:val="auto"/>
          <w:sz w:val="28"/>
          <w:szCs w:val="28"/>
          <w:highlight w:val="none"/>
        </w:rPr>
        <w:t xml:space="preserve">              年    月    日</w:t>
      </w:r>
    </w:p>
    <w:p w14:paraId="0E8CBF1F">
      <w:pPr>
        <w:adjustRightInd w:val="0"/>
        <w:snapToGrid w:val="0"/>
        <w:spacing w:line="560" w:lineRule="exact"/>
        <w:ind w:firstLine="3290" w:firstLineChars="1175"/>
        <w:rPr>
          <w:rFonts w:ascii="宋体"/>
          <w:color w:val="auto"/>
          <w:sz w:val="28"/>
          <w:szCs w:val="28"/>
          <w:highlight w:val="none"/>
        </w:rPr>
      </w:pPr>
    </w:p>
    <w:p w14:paraId="0214FCC1">
      <w:pPr>
        <w:adjustRightInd w:val="0"/>
        <w:snapToGrid w:val="0"/>
        <w:spacing w:line="560" w:lineRule="exact"/>
        <w:ind w:firstLine="2108" w:firstLineChars="750"/>
        <w:rPr>
          <w:rFonts w:ascii="宋体"/>
          <w:color w:val="auto"/>
          <w:sz w:val="30"/>
          <w:szCs w:val="30"/>
          <w:highlight w:val="none"/>
        </w:rPr>
      </w:pPr>
      <w:r>
        <w:rPr>
          <w:rFonts w:hint="eastAsia"/>
          <w:b/>
          <w:color w:val="auto"/>
          <w:sz w:val="28"/>
          <w:szCs w:val="28"/>
          <w:highlight w:val="none"/>
          <w:u w:val="single"/>
        </w:rPr>
        <w:t>（上传电子投标文件时采用本授权委托书）</w:t>
      </w:r>
    </w:p>
    <w:p w14:paraId="2045D22C">
      <w:pPr>
        <w:adjustRightInd w:val="0"/>
        <w:snapToGrid w:val="0"/>
        <w:spacing w:line="560" w:lineRule="exact"/>
        <w:rPr>
          <w:color w:val="auto"/>
          <w:highlight w:val="none"/>
        </w:rPr>
      </w:pPr>
    </w:p>
    <w:p w14:paraId="65787EC2">
      <w:pPr>
        <w:pStyle w:val="18"/>
        <w:adjustRightInd w:val="0"/>
        <w:snapToGrid w:val="0"/>
        <w:spacing w:line="560" w:lineRule="exact"/>
        <w:ind w:left="0" w:leftChars="0"/>
        <w:rPr>
          <w:color w:val="auto"/>
          <w:highlight w:val="none"/>
        </w:rPr>
      </w:pPr>
    </w:p>
    <w:p w14:paraId="0089EF7B">
      <w:pPr>
        <w:adjustRightInd w:val="0"/>
        <w:snapToGrid w:val="0"/>
        <w:spacing w:line="560" w:lineRule="exact"/>
        <w:rPr>
          <w:color w:val="auto"/>
          <w:highlight w:val="none"/>
        </w:rPr>
      </w:pPr>
    </w:p>
    <w:p w14:paraId="702BC9BE">
      <w:pPr>
        <w:pStyle w:val="18"/>
        <w:adjustRightInd w:val="0"/>
        <w:snapToGrid w:val="0"/>
        <w:spacing w:line="560" w:lineRule="exact"/>
        <w:ind w:left="0" w:leftChars="0"/>
        <w:rPr>
          <w:color w:val="auto"/>
          <w:highlight w:val="none"/>
        </w:rPr>
      </w:pPr>
    </w:p>
    <w:p w14:paraId="3C0CF61F">
      <w:pPr>
        <w:adjustRightInd w:val="0"/>
        <w:snapToGrid w:val="0"/>
        <w:spacing w:line="560" w:lineRule="exact"/>
        <w:rPr>
          <w:color w:val="auto"/>
          <w:highlight w:val="none"/>
        </w:rPr>
      </w:pPr>
    </w:p>
    <w:p w14:paraId="31501D30">
      <w:pPr>
        <w:pStyle w:val="18"/>
        <w:adjustRightInd w:val="0"/>
        <w:snapToGrid w:val="0"/>
        <w:spacing w:line="560" w:lineRule="exact"/>
        <w:ind w:left="0" w:leftChars="0"/>
        <w:rPr>
          <w:color w:val="auto"/>
          <w:highlight w:val="none"/>
        </w:rPr>
      </w:pPr>
    </w:p>
    <w:p w14:paraId="44E87EEE">
      <w:pPr>
        <w:rPr>
          <w:color w:val="auto"/>
          <w:highlight w:val="none"/>
        </w:rPr>
      </w:pPr>
    </w:p>
    <w:p w14:paraId="3C741BBF">
      <w:pPr>
        <w:pStyle w:val="18"/>
        <w:rPr>
          <w:color w:val="auto"/>
          <w:highlight w:val="none"/>
        </w:rPr>
      </w:pPr>
    </w:p>
    <w:p w14:paraId="00E1286B">
      <w:pPr>
        <w:rPr>
          <w:b/>
          <w:color w:val="auto"/>
          <w:sz w:val="28"/>
          <w:szCs w:val="28"/>
          <w:highlight w:val="none"/>
        </w:rPr>
      </w:pPr>
      <w:r>
        <w:rPr>
          <w:rFonts w:hint="eastAsia"/>
          <w:b/>
          <w:color w:val="auto"/>
          <w:sz w:val="28"/>
          <w:szCs w:val="28"/>
          <w:highlight w:val="none"/>
        </w:rPr>
        <w:br w:type="page"/>
      </w:r>
    </w:p>
    <w:p w14:paraId="79F2C0F5">
      <w:pPr>
        <w:adjustRightInd w:val="0"/>
        <w:snapToGrid w:val="0"/>
        <w:spacing w:line="560" w:lineRule="exact"/>
        <w:jc w:val="center"/>
        <w:outlineLvl w:val="1"/>
        <w:rPr>
          <w:b/>
          <w:color w:val="auto"/>
          <w:sz w:val="28"/>
          <w:szCs w:val="28"/>
          <w:highlight w:val="none"/>
        </w:rPr>
      </w:pPr>
      <w:bookmarkStart w:id="1096" w:name="_Toc6989"/>
      <w:r>
        <w:rPr>
          <w:rFonts w:hint="eastAsia"/>
          <w:b/>
          <w:color w:val="auto"/>
          <w:sz w:val="28"/>
          <w:szCs w:val="28"/>
          <w:highlight w:val="none"/>
        </w:rPr>
        <w:t>②诚信投标承诺书  </w:t>
      </w:r>
      <w:bookmarkEnd w:id="1096"/>
    </w:p>
    <w:p w14:paraId="4A2B9A89">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5F6134E7">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一、将遵循公</w:t>
      </w:r>
      <w:bookmarkStart w:id="1097" w:name="_Toc503196197"/>
      <w:bookmarkStart w:id="1098" w:name="_Toc506107356"/>
      <w:bookmarkStart w:id="1099" w:name="_Toc26598"/>
      <w:r>
        <w:rPr>
          <w:rFonts w:hint="eastAsia" w:ascii="宋体" w:hAnsi="宋体"/>
          <w:color w:val="auto"/>
          <w:szCs w:val="21"/>
          <w:highlight w:val="none"/>
        </w:rPr>
        <w:t>开、公正和诚实信用</w:t>
      </w:r>
      <w:bookmarkEnd w:id="1097"/>
      <w:bookmarkEnd w:id="1098"/>
      <w:r>
        <w:rPr>
          <w:rFonts w:hint="eastAsia" w:ascii="宋体" w:hAnsi="宋体"/>
          <w:color w:val="auto"/>
          <w:szCs w:val="21"/>
          <w:highlight w:val="none"/>
        </w:rPr>
        <w:t>的</w:t>
      </w:r>
      <w:bookmarkEnd w:id="1099"/>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42583CEB">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3531200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1C5AAED">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4CAD1D1">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21E4869C">
      <w:pPr>
        <w:adjustRightInd w:val="0"/>
        <w:snapToGrid w:val="0"/>
        <w:spacing w:line="560" w:lineRule="exact"/>
        <w:ind w:firstLine="420" w:firstLineChars="200"/>
        <w:rPr>
          <w:rFonts w:hint="eastAsia"/>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Times New Roman" w:hAnsi="Times New Roman"/>
          <w:smallCaps w:val="0"/>
          <w:color w:val="auto"/>
          <w:highlight w:val="none"/>
        </w:rPr>
        <w:t>（包括联合体各成员）</w:t>
      </w:r>
      <w:r>
        <w:rPr>
          <w:rFonts w:hint="eastAsia" w:ascii="宋体" w:hAnsi="宋体"/>
          <w:color w:val="auto"/>
          <w:szCs w:val="21"/>
          <w:highlight w:val="none"/>
        </w:rPr>
        <w:t>没有下列情形：</w:t>
      </w:r>
      <w:bookmarkStart w:id="1100" w:name="OLE_LINK133"/>
      <w:bookmarkStart w:id="1101" w:name="OLE_LINK134"/>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r>
        <w:rPr>
          <w:rFonts w:hint="eastAsia" w:ascii="宋体" w:hAnsi="宋体"/>
          <w:color w:val="auto"/>
          <w:szCs w:val="21"/>
          <w:highlight w:val="none"/>
          <w:lang w:eastAsia="zh-CN"/>
        </w:rPr>
        <w:t>；</w:t>
      </w:r>
      <w:r>
        <w:rPr>
          <w:rFonts w:hint="eastAsia"/>
          <w:color w:val="auto"/>
          <w:szCs w:val="21"/>
          <w:highlight w:val="none"/>
        </w:rPr>
        <w:t>（</w:t>
      </w:r>
      <w:bookmarkEnd w:id="1100"/>
      <w:bookmarkEnd w:id="1101"/>
      <w:r>
        <w:rPr>
          <w:rFonts w:hint="eastAsia"/>
          <w:color w:val="auto"/>
          <w:szCs w:val="21"/>
          <w:highlight w:val="none"/>
        </w:rPr>
        <w:t>若招标文件对投标人</w:t>
      </w:r>
      <w:r>
        <w:rPr>
          <w:rFonts w:hint="eastAsia" w:ascii="Times New Roman" w:hAnsi="Times New Roman"/>
          <w:smallCaps w:val="0"/>
          <w:color w:val="auto"/>
          <w:highlight w:val="none"/>
        </w:rPr>
        <w:t>（包括联合体各成员）</w:t>
      </w:r>
      <w:r>
        <w:rPr>
          <w:rFonts w:hint="eastAsia"/>
          <w:color w:val="auto"/>
          <w:szCs w:val="21"/>
          <w:highlight w:val="none"/>
        </w:rPr>
        <w:t>所属分公司、办事处等分支机构有上述</w:t>
      </w:r>
      <w:r>
        <w:rPr>
          <w:color w:val="auto"/>
          <w:szCs w:val="21"/>
          <w:highlight w:val="none"/>
        </w:rPr>
        <w:t>1-</w:t>
      </w:r>
      <w:r>
        <w:rPr>
          <w:rFonts w:hint="eastAsia"/>
          <w:color w:val="auto"/>
          <w:szCs w:val="21"/>
          <w:highlight w:val="none"/>
          <w:lang w:val="en-US" w:eastAsia="zh-CN"/>
        </w:rPr>
        <w:t>5</w:t>
      </w:r>
      <w:r>
        <w:rPr>
          <w:rFonts w:hint="eastAsia"/>
          <w:color w:val="auto"/>
          <w:szCs w:val="21"/>
          <w:highlight w:val="none"/>
        </w:rPr>
        <w:t>项信誉要求，在此一并承诺我公司</w:t>
      </w:r>
      <w:r>
        <w:rPr>
          <w:rFonts w:hint="eastAsia" w:ascii="Times New Roman" w:hAnsi="Times New Roman"/>
          <w:smallCaps w:val="0"/>
          <w:color w:val="auto"/>
          <w:highlight w:val="none"/>
        </w:rPr>
        <w:t>（包括联合体各成员）</w:t>
      </w:r>
      <w:r>
        <w:rPr>
          <w:rFonts w:hint="eastAsia"/>
          <w:color w:val="auto"/>
          <w:szCs w:val="21"/>
          <w:highlight w:val="none"/>
        </w:rPr>
        <w:t>所属分公司、办事处等分支机构没有上述</w:t>
      </w:r>
      <w:r>
        <w:rPr>
          <w:color w:val="auto"/>
          <w:szCs w:val="21"/>
          <w:highlight w:val="none"/>
        </w:rPr>
        <w:t>1-</w:t>
      </w:r>
      <w:r>
        <w:rPr>
          <w:rFonts w:hint="eastAsia"/>
          <w:color w:val="auto"/>
          <w:szCs w:val="21"/>
          <w:highlight w:val="none"/>
          <w:lang w:val="en-US" w:eastAsia="zh-CN"/>
        </w:rPr>
        <w:t>5</w:t>
      </w:r>
      <w:r>
        <w:rPr>
          <w:rFonts w:hint="eastAsia"/>
          <w:color w:val="auto"/>
          <w:szCs w:val="21"/>
          <w:highlight w:val="none"/>
        </w:rPr>
        <w:t>项情形）</w:t>
      </w:r>
    </w:p>
    <w:p w14:paraId="2A570FC4">
      <w:pPr>
        <w:adjustRightInd w:val="0"/>
        <w:snapToGrid w:val="0"/>
        <w:spacing w:line="560" w:lineRule="exact"/>
        <w:ind w:firstLine="420" w:firstLineChars="200"/>
        <w:rPr>
          <w:rFonts w:hint="eastAsia" w:eastAsia="宋体"/>
          <w:color w:val="auto"/>
          <w:szCs w:val="21"/>
          <w:highlight w:val="none"/>
          <w:lang w:eastAsia="zh-CN"/>
        </w:rPr>
      </w:pPr>
      <w:r>
        <w:rPr>
          <w:rFonts w:hint="eastAsia" w:ascii="宋体" w:hAnsi="宋体"/>
          <w:color w:val="auto"/>
          <w:szCs w:val="21"/>
          <w:highlight w:val="none"/>
        </w:rPr>
        <w:t>七、</w:t>
      </w:r>
      <w:r>
        <w:rPr>
          <w:rFonts w:hint="eastAsia" w:ascii="Times New Roman" w:cs="宋体"/>
          <w:color w:val="auto"/>
          <w:szCs w:val="24"/>
          <w:highlight w:val="none"/>
        </w:rPr>
        <w:t>本次投标不存在第二章“投标人须知”第1.4.3项规定的任何一种情形</w:t>
      </w:r>
      <w:r>
        <w:rPr>
          <w:rFonts w:hint="eastAsia" w:ascii="Times New Roman" w:cs="宋体"/>
          <w:color w:val="auto"/>
          <w:szCs w:val="24"/>
          <w:highlight w:val="none"/>
          <w:lang w:eastAsia="zh-CN"/>
        </w:rPr>
        <w:t>；</w:t>
      </w:r>
    </w:p>
    <w:p w14:paraId="1EBFF177">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八、严格遵守开标现场纪律，服从监管人员管理；</w:t>
      </w:r>
    </w:p>
    <w:p w14:paraId="2ED44A4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九、保证中标后不转包及使用挂靠施工队伍，若有分包征得建设单位同意；</w:t>
      </w:r>
    </w:p>
    <w:p w14:paraId="0A0DF351">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十、保证中标之后，按照投标文件承诺派驻管理人员及投入机械设备，如有违反，同意接受建设单位违约处罚；</w:t>
      </w:r>
    </w:p>
    <w:p w14:paraId="69DDD1C4">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十一、保证企业及所属相关人员在本次投标中无行贿等犯罪行为；</w:t>
      </w:r>
    </w:p>
    <w:p w14:paraId="004F31FF">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二、如我公司中标，保证中标的项目经理（建造师）无其他尚未完工（以竣工、交工、完工验收报告等手续为准）项目或在已中标项目（以发放中标通知书为准）中担任项目经理（建造师）情形。如有，项目在滁州市区域内的，接受中标无效、记入不良行为记录等处理；项目在滁州市区域外的，保证在中标候选人公示期第一日起开始计算7日内，提供经行政主管部门备案的变更证明材料，否则接受中标无效、记入不良行为记录等处理；</w:t>
      </w:r>
    </w:p>
    <w:p w14:paraId="06A40687">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三、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377D5A8C">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四、如我公司中标，按照国务院《关于全面治理拖欠农民工工资问题的意见》（国办发[2016]1号）及国家住建部和人社部关于《建筑工人实名制管理办法》（建市[2019]18号）的规定，总承包单位对所承建的工程项目的建筑工人实名制管理负总责，对建筑工人实行实名制管理；实行人工费用与其他工程款分账管理制度；建筑工程承包单位必须开设农民工工资专户；建设单位在支付工程款时，应将人工费部分按规定汇入建筑工程承包单位的农民工工资专户，由建筑工程承包单位按劳动合同约定，通过农民工工资专户按月足额将工资发放给建筑工人；</w:t>
      </w:r>
    </w:p>
    <w:p w14:paraId="0FDF8BEC">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F1418D9">
      <w:pPr>
        <w:adjustRightInd w:val="0"/>
        <w:snapToGrid w:val="0"/>
        <w:spacing w:line="560" w:lineRule="exact"/>
        <w:rPr>
          <w:rFonts w:ascii="宋体" w:hAnsi="宋体"/>
          <w:color w:val="auto"/>
          <w:szCs w:val="21"/>
          <w:highlight w:val="none"/>
        </w:rPr>
      </w:pPr>
    </w:p>
    <w:p w14:paraId="0CD9FEF1">
      <w:pPr>
        <w:adjustRightInd w:val="0"/>
        <w:snapToGrid w:val="0"/>
        <w:spacing w:line="560" w:lineRule="exact"/>
        <w:ind w:firstLine="420" w:firstLineChars="200"/>
        <w:rPr>
          <w:rFonts w:ascii="宋体" w:hAnsi="宋体"/>
          <w:color w:val="auto"/>
          <w:szCs w:val="21"/>
          <w:highlight w:val="none"/>
          <w:u w:val="singl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3BD8139A">
      <w:pPr>
        <w:adjustRightInd w:val="0"/>
        <w:snapToGrid w:val="0"/>
        <w:spacing w:line="560" w:lineRule="exact"/>
        <w:rPr>
          <w:rFonts w:ascii="宋体" w:hAnsi="宋体"/>
          <w:color w:val="auto"/>
          <w:szCs w:val="21"/>
          <w:highlight w:val="none"/>
        </w:rPr>
      </w:pPr>
    </w:p>
    <w:p w14:paraId="592799CA">
      <w:pPr>
        <w:adjustRightInd w:val="0"/>
        <w:snapToGrid w:val="0"/>
        <w:spacing w:line="560" w:lineRule="exact"/>
        <w:ind w:firstLine="420" w:firstLineChars="200"/>
        <w:rPr>
          <w:rFonts w:ascii="宋体" w:hAnsi="宋体"/>
          <w:color w:val="auto"/>
          <w:szCs w:val="21"/>
          <w:highlight w:val="none"/>
          <w:u w:val="singl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241EDB18">
      <w:pPr>
        <w:adjustRightInd w:val="0"/>
        <w:snapToGrid w:val="0"/>
        <w:spacing w:line="560" w:lineRule="exact"/>
        <w:rPr>
          <w:rFonts w:ascii="宋体" w:hAnsi="宋体"/>
          <w:color w:val="auto"/>
          <w:szCs w:val="21"/>
          <w:highlight w:val="none"/>
        </w:rPr>
      </w:pPr>
    </w:p>
    <w:p w14:paraId="3DE714FA">
      <w:pPr>
        <w:pStyle w:val="18"/>
        <w:rPr>
          <w:color w:val="auto"/>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47544E15">
      <w:pPr>
        <w:rPr>
          <w:color w:val="auto"/>
          <w:highlight w:val="none"/>
        </w:rPr>
      </w:pPr>
    </w:p>
    <w:p w14:paraId="3823CD01">
      <w:pPr>
        <w:rPr>
          <w:color w:val="auto"/>
          <w:highlight w:val="none"/>
        </w:rPr>
      </w:pPr>
    </w:p>
    <w:p w14:paraId="681B3B9A">
      <w:pPr>
        <w:adjustRightInd w:val="0"/>
        <w:snapToGrid w:val="0"/>
        <w:spacing w:line="560" w:lineRule="exact"/>
        <w:jc w:val="center"/>
        <w:outlineLvl w:val="1"/>
        <w:rPr>
          <w:b/>
          <w:color w:val="auto"/>
          <w:sz w:val="28"/>
          <w:szCs w:val="28"/>
          <w:highlight w:val="none"/>
        </w:rPr>
      </w:pPr>
      <w:bookmarkStart w:id="1102" w:name="_Toc15864"/>
      <w:r>
        <w:rPr>
          <w:rFonts w:hint="eastAsia"/>
          <w:b/>
          <w:color w:val="auto"/>
          <w:sz w:val="28"/>
          <w:szCs w:val="28"/>
          <w:highlight w:val="none"/>
        </w:rPr>
        <w:t>或②公共信用信息报告（无违法违规证明版或核查版））</w:t>
      </w:r>
      <w:bookmarkEnd w:id="1102"/>
    </w:p>
    <w:p w14:paraId="63572028">
      <w:pPr>
        <w:pStyle w:val="18"/>
        <w:spacing w:line="560" w:lineRule="exact"/>
        <w:ind w:left="0" w:leftChars="0"/>
        <w:rPr>
          <w:rFonts w:ascii="宋体" w:hAnsi="宋体"/>
          <w:color w:val="auto"/>
          <w:szCs w:val="21"/>
          <w:highlight w:val="none"/>
        </w:rPr>
      </w:pPr>
      <w:r>
        <w:rPr>
          <w:rFonts w:hint="eastAsia" w:ascii="宋体" w:hAnsi="宋体"/>
          <w:color w:val="auto"/>
          <w:szCs w:val="21"/>
          <w:highlight w:val="none"/>
        </w:rPr>
        <w:t>符合条件的投标人可在信用中国（安徽）网站（网址</w:t>
      </w:r>
      <w:r>
        <w:rPr>
          <w:color w:val="auto"/>
          <w:highlight w:val="none"/>
        </w:rPr>
        <w:fldChar w:fldCharType="begin"/>
      </w:r>
      <w:r>
        <w:rPr>
          <w:color w:val="auto"/>
          <w:highlight w:val="none"/>
        </w:rPr>
        <w:instrText xml:space="preserve"> HYPERLINK "https://credit.ah.gov.cn/xinyongfuwu/index.html" </w:instrText>
      </w:r>
      <w:r>
        <w:rPr>
          <w:color w:val="auto"/>
          <w:highlight w:val="none"/>
        </w:rPr>
        <w:fldChar w:fldCharType="separate"/>
      </w:r>
      <w:r>
        <w:rPr>
          <w:rStyle w:val="28"/>
          <w:rFonts w:ascii="宋体" w:hAnsi="宋体"/>
          <w:color w:val="auto"/>
          <w:szCs w:val="21"/>
          <w:highlight w:val="none"/>
        </w:rPr>
        <w:t>https://credit.ah.gov.cn/xinyongfuwu/index.html</w:t>
      </w:r>
      <w:r>
        <w:rPr>
          <w:rStyle w:val="28"/>
          <w:rFonts w:ascii="宋体" w:hAnsi="宋体"/>
          <w:color w:val="auto"/>
          <w:szCs w:val="21"/>
          <w:highlight w:val="none"/>
        </w:rPr>
        <w:fldChar w:fldCharType="end"/>
      </w:r>
      <w:r>
        <w:rPr>
          <w:rFonts w:hint="eastAsia" w:ascii="宋体" w:hAnsi="宋体"/>
          <w:color w:val="auto"/>
          <w:szCs w:val="21"/>
          <w:highlight w:val="none"/>
        </w:rPr>
        <w:t>），获取信用报告（无违法违规证明版或核查版）并上传至投标文件中。</w:t>
      </w:r>
    </w:p>
    <w:p w14:paraId="5B2882DF">
      <w:pPr>
        <w:rPr>
          <w:color w:val="auto"/>
          <w:highlight w:val="none"/>
        </w:rPr>
      </w:pPr>
    </w:p>
    <w:p w14:paraId="4592C792">
      <w:pPr>
        <w:pStyle w:val="18"/>
        <w:rPr>
          <w:color w:val="auto"/>
          <w:highlight w:val="none"/>
        </w:rPr>
      </w:pPr>
    </w:p>
    <w:p w14:paraId="6CE3F6C9">
      <w:pPr>
        <w:rPr>
          <w:color w:val="auto"/>
          <w:highlight w:val="none"/>
        </w:rPr>
      </w:pPr>
    </w:p>
    <w:p w14:paraId="390C0BC6">
      <w:pPr>
        <w:rPr>
          <w:color w:val="auto"/>
          <w:highlight w:val="none"/>
        </w:rPr>
      </w:pPr>
    </w:p>
    <w:p w14:paraId="4F662846">
      <w:pPr>
        <w:rPr>
          <w:color w:val="auto"/>
          <w:highlight w:val="none"/>
        </w:rPr>
      </w:pPr>
    </w:p>
    <w:p w14:paraId="50183601">
      <w:pPr>
        <w:rPr>
          <w:color w:val="auto"/>
          <w:highlight w:val="none"/>
        </w:rPr>
      </w:pPr>
    </w:p>
    <w:p w14:paraId="7D713229">
      <w:pPr>
        <w:rPr>
          <w:color w:val="auto"/>
          <w:highlight w:val="none"/>
        </w:rPr>
      </w:pPr>
    </w:p>
    <w:p w14:paraId="1CDA7935">
      <w:pPr>
        <w:rPr>
          <w:color w:val="auto"/>
          <w:highlight w:val="none"/>
        </w:rPr>
      </w:pPr>
    </w:p>
    <w:p w14:paraId="4A516F83">
      <w:pPr>
        <w:rPr>
          <w:color w:val="auto"/>
          <w:highlight w:val="none"/>
        </w:rPr>
      </w:pPr>
    </w:p>
    <w:p w14:paraId="71CF965E">
      <w:pPr>
        <w:rPr>
          <w:color w:val="auto"/>
          <w:highlight w:val="none"/>
        </w:rPr>
      </w:pPr>
    </w:p>
    <w:p w14:paraId="62C7893E">
      <w:pPr>
        <w:rPr>
          <w:color w:val="auto"/>
          <w:highlight w:val="none"/>
        </w:rPr>
      </w:pPr>
    </w:p>
    <w:p w14:paraId="360F9CDD">
      <w:pPr>
        <w:rPr>
          <w:color w:val="auto"/>
          <w:highlight w:val="none"/>
        </w:rPr>
      </w:pPr>
    </w:p>
    <w:p w14:paraId="79ADE5DD">
      <w:pPr>
        <w:pStyle w:val="4"/>
        <w:adjustRightInd w:val="0"/>
        <w:snapToGrid w:val="0"/>
        <w:spacing w:line="560" w:lineRule="exact"/>
        <w:jc w:val="center"/>
        <w:rPr>
          <w:color w:val="auto"/>
          <w:highlight w:val="none"/>
        </w:rPr>
      </w:pPr>
      <w:bookmarkStart w:id="1103" w:name="_Toc14243"/>
      <w:r>
        <w:rPr>
          <w:rFonts w:hint="eastAsia"/>
          <w:color w:val="auto"/>
          <w:highlight w:val="none"/>
        </w:rPr>
        <w:t>联合体协议书（如有）</w:t>
      </w:r>
      <w:bookmarkEnd w:id="1103"/>
    </w:p>
    <w:p w14:paraId="08041D00">
      <w:pPr>
        <w:adjustRightInd w:val="0"/>
        <w:snapToGrid w:val="0"/>
        <w:spacing w:line="520" w:lineRule="exact"/>
        <w:ind w:firstLine="422" w:firstLineChars="200"/>
        <w:jc w:val="left"/>
        <w:rPr>
          <w:rFonts w:ascii="宋体" w:hAnsi="宋体"/>
          <w:color w:val="auto"/>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rPr>
        <w:t>（所有成员单位名</w:t>
      </w:r>
      <w:bookmarkStart w:id="1104" w:name="_Toc506107345"/>
      <w:bookmarkStart w:id="1105" w:name="_Toc60061579"/>
      <w:bookmarkStart w:id="1106" w:name="_Toc15058939"/>
      <w:bookmarkStart w:id="1107" w:name="_Toc58229120"/>
      <w:r>
        <w:rPr>
          <w:rFonts w:hint="eastAsia" w:ascii="宋体" w:hAnsi="宋体"/>
          <w:color w:val="auto"/>
          <w:szCs w:val="21"/>
          <w:highlight w:val="none"/>
        </w:rPr>
        <w:t xml:space="preserve">称）自愿组成 </w:t>
      </w:r>
      <w:r>
        <w:rPr>
          <w:rFonts w:hint="eastAsia" w:ascii="宋体" w:hAnsi="宋体"/>
          <w:color w:val="auto"/>
          <w:szCs w:val="21"/>
          <w:highlight w:val="none"/>
          <w:u w:val="single"/>
        </w:rPr>
        <w:t xml:space="preserve">  </w:t>
      </w:r>
      <w:bookmarkEnd w:id="1104"/>
      <w:r>
        <w:rPr>
          <w:rFonts w:hint="eastAsia" w:ascii="宋体" w:hAnsi="宋体"/>
          <w:color w:val="auto"/>
          <w:szCs w:val="21"/>
          <w:highlight w:val="none"/>
          <w:u w:val="single"/>
        </w:rPr>
        <w:t xml:space="preserve">    </w:t>
      </w:r>
      <w:bookmarkEnd w:id="1105"/>
      <w:bookmarkEnd w:id="1106"/>
      <w:bookmarkEnd w:id="1107"/>
      <w:r>
        <w:rPr>
          <w:rFonts w:hint="eastAsia" w:ascii="宋体" w:hAnsi="宋体"/>
          <w:color w:val="auto"/>
          <w:szCs w:val="21"/>
          <w:highlight w:val="none"/>
          <w:u w:val="single"/>
        </w:rPr>
        <w:t xml:space="preserve">   </w:t>
      </w:r>
      <w:r>
        <w:rPr>
          <w:rFonts w:hint="eastAsia" w:ascii="宋体" w:hAnsi="宋体"/>
          <w:color w:val="auto"/>
          <w:szCs w:val="21"/>
          <w:highlight w:val="none"/>
        </w:rPr>
        <w:t>（联合体名称）联合体，共同参加</w:t>
      </w: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（项目名称）       </w:t>
      </w:r>
      <w:r>
        <w:rPr>
          <w:rFonts w:hint="eastAsia" w:ascii="宋体" w:hAnsi="宋体"/>
          <w:color w:val="auto"/>
          <w:szCs w:val="21"/>
          <w:highlight w:val="none"/>
        </w:rPr>
        <w:t>标段施工投标。现就联合体投标事宜订立如下协议：</w:t>
      </w:r>
    </w:p>
    <w:p w14:paraId="26AA79AE">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68972A40">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议工作。</w:t>
      </w:r>
    </w:p>
    <w:p w14:paraId="125EC283">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3.联合体将严格按照招标文件的各项要求，递交投标文件，履行合同，并对外承担连带责任。</w:t>
      </w:r>
    </w:p>
    <w:p w14:paraId="316A6BAA">
      <w:pPr>
        <w:adjustRightInd w:val="0"/>
        <w:snapToGrid w:val="0"/>
        <w:spacing w:line="520" w:lineRule="exact"/>
        <w:ind w:firstLine="420" w:firstLineChars="200"/>
        <w:rPr>
          <w:rFonts w:ascii="宋体" w:hAnsi="宋体"/>
          <w:color w:val="auto"/>
          <w:szCs w:val="21"/>
          <w:highlight w:val="none"/>
          <w:u w:val="single"/>
        </w:rPr>
      </w:pPr>
      <w:r>
        <w:rPr>
          <w:rFonts w:hint="eastAsia" w:ascii="宋体" w:hAnsi="宋体"/>
          <w:color w:val="auto"/>
          <w:szCs w:val="21"/>
          <w:highlight w:val="none"/>
        </w:rPr>
        <w:t>4.联合体各成员单位内部的职责分工如下：</w:t>
      </w:r>
    </w:p>
    <w:p w14:paraId="4580219D">
      <w:pPr>
        <w:pStyle w:val="48"/>
        <w:snapToGrid w:val="0"/>
        <w:spacing w:line="520" w:lineRule="exact"/>
        <w:ind w:firstLine="525" w:firstLineChars="250"/>
        <w:rPr>
          <w:rFonts w:cs="Times New Roman"/>
          <w:color w:val="auto"/>
          <w:sz w:val="21"/>
          <w:szCs w:val="21"/>
          <w:highlight w:val="none"/>
        </w:rPr>
      </w:pPr>
      <w:r>
        <w:rPr>
          <w:rFonts w:cs="Times New Roman"/>
          <w:color w:val="auto"/>
          <w:sz w:val="21"/>
          <w:szCs w:val="21"/>
          <w:highlight w:val="none"/>
        </w:rPr>
        <w:t>牵头人</w:t>
      </w:r>
      <w:r>
        <w:rPr>
          <w:rFonts w:hint="eastAsia" w:cs="Times New Roman"/>
          <w:color w:val="auto"/>
          <w:sz w:val="21"/>
          <w:szCs w:val="21"/>
          <w:highlight w:val="none"/>
        </w:rPr>
        <w:t>（成员一）</w:t>
      </w:r>
      <w:r>
        <w:rPr>
          <w:rFonts w:cs="Times New Roman"/>
          <w:color w:val="auto"/>
          <w:sz w:val="21"/>
          <w:szCs w:val="21"/>
          <w:highlight w:val="none"/>
        </w:rPr>
        <w:t>名称</w:t>
      </w:r>
      <w:r>
        <w:rPr>
          <w:rFonts w:cs="Times New Roman"/>
          <w:color w:val="auto"/>
          <w:sz w:val="21"/>
          <w:szCs w:val="21"/>
          <w:highlight w:val="none"/>
          <w:u w:val="single"/>
        </w:rPr>
        <w:t>：</w:t>
      </w:r>
      <w:r>
        <w:rPr>
          <w:rFonts w:hint="eastAsia" w:cs="Times New Roman"/>
          <w:color w:val="auto"/>
          <w:sz w:val="21"/>
          <w:szCs w:val="21"/>
          <w:highlight w:val="none"/>
          <w:u w:val="single"/>
        </w:rPr>
        <w:t xml:space="preserve">           </w:t>
      </w:r>
      <w:r>
        <w:rPr>
          <w:rFonts w:cs="Times New Roman"/>
          <w:color w:val="auto"/>
          <w:sz w:val="21"/>
          <w:szCs w:val="21"/>
          <w:highlight w:val="none"/>
          <w:u w:val="single"/>
        </w:rPr>
        <w:t xml:space="preserve"> </w:t>
      </w:r>
      <w:r>
        <w:rPr>
          <w:rFonts w:cs="Times New Roman"/>
          <w:color w:val="auto"/>
          <w:sz w:val="21"/>
          <w:szCs w:val="21"/>
          <w:highlight w:val="none"/>
        </w:rPr>
        <w:t>，具有</w:t>
      </w:r>
      <w:r>
        <w:rPr>
          <w:rFonts w:cs="Times New Roman"/>
          <w:color w:val="auto"/>
          <w:sz w:val="21"/>
          <w:szCs w:val="21"/>
          <w:highlight w:val="none"/>
          <w:u w:val="single"/>
        </w:rPr>
        <w:t xml:space="preserve"> </w:t>
      </w:r>
      <w:r>
        <w:rPr>
          <w:rFonts w:hint="eastAsia" w:cs="Times New Roman"/>
          <w:color w:val="auto"/>
          <w:sz w:val="21"/>
          <w:szCs w:val="21"/>
          <w:highlight w:val="none"/>
          <w:u w:val="single"/>
        </w:rPr>
        <w:t xml:space="preserve">           </w:t>
      </w:r>
      <w:r>
        <w:rPr>
          <w:rFonts w:cs="Times New Roman"/>
          <w:color w:val="auto"/>
          <w:sz w:val="21"/>
          <w:szCs w:val="21"/>
          <w:highlight w:val="none"/>
          <w:u w:val="single"/>
        </w:rPr>
        <w:t>资</w:t>
      </w:r>
      <w:r>
        <w:rPr>
          <w:rFonts w:cs="Times New Roman"/>
          <w:color w:val="auto"/>
          <w:sz w:val="21"/>
          <w:szCs w:val="21"/>
          <w:highlight w:val="none"/>
        </w:rPr>
        <w:t>格，</w:t>
      </w:r>
      <w:r>
        <w:rPr>
          <w:rFonts w:hint="eastAsia" w:cs="Times New Roman"/>
          <w:color w:val="auto"/>
          <w:sz w:val="21"/>
          <w:szCs w:val="21"/>
          <w:highlight w:val="none"/>
        </w:rPr>
        <w:t>负责</w:t>
      </w:r>
      <w:r>
        <w:rPr>
          <w:rFonts w:cs="Times New Roman"/>
          <w:color w:val="auto"/>
          <w:sz w:val="21"/>
          <w:szCs w:val="21"/>
          <w:highlight w:val="none"/>
        </w:rPr>
        <w:t>承担</w:t>
      </w:r>
      <w:r>
        <w:rPr>
          <w:rFonts w:cs="Times New Roman"/>
          <w:color w:val="auto"/>
          <w:sz w:val="21"/>
          <w:szCs w:val="21"/>
          <w:highlight w:val="none"/>
          <w:u w:val="single"/>
        </w:rPr>
        <w:t xml:space="preserve"> </w:t>
      </w:r>
      <w:r>
        <w:rPr>
          <w:rFonts w:hint="eastAsia" w:cs="Times New Roman"/>
          <w:color w:val="auto"/>
          <w:sz w:val="21"/>
          <w:szCs w:val="21"/>
          <w:highlight w:val="none"/>
          <w:u w:val="single"/>
        </w:rPr>
        <w:t xml:space="preserve">       部分</w:t>
      </w:r>
      <w:r>
        <w:rPr>
          <w:rFonts w:cs="Times New Roman"/>
          <w:color w:val="auto"/>
          <w:sz w:val="21"/>
          <w:szCs w:val="21"/>
          <w:highlight w:val="none"/>
          <w:u w:val="single"/>
        </w:rPr>
        <w:t>专业工程</w:t>
      </w:r>
      <w:r>
        <w:rPr>
          <w:rFonts w:hint="eastAsia" w:cs="Times New Roman"/>
          <w:color w:val="auto"/>
          <w:sz w:val="21"/>
          <w:szCs w:val="21"/>
          <w:highlight w:val="none"/>
          <w:u w:val="single"/>
        </w:rPr>
        <w:t>施工，</w:t>
      </w:r>
      <w:r>
        <w:rPr>
          <w:rFonts w:hint="eastAsia" w:cs="Times New Roman"/>
          <w:color w:val="auto"/>
          <w:sz w:val="21"/>
          <w:szCs w:val="21"/>
          <w:highlight w:val="none"/>
        </w:rPr>
        <w:t>负责内容的合同金额占总合同金额的百分比</w:t>
      </w:r>
      <w:r>
        <w:rPr>
          <w:rFonts w:hint="eastAsia" w:cs="Times New Roman"/>
          <w:color w:val="auto"/>
          <w:sz w:val="21"/>
          <w:szCs w:val="21"/>
          <w:highlight w:val="none"/>
          <w:u w:val="single"/>
        </w:rPr>
        <w:t xml:space="preserve">      </w:t>
      </w:r>
      <w:r>
        <w:rPr>
          <w:rFonts w:hint="eastAsia"/>
          <w:color w:val="auto"/>
          <w:szCs w:val="21"/>
          <w:highlight w:val="none"/>
        </w:rPr>
        <w:t>%</w:t>
      </w:r>
      <w:r>
        <w:rPr>
          <w:color w:val="auto"/>
          <w:szCs w:val="21"/>
          <w:highlight w:val="none"/>
        </w:rPr>
        <w:t>；</w:t>
      </w:r>
      <w:r>
        <w:rPr>
          <w:rFonts w:cs="Times New Roman"/>
          <w:color w:val="auto"/>
          <w:sz w:val="21"/>
          <w:szCs w:val="21"/>
          <w:highlight w:val="none"/>
        </w:rPr>
        <w:t xml:space="preserve"> </w:t>
      </w:r>
    </w:p>
    <w:p w14:paraId="6D6321AC">
      <w:pPr>
        <w:adjustRightInd w:val="0"/>
        <w:snapToGrid w:val="0"/>
        <w:spacing w:line="520" w:lineRule="exact"/>
        <w:ind w:firstLine="630" w:firstLineChars="300"/>
        <w:rPr>
          <w:color w:val="auto"/>
          <w:szCs w:val="21"/>
          <w:highlight w:val="none"/>
        </w:rPr>
      </w:pPr>
      <w:r>
        <w:rPr>
          <w:color w:val="auto"/>
          <w:szCs w:val="21"/>
          <w:highlight w:val="none"/>
        </w:rPr>
        <w:t>成员</w:t>
      </w:r>
      <w:r>
        <w:rPr>
          <w:rFonts w:hint="eastAsia"/>
          <w:color w:val="auto"/>
          <w:szCs w:val="21"/>
          <w:highlight w:val="none"/>
        </w:rPr>
        <w:t>二</w:t>
      </w:r>
      <w:r>
        <w:rPr>
          <w:color w:val="auto"/>
          <w:szCs w:val="21"/>
          <w:highlight w:val="none"/>
        </w:rPr>
        <w:t>名称</w:t>
      </w:r>
      <w:r>
        <w:rPr>
          <w:color w:val="auto"/>
          <w:szCs w:val="21"/>
          <w:highlight w:val="none"/>
          <w:u w:val="single"/>
        </w:rPr>
        <w:t>：</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，具有</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资</w:t>
      </w:r>
      <w:r>
        <w:rPr>
          <w:color w:val="auto"/>
          <w:szCs w:val="21"/>
          <w:highlight w:val="none"/>
        </w:rPr>
        <w:t>格，</w:t>
      </w:r>
      <w:r>
        <w:rPr>
          <w:rFonts w:hint="eastAsia"/>
          <w:color w:val="auto"/>
          <w:szCs w:val="21"/>
          <w:highlight w:val="none"/>
        </w:rPr>
        <w:t>负责</w:t>
      </w:r>
      <w:r>
        <w:rPr>
          <w:color w:val="auto"/>
          <w:szCs w:val="21"/>
          <w:highlight w:val="none"/>
        </w:rPr>
        <w:t>承</w:t>
      </w:r>
      <w:r>
        <w:rPr>
          <w:color w:val="auto"/>
          <w:szCs w:val="21"/>
          <w:highlight w:val="none"/>
          <w:u w:val="single"/>
        </w:rPr>
        <w:t xml:space="preserve">担 </w:t>
      </w:r>
      <w:r>
        <w:rPr>
          <w:rFonts w:hint="eastAsia"/>
          <w:color w:val="auto"/>
          <w:szCs w:val="21"/>
          <w:highlight w:val="none"/>
          <w:u w:val="single"/>
        </w:rPr>
        <w:t xml:space="preserve">          部分</w:t>
      </w:r>
      <w:r>
        <w:rPr>
          <w:color w:val="auto"/>
          <w:szCs w:val="21"/>
          <w:highlight w:val="none"/>
          <w:u w:val="single"/>
        </w:rPr>
        <w:t>专业</w:t>
      </w:r>
      <w:r>
        <w:rPr>
          <w:color w:val="auto"/>
          <w:szCs w:val="21"/>
          <w:highlight w:val="none"/>
        </w:rPr>
        <w:t>工程</w:t>
      </w:r>
      <w:r>
        <w:rPr>
          <w:rFonts w:hint="eastAsia"/>
          <w:color w:val="auto"/>
          <w:szCs w:val="21"/>
          <w:highlight w:val="none"/>
        </w:rPr>
        <w:t>施工，负责内容的合同金额占总合同金额的百分比</w:t>
      </w:r>
      <w:r>
        <w:rPr>
          <w:color w:val="auto"/>
          <w:szCs w:val="21"/>
          <w:highlight w:val="none"/>
          <w:u w:val="single"/>
        </w:rPr>
        <w:t xml:space="preserve">    </w:t>
      </w:r>
      <w:r>
        <w:rPr>
          <w:rFonts w:hint="eastAsia"/>
          <w:color w:val="auto"/>
          <w:szCs w:val="21"/>
          <w:highlight w:val="none"/>
        </w:rPr>
        <w:t>%</w:t>
      </w:r>
      <w:r>
        <w:rPr>
          <w:color w:val="auto"/>
          <w:szCs w:val="21"/>
          <w:highlight w:val="none"/>
        </w:rPr>
        <w:t>；</w:t>
      </w:r>
    </w:p>
    <w:p w14:paraId="140477D3">
      <w:pPr>
        <w:adjustRightInd w:val="0"/>
        <w:snapToGrid w:val="0"/>
        <w:spacing w:line="520" w:lineRule="exact"/>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w:t>
      </w:r>
      <w:r>
        <w:rPr>
          <w:rFonts w:hint="eastAsia" w:ascii="宋体" w:hAnsi="宋体"/>
          <w:color w:val="auto"/>
          <w:szCs w:val="21"/>
          <w:highlight w:val="none"/>
        </w:rPr>
        <w:t xml:space="preserve">                    </w:t>
      </w:r>
    </w:p>
    <w:p w14:paraId="5278A759">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5.本协议书自签署之日起生效，合同履行完毕后自动失效。</w:t>
      </w:r>
    </w:p>
    <w:p w14:paraId="3D14F167">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6.联合体中标后，本联合体协议是合同的附件，对联合体各成员单位有合同约束力。</w:t>
      </w:r>
    </w:p>
    <w:p w14:paraId="701DA360">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7.本协议书一式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份，联合体成员和招标人各执一份。</w:t>
      </w:r>
    </w:p>
    <w:p w14:paraId="3DE1EB6A">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注：本协议由委托代理人签字的，应附法定代表人签字的授权委托书。</w:t>
      </w:r>
    </w:p>
    <w:p w14:paraId="0018AD4A">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牵头人（成员一）名称：</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147EBC93">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35649DDF">
      <w:pPr>
        <w:adjustRightInd w:val="0"/>
        <w:snapToGrid w:val="0"/>
        <w:spacing w:line="520" w:lineRule="exact"/>
        <w:ind w:firstLine="420" w:firstLineChars="200"/>
        <w:rPr>
          <w:rFonts w:ascii="宋体" w:hAnsi="宋体"/>
          <w:color w:val="auto"/>
          <w:szCs w:val="21"/>
          <w:highlight w:val="none"/>
        </w:rPr>
      </w:pPr>
    </w:p>
    <w:p w14:paraId="07DEFB64">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0F53A3B">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367EC930">
      <w:pPr>
        <w:adjustRightInd w:val="0"/>
        <w:snapToGrid w:val="0"/>
        <w:spacing w:line="520" w:lineRule="exact"/>
        <w:ind w:firstLine="420" w:firstLineChars="200"/>
        <w:rPr>
          <w:rFonts w:ascii="宋体" w:hAnsi="宋体"/>
          <w:color w:val="auto"/>
          <w:szCs w:val="21"/>
          <w:highlight w:val="none"/>
        </w:rPr>
      </w:pPr>
    </w:p>
    <w:p w14:paraId="2A917951">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成员三名称：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（签章）</w:t>
      </w:r>
    </w:p>
    <w:p w14:paraId="75222C24">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法定代表人： </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6D4CDFDE">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w:t>
      </w:r>
    </w:p>
    <w:p w14:paraId="4F3ADAC3">
      <w:pPr>
        <w:adjustRightInd w:val="0"/>
        <w:snapToGrid w:val="0"/>
        <w:spacing w:line="560" w:lineRule="exact"/>
        <w:ind w:firstLine="5775" w:firstLineChars="275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4AFB30B">
      <w:pPr>
        <w:pStyle w:val="18"/>
        <w:rPr>
          <w:color w:val="auto"/>
          <w:highlight w:val="none"/>
        </w:rPr>
      </w:pPr>
    </w:p>
    <w:p w14:paraId="11A9949E">
      <w:pPr>
        <w:rPr>
          <w:color w:val="auto"/>
          <w:highlight w:val="none"/>
        </w:rPr>
      </w:pPr>
    </w:p>
    <w:p w14:paraId="0A3C98DF">
      <w:pPr>
        <w:pStyle w:val="17"/>
        <w:ind w:firstLine="210"/>
        <w:rPr>
          <w:color w:val="auto"/>
          <w:highlight w:val="none"/>
        </w:rPr>
      </w:pPr>
    </w:p>
    <w:p w14:paraId="227EE50C">
      <w:pPr>
        <w:adjustRightInd w:val="0"/>
        <w:snapToGrid w:val="0"/>
        <w:spacing w:line="560" w:lineRule="exact"/>
        <w:jc w:val="center"/>
        <w:outlineLvl w:val="2"/>
        <w:rPr>
          <w:rFonts w:hint="eastAsia" w:eastAsia="黑体"/>
          <w:color w:val="auto"/>
          <w:sz w:val="28"/>
          <w:szCs w:val="28"/>
          <w:highlight w:val="none"/>
          <w:u w:val="single"/>
        </w:rPr>
      </w:pPr>
    </w:p>
    <w:p w14:paraId="56B05C8A">
      <w:pPr>
        <w:adjustRightInd w:val="0"/>
        <w:snapToGrid w:val="0"/>
        <w:spacing w:line="560" w:lineRule="exact"/>
        <w:jc w:val="center"/>
        <w:outlineLvl w:val="2"/>
        <w:rPr>
          <w:rFonts w:hint="eastAsia" w:eastAsia="黑体"/>
          <w:color w:val="auto"/>
          <w:sz w:val="28"/>
          <w:szCs w:val="28"/>
          <w:highlight w:val="none"/>
          <w:u w:val="single"/>
        </w:rPr>
      </w:pPr>
    </w:p>
    <w:p w14:paraId="4EE67E06">
      <w:pPr>
        <w:adjustRightInd w:val="0"/>
        <w:snapToGrid w:val="0"/>
        <w:spacing w:line="560" w:lineRule="exact"/>
        <w:jc w:val="center"/>
        <w:outlineLvl w:val="2"/>
        <w:rPr>
          <w:rFonts w:hint="eastAsia" w:eastAsia="黑体"/>
          <w:color w:val="auto"/>
          <w:sz w:val="28"/>
          <w:szCs w:val="28"/>
          <w:highlight w:val="none"/>
          <w:u w:val="single"/>
        </w:rPr>
      </w:pPr>
    </w:p>
    <w:p w14:paraId="21825785">
      <w:pPr>
        <w:adjustRightInd w:val="0"/>
        <w:snapToGrid w:val="0"/>
        <w:spacing w:line="560" w:lineRule="exact"/>
        <w:jc w:val="center"/>
        <w:outlineLvl w:val="2"/>
        <w:rPr>
          <w:rFonts w:eastAsia="黑体"/>
          <w:color w:val="auto"/>
          <w:sz w:val="20"/>
          <w:szCs w:val="20"/>
          <w:highlight w:val="none"/>
        </w:rPr>
      </w:pPr>
      <w:r>
        <w:rPr>
          <w:rFonts w:hint="eastAsia" w:eastAsia="黑体"/>
          <w:color w:val="auto"/>
          <w:sz w:val="28"/>
          <w:szCs w:val="28"/>
          <w:highlight w:val="none"/>
          <w:u w:val="single"/>
        </w:rPr>
        <w:t xml:space="preserve">                </w:t>
      </w:r>
      <w:bookmarkStart w:id="1108" w:name="_Toc1869"/>
      <w:r>
        <w:rPr>
          <w:rFonts w:eastAsia="黑体"/>
          <w:color w:val="auto"/>
          <w:sz w:val="28"/>
          <w:szCs w:val="28"/>
          <w:highlight w:val="none"/>
        </w:rPr>
        <w:t>（项目名称）</w:t>
      </w:r>
      <w:bookmarkEnd w:id="1108"/>
    </w:p>
    <w:p w14:paraId="63A7F696">
      <w:pPr>
        <w:adjustRightInd w:val="0"/>
        <w:snapToGrid w:val="0"/>
        <w:spacing w:line="560" w:lineRule="exact"/>
        <w:jc w:val="center"/>
        <w:rPr>
          <w:rFonts w:eastAsia="黑体"/>
          <w:color w:val="auto"/>
          <w:sz w:val="20"/>
          <w:szCs w:val="20"/>
          <w:highlight w:val="none"/>
        </w:rPr>
      </w:pPr>
    </w:p>
    <w:p w14:paraId="5CDBF553">
      <w:pPr>
        <w:adjustRightInd w:val="0"/>
        <w:snapToGrid w:val="0"/>
        <w:spacing w:line="560" w:lineRule="exact"/>
        <w:rPr>
          <w:rFonts w:eastAsia="黑体"/>
          <w:color w:val="auto"/>
          <w:sz w:val="20"/>
          <w:szCs w:val="20"/>
          <w:highlight w:val="none"/>
        </w:rPr>
      </w:pPr>
    </w:p>
    <w:p w14:paraId="35029994">
      <w:pPr>
        <w:adjustRightInd w:val="0"/>
        <w:snapToGrid w:val="0"/>
        <w:spacing w:line="560" w:lineRule="exact"/>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773DC776">
      <w:pPr>
        <w:adjustRightInd w:val="0"/>
        <w:snapToGrid w:val="0"/>
        <w:spacing w:line="560" w:lineRule="exact"/>
        <w:jc w:val="center"/>
        <w:rPr>
          <w:rFonts w:eastAsia="黑体"/>
          <w:color w:val="auto"/>
          <w:sz w:val="44"/>
          <w:szCs w:val="44"/>
          <w:highlight w:val="none"/>
        </w:rPr>
      </w:pPr>
      <w:r>
        <w:rPr>
          <w:rFonts w:hint="eastAsia" w:eastAsia="黑体"/>
          <w:color w:val="auto"/>
          <w:sz w:val="44"/>
          <w:szCs w:val="44"/>
          <w:highlight w:val="none"/>
        </w:rPr>
        <w:t>（技术标文件）</w:t>
      </w:r>
    </w:p>
    <w:p w14:paraId="4A34EC1E">
      <w:pPr>
        <w:adjustRightInd w:val="0"/>
        <w:snapToGrid w:val="0"/>
        <w:spacing w:line="560" w:lineRule="exact"/>
        <w:rPr>
          <w:rFonts w:eastAsia="黑体"/>
          <w:color w:val="auto"/>
          <w:sz w:val="28"/>
          <w:szCs w:val="28"/>
          <w:highlight w:val="none"/>
        </w:rPr>
      </w:pPr>
    </w:p>
    <w:p w14:paraId="0B4689AC">
      <w:pPr>
        <w:adjustRightInd w:val="0"/>
        <w:snapToGrid w:val="0"/>
        <w:spacing w:line="560" w:lineRule="exact"/>
        <w:rPr>
          <w:rFonts w:eastAsia="黑体"/>
          <w:color w:val="auto"/>
          <w:sz w:val="28"/>
          <w:szCs w:val="28"/>
          <w:highlight w:val="none"/>
        </w:rPr>
      </w:pPr>
    </w:p>
    <w:p w14:paraId="18744C62">
      <w:pPr>
        <w:adjustRightInd w:val="0"/>
        <w:snapToGrid w:val="0"/>
        <w:spacing w:line="560" w:lineRule="exact"/>
        <w:rPr>
          <w:rFonts w:eastAsia="黑体"/>
          <w:color w:val="auto"/>
          <w:sz w:val="28"/>
          <w:szCs w:val="28"/>
          <w:highlight w:val="none"/>
        </w:rPr>
      </w:pPr>
    </w:p>
    <w:p w14:paraId="7A8C8BAE">
      <w:pPr>
        <w:adjustRightInd w:val="0"/>
        <w:snapToGrid w:val="0"/>
        <w:spacing w:line="560" w:lineRule="exact"/>
        <w:rPr>
          <w:rFonts w:eastAsia="黑体"/>
          <w:color w:val="auto"/>
          <w:sz w:val="28"/>
          <w:szCs w:val="28"/>
          <w:highlight w:val="none"/>
        </w:rPr>
      </w:pPr>
    </w:p>
    <w:p w14:paraId="4AF24E58">
      <w:pPr>
        <w:adjustRightInd w:val="0"/>
        <w:snapToGrid w:val="0"/>
        <w:spacing w:line="560" w:lineRule="exact"/>
        <w:rPr>
          <w:rFonts w:eastAsia="黑体"/>
          <w:color w:val="auto"/>
          <w:sz w:val="28"/>
          <w:szCs w:val="28"/>
          <w:highlight w:val="none"/>
        </w:rPr>
      </w:pPr>
    </w:p>
    <w:p w14:paraId="07DCAA4A">
      <w:pPr>
        <w:adjustRightInd w:val="0"/>
        <w:snapToGrid w:val="0"/>
        <w:spacing w:line="560" w:lineRule="exact"/>
        <w:rPr>
          <w:rFonts w:eastAsia="黑体"/>
          <w:color w:val="auto"/>
          <w:sz w:val="28"/>
          <w:szCs w:val="28"/>
          <w:highlight w:val="none"/>
        </w:rPr>
      </w:pPr>
    </w:p>
    <w:p w14:paraId="1F33C4EB">
      <w:pPr>
        <w:pStyle w:val="18"/>
        <w:adjustRightInd w:val="0"/>
        <w:snapToGrid w:val="0"/>
        <w:spacing w:line="560" w:lineRule="exact"/>
        <w:ind w:left="0" w:leftChars="0" w:firstLine="560"/>
        <w:rPr>
          <w:rFonts w:eastAsia="黑体"/>
          <w:color w:val="auto"/>
          <w:sz w:val="28"/>
          <w:szCs w:val="28"/>
          <w:highlight w:val="none"/>
        </w:rPr>
      </w:pPr>
    </w:p>
    <w:p w14:paraId="42500856">
      <w:pPr>
        <w:adjustRightInd w:val="0"/>
        <w:snapToGrid w:val="0"/>
        <w:spacing w:line="560" w:lineRule="exact"/>
        <w:rPr>
          <w:rFonts w:eastAsia="黑体"/>
          <w:color w:val="auto"/>
          <w:sz w:val="28"/>
          <w:szCs w:val="28"/>
          <w:highlight w:val="none"/>
        </w:rPr>
      </w:pPr>
    </w:p>
    <w:p w14:paraId="154346CD">
      <w:pPr>
        <w:pStyle w:val="18"/>
        <w:adjustRightInd w:val="0"/>
        <w:snapToGrid w:val="0"/>
        <w:spacing w:line="560" w:lineRule="exact"/>
        <w:ind w:left="0" w:leftChars="0" w:firstLine="0" w:firstLineChars="0"/>
        <w:rPr>
          <w:rFonts w:eastAsia="黑体"/>
          <w:color w:val="auto"/>
          <w:sz w:val="28"/>
          <w:szCs w:val="28"/>
          <w:highlight w:val="none"/>
        </w:rPr>
      </w:pPr>
    </w:p>
    <w:p w14:paraId="30374585">
      <w:pPr>
        <w:adjustRightInd w:val="0"/>
        <w:snapToGrid w:val="0"/>
        <w:spacing w:line="560" w:lineRule="exact"/>
        <w:jc w:val="center"/>
        <w:rPr>
          <w:color w:val="auto"/>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350607AC">
      <w:pPr>
        <w:adjustRightInd w:val="0"/>
        <w:snapToGrid w:val="0"/>
        <w:spacing w:line="560" w:lineRule="exact"/>
        <w:rPr>
          <w:rFonts w:eastAsia="黑体"/>
          <w:color w:val="auto"/>
          <w:sz w:val="28"/>
          <w:szCs w:val="28"/>
          <w:highlight w:val="none"/>
        </w:rPr>
      </w:pPr>
    </w:p>
    <w:p w14:paraId="3116F735">
      <w:pPr>
        <w:pStyle w:val="18"/>
        <w:ind w:left="0" w:leftChars="0" w:firstLine="0" w:firstLineChars="0"/>
        <w:jc w:val="left"/>
        <w:rPr>
          <w:rFonts w:ascii="仿宋_GB2312" w:eastAsia="仿宋_GB2312"/>
          <w:color w:val="auto"/>
          <w:sz w:val="24"/>
          <w:highlight w:val="none"/>
        </w:rPr>
      </w:pPr>
    </w:p>
    <w:p w14:paraId="5036DA7F">
      <w:pPr>
        <w:pStyle w:val="18"/>
        <w:ind w:left="0" w:leftChars="0" w:firstLine="0" w:firstLineChars="0"/>
        <w:jc w:val="left"/>
        <w:rPr>
          <w:rFonts w:ascii="仿宋_GB2312" w:eastAsia="仿宋_GB2312"/>
          <w:color w:val="auto"/>
          <w:sz w:val="24"/>
          <w:highlight w:val="none"/>
        </w:rPr>
      </w:pPr>
    </w:p>
    <w:p w14:paraId="6168CFB1">
      <w:pPr>
        <w:pStyle w:val="18"/>
        <w:ind w:left="0" w:leftChars="0" w:firstLine="0" w:firstLineChars="0"/>
        <w:jc w:val="left"/>
        <w:rPr>
          <w:rFonts w:ascii="仿宋_GB2312" w:eastAsia="仿宋_GB2312"/>
          <w:color w:val="auto"/>
          <w:sz w:val="24"/>
          <w:highlight w:val="none"/>
        </w:rPr>
      </w:pPr>
    </w:p>
    <w:p w14:paraId="239071F6">
      <w:pPr>
        <w:pStyle w:val="18"/>
        <w:ind w:left="0" w:leftChars="0" w:firstLine="0" w:firstLineChars="0"/>
        <w:jc w:val="left"/>
        <w:rPr>
          <w:rFonts w:ascii="仿宋_GB2312" w:eastAsia="仿宋_GB2312"/>
          <w:color w:val="auto"/>
          <w:sz w:val="24"/>
          <w:highlight w:val="none"/>
        </w:rPr>
      </w:pPr>
    </w:p>
    <w:p w14:paraId="2ACBE3C9">
      <w:pPr>
        <w:pStyle w:val="18"/>
        <w:ind w:left="0" w:leftChars="0" w:firstLine="0" w:firstLineChars="0"/>
        <w:jc w:val="left"/>
        <w:rPr>
          <w:rFonts w:ascii="仿宋_GB2312" w:eastAsia="仿宋_GB2312"/>
          <w:color w:val="auto"/>
          <w:sz w:val="24"/>
          <w:highlight w:val="none"/>
        </w:rPr>
      </w:pPr>
    </w:p>
    <w:p w14:paraId="16BE39C1">
      <w:pPr>
        <w:pStyle w:val="18"/>
        <w:ind w:left="0" w:leftChars="0" w:firstLine="0" w:firstLineChars="0"/>
        <w:jc w:val="left"/>
        <w:rPr>
          <w:color w:val="auto"/>
          <w:sz w:val="24"/>
          <w:highlight w:val="none"/>
        </w:rPr>
      </w:pPr>
      <w:r>
        <w:rPr>
          <w:rFonts w:hint="eastAsia" w:ascii="仿宋_GB2312" w:eastAsia="仿宋_GB2312"/>
          <w:color w:val="auto"/>
          <w:sz w:val="24"/>
          <w:highlight w:val="none"/>
        </w:rPr>
        <w:t>注：暗标评审的技术标封面不设置投标人、法定代表人签章内容。</w:t>
      </w:r>
    </w:p>
    <w:p w14:paraId="7F46CE42">
      <w:pPr>
        <w:pStyle w:val="18"/>
        <w:adjustRightInd w:val="0"/>
        <w:snapToGrid w:val="0"/>
        <w:spacing w:line="560" w:lineRule="exact"/>
        <w:ind w:left="0" w:leftChars="0" w:firstLine="560"/>
        <w:rPr>
          <w:rFonts w:eastAsia="黑体"/>
          <w:color w:val="auto"/>
          <w:sz w:val="28"/>
          <w:szCs w:val="28"/>
          <w:highlight w:val="none"/>
        </w:rPr>
      </w:pPr>
    </w:p>
    <w:p w14:paraId="20427ADA">
      <w:pPr>
        <w:pStyle w:val="3"/>
        <w:rPr>
          <w:color w:val="auto"/>
          <w:highlight w:val="none"/>
        </w:rPr>
      </w:pPr>
    </w:p>
    <w:p w14:paraId="1049B264">
      <w:pPr>
        <w:pStyle w:val="3"/>
        <w:rPr>
          <w:color w:val="auto"/>
          <w:highlight w:val="none"/>
        </w:rPr>
      </w:pPr>
    </w:p>
    <w:p w14:paraId="6663BA94">
      <w:pPr>
        <w:pStyle w:val="3"/>
        <w:rPr>
          <w:color w:val="auto"/>
          <w:highlight w:val="none"/>
        </w:rPr>
      </w:pPr>
      <w:bookmarkStart w:id="1109" w:name="_Toc32066"/>
      <w:r>
        <w:rPr>
          <w:rFonts w:hint="eastAsia"/>
          <w:color w:val="auto"/>
          <w:highlight w:val="none"/>
        </w:rPr>
        <w:t>投标文件二：技术标目录</w:t>
      </w:r>
      <w:bookmarkEnd w:id="1109"/>
    </w:p>
    <w:p w14:paraId="0C3FE174">
      <w:pPr>
        <w:spacing w:line="4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（1）总承包方案（根据评分细则评审内容共有4项内容，系统中分别设置为总承包方案评分点1、总承包方案评分点2、总承包方案评分点3、总承包方案评分点4）；</w:t>
      </w:r>
    </w:p>
    <w:p w14:paraId="50A63CAD">
      <w:pPr>
        <w:spacing w:line="4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安装方案</w:t>
      </w:r>
      <w:r>
        <w:rPr>
          <w:rFonts w:hint="eastAsia" w:ascii="宋体" w:hAnsi="宋体" w:cs="宋体"/>
          <w:bCs/>
          <w:color w:val="auto"/>
          <w:szCs w:val="21"/>
          <w:highlight w:val="none"/>
        </w:rPr>
        <w:t>；</w:t>
      </w:r>
    </w:p>
    <w:p w14:paraId="68DC580E">
      <w:pPr>
        <w:spacing w:line="4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勘测设计方案；</w:t>
      </w:r>
    </w:p>
    <w:p w14:paraId="2588DB70">
      <w:pPr>
        <w:spacing w:line="4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（4）</w:t>
      </w:r>
      <w:r>
        <w:rPr>
          <w:rFonts w:hint="eastAsia" w:ascii="宋体" w:hAnsi="宋体" w:cs="宋体"/>
          <w:color w:val="auto"/>
          <w:szCs w:val="21"/>
          <w:highlight w:val="none"/>
        </w:rPr>
        <w:t>供电并网调试方案；</w:t>
      </w:r>
    </w:p>
    <w:p w14:paraId="72542401">
      <w:pPr>
        <w:spacing w:line="4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（5）运维方案。</w:t>
      </w:r>
    </w:p>
    <w:p w14:paraId="0AD22012">
      <w:pPr>
        <w:adjustRightInd w:val="0"/>
        <w:snapToGrid w:val="0"/>
        <w:spacing w:line="560" w:lineRule="exact"/>
        <w:jc w:val="left"/>
        <w:rPr>
          <w:rFonts w:eastAsia="黑体"/>
          <w:color w:val="auto"/>
          <w:sz w:val="28"/>
          <w:szCs w:val="28"/>
          <w:highlight w:val="none"/>
          <w:u w:val="single"/>
        </w:rPr>
      </w:pPr>
      <w:r>
        <w:rPr>
          <w:rFonts w:hint="eastAsia" w:ascii="宋体" w:hAnsi="宋体" w:cs="宋体"/>
          <w:b/>
          <w:bCs/>
          <w:color w:val="auto"/>
          <w:szCs w:val="21"/>
          <w:highlight w:val="none"/>
        </w:rPr>
        <w:t>注：本项目采用横向暗标评审，请投标人结合技术标评审细则和系统内容在对应模块上传技术标评审内容。</w:t>
      </w:r>
    </w:p>
    <w:p w14:paraId="527C3A3B">
      <w:pPr>
        <w:widowControl/>
        <w:jc w:val="left"/>
        <w:rPr>
          <w:color w:val="auto"/>
          <w:sz w:val="28"/>
          <w:szCs w:val="28"/>
          <w:highlight w:val="none"/>
        </w:rPr>
      </w:pPr>
    </w:p>
    <w:p w14:paraId="18258BEE">
      <w:pPr>
        <w:pStyle w:val="18"/>
        <w:ind w:firstLine="560"/>
        <w:rPr>
          <w:color w:val="auto"/>
          <w:sz w:val="28"/>
          <w:szCs w:val="28"/>
          <w:highlight w:val="none"/>
        </w:rPr>
      </w:pPr>
    </w:p>
    <w:p w14:paraId="3F37230A">
      <w:pPr>
        <w:pStyle w:val="18"/>
        <w:ind w:firstLine="560"/>
        <w:rPr>
          <w:color w:val="auto"/>
          <w:sz w:val="28"/>
          <w:szCs w:val="28"/>
          <w:highlight w:val="none"/>
        </w:rPr>
      </w:pPr>
    </w:p>
    <w:p w14:paraId="6AD7C1D4">
      <w:pPr>
        <w:rPr>
          <w:color w:val="auto"/>
          <w:sz w:val="28"/>
          <w:szCs w:val="28"/>
          <w:highlight w:val="none"/>
        </w:rPr>
      </w:pPr>
    </w:p>
    <w:p w14:paraId="78BC422D">
      <w:pPr>
        <w:pStyle w:val="18"/>
        <w:ind w:firstLine="560"/>
        <w:rPr>
          <w:color w:val="auto"/>
          <w:sz w:val="28"/>
          <w:szCs w:val="28"/>
          <w:highlight w:val="none"/>
        </w:rPr>
      </w:pPr>
    </w:p>
    <w:p w14:paraId="317D0822">
      <w:pPr>
        <w:rPr>
          <w:color w:val="auto"/>
          <w:sz w:val="28"/>
          <w:szCs w:val="28"/>
          <w:highlight w:val="none"/>
        </w:rPr>
      </w:pPr>
    </w:p>
    <w:p w14:paraId="020AEE34">
      <w:pPr>
        <w:pStyle w:val="18"/>
        <w:ind w:firstLine="560"/>
        <w:rPr>
          <w:color w:val="auto"/>
          <w:sz w:val="28"/>
          <w:szCs w:val="28"/>
          <w:highlight w:val="none"/>
        </w:rPr>
      </w:pPr>
    </w:p>
    <w:p w14:paraId="29EFC132">
      <w:pPr>
        <w:rPr>
          <w:color w:val="auto"/>
          <w:sz w:val="28"/>
          <w:szCs w:val="28"/>
          <w:highlight w:val="none"/>
        </w:rPr>
      </w:pPr>
    </w:p>
    <w:p w14:paraId="443A839A">
      <w:pPr>
        <w:pStyle w:val="18"/>
        <w:ind w:firstLine="560"/>
        <w:rPr>
          <w:color w:val="auto"/>
          <w:sz w:val="28"/>
          <w:szCs w:val="28"/>
          <w:highlight w:val="none"/>
        </w:rPr>
      </w:pPr>
    </w:p>
    <w:p w14:paraId="5A6F09B5">
      <w:pPr>
        <w:rPr>
          <w:color w:val="auto"/>
          <w:sz w:val="28"/>
          <w:szCs w:val="28"/>
          <w:highlight w:val="none"/>
        </w:rPr>
      </w:pPr>
    </w:p>
    <w:p w14:paraId="2327F455">
      <w:pPr>
        <w:pStyle w:val="18"/>
        <w:ind w:firstLine="560"/>
        <w:rPr>
          <w:color w:val="auto"/>
          <w:sz w:val="28"/>
          <w:szCs w:val="28"/>
          <w:highlight w:val="none"/>
        </w:rPr>
      </w:pPr>
    </w:p>
    <w:p w14:paraId="2704BFE2">
      <w:pPr>
        <w:rPr>
          <w:color w:val="auto"/>
          <w:sz w:val="28"/>
          <w:szCs w:val="28"/>
          <w:highlight w:val="none"/>
        </w:rPr>
      </w:pPr>
    </w:p>
    <w:p w14:paraId="1F5113BB">
      <w:pPr>
        <w:pStyle w:val="18"/>
        <w:ind w:firstLine="560"/>
        <w:rPr>
          <w:color w:val="auto"/>
          <w:sz w:val="28"/>
          <w:szCs w:val="28"/>
          <w:highlight w:val="none"/>
        </w:rPr>
      </w:pPr>
    </w:p>
    <w:p w14:paraId="4B31092D">
      <w:pPr>
        <w:rPr>
          <w:color w:val="auto"/>
          <w:sz w:val="28"/>
          <w:szCs w:val="28"/>
          <w:highlight w:val="none"/>
        </w:rPr>
      </w:pPr>
    </w:p>
    <w:p w14:paraId="61015FEB">
      <w:pPr>
        <w:pStyle w:val="18"/>
        <w:ind w:firstLine="560"/>
        <w:rPr>
          <w:color w:val="auto"/>
          <w:sz w:val="28"/>
          <w:szCs w:val="28"/>
          <w:highlight w:val="none"/>
        </w:rPr>
      </w:pPr>
    </w:p>
    <w:p w14:paraId="3F506B88">
      <w:pPr>
        <w:rPr>
          <w:color w:val="auto"/>
          <w:sz w:val="28"/>
          <w:szCs w:val="28"/>
          <w:highlight w:val="none"/>
        </w:rPr>
      </w:pPr>
    </w:p>
    <w:p w14:paraId="0D2B6779">
      <w:pPr>
        <w:rPr>
          <w:color w:val="auto"/>
          <w:sz w:val="28"/>
          <w:szCs w:val="28"/>
          <w:highlight w:val="none"/>
        </w:rPr>
      </w:pPr>
      <w:r>
        <w:rPr>
          <w:rFonts w:hint="eastAsia"/>
          <w:color w:val="auto"/>
          <w:sz w:val="28"/>
          <w:szCs w:val="28"/>
          <w:highlight w:val="none"/>
        </w:rPr>
        <w:br w:type="page"/>
      </w:r>
    </w:p>
    <w:p w14:paraId="12FFE3E5">
      <w:pPr>
        <w:pStyle w:val="17"/>
        <w:ind w:firstLine="210"/>
        <w:rPr>
          <w:color w:val="auto"/>
          <w:highlight w:val="none"/>
        </w:rPr>
      </w:pPr>
    </w:p>
    <w:p w14:paraId="6ABB8C52">
      <w:pPr>
        <w:pStyle w:val="18"/>
        <w:ind w:firstLine="560"/>
        <w:rPr>
          <w:color w:val="auto"/>
          <w:sz w:val="28"/>
          <w:szCs w:val="28"/>
          <w:highlight w:val="none"/>
        </w:rPr>
      </w:pPr>
    </w:p>
    <w:p w14:paraId="513D0F31">
      <w:pPr>
        <w:adjustRightInd w:val="0"/>
        <w:snapToGrid w:val="0"/>
        <w:spacing w:line="560" w:lineRule="exact"/>
        <w:jc w:val="center"/>
        <w:rPr>
          <w:rFonts w:eastAsia="黑体"/>
          <w:color w:val="auto"/>
          <w:sz w:val="28"/>
          <w:szCs w:val="28"/>
          <w:highlight w:val="none"/>
          <w:u w:val="single"/>
        </w:rPr>
      </w:pPr>
    </w:p>
    <w:p w14:paraId="2E0606EF">
      <w:pPr>
        <w:adjustRightInd w:val="0"/>
        <w:snapToGrid w:val="0"/>
        <w:spacing w:line="560" w:lineRule="exact"/>
        <w:jc w:val="center"/>
        <w:rPr>
          <w:rFonts w:eastAsia="黑体"/>
          <w:color w:val="auto"/>
          <w:sz w:val="28"/>
          <w:szCs w:val="28"/>
          <w:highlight w:val="none"/>
          <w:u w:val="single"/>
        </w:rPr>
      </w:pPr>
    </w:p>
    <w:p w14:paraId="73110FC4">
      <w:pPr>
        <w:adjustRightInd w:val="0"/>
        <w:snapToGrid w:val="0"/>
        <w:spacing w:line="560" w:lineRule="exact"/>
        <w:jc w:val="center"/>
        <w:rPr>
          <w:rFonts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5363FA3A">
      <w:pPr>
        <w:adjustRightInd w:val="0"/>
        <w:snapToGrid w:val="0"/>
        <w:spacing w:line="560" w:lineRule="exact"/>
        <w:jc w:val="center"/>
        <w:rPr>
          <w:rFonts w:eastAsia="黑体"/>
          <w:color w:val="auto"/>
          <w:sz w:val="20"/>
          <w:szCs w:val="20"/>
          <w:highlight w:val="none"/>
        </w:rPr>
      </w:pPr>
    </w:p>
    <w:p w14:paraId="0F672B49">
      <w:pPr>
        <w:adjustRightInd w:val="0"/>
        <w:snapToGrid w:val="0"/>
        <w:spacing w:line="560" w:lineRule="exact"/>
        <w:rPr>
          <w:rFonts w:eastAsia="黑体"/>
          <w:color w:val="auto"/>
          <w:sz w:val="20"/>
          <w:szCs w:val="20"/>
          <w:highlight w:val="none"/>
        </w:rPr>
      </w:pPr>
    </w:p>
    <w:p w14:paraId="3EE7EE91">
      <w:pPr>
        <w:adjustRightInd w:val="0"/>
        <w:snapToGrid w:val="0"/>
        <w:spacing w:line="560" w:lineRule="exact"/>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三</w:t>
      </w:r>
    </w:p>
    <w:p w14:paraId="2A6EEDFD">
      <w:pPr>
        <w:adjustRightInd w:val="0"/>
        <w:snapToGrid w:val="0"/>
        <w:spacing w:line="560" w:lineRule="exact"/>
        <w:jc w:val="center"/>
        <w:rPr>
          <w:rFonts w:eastAsia="黑体"/>
          <w:color w:val="auto"/>
          <w:sz w:val="44"/>
          <w:szCs w:val="44"/>
          <w:highlight w:val="none"/>
        </w:rPr>
      </w:pPr>
      <w:r>
        <w:rPr>
          <w:rFonts w:hint="eastAsia" w:eastAsia="黑体"/>
          <w:color w:val="auto"/>
          <w:sz w:val="44"/>
          <w:szCs w:val="44"/>
          <w:highlight w:val="none"/>
        </w:rPr>
        <w:t>（商务标文件）</w:t>
      </w:r>
    </w:p>
    <w:p w14:paraId="17861BA2">
      <w:pPr>
        <w:adjustRightInd w:val="0"/>
        <w:snapToGrid w:val="0"/>
        <w:spacing w:line="560" w:lineRule="exact"/>
        <w:rPr>
          <w:rFonts w:eastAsia="黑体"/>
          <w:color w:val="auto"/>
          <w:sz w:val="28"/>
          <w:szCs w:val="28"/>
          <w:highlight w:val="none"/>
        </w:rPr>
      </w:pPr>
    </w:p>
    <w:p w14:paraId="18732137">
      <w:pPr>
        <w:adjustRightInd w:val="0"/>
        <w:snapToGrid w:val="0"/>
        <w:spacing w:line="560" w:lineRule="exact"/>
        <w:rPr>
          <w:rFonts w:eastAsia="黑体"/>
          <w:color w:val="auto"/>
          <w:sz w:val="28"/>
          <w:szCs w:val="28"/>
          <w:highlight w:val="none"/>
        </w:rPr>
      </w:pPr>
    </w:p>
    <w:p w14:paraId="06AC4C80">
      <w:pPr>
        <w:pStyle w:val="18"/>
        <w:adjustRightInd w:val="0"/>
        <w:snapToGrid w:val="0"/>
        <w:spacing w:line="560" w:lineRule="exact"/>
        <w:ind w:left="0" w:leftChars="0"/>
        <w:rPr>
          <w:color w:val="auto"/>
          <w:highlight w:val="none"/>
        </w:rPr>
      </w:pPr>
    </w:p>
    <w:p w14:paraId="7C88F00C">
      <w:pPr>
        <w:adjustRightInd w:val="0"/>
        <w:snapToGrid w:val="0"/>
        <w:spacing w:line="560" w:lineRule="exact"/>
        <w:rPr>
          <w:rFonts w:eastAsia="黑体"/>
          <w:color w:val="auto"/>
          <w:sz w:val="28"/>
          <w:szCs w:val="28"/>
          <w:highlight w:val="none"/>
        </w:rPr>
      </w:pPr>
    </w:p>
    <w:p w14:paraId="2518AD17">
      <w:pPr>
        <w:adjustRightInd w:val="0"/>
        <w:snapToGrid w:val="0"/>
        <w:spacing w:line="560" w:lineRule="exact"/>
        <w:rPr>
          <w:rFonts w:eastAsia="黑体"/>
          <w:color w:val="auto"/>
          <w:sz w:val="28"/>
          <w:szCs w:val="28"/>
          <w:highlight w:val="none"/>
        </w:rPr>
      </w:pPr>
    </w:p>
    <w:p w14:paraId="3BE5AFFD">
      <w:pPr>
        <w:adjustRightInd w:val="0"/>
        <w:snapToGrid w:val="0"/>
        <w:spacing w:line="560" w:lineRule="exact"/>
        <w:rPr>
          <w:rFonts w:eastAsia="黑体"/>
          <w:color w:val="auto"/>
          <w:sz w:val="28"/>
          <w:szCs w:val="28"/>
          <w:highlight w:val="none"/>
        </w:rPr>
      </w:pPr>
    </w:p>
    <w:p w14:paraId="23E95E49">
      <w:pPr>
        <w:adjustRightInd w:val="0"/>
        <w:snapToGrid w:val="0"/>
        <w:spacing w:line="560" w:lineRule="exact"/>
        <w:rPr>
          <w:rFonts w:eastAsia="黑体"/>
          <w:color w:val="auto"/>
          <w:sz w:val="28"/>
          <w:szCs w:val="28"/>
          <w:highlight w:val="none"/>
        </w:rPr>
      </w:pPr>
    </w:p>
    <w:p w14:paraId="5A9AF7F8">
      <w:pPr>
        <w:adjustRightInd w:val="0"/>
        <w:snapToGrid w:val="0"/>
        <w:spacing w:line="560" w:lineRule="exact"/>
        <w:rPr>
          <w:rFonts w:eastAsia="黑体"/>
          <w:color w:val="auto"/>
          <w:sz w:val="28"/>
          <w:szCs w:val="28"/>
          <w:highlight w:val="none"/>
        </w:rPr>
      </w:pPr>
    </w:p>
    <w:p w14:paraId="42F5D781">
      <w:pPr>
        <w:adjustRightInd w:val="0"/>
        <w:snapToGrid w:val="0"/>
        <w:spacing w:line="560" w:lineRule="exact"/>
        <w:rPr>
          <w:rFonts w:eastAsia="黑体"/>
          <w:color w:val="auto"/>
          <w:sz w:val="28"/>
          <w:szCs w:val="28"/>
          <w:highlight w:val="none"/>
        </w:rPr>
      </w:pPr>
    </w:p>
    <w:p w14:paraId="5C6B78E1">
      <w:pPr>
        <w:adjustRightInd w:val="0"/>
        <w:snapToGrid w:val="0"/>
        <w:spacing w:line="560" w:lineRule="exact"/>
        <w:rPr>
          <w:rFonts w:eastAsia="黑体"/>
          <w:color w:val="auto"/>
          <w:sz w:val="28"/>
          <w:szCs w:val="28"/>
          <w:highlight w:val="none"/>
        </w:rPr>
      </w:pPr>
    </w:p>
    <w:p w14:paraId="5C1F1E96">
      <w:pPr>
        <w:adjustRightInd w:val="0"/>
        <w:snapToGrid w:val="0"/>
        <w:spacing w:line="560" w:lineRule="exact"/>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eastAsia="黑体"/>
          <w:color w:val="auto"/>
          <w:sz w:val="28"/>
          <w:szCs w:val="28"/>
          <w:highlight w:val="none"/>
        </w:rPr>
        <w:t>）</w:t>
      </w:r>
    </w:p>
    <w:p w14:paraId="15E5917E">
      <w:pPr>
        <w:adjustRightInd w:val="0"/>
        <w:snapToGrid w:val="0"/>
        <w:spacing w:line="560" w:lineRule="exact"/>
        <w:jc w:val="center"/>
        <w:rPr>
          <w:rFonts w:eastAsia="黑体"/>
          <w:color w:val="auto"/>
          <w:sz w:val="28"/>
          <w:szCs w:val="28"/>
          <w:highlight w:val="none"/>
        </w:rPr>
      </w:pPr>
      <w:r>
        <w:rPr>
          <w:rFonts w:eastAsia="黑体"/>
          <w:color w:val="auto"/>
          <w:sz w:val="28"/>
          <w:szCs w:val="28"/>
          <w:highlight w:val="none"/>
        </w:rPr>
        <w:t>法定代表人：</w:t>
      </w:r>
      <w:r>
        <w:rPr>
          <w:rFonts w:eastAsia="黑体"/>
          <w:color w:val="auto"/>
          <w:sz w:val="28"/>
          <w:szCs w:val="28"/>
          <w:highlight w:val="none"/>
          <w:u w:val="singl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eastAsia="黑体"/>
          <w:color w:val="auto"/>
          <w:sz w:val="28"/>
          <w:szCs w:val="28"/>
          <w:highlight w:val="none"/>
        </w:rPr>
        <w:t>）</w:t>
      </w:r>
    </w:p>
    <w:p w14:paraId="7FCB504D">
      <w:pPr>
        <w:adjustRightInd w:val="0"/>
        <w:snapToGrid w:val="0"/>
        <w:spacing w:line="560" w:lineRule="exact"/>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09CAE99F">
      <w:pPr>
        <w:adjustRightInd w:val="0"/>
        <w:snapToGrid w:val="0"/>
        <w:spacing w:line="560" w:lineRule="exact"/>
        <w:rPr>
          <w:color w:val="auto"/>
          <w:highlight w:val="none"/>
        </w:rPr>
      </w:pPr>
    </w:p>
    <w:p w14:paraId="3467B6D4">
      <w:pPr>
        <w:adjustRightInd w:val="0"/>
        <w:snapToGrid w:val="0"/>
        <w:spacing w:line="560" w:lineRule="exact"/>
        <w:rPr>
          <w:color w:val="auto"/>
          <w:highlight w:val="none"/>
        </w:rPr>
      </w:pPr>
    </w:p>
    <w:p w14:paraId="54FF3B70">
      <w:pPr>
        <w:pStyle w:val="18"/>
        <w:rPr>
          <w:color w:val="auto"/>
          <w:highlight w:val="none"/>
        </w:rPr>
      </w:pPr>
    </w:p>
    <w:p w14:paraId="74A769E4">
      <w:pPr>
        <w:rPr>
          <w:color w:val="auto"/>
          <w:highlight w:val="none"/>
        </w:rPr>
      </w:pPr>
    </w:p>
    <w:p w14:paraId="3C35105E">
      <w:pPr>
        <w:rPr>
          <w:color w:val="auto"/>
          <w:highlight w:val="none"/>
        </w:rPr>
      </w:pPr>
    </w:p>
    <w:p w14:paraId="0D9BD4B4">
      <w:pPr>
        <w:rPr>
          <w:color w:val="auto"/>
          <w:highlight w:val="none"/>
        </w:rPr>
      </w:pPr>
    </w:p>
    <w:p w14:paraId="180BD62A">
      <w:pPr>
        <w:pStyle w:val="3"/>
        <w:rPr>
          <w:color w:val="auto"/>
          <w:highlight w:val="none"/>
        </w:rPr>
      </w:pPr>
      <w:bookmarkStart w:id="1110" w:name="_Toc95223542"/>
    </w:p>
    <w:p w14:paraId="5D0EF759">
      <w:pPr>
        <w:pStyle w:val="3"/>
        <w:rPr>
          <w:color w:val="auto"/>
          <w:highlight w:val="none"/>
        </w:rPr>
      </w:pPr>
      <w:bookmarkStart w:id="1111" w:name="_Toc23484"/>
      <w:r>
        <w:rPr>
          <w:rFonts w:hint="eastAsia"/>
          <w:color w:val="auto"/>
          <w:highlight w:val="none"/>
        </w:rPr>
        <w:t>投标文件三：商务标目录</w:t>
      </w:r>
      <w:bookmarkEnd w:id="1110"/>
      <w:bookmarkEnd w:id="1111"/>
    </w:p>
    <w:p w14:paraId="78B802B1">
      <w:pPr>
        <w:adjustRightInd w:val="0"/>
        <w:snapToGrid w:val="0"/>
        <w:spacing w:line="560" w:lineRule="exact"/>
        <w:ind w:firstLine="420" w:firstLineChars="200"/>
        <w:outlineLvl w:val="2"/>
        <w:rPr>
          <w:rFonts w:ascii="宋体" w:hAnsi="宋体"/>
          <w:color w:val="auto"/>
          <w:szCs w:val="21"/>
          <w:highlight w:val="none"/>
        </w:rPr>
      </w:pPr>
      <w:bookmarkStart w:id="1112" w:name="_Toc29104"/>
      <w:r>
        <w:rPr>
          <w:rFonts w:hint="eastAsia" w:ascii="宋体" w:hAnsi="宋体"/>
          <w:color w:val="auto"/>
          <w:szCs w:val="21"/>
          <w:highlight w:val="none"/>
        </w:rPr>
        <w:t>（1）投标函（格式见附件）；</w:t>
      </w:r>
      <w:bookmarkEnd w:id="1112"/>
    </w:p>
    <w:p w14:paraId="614D6ED1">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（2）全国建筑市场监管公共服务平台(四库一平台)企业注册人员网页截图；</w:t>
      </w:r>
    </w:p>
    <w:p w14:paraId="3022266A">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（3）招标人推荐的材料品牌响应表（如有）；</w:t>
      </w:r>
    </w:p>
    <w:p w14:paraId="70D50C89">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（4）详细评审所需其他材料。</w:t>
      </w:r>
    </w:p>
    <w:p w14:paraId="66D651F0">
      <w:pPr>
        <w:adjustRightInd w:val="0"/>
        <w:snapToGrid w:val="0"/>
        <w:spacing w:line="560" w:lineRule="exact"/>
        <w:rPr>
          <w:rFonts w:eastAsia="黑体"/>
          <w:color w:val="auto"/>
          <w:sz w:val="20"/>
          <w:szCs w:val="20"/>
          <w:highlight w:val="none"/>
        </w:rPr>
      </w:pPr>
    </w:p>
    <w:p w14:paraId="640118A9">
      <w:pPr>
        <w:adjustRightInd w:val="0"/>
        <w:snapToGrid w:val="0"/>
        <w:spacing w:line="560" w:lineRule="exact"/>
        <w:rPr>
          <w:rFonts w:eastAsia="黑体"/>
          <w:color w:val="auto"/>
          <w:sz w:val="20"/>
          <w:szCs w:val="20"/>
          <w:highlight w:val="none"/>
        </w:rPr>
      </w:pPr>
    </w:p>
    <w:p w14:paraId="65F5EFD0">
      <w:pPr>
        <w:adjustRightInd w:val="0"/>
        <w:snapToGrid w:val="0"/>
        <w:spacing w:line="560" w:lineRule="exact"/>
        <w:rPr>
          <w:rFonts w:eastAsia="黑体"/>
          <w:color w:val="auto"/>
          <w:sz w:val="20"/>
          <w:szCs w:val="20"/>
          <w:highlight w:val="none"/>
        </w:rPr>
      </w:pPr>
    </w:p>
    <w:p w14:paraId="353F3152">
      <w:pPr>
        <w:adjustRightInd w:val="0"/>
        <w:snapToGrid w:val="0"/>
        <w:spacing w:line="560" w:lineRule="exact"/>
        <w:ind w:right="420"/>
        <w:rPr>
          <w:color w:val="auto"/>
          <w:szCs w:val="21"/>
          <w:highlight w:val="none"/>
          <w:u w:val="single"/>
        </w:rPr>
      </w:pPr>
    </w:p>
    <w:p w14:paraId="10294234">
      <w:pPr>
        <w:pStyle w:val="18"/>
        <w:rPr>
          <w:color w:val="auto"/>
          <w:highlight w:val="none"/>
        </w:rPr>
      </w:pPr>
    </w:p>
    <w:p w14:paraId="76FA009C">
      <w:pPr>
        <w:rPr>
          <w:color w:val="auto"/>
          <w:highlight w:val="none"/>
        </w:rPr>
      </w:pPr>
    </w:p>
    <w:p w14:paraId="1E3A086A">
      <w:pPr>
        <w:pStyle w:val="18"/>
        <w:rPr>
          <w:color w:val="auto"/>
          <w:highlight w:val="none"/>
        </w:rPr>
      </w:pPr>
    </w:p>
    <w:p w14:paraId="152122BC">
      <w:pPr>
        <w:rPr>
          <w:color w:val="auto"/>
          <w:highlight w:val="none"/>
        </w:rPr>
      </w:pPr>
    </w:p>
    <w:p w14:paraId="07876E24">
      <w:pPr>
        <w:pStyle w:val="18"/>
        <w:rPr>
          <w:color w:val="auto"/>
          <w:highlight w:val="none"/>
        </w:rPr>
      </w:pPr>
    </w:p>
    <w:p w14:paraId="09732EA3">
      <w:pPr>
        <w:rPr>
          <w:color w:val="auto"/>
          <w:highlight w:val="none"/>
        </w:rPr>
      </w:pPr>
    </w:p>
    <w:p w14:paraId="76300194">
      <w:pPr>
        <w:pStyle w:val="18"/>
        <w:rPr>
          <w:color w:val="auto"/>
          <w:highlight w:val="none"/>
        </w:rPr>
      </w:pPr>
    </w:p>
    <w:p w14:paraId="6785C744">
      <w:pPr>
        <w:rPr>
          <w:color w:val="auto"/>
          <w:highlight w:val="none"/>
        </w:rPr>
      </w:pPr>
    </w:p>
    <w:p w14:paraId="769AB78B">
      <w:pPr>
        <w:pStyle w:val="18"/>
        <w:rPr>
          <w:color w:val="auto"/>
          <w:highlight w:val="none"/>
        </w:rPr>
      </w:pPr>
    </w:p>
    <w:p w14:paraId="556F81A2">
      <w:pPr>
        <w:rPr>
          <w:color w:val="auto"/>
          <w:highlight w:val="none"/>
        </w:rPr>
      </w:pPr>
    </w:p>
    <w:p w14:paraId="4EB10684">
      <w:pPr>
        <w:pStyle w:val="18"/>
        <w:rPr>
          <w:color w:val="auto"/>
          <w:highlight w:val="none"/>
        </w:rPr>
      </w:pPr>
    </w:p>
    <w:p w14:paraId="255D8ADD">
      <w:pPr>
        <w:rPr>
          <w:color w:val="auto"/>
          <w:highlight w:val="none"/>
        </w:rPr>
      </w:pPr>
    </w:p>
    <w:p w14:paraId="62A0A15C">
      <w:pPr>
        <w:pStyle w:val="18"/>
        <w:rPr>
          <w:color w:val="auto"/>
          <w:highlight w:val="none"/>
        </w:rPr>
      </w:pPr>
    </w:p>
    <w:p w14:paraId="0E828B7A">
      <w:pPr>
        <w:rPr>
          <w:color w:val="auto"/>
          <w:highlight w:val="none"/>
        </w:rPr>
      </w:pPr>
    </w:p>
    <w:p w14:paraId="5FA01A78">
      <w:pPr>
        <w:pStyle w:val="18"/>
        <w:rPr>
          <w:color w:val="auto"/>
          <w:highlight w:val="none"/>
        </w:rPr>
      </w:pPr>
    </w:p>
    <w:p w14:paraId="4D0E5F46">
      <w:pPr>
        <w:rPr>
          <w:color w:val="auto"/>
          <w:highlight w:val="none"/>
        </w:rPr>
      </w:pPr>
    </w:p>
    <w:p w14:paraId="090E61E1">
      <w:pPr>
        <w:pStyle w:val="18"/>
        <w:rPr>
          <w:color w:val="auto"/>
          <w:highlight w:val="none"/>
        </w:rPr>
      </w:pPr>
    </w:p>
    <w:p w14:paraId="3B99079E">
      <w:pPr>
        <w:rPr>
          <w:color w:val="auto"/>
          <w:highlight w:val="none"/>
        </w:rPr>
      </w:pPr>
    </w:p>
    <w:p w14:paraId="7E11355E">
      <w:pPr>
        <w:pStyle w:val="18"/>
        <w:rPr>
          <w:color w:val="auto"/>
          <w:highlight w:val="none"/>
        </w:rPr>
      </w:pPr>
    </w:p>
    <w:p w14:paraId="68BE358B">
      <w:pPr>
        <w:rPr>
          <w:color w:val="auto"/>
          <w:highlight w:val="none"/>
        </w:rPr>
      </w:pPr>
    </w:p>
    <w:p w14:paraId="2A2C1B7F">
      <w:pPr>
        <w:rPr>
          <w:color w:val="auto"/>
          <w:highlight w:val="none"/>
        </w:rPr>
      </w:pPr>
    </w:p>
    <w:p w14:paraId="18D1FADA">
      <w:pPr>
        <w:rPr>
          <w:color w:val="auto"/>
          <w:highlight w:val="none"/>
        </w:rPr>
      </w:pPr>
    </w:p>
    <w:p w14:paraId="22276CAA">
      <w:pPr>
        <w:rPr>
          <w:color w:val="auto"/>
          <w:highlight w:val="none"/>
        </w:rPr>
      </w:pPr>
    </w:p>
    <w:p w14:paraId="02678CC3">
      <w:pPr>
        <w:rPr>
          <w:color w:val="auto"/>
          <w:highlight w:val="none"/>
        </w:rPr>
      </w:pPr>
    </w:p>
    <w:p w14:paraId="1F8943FC">
      <w:pPr>
        <w:rPr>
          <w:color w:val="auto"/>
          <w:highlight w:val="none"/>
        </w:rPr>
      </w:pPr>
    </w:p>
    <w:p w14:paraId="247E69C8">
      <w:pPr>
        <w:rPr>
          <w:color w:val="auto"/>
          <w:highlight w:val="none"/>
        </w:rPr>
      </w:pPr>
    </w:p>
    <w:p w14:paraId="6CB66012">
      <w:pPr>
        <w:rPr>
          <w:color w:val="auto"/>
          <w:highlight w:val="none"/>
        </w:rPr>
      </w:pPr>
    </w:p>
    <w:p w14:paraId="6AAAADC6">
      <w:pPr>
        <w:rPr>
          <w:color w:val="auto"/>
          <w:highlight w:val="none"/>
        </w:rPr>
      </w:pPr>
    </w:p>
    <w:p w14:paraId="0CC1A1E9">
      <w:pPr>
        <w:pStyle w:val="4"/>
        <w:adjustRightInd w:val="0"/>
        <w:snapToGrid w:val="0"/>
        <w:spacing w:line="560" w:lineRule="exact"/>
        <w:jc w:val="center"/>
        <w:rPr>
          <w:rFonts w:hint="eastAsia"/>
          <w:color w:val="auto"/>
          <w:highlight w:val="none"/>
        </w:rPr>
      </w:pPr>
      <w:bookmarkStart w:id="1113" w:name="_Toc95223543"/>
    </w:p>
    <w:p w14:paraId="5EDA48A4">
      <w:pPr>
        <w:pStyle w:val="4"/>
        <w:adjustRightInd w:val="0"/>
        <w:snapToGrid w:val="0"/>
        <w:spacing w:line="560" w:lineRule="exact"/>
        <w:jc w:val="center"/>
        <w:rPr>
          <w:rFonts w:hint="eastAsia"/>
          <w:color w:val="auto"/>
          <w:highlight w:val="none"/>
        </w:rPr>
      </w:pPr>
    </w:p>
    <w:p w14:paraId="2CA15B30">
      <w:pPr>
        <w:pStyle w:val="4"/>
        <w:adjustRightInd w:val="0"/>
        <w:snapToGrid w:val="0"/>
        <w:spacing w:line="560" w:lineRule="exact"/>
        <w:jc w:val="center"/>
        <w:rPr>
          <w:color w:val="auto"/>
          <w:highlight w:val="none"/>
        </w:rPr>
      </w:pPr>
      <w:bookmarkStart w:id="1114" w:name="_Toc1117"/>
      <w:r>
        <w:rPr>
          <w:rFonts w:hint="eastAsia"/>
          <w:color w:val="auto"/>
          <w:highlight w:val="none"/>
        </w:rPr>
        <w:t>（1）投</w:t>
      </w:r>
      <w:r>
        <w:rPr>
          <w:color w:val="auto"/>
          <w:highlight w:val="none"/>
        </w:rPr>
        <w:t xml:space="preserve"> </w:t>
      </w:r>
      <w:r>
        <w:rPr>
          <w:rFonts w:hint="eastAsia"/>
          <w:color w:val="auto"/>
          <w:highlight w:val="none"/>
        </w:rPr>
        <w:t>标 函</w:t>
      </w:r>
      <w:bookmarkEnd w:id="1113"/>
      <w:bookmarkEnd w:id="1114"/>
    </w:p>
    <w:p w14:paraId="138916EA">
      <w:pPr>
        <w:adjustRightInd w:val="0"/>
        <w:snapToGrid w:val="0"/>
        <w:spacing w:line="520" w:lineRule="exact"/>
        <w:rPr>
          <w:rFonts w:ascii="宋体" w:hAnsi="宋体"/>
          <w:color w:val="auto"/>
          <w:sz w:val="24"/>
          <w:highlight w:val="none"/>
          <w:u w:val="single"/>
        </w:rPr>
      </w:pPr>
      <w:r>
        <w:rPr>
          <w:rFonts w:hint="eastAsia" w:ascii="宋体" w:hAnsi="宋体"/>
          <w:color w:val="auto"/>
          <w:sz w:val="24"/>
          <w:highlight w:val="none"/>
        </w:rPr>
        <w:t>致：</w:t>
      </w:r>
      <w:r>
        <w:rPr>
          <w:rFonts w:ascii="宋体" w:hAnsi="宋体"/>
          <w:color w:val="auto"/>
          <w:sz w:val="24"/>
          <w:highlight w:val="none"/>
          <w:u w:val="single"/>
        </w:rPr>
        <w:t xml:space="preserve">        </w:t>
      </w:r>
      <w:r>
        <w:rPr>
          <w:rFonts w:hint="eastAsia" w:ascii="宋体" w:hAnsi="宋体"/>
          <w:color w:val="auto"/>
          <w:sz w:val="24"/>
          <w:highlight w:val="none"/>
          <w:u w:val="single"/>
        </w:rPr>
        <w:t>（招标人）</w:t>
      </w:r>
      <w:r>
        <w:rPr>
          <w:rFonts w:ascii="宋体" w:hAnsi="宋体"/>
          <w:color w:val="auto"/>
          <w:sz w:val="24"/>
          <w:highlight w:val="none"/>
          <w:u w:val="single"/>
        </w:rPr>
        <w:t xml:space="preserve">      </w:t>
      </w:r>
    </w:p>
    <w:p w14:paraId="0CDB4161">
      <w:pPr>
        <w:spacing w:line="500" w:lineRule="exact"/>
        <w:ind w:firstLine="480" w:firstLineChars="200"/>
        <w:jc w:val="left"/>
        <w:rPr>
          <w:rFonts w:ascii="宋体" w:hAnsi="宋体"/>
          <w:color w:val="auto"/>
          <w:sz w:val="24"/>
          <w:highlight w:val="none"/>
        </w:rPr>
      </w:pPr>
      <w:r>
        <w:rPr>
          <w:rFonts w:hint="eastAsia" w:ascii="宋体" w:hAnsi="宋体"/>
          <w:color w:val="auto"/>
          <w:sz w:val="24"/>
          <w:highlight w:val="none"/>
        </w:rPr>
        <w:t>1、根据你方招</w:t>
      </w:r>
      <w:bookmarkStart w:id="1115" w:name="_Toc60061591"/>
      <w:r>
        <w:rPr>
          <w:rFonts w:hint="eastAsia" w:ascii="宋体" w:hAnsi="宋体"/>
          <w:color w:val="auto"/>
          <w:sz w:val="24"/>
          <w:highlight w:val="none"/>
        </w:rPr>
        <w:t>标项目编号为</w:t>
      </w:r>
      <w:r>
        <w:rPr>
          <w:rFonts w:ascii="宋体" w:hAnsi="宋体"/>
          <w:color w:val="auto"/>
          <w:sz w:val="24"/>
          <w:highlight w:val="none"/>
          <w:u w:val="single"/>
        </w:rPr>
        <w:t xml:space="preserve">  </w:t>
      </w:r>
      <w:bookmarkEnd w:id="1115"/>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的</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招标文件，遵照《中华人民共和国招标投标法》等有关规定，经踏勘项目现场和研究上述招标文件的投标须知、合同条件、发包人要求和其他有关文件后，我方愿以单价</w:t>
      </w:r>
      <w:r>
        <w:rPr>
          <w:rFonts w:hint="eastAsia" w:ascii="宋体" w:hAnsi="宋体"/>
          <w:color w:val="auto"/>
          <w:sz w:val="24"/>
          <w:highlight w:val="none"/>
          <w:u w:val="single"/>
        </w:rPr>
        <w:t xml:space="preserve">        元</w:t>
      </w:r>
      <w:r>
        <w:rPr>
          <w:rFonts w:hint="eastAsia" w:ascii="宋体" w:hAnsi="宋体"/>
          <w:color w:val="auto"/>
          <w:sz w:val="24"/>
          <w:highlight w:val="none"/>
        </w:rPr>
        <w:t>/瓦（直流侧）（含税）为投标报价；承包上述工程的设计、采购、施工、竣工、运维并承担任何质量缺陷保修责任。</w:t>
      </w:r>
    </w:p>
    <w:p w14:paraId="290F5576">
      <w:pPr>
        <w:tabs>
          <w:tab w:val="left" w:pos="840"/>
        </w:tabs>
        <w:adjustRightInd w:val="0"/>
        <w:snapToGrid w:val="0"/>
        <w:spacing w:line="520" w:lineRule="exact"/>
        <w:ind w:firstLine="480" w:firstLineChars="200"/>
        <w:rPr>
          <w:rFonts w:ascii="宋体" w:hAnsi="宋体"/>
          <w:color w:val="auto"/>
          <w:sz w:val="24"/>
          <w:highlight w:val="none"/>
        </w:rPr>
      </w:pPr>
      <w:r>
        <w:rPr>
          <w:rFonts w:hint="eastAsia" w:ascii="宋体" w:hAnsi="宋体"/>
          <w:color w:val="auto"/>
          <w:sz w:val="24"/>
          <w:highlight w:val="none"/>
        </w:rPr>
        <w:t>2、我方已详细审核全部招标文件及有关附件，承诺招标文件及有关附件中所有条款。</w:t>
      </w:r>
    </w:p>
    <w:p w14:paraId="73DE715C">
      <w:pPr>
        <w:adjustRightInd w:val="0"/>
        <w:snapToGrid w:val="0"/>
        <w:spacing w:line="520" w:lineRule="exact"/>
        <w:ind w:firstLine="480" w:firstLineChars="200"/>
        <w:rPr>
          <w:rFonts w:ascii="宋体" w:hAnsi="宋体"/>
          <w:color w:val="auto"/>
          <w:sz w:val="24"/>
          <w:highlight w:val="none"/>
        </w:rPr>
      </w:pPr>
      <w:r>
        <w:rPr>
          <w:rFonts w:hint="eastAsia" w:ascii="宋体" w:hAnsi="宋体"/>
          <w:color w:val="auto"/>
          <w:sz w:val="24"/>
          <w:highlight w:val="none"/>
        </w:rPr>
        <w:t>3、一旦我方中标，</w:t>
      </w:r>
      <w:r>
        <w:rPr>
          <w:color w:val="auto"/>
          <w:sz w:val="24"/>
          <w:highlight w:val="none"/>
        </w:rPr>
        <w:t>我方将派出</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为</w:t>
      </w:r>
      <w:r>
        <w:rPr>
          <w:rFonts w:hint="eastAsia"/>
          <w:color w:val="auto"/>
          <w:sz w:val="24"/>
          <w:highlight w:val="none"/>
        </w:rPr>
        <w:t>设计负责人</w:t>
      </w:r>
      <w:r>
        <w:rPr>
          <w:color w:val="auto"/>
          <w:sz w:val="24"/>
          <w:highlight w:val="none"/>
        </w:rPr>
        <w:t>，</w:t>
      </w:r>
      <w:r>
        <w:rPr>
          <w:color w:val="auto"/>
          <w:sz w:val="24"/>
          <w:highlight w:val="none"/>
          <w:u w:val="single"/>
        </w:rPr>
        <w:t xml:space="preserve">       </w:t>
      </w:r>
      <w:r>
        <w:rPr>
          <w:color w:val="auto"/>
          <w:sz w:val="24"/>
          <w:highlight w:val="none"/>
        </w:rPr>
        <w:t>为</w:t>
      </w:r>
      <w:r>
        <w:rPr>
          <w:rFonts w:hint="eastAsia"/>
          <w:color w:val="auto"/>
          <w:sz w:val="24"/>
          <w:highlight w:val="none"/>
        </w:rPr>
        <w:t>项目经理，</w:t>
      </w:r>
      <w:r>
        <w:rPr>
          <w:rFonts w:hint="eastAsia" w:ascii="宋体" w:hAnsi="宋体"/>
          <w:color w:val="auto"/>
          <w:sz w:val="24"/>
          <w:highlight w:val="none"/>
        </w:rPr>
        <w:t>保证按照招标人要求开始本工程的实施，完全响应招标文件中工期要求，工程质量达到</w:t>
      </w:r>
      <w:r>
        <w:rPr>
          <w:rFonts w:hint="eastAsia" w:ascii="宋体" w:hAnsi="宋体"/>
          <w:color w:val="auto"/>
          <w:sz w:val="24"/>
          <w:highlight w:val="none"/>
          <w:u w:val="single"/>
        </w:rPr>
        <w:t xml:space="preserve">           </w:t>
      </w:r>
      <w:r>
        <w:rPr>
          <w:rFonts w:hint="eastAsia" w:ascii="宋体" w:hAnsi="宋体"/>
          <w:color w:val="auto"/>
          <w:sz w:val="24"/>
          <w:highlight w:val="none"/>
        </w:rPr>
        <w:t>标准。</w:t>
      </w:r>
    </w:p>
    <w:p w14:paraId="63D4D070">
      <w:pPr>
        <w:adjustRightInd w:val="0"/>
        <w:snapToGrid w:val="0"/>
        <w:spacing w:line="520" w:lineRule="exact"/>
        <w:ind w:firstLine="480" w:firstLineChars="200"/>
        <w:rPr>
          <w:rFonts w:ascii="宋体" w:hAnsi="宋体"/>
          <w:color w:val="auto"/>
          <w:sz w:val="24"/>
          <w:highlight w:val="none"/>
        </w:rPr>
      </w:pPr>
      <w:r>
        <w:rPr>
          <w:rFonts w:hint="eastAsia" w:ascii="宋体" w:hAnsi="宋体"/>
          <w:color w:val="auto"/>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55E192">
      <w:pPr>
        <w:adjustRightInd w:val="0"/>
        <w:snapToGrid w:val="0"/>
        <w:spacing w:line="520" w:lineRule="exact"/>
        <w:ind w:firstLine="480" w:firstLineChars="200"/>
        <w:rPr>
          <w:rFonts w:ascii="宋体" w:hAnsi="宋体"/>
          <w:color w:val="auto"/>
          <w:sz w:val="24"/>
          <w:highlight w:val="none"/>
        </w:rPr>
      </w:pPr>
      <w:r>
        <w:rPr>
          <w:rFonts w:hint="eastAsia" w:ascii="宋体" w:hAnsi="宋体"/>
          <w:color w:val="auto"/>
          <w:sz w:val="24"/>
          <w:highlight w:val="none"/>
        </w:rPr>
        <w:t>5、如果我方中标我方将按照招标文件的规定提交履约担保。工程验收合格后，方可退还。</w:t>
      </w:r>
    </w:p>
    <w:p w14:paraId="4C10C76E">
      <w:pPr>
        <w:adjustRightInd w:val="0"/>
        <w:snapToGrid w:val="0"/>
        <w:spacing w:line="520" w:lineRule="exact"/>
        <w:ind w:firstLine="480" w:firstLineChars="200"/>
        <w:jc w:val="left"/>
        <w:outlineLvl w:val="3"/>
        <w:rPr>
          <w:rFonts w:ascii="宋体" w:hAnsi="宋体"/>
          <w:color w:val="auto"/>
          <w:sz w:val="24"/>
          <w:highlight w:val="none"/>
        </w:rPr>
      </w:pPr>
      <w:r>
        <w:rPr>
          <w:rFonts w:hint="eastAsia" w:ascii="宋体" w:hAnsi="宋体"/>
          <w:color w:val="auto"/>
          <w:sz w:val="24"/>
          <w:highlight w:val="none"/>
        </w:rPr>
        <w:t>6、我方承诺在招标文件规定的投标有效期内不撤销投标文件。</w:t>
      </w:r>
    </w:p>
    <w:p w14:paraId="6C27D165">
      <w:pPr>
        <w:adjustRightInd w:val="0"/>
        <w:snapToGrid w:val="0"/>
        <w:spacing w:line="520" w:lineRule="exact"/>
        <w:ind w:firstLine="480" w:firstLineChars="200"/>
        <w:jc w:val="left"/>
        <w:rPr>
          <w:rFonts w:ascii="宋体" w:hAnsi="宋体"/>
          <w:color w:val="auto"/>
          <w:sz w:val="24"/>
          <w:highlight w:val="none"/>
        </w:rPr>
      </w:pPr>
      <w:r>
        <w:rPr>
          <w:rFonts w:hint="eastAsia" w:ascii="宋体" w:hAnsi="宋体"/>
          <w:color w:val="auto"/>
          <w:sz w:val="24"/>
          <w:highlight w:val="none"/>
        </w:rPr>
        <w:t>7、我单位提供如下通讯地址：</w:t>
      </w:r>
      <w:r>
        <w:rPr>
          <w:rFonts w:hint="eastAsia" w:ascii="宋体" w:hAnsi="宋体"/>
          <w:color w:val="auto"/>
          <w:sz w:val="24"/>
          <w:highlight w:val="none"/>
          <w:u w:val="single"/>
        </w:rPr>
        <w:t xml:space="preserve">                </w:t>
      </w:r>
      <w:r>
        <w:rPr>
          <w:rFonts w:hint="eastAsia" w:ascii="宋体" w:hAnsi="宋体"/>
          <w:color w:val="auto"/>
          <w:sz w:val="24"/>
          <w:highlight w:val="none"/>
        </w:rPr>
        <w:t>电子邮箱（地址），确认本项目相关法律文书均通过提供的以上地址送达，相关文书只要发送至以上电子邮箱（地址）即视为送达，投标人愿意承担一切法律后果。</w:t>
      </w:r>
    </w:p>
    <w:p w14:paraId="7BAA0A8A">
      <w:pPr>
        <w:adjustRightInd w:val="0"/>
        <w:snapToGrid w:val="0"/>
        <w:spacing w:line="520" w:lineRule="exact"/>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rPr>
        <w:t>8、</w:t>
      </w:r>
      <w:r>
        <w:rPr>
          <w:rFonts w:hint="eastAsia" w:ascii="宋体" w:hAnsi="宋体"/>
          <w:color w:val="auto"/>
          <w:sz w:val="24"/>
          <w:highlight w:val="none"/>
          <w:u w:val="none"/>
        </w:rPr>
        <w:t>我方承诺，注册在我公司的现有注册建造师专业、数量，满足我公司响应本项目投标的资质等级对应的《建筑业企业资质标准》及有关文件中规定的注册建造师专业、数量要求。如有不实，我方接受管理部门相关处罚</w:t>
      </w:r>
      <w:r>
        <w:rPr>
          <w:rFonts w:hint="eastAsia" w:ascii="宋体" w:hAnsi="宋体"/>
          <w:color w:val="auto"/>
          <w:sz w:val="24"/>
          <w:highlight w:val="none"/>
          <w:u w:val="none"/>
          <w:lang w:eastAsia="zh-CN"/>
        </w:rPr>
        <w:t>。</w:t>
      </w:r>
    </w:p>
    <w:p w14:paraId="2CCAE210">
      <w:pPr>
        <w:adjustRightInd w:val="0"/>
        <w:snapToGrid w:val="0"/>
        <w:spacing w:line="520" w:lineRule="exact"/>
        <w:ind w:firstLine="480" w:firstLineChars="200"/>
        <w:jc w:val="left"/>
        <w:rPr>
          <w:rFonts w:ascii="宋体" w:hAnsi="宋体"/>
          <w:color w:val="auto"/>
          <w:sz w:val="24"/>
          <w:highlight w:val="none"/>
        </w:rPr>
      </w:pPr>
      <w:r>
        <w:rPr>
          <w:rFonts w:hint="eastAsia" w:ascii="宋体" w:hAnsi="宋体"/>
          <w:color w:val="auto"/>
          <w:sz w:val="24"/>
          <w:highlight w:val="none"/>
          <w:lang w:val="en-US" w:eastAsia="zh-CN"/>
        </w:rPr>
        <w:t>9、</w:t>
      </w:r>
      <w:r>
        <w:rPr>
          <w:rFonts w:hint="eastAsia" w:ascii="宋体" w:hAnsi="宋体"/>
          <w:color w:val="auto"/>
          <w:sz w:val="24"/>
          <w:highlight w:val="none"/>
          <w:u w:val="single"/>
        </w:rPr>
        <w:t xml:space="preserve">                           </w:t>
      </w:r>
      <w:r>
        <w:rPr>
          <w:rFonts w:hint="eastAsia" w:ascii="宋体" w:hAnsi="宋体"/>
          <w:color w:val="auto"/>
          <w:sz w:val="24"/>
          <w:highlight w:val="none"/>
        </w:rPr>
        <w:t>（其他补充说明）。</w:t>
      </w:r>
    </w:p>
    <w:p w14:paraId="1A877264">
      <w:pPr>
        <w:adjustRightInd w:val="0"/>
        <w:snapToGrid w:val="0"/>
        <w:spacing w:line="520" w:lineRule="exact"/>
        <w:ind w:firstLine="480" w:firstLineChars="200"/>
        <w:rPr>
          <w:rFonts w:ascii="宋体" w:hAnsi="宋体"/>
          <w:color w:val="auto"/>
          <w:sz w:val="24"/>
          <w:highlight w:val="none"/>
          <w:u w:val="single"/>
        </w:rPr>
      </w:pPr>
      <w:r>
        <w:rPr>
          <w:rFonts w:hint="eastAsia" w:ascii="宋体" w:hAnsi="宋体"/>
          <w:color w:val="auto"/>
          <w:sz w:val="24"/>
          <w:highlight w:val="none"/>
        </w:rPr>
        <w:t>投标人：</w:t>
      </w:r>
      <w:r>
        <w:rPr>
          <w:rFonts w:ascii="宋体" w:hAnsi="宋体"/>
          <w:color w:val="auto"/>
          <w:sz w:val="24"/>
          <w:highlight w:val="none"/>
          <w:u w:val="single"/>
        </w:rPr>
        <w:t xml:space="preserve">                             </w:t>
      </w:r>
      <w:r>
        <w:rPr>
          <w:rFonts w:hint="eastAsia" w:ascii="宋体" w:hAnsi="宋体"/>
          <w:color w:val="auto"/>
          <w:sz w:val="24"/>
          <w:highlight w:val="none"/>
        </w:rPr>
        <w:t>（签章）</w:t>
      </w:r>
    </w:p>
    <w:p w14:paraId="2E6D7FEB">
      <w:pPr>
        <w:adjustRightInd w:val="0"/>
        <w:snapToGrid w:val="0"/>
        <w:spacing w:line="520" w:lineRule="exact"/>
        <w:ind w:firstLine="480" w:firstLineChars="200"/>
        <w:rPr>
          <w:rFonts w:ascii="宋体" w:hAnsi="宋体"/>
          <w:color w:val="auto"/>
          <w:sz w:val="24"/>
          <w:highlight w:val="none"/>
        </w:rPr>
      </w:pPr>
      <w:r>
        <w:rPr>
          <w:rFonts w:hint="eastAsia" w:ascii="宋体" w:hAnsi="宋体"/>
          <w:color w:val="auto"/>
          <w:sz w:val="24"/>
          <w:highlight w:val="none"/>
        </w:rPr>
        <w:t>法定代表人：</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（签章）</w:t>
      </w:r>
    </w:p>
    <w:p w14:paraId="19CC89A2">
      <w:pPr>
        <w:adjustRightInd w:val="0"/>
        <w:snapToGrid w:val="0"/>
        <w:spacing w:line="520" w:lineRule="exact"/>
        <w:ind w:firstLine="480" w:firstLineChars="200"/>
        <w:rPr>
          <w:rFonts w:ascii="宋体" w:hAnsi="宋体"/>
          <w:color w:val="auto"/>
          <w:sz w:val="24"/>
          <w:highlight w:val="none"/>
        </w:rPr>
      </w:pPr>
      <w:r>
        <w:rPr>
          <w:rFonts w:hint="eastAsia" w:ascii="宋体" w:hAnsi="宋体"/>
          <w:color w:val="auto"/>
          <w:sz w:val="24"/>
          <w:highlight w:val="none"/>
        </w:rPr>
        <w:t>单位地址：</w:t>
      </w:r>
      <w:r>
        <w:rPr>
          <w:rFonts w:hint="eastAsia" w:ascii="宋体" w:hAnsi="宋体"/>
          <w:color w:val="auto"/>
          <w:sz w:val="24"/>
          <w:highlight w:val="none"/>
          <w:u w:val="single"/>
        </w:rPr>
        <w:t xml:space="preserve">                                       </w:t>
      </w:r>
    </w:p>
    <w:p w14:paraId="03450234">
      <w:pPr>
        <w:adjustRightInd w:val="0"/>
        <w:snapToGrid w:val="0"/>
        <w:spacing w:line="520" w:lineRule="exact"/>
        <w:ind w:firstLine="480" w:firstLineChars="200"/>
        <w:rPr>
          <w:rFonts w:ascii="宋体" w:hAnsi="宋体"/>
          <w:color w:val="auto"/>
          <w:sz w:val="24"/>
          <w:highlight w:val="none"/>
          <w:u w:val="single"/>
        </w:rPr>
      </w:pPr>
      <w:r>
        <w:rPr>
          <w:rFonts w:hint="eastAsia" w:ascii="宋体" w:hAnsi="宋体"/>
          <w:color w:val="auto"/>
          <w:sz w:val="24"/>
          <w:highlight w:val="none"/>
        </w:rPr>
        <w:t>邮政编码：</w:t>
      </w:r>
      <w:r>
        <w:rPr>
          <w:rFonts w:ascii="宋体" w:hAnsi="宋体"/>
          <w:color w:val="auto"/>
          <w:sz w:val="24"/>
          <w:highlight w:val="none"/>
          <w:u w:val="single"/>
        </w:rPr>
        <w:t xml:space="preserve">            </w:t>
      </w:r>
      <w:r>
        <w:rPr>
          <w:rFonts w:hint="eastAsia" w:ascii="宋体" w:hAnsi="宋体"/>
          <w:color w:val="auto"/>
          <w:sz w:val="24"/>
          <w:highlight w:val="none"/>
        </w:rPr>
        <w:t>联系人手机号码：</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传真：</w:t>
      </w:r>
      <w:r>
        <w:rPr>
          <w:rFonts w:ascii="宋体" w:hAnsi="宋体"/>
          <w:color w:val="auto"/>
          <w:sz w:val="24"/>
          <w:highlight w:val="none"/>
          <w:u w:val="single"/>
        </w:rPr>
        <w:t xml:space="preserve">       </w:t>
      </w:r>
    </w:p>
    <w:p w14:paraId="087CF2DC">
      <w:pPr>
        <w:adjustRightInd w:val="0"/>
        <w:snapToGrid w:val="0"/>
        <w:spacing w:line="520" w:lineRule="exact"/>
        <w:ind w:firstLine="480" w:firstLineChars="200"/>
        <w:rPr>
          <w:rFonts w:ascii="宋体" w:hAnsi="宋体"/>
          <w:color w:val="auto"/>
          <w:sz w:val="24"/>
          <w:highlight w:val="none"/>
        </w:rPr>
      </w:pPr>
      <w:r>
        <w:rPr>
          <w:rFonts w:hint="eastAsia" w:ascii="宋体" w:hAnsi="宋体"/>
          <w:color w:val="auto"/>
          <w:sz w:val="24"/>
          <w:highlight w:val="none"/>
        </w:rPr>
        <w:t>日期：</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p>
    <w:bookmarkEnd w:id="4"/>
    <w:bookmarkEnd w:id="5"/>
    <w:bookmarkEnd w:id="6"/>
    <w:bookmarkEnd w:id="7"/>
    <w:bookmarkEnd w:id="8"/>
    <w:p w14:paraId="18D5A81D">
      <w:pPr>
        <w:pStyle w:val="4"/>
        <w:adjustRightInd w:val="0"/>
        <w:snapToGrid w:val="0"/>
        <w:spacing w:line="560" w:lineRule="exact"/>
        <w:jc w:val="both"/>
        <w:rPr>
          <w:color w:val="auto"/>
          <w:highlight w:val="none"/>
        </w:rPr>
      </w:pPr>
      <w:bookmarkStart w:id="1116" w:name="_Toc95223545"/>
      <w:bookmarkStart w:id="1117" w:name="_Toc95223548"/>
    </w:p>
    <w:p w14:paraId="3A9DE504">
      <w:pPr>
        <w:pStyle w:val="4"/>
        <w:adjustRightInd w:val="0"/>
        <w:snapToGrid w:val="0"/>
        <w:spacing w:line="560" w:lineRule="exact"/>
        <w:jc w:val="center"/>
        <w:rPr>
          <w:color w:val="auto"/>
          <w:highlight w:val="none"/>
        </w:rPr>
      </w:pPr>
    </w:p>
    <w:p w14:paraId="65D18352">
      <w:pPr>
        <w:pStyle w:val="4"/>
        <w:adjustRightInd w:val="0"/>
        <w:snapToGrid w:val="0"/>
        <w:spacing w:line="560" w:lineRule="exact"/>
        <w:jc w:val="center"/>
        <w:rPr>
          <w:color w:val="auto"/>
          <w:highlight w:val="none"/>
        </w:rPr>
      </w:pPr>
      <w:bookmarkStart w:id="1118" w:name="_Toc21674"/>
      <w:r>
        <w:rPr>
          <w:rFonts w:hint="eastAsia"/>
          <w:color w:val="auto"/>
          <w:highlight w:val="none"/>
        </w:rPr>
        <w:t>（2）</w:t>
      </w:r>
      <w:r>
        <w:rPr>
          <w:color w:val="auto"/>
          <w:highlight w:val="none"/>
        </w:rPr>
        <w:t>招标人推荐的材料品牌响应表</w:t>
      </w:r>
      <w:bookmarkEnd w:id="1116"/>
      <w:bookmarkEnd w:id="1118"/>
    </w:p>
    <w:p w14:paraId="5C346CFE">
      <w:pPr>
        <w:pStyle w:val="8"/>
        <w:tabs>
          <w:tab w:val="left" w:pos="6462"/>
          <w:tab w:val="left" w:pos="6988"/>
          <w:tab w:val="left" w:pos="7722"/>
        </w:tabs>
        <w:adjustRightInd w:val="0"/>
        <w:snapToGrid w:val="0"/>
        <w:spacing w:line="560" w:lineRule="exact"/>
        <w:jc w:val="center"/>
        <w:rPr>
          <w:color w:val="auto"/>
          <w:highlight w:val="none"/>
        </w:rPr>
      </w:pPr>
      <w:r>
        <w:rPr>
          <w:color w:val="auto"/>
          <w:highlight w:val="none"/>
        </w:rPr>
        <w:t>工程</w:t>
      </w:r>
      <w:r>
        <w:rPr>
          <w:color w:val="auto"/>
          <w:spacing w:val="-3"/>
          <w:highlight w:val="none"/>
        </w:rPr>
        <w:t>名</w:t>
      </w:r>
      <w:r>
        <w:rPr>
          <w:color w:val="auto"/>
          <w:highlight w:val="none"/>
        </w:rPr>
        <w:t>称：</w:t>
      </w:r>
      <w:r>
        <w:rPr>
          <w:rFonts w:hint="eastAsia"/>
          <w:color w:val="auto"/>
          <w:highlight w:val="none"/>
        </w:rPr>
        <w:t xml:space="preserve"> </w:t>
      </w:r>
      <w:r>
        <w:rPr>
          <w:color w:val="auto"/>
          <w:highlight w:val="none"/>
        </w:rPr>
        <w:tab/>
      </w:r>
      <w:r>
        <w:rPr>
          <w:color w:val="auto"/>
          <w:highlight w:val="none"/>
        </w:rPr>
        <w:t>第</w:t>
      </w:r>
      <w:r>
        <w:rPr>
          <w:color w:val="auto"/>
          <w:highlight w:val="none"/>
        </w:rPr>
        <w:tab/>
      </w:r>
      <w:r>
        <w:rPr>
          <w:color w:val="auto"/>
          <w:spacing w:val="-3"/>
          <w:highlight w:val="none"/>
        </w:rPr>
        <w:t>页</w:t>
      </w:r>
      <w:r>
        <w:rPr>
          <w:color w:val="auto"/>
          <w:highlight w:val="none"/>
        </w:rPr>
        <w:t>共</w:t>
      </w:r>
      <w:r>
        <w:rPr>
          <w:color w:val="auto"/>
          <w:highlight w:val="none"/>
        </w:rPr>
        <w:tab/>
      </w:r>
      <w:r>
        <w:rPr>
          <w:color w:val="auto"/>
          <w:highlight w:val="none"/>
        </w:rPr>
        <w:t>页</w:t>
      </w:r>
    </w:p>
    <w:p w14:paraId="76BFCE8D">
      <w:pPr>
        <w:pStyle w:val="8"/>
        <w:tabs>
          <w:tab w:val="left" w:pos="6462"/>
          <w:tab w:val="left" w:pos="6988"/>
          <w:tab w:val="left" w:pos="7722"/>
        </w:tabs>
        <w:adjustRightInd w:val="0"/>
        <w:snapToGrid w:val="0"/>
        <w:spacing w:line="560" w:lineRule="exact"/>
        <w:jc w:val="center"/>
        <w:rPr>
          <w:b/>
          <w:color w:val="auto"/>
          <w:sz w:val="28"/>
          <w:highlight w:val="none"/>
        </w:rPr>
      </w:pPr>
      <w:r>
        <w:rPr>
          <w:b/>
          <w:color w:val="auto"/>
          <w:sz w:val="28"/>
          <w:highlight w:val="none"/>
        </w:rPr>
        <w:t>品牌推荐表（如要求）</w:t>
      </w:r>
    </w:p>
    <w:p w14:paraId="79E8774B">
      <w:pPr>
        <w:pStyle w:val="8"/>
        <w:adjustRightInd w:val="0"/>
        <w:snapToGrid w:val="0"/>
        <w:spacing w:line="560" w:lineRule="exact"/>
        <w:rPr>
          <w:b/>
          <w:color w:val="auto"/>
          <w:sz w:val="5"/>
          <w:highlight w:val="none"/>
        </w:rPr>
      </w:pPr>
    </w:p>
    <w:tbl>
      <w:tblPr>
        <w:tblStyle w:val="19"/>
        <w:tblW w:w="7816" w:type="dxa"/>
        <w:tblInd w:w="9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685"/>
        <w:gridCol w:w="794"/>
        <w:gridCol w:w="794"/>
        <w:gridCol w:w="794"/>
        <w:gridCol w:w="791"/>
        <w:gridCol w:w="635"/>
        <w:gridCol w:w="1687"/>
      </w:tblGrid>
      <w:tr w14:paraId="40485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636" w:type="dxa"/>
          </w:tcPr>
          <w:p w14:paraId="055F6905">
            <w:pPr>
              <w:pStyle w:val="36"/>
              <w:adjustRightInd w:val="0"/>
              <w:snapToGrid w:val="0"/>
              <w:spacing w:line="560" w:lineRule="exact"/>
              <w:jc w:val="center"/>
              <w:rPr>
                <w:rFonts w:ascii="黑体" w:eastAsia="黑体"/>
                <w:color w:val="auto"/>
                <w:highlight w:val="none"/>
              </w:rPr>
            </w:pPr>
            <w:r>
              <w:rPr>
                <w:rFonts w:hint="eastAsia" w:ascii="黑体" w:eastAsia="黑体"/>
                <w:color w:val="auto"/>
                <w:highlight w:val="none"/>
              </w:rPr>
              <w:t>序号</w:t>
            </w:r>
          </w:p>
        </w:tc>
        <w:tc>
          <w:tcPr>
            <w:tcW w:w="1685" w:type="dxa"/>
          </w:tcPr>
          <w:p w14:paraId="2F3B3140">
            <w:pPr>
              <w:pStyle w:val="36"/>
              <w:adjustRightInd w:val="0"/>
              <w:snapToGrid w:val="0"/>
              <w:spacing w:line="560" w:lineRule="exact"/>
              <w:rPr>
                <w:rFonts w:ascii="黑体" w:eastAsia="黑体"/>
                <w:color w:val="auto"/>
                <w:highlight w:val="none"/>
              </w:rPr>
            </w:pPr>
            <w:r>
              <w:rPr>
                <w:rFonts w:hint="eastAsia" w:ascii="黑体" w:eastAsia="黑体"/>
                <w:color w:val="auto"/>
                <w:highlight w:val="none"/>
              </w:rPr>
              <w:t>材料、设备名称</w:t>
            </w:r>
          </w:p>
        </w:tc>
        <w:tc>
          <w:tcPr>
            <w:tcW w:w="794" w:type="dxa"/>
          </w:tcPr>
          <w:p w14:paraId="26DA9447">
            <w:pPr>
              <w:pStyle w:val="36"/>
              <w:adjustRightInd w:val="0"/>
              <w:snapToGrid w:val="0"/>
              <w:spacing w:line="560" w:lineRule="exact"/>
              <w:rPr>
                <w:rFonts w:ascii="黑体" w:eastAsia="黑体"/>
                <w:color w:val="auto"/>
                <w:highlight w:val="none"/>
              </w:rPr>
            </w:pPr>
            <w:r>
              <w:rPr>
                <w:rFonts w:hint="eastAsia" w:ascii="黑体" w:eastAsia="黑体"/>
                <w:color w:val="auto"/>
                <w:highlight w:val="none"/>
              </w:rPr>
              <w:t>品牌 1</w:t>
            </w:r>
          </w:p>
        </w:tc>
        <w:tc>
          <w:tcPr>
            <w:tcW w:w="794" w:type="dxa"/>
          </w:tcPr>
          <w:p w14:paraId="7DA33F00">
            <w:pPr>
              <w:pStyle w:val="36"/>
              <w:adjustRightInd w:val="0"/>
              <w:snapToGrid w:val="0"/>
              <w:spacing w:line="560" w:lineRule="exact"/>
              <w:rPr>
                <w:rFonts w:ascii="黑体" w:eastAsia="黑体"/>
                <w:color w:val="auto"/>
                <w:highlight w:val="none"/>
              </w:rPr>
            </w:pPr>
            <w:r>
              <w:rPr>
                <w:rFonts w:hint="eastAsia" w:ascii="黑体" w:eastAsia="黑体"/>
                <w:color w:val="auto"/>
                <w:highlight w:val="none"/>
              </w:rPr>
              <w:t>品牌 2</w:t>
            </w:r>
          </w:p>
        </w:tc>
        <w:tc>
          <w:tcPr>
            <w:tcW w:w="794" w:type="dxa"/>
          </w:tcPr>
          <w:p w14:paraId="6CFE8A47">
            <w:pPr>
              <w:pStyle w:val="36"/>
              <w:adjustRightInd w:val="0"/>
              <w:snapToGrid w:val="0"/>
              <w:spacing w:line="560" w:lineRule="exact"/>
              <w:rPr>
                <w:rFonts w:ascii="黑体" w:eastAsia="黑体"/>
                <w:color w:val="auto"/>
                <w:highlight w:val="none"/>
              </w:rPr>
            </w:pPr>
            <w:r>
              <w:rPr>
                <w:rFonts w:hint="eastAsia" w:ascii="黑体" w:eastAsia="黑体"/>
                <w:color w:val="auto"/>
                <w:highlight w:val="none"/>
              </w:rPr>
              <w:t>品牌 3</w:t>
            </w:r>
          </w:p>
        </w:tc>
        <w:tc>
          <w:tcPr>
            <w:tcW w:w="791" w:type="dxa"/>
          </w:tcPr>
          <w:p w14:paraId="1EE7B99C">
            <w:pPr>
              <w:pStyle w:val="36"/>
              <w:adjustRightInd w:val="0"/>
              <w:snapToGrid w:val="0"/>
              <w:spacing w:line="560" w:lineRule="exact"/>
              <w:rPr>
                <w:rFonts w:ascii="黑体" w:eastAsia="黑体"/>
                <w:color w:val="auto"/>
                <w:highlight w:val="none"/>
              </w:rPr>
            </w:pPr>
            <w:r>
              <w:rPr>
                <w:rFonts w:hint="eastAsia" w:ascii="黑体" w:eastAsia="黑体"/>
                <w:color w:val="auto"/>
                <w:highlight w:val="none"/>
              </w:rPr>
              <w:t>品牌 4</w:t>
            </w:r>
          </w:p>
        </w:tc>
        <w:tc>
          <w:tcPr>
            <w:tcW w:w="635" w:type="dxa"/>
          </w:tcPr>
          <w:p w14:paraId="7CBAB611">
            <w:pPr>
              <w:pStyle w:val="36"/>
              <w:adjustRightInd w:val="0"/>
              <w:snapToGrid w:val="0"/>
              <w:spacing w:line="560" w:lineRule="exact"/>
              <w:rPr>
                <w:rFonts w:ascii="黑体" w:eastAsia="黑体"/>
                <w:color w:val="auto"/>
                <w:highlight w:val="none"/>
              </w:rPr>
            </w:pPr>
            <w:r>
              <w:rPr>
                <w:rFonts w:hint="eastAsia" w:ascii="黑体" w:eastAsia="黑体"/>
                <w:color w:val="auto"/>
                <w:highlight w:val="none"/>
              </w:rPr>
              <w:t>备注</w:t>
            </w:r>
          </w:p>
        </w:tc>
        <w:tc>
          <w:tcPr>
            <w:tcW w:w="1687" w:type="dxa"/>
          </w:tcPr>
          <w:p w14:paraId="658E81B3">
            <w:pPr>
              <w:pStyle w:val="36"/>
              <w:adjustRightInd w:val="0"/>
              <w:snapToGrid w:val="0"/>
              <w:spacing w:line="560" w:lineRule="exact"/>
              <w:rPr>
                <w:rFonts w:ascii="黑体" w:eastAsia="黑体"/>
                <w:color w:val="auto"/>
                <w:highlight w:val="none"/>
              </w:rPr>
            </w:pPr>
            <w:r>
              <w:rPr>
                <w:rFonts w:hint="eastAsia" w:ascii="黑体" w:eastAsia="黑体"/>
                <w:color w:val="auto"/>
                <w:highlight w:val="none"/>
              </w:rPr>
              <w:t>投标人选定品牌</w:t>
            </w:r>
          </w:p>
        </w:tc>
      </w:tr>
      <w:tr w14:paraId="1AFA3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tcPr>
          <w:p w14:paraId="02573AFC">
            <w:pPr>
              <w:pStyle w:val="36"/>
              <w:adjustRightInd w:val="0"/>
              <w:snapToGrid w:val="0"/>
              <w:spacing w:line="560" w:lineRule="exact"/>
              <w:jc w:val="center"/>
              <w:rPr>
                <w:color w:val="auto"/>
                <w:highlight w:val="none"/>
              </w:rPr>
            </w:pPr>
            <w:r>
              <w:rPr>
                <w:color w:val="auto"/>
                <w:highlight w:val="none"/>
              </w:rPr>
              <w:t>1</w:t>
            </w:r>
          </w:p>
        </w:tc>
        <w:tc>
          <w:tcPr>
            <w:tcW w:w="1685" w:type="dxa"/>
          </w:tcPr>
          <w:p w14:paraId="46015890">
            <w:pPr>
              <w:pStyle w:val="36"/>
              <w:adjustRightInd w:val="0"/>
              <w:snapToGrid w:val="0"/>
              <w:spacing w:line="560" w:lineRule="exact"/>
              <w:rPr>
                <w:rFonts w:ascii="Times New Roman"/>
                <w:color w:val="auto"/>
                <w:sz w:val="20"/>
                <w:highlight w:val="none"/>
              </w:rPr>
            </w:pPr>
          </w:p>
        </w:tc>
        <w:tc>
          <w:tcPr>
            <w:tcW w:w="794" w:type="dxa"/>
          </w:tcPr>
          <w:p w14:paraId="3CBC1628">
            <w:pPr>
              <w:pStyle w:val="36"/>
              <w:adjustRightInd w:val="0"/>
              <w:snapToGrid w:val="0"/>
              <w:spacing w:line="560" w:lineRule="exact"/>
              <w:rPr>
                <w:rFonts w:ascii="Times New Roman"/>
                <w:color w:val="auto"/>
                <w:sz w:val="20"/>
                <w:highlight w:val="none"/>
              </w:rPr>
            </w:pPr>
          </w:p>
        </w:tc>
        <w:tc>
          <w:tcPr>
            <w:tcW w:w="794" w:type="dxa"/>
          </w:tcPr>
          <w:p w14:paraId="0B087F98">
            <w:pPr>
              <w:pStyle w:val="36"/>
              <w:adjustRightInd w:val="0"/>
              <w:snapToGrid w:val="0"/>
              <w:spacing w:line="560" w:lineRule="exact"/>
              <w:rPr>
                <w:rFonts w:ascii="Times New Roman"/>
                <w:color w:val="auto"/>
                <w:sz w:val="20"/>
                <w:highlight w:val="none"/>
              </w:rPr>
            </w:pPr>
          </w:p>
        </w:tc>
        <w:tc>
          <w:tcPr>
            <w:tcW w:w="794" w:type="dxa"/>
          </w:tcPr>
          <w:p w14:paraId="3A09975F">
            <w:pPr>
              <w:pStyle w:val="36"/>
              <w:adjustRightInd w:val="0"/>
              <w:snapToGrid w:val="0"/>
              <w:spacing w:line="560" w:lineRule="exact"/>
              <w:rPr>
                <w:rFonts w:ascii="Times New Roman"/>
                <w:color w:val="auto"/>
                <w:sz w:val="20"/>
                <w:highlight w:val="none"/>
              </w:rPr>
            </w:pPr>
          </w:p>
        </w:tc>
        <w:tc>
          <w:tcPr>
            <w:tcW w:w="791" w:type="dxa"/>
          </w:tcPr>
          <w:p w14:paraId="1DD531D9">
            <w:pPr>
              <w:pStyle w:val="36"/>
              <w:adjustRightInd w:val="0"/>
              <w:snapToGrid w:val="0"/>
              <w:spacing w:line="560" w:lineRule="exact"/>
              <w:rPr>
                <w:rFonts w:ascii="Times New Roman"/>
                <w:color w:val="auto"/>
                <w:sz w:val="20"/>
                <w:highlight w:val="none"/>
              </w:rPr>
            </w:pPr>
          </w:p>
        </w:tc>
        <w:tc>
          <w:tcPr>
            <w:tcW w:w="635" w:type="dxa"/>
          </w:tcPr>
          <w:p w14:paraId="0B781727">
            <w:pPr>
              <w:pStyle w:val="36"/>
              <w:adjustRightInd w:val="0"/>
              <w:snapToGrid w:val="0"/>
              <w:spacing w:line="560" w:lineRule="exact"/>
              <w:rPr>
                <w:rFonts w:ascii="Times New Roman"/>
                <w:color w:val="auto"/>
                <w:sz w:val="20"/>
                <w:highlight w:val="none"/>
              </w:rPr>
            </w:pPr>
          </w:p>
        </w:tc>
        <w:tc>
          <w:tcPr>
            <w:tcW w:w="1687" w:type="dxa"/>
          </w:tcPr>
          <w:p w14:paraId="00BC3340">
            <w:pPr>
              <w:pStyle w:val="36"/>
              <w:adjustRightInd w:val="0"/>
              <w:snapToGrid w:val="0"/>
              <w:spacing w:line="560" w:lineRule="exact"/>
              <w:rPr>
                <w:rFonts w:ascii="Times New Roman"/>
                <w:color w:val="auto"/>
                <w:sz w:val="20"/>
                <w:highlight w:val="none"/>
              </w:rPr>
            </w:pPr>
          </w:p>
        </w:tc>
      </w:tr>
      <w:tr w14:paraId="0FA47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tcPr>
          <w:p w14:paraId="20BD4E79">
            <w:pPr>
              <w:pStyle w:val="36"/>
              <w:adjustRightInd w:val="0"/>
              <w:snapToGrid w:val="0"/>
              <w:spacing w:line="560" w:lineRule="exact"/>
              <w:jc w:val="center"/>
              <w:rPr>
                <w:color w:val="auto"/>
                <w:highlight w:val="none"/>
              </w:rPr>
            </w:pPr>
            <w:r>
              <w:rPr>
                <w:color w:val="auto"/>
                <w:highlight w:val="none"/>
              </w:rPr>
              <w:t>2</w:t>
            </w:r>
          </w:p>
        </w:tc>
        <w:tc>
          <w:tcPr>
            <w:tcW w:w="1685" w:type="dxa"/>
          </w:tcPr>
          <w:p w14:paraId="7B880B86">
            <w:pPr>
              <w:pStyle w:val="36"/>
              <w:adjustRightInd w:val="0"/>
              <w:snapToGrid w:val="0"/>
              <w:spacing w:line="560" w:lineRule="exact"/>
              <w:rPr>
                <w:rFonts w:ascii="Times New Roman"/>
                <w:color w:val="auto"/>
                <w:sz w:val="20"/>
                <w:highlight w:val="none"/>
              </w:rPr>
            </w:pPr>
          </w:p>
        </w:tc>
        <w:tc>
          <w:tcPr>
            <w:tcW w:w="794" w:type="dxa"/>
          </w:tcPr>
          <w:p w14:paraId="33085D43">
            <w:pPr>
              <w:pStyle w:val="36"/>
              <w:adjustRightInd w:val="0"/>
              <w:snapToGrid w:val="0"/>
              <w:spacing w:line="560" w:lineRule="exact"/>
              <w:rPr>
                <w:rFonts w:ascii="Times New Roman"/>
                <w:color w:val="auto"/>
                <w:sz w:val="20"/>
                <w:highlight w:val="none"/>
              </w:rPr>
            </w:pPr>
          </w:p>
        </w:tc>
        <w:tc>
          <w:tcPr>
            <w:tcW w:w="794" w:type="dxa"/>
          </w:tcPr>
          <w:p w14:paraId="15EE0523">
            <w:pPr>
              <w:pStyle w:val="36"/>
              <w:adjustRightInd w:val="0"/>
              <w:snapToGrid w:val="0"/>
              <w:spacing w:line="560" w:lineRule="exact"/>
              <w:rPr>
                <w:rFonts w:ascii="Times New Roman"/>
                <w:color w:val="auto"/>
                <w:sz w:val="20"/>
                <w:highlight w:val="none"/>
              </w:rPr>
            </w:pPr>
          </w:p>
        </w:tc>
        <w:tc>
          <w:tcPr>
            <w:tcW w:w="794" w:type="dxa"/>
          </w:tcPr>
          <w:p w14:paraId="520041BB">
            <w:pPr>
              <w:pStyle w:val="36"/>
              <w:adjustRightInd w:val="0"/>
              <w:snapToGrid w:val="0"/>
              <w:spacing w:line="560" w:lineRule="exact"/>
              <w:rPr>
                <w:rFonts w:ascii="Times New Roman"/>
                <w:color w:val="auto"/>
                <w:sz w:val="20"/>
                <w:highlight w:val="none"/>
              </w:rPr>
            </w:pPr>
          </w:p>
        </w:tc>
        <w:tc>
          <w:tcPr>
            <w:tcW w:w="791" w:type="dxa"/>
          </w:tcPr>
          <w:p w14:paraId="7AF9599F">
            <w:pPr>
              <w:pStyle w:val="36"/>
              <w:adjustRightInd w:val="0"/>
              <w:snapToGrid w:val="0"/>
              <w:spacing w:line="560" w:lineRule="exact"/>
              <w:rPr>
                <w:rFonts w:ascii="Times New Roman"/>
                <w:color w:val="auto"/>
                <w:sz w:val="20"/>
                <w:highlight w:val="none"/>
              </w:rPr>
            </w:pPr>
          </w:p>
        </w:tc>
        <w:tc>
          <w:tcPr>
            <w:tcW w:w="635" w:type="dxa"/>
          </w:tcPr>
          <w:p w14:paraId="10C28BD6">
            <w:pPr>
              <w:pStyle w:val="36"/>
              <w:adjustRightInd w:val="0"/>
              <w:snapToGrid w:val="0"/>
              <w:spacing w:line="560" w:lineRule="exact"/>
              <w:rPr>
                <w:rFonts w:ascii="Times New Roman"/>
                <w:color w:val="auto"/>
                <w:sz w:val="20"/>
                <w:highlight w:val="none"/>
              </w:rPr>
            </w:pPr>
          </w:p>
        </w:tc>
        <w:tc>
          <w:tcPr>
            <w:tcW w:w="1687" w:type="dxa"/>
          </w:tcPr>
          <w:p w14:paraId="12EE7D58">
            <w:pPr>
              <w:pStyle w:val="36"/>
              <w:adjustRightInd w:val="0"/>
              <w:snapToGrid w:val="0"/>
              <w:spacing w:line="560" w:lineRule="exact"/>
              <w:rPr>
                <w:rFonts w:ascii="Times New Roman"/>
                <w:color w:val="auto"/>
                <w:sz w:val="20"/>
                <w:highlight w:val="none"/>
              </w:rPr>
            </w:pPr>
          </w:p>
        </w:tc>
      </w:tr>
      <w:tr w14:paraId="1EF99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bottom w:val="single" w:color="000000" w:sz="6" w:space="0"/>
            </w:tcBorders>
          </w:tcPr>
          <w:p w14:paraId="2146CADD">
            <w:pPr>
              <w:pStyle w:val="36"/>
              <w:adjustRightInd w:val="0"/>
              <w:snapToGrid w:val="0"/>
              <w:spacing w:line="560" w:lineRule="exact"/>
              <w:jc w:val="center"/>
              <w:rPr>
                <w:color w:val="auto"/>
                <w:highlight w:val="none"/>
              </w:rPr>
            </w:pPr>
            <w:r>
              <w:rPr>
                <w:color w:val="auto"/>
                <w:highlight w:val="none"/>
              </w:rPr>
              <w:t>3</w:t>
            </w:r>
          </w:p>
        </w:tc>
        <w:tc>
          <w:tcPr>
            <w:tcW w:w="1685" w:type="dxa"/>
            <w:tcBorders>
              <w:bottom w:val="single" w:color="000000" w:sz="6" w:space="0"/>
            </w:tcBorders>
          </w:tcPr>
          <w:p w14:paraId="090C6E78">
            <w:pPr>
              <w:pStyle w:val="36"/>
              <w:adjustRightInd w:val="0"/>
              <w:snapToGrid w:val="0"/>
              <w:spacing w:line="560" w:lineRule="exact"/>
              <w:rPr>
                <w:rFonts w:ascii="Times New Roman"/>
                <w:color w:val="auto"/>
                <w:sz w:val="20"/>
                <w:highlight w:val="none"/>
              </w:rPr>
            </w:pPr>
          </w:p>
        </w:tc>
        <w:tc>
          <w:tcPr>
            <w:tcW w:w="794" w:type="dxa"/>
            <w:tcBorders>
              <w:bottom w:val="single" w:color="000000" w:sz="6" w:space="0"/>
            </w:tcBorders>
          </w:tcPr>
          <w:p w14:paraId="11D272F6">
            <w:pPr>
              <w:pStyle w:val="36"/>
              <w:adjustRightInd w:val="0"/>
              <w:snapToGrid w:val="0"/>
              <w:spacing w:line="560" w:lineRule="exact"/>
              <w:rPr>
                <w:rFonts w:ascii="Times New Roman"/>
                <w:color w:val="auto"/>
                <w:sz w:val="20"/>
                <w:highlight w:val="none"/>
              </w:rPr>
            </w:pPr>
          </w:p>
        </w:tc>
        <w:tc>
          <w:tcPr>
            <w:tcW w:w="794" w:type="dxa"/>
            <w:tcBorders>
              <w:bottom w:val="single" w:color="000000" w:sz="6" w:space="0"/>
            </w:tcBorders>
          </w:tcPr>
          <w:p w14:paraId="0E0CA0D0">
            <w:pPr>
              <w:pStyle w:val="36"/>
              <w:adjustRightInd w:val="0"/>
              <w:snapToGrid w:val="0"/>
              <w:spacing w:line="560" w:lineRule="exact"/>
              <w:rPr>
                <w:rFonts w:ascii="Times New Roman"/>
                <w:color w:val="auto"/>
                <w:sz w:val="20"/>
                <w:highlight w:val="none"/>
              </w:rPr>
            </w:pPr>
          </w:p>
        </w:tc>
        <w:tc>
          <w:tcPr>
            <w:tcW w:w="794" w:type="dxa"/>
            <w:tcBorders>
              <w:bottom w:val="single" w:color="000000" w:sz="6" w:space="0"/>
            </w:tcBorders>
          </w:tcPr>
          <w:p w14:paraId="0D510ACC">
            <w:pPr>
              <w:pStyle w:val="36"/>
              <w:adjustRightInd w:val="0"/>
              <w:snapToGrid w:val="0"/>
              <w:spacing w:line="560" w:lineRule="exact"/>
              <w:rPr>
                <w:rFonts w:ascii="Times New Roman"/>
                <w:color w:val="auto"/>
                <w:sz w:val="20"/>
                <w:highlight w:val="none"/>
              </w:rPr>
            </w:pPr>
          </w:p>
        </w:tc>
        <w:tc>
          <w:tcPr>
            <w:tcW w:w="791" w:type="dxa"/>
            <w:tcBorders>
              <w:bottom w:val="single" w:color="000000" w:sz="6" w:space="0"/>
            </w:tcBorders>
          </w:tcPr>
          <w:p w14:paraId="6912577E">
            <w:pPr>
              <w:pStyle w:val="36"/>
              <w:adjustRightInd w:val="0"/>
              <w:snapToGrid w:val="0"/>
              <w:spacing w:line="560" w:lineRule="exact"/>
              <w:rPr>
                <w:rFonts w:ascii="Times New Roman"/>
                <w:color w:val="auto"/>
                <w:sz w:val="20"/>
                <w:highlight w:val="none"/>
              </w:rPr>
            </w:pPr>
          </w:p>
        </w:tc>
        <w:tc>
          <w:tcPr>
            <w:tcW w:w="635" w:type="dxa"/>
            <w:tcBorders>
              <w:bottom w:val="single" w:color="000000" w:sz="6" w:space="0"/>
            </w:tcBorders>
          </w:tcPr>
          <w:p w14:paraId="4D346AC7">
            <w:pPr>
              <w:pStyle w:val="36"/>
              <w:adjustRightInd w:val="0"/>
              <w:snapToGrid w:val="0"/>
              <w:spacing w:line="560" w:lineRule="exact"/>
              <w:rPr>
                <w:rFonts w:ascii="Times New Roman"/>
                <w:color w:val="auto"/>
                <w:sz w:val="20"/>
                <w:highlight w:val="none"/>
              </w:rPr>
            </w:pPr>
          </w:p>
        </w:tc>
        <w:tc>
          <w:tcPr>
            <w:tcW w:w="1687" w:type="dxa"/>
            <w:tcBorders>
              <w:bottom w:val="single" w:color="000000" w:sz="6" w:space="0"/>
            </w:tcBorders>
          </w:tcPr>
          <w:p w14:paraId="63EC1E61">
            <w:pPr>
              <w:pStyle w:val="36"/>
              <w:adjustRightInd w:val="0"/>
              <w:snapToGrid w:val="0"/>
              <w:spacing w:line="560" w:lineRule="exact"/>
              <w:rPr>
                <w:rFonts w:ascii="Times New Roman"/>
                <w:color w:val="auto"/>
                <w:sz w:val="20"/>
                <w:highlight w:val="none"/>
              </w:rPr>
            </w:pPr>
          </w:p>
        </w:tc>
      </w:tr>
      <w:tr w14:paraId="28A1C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top w:val="single" w:color="000000" w:sz="6" w:space="0"/>
            </w:tcBorders>
          </w:tcPr>
          <w:p w14:paraId="545F2A38">
            <w:pPr>
              <w:pStyle w:val="36"/>
              <w:adjustRightInd w:val="0"/>
              <w:snapToGrid w:val="0"/>
              <w:spacing w:line="560" w:lineRule="exact"/>
              <w:jc w:val="center"/>
              <w:rPr>
                <w:color w:val="auto"/>
                <w:highlight w:val="none"/>
              </w:rPr>
            </w:pPr>
            <w:r>
              <w:rPr>
                <w:color w:val="auto"/>
                <w:highlight w:val="none"/>
              </w:rPr>
              <w:t>4</w:t>
            </w:r>
          </w:p>
        </w:tc>
        <w:tc>
          <w:tcPr>
            <w:tcW w:w="1685" w:type="dxa"/>
            <w:tcBorders>
              <w:top w:val="single" w:color="000000" w:sz="6" w:space="0"/>
            </w:tcBorders>
          </w:tcPr>
          <w:p w14:paraId="6E8C0078">
            <w:pPr>
              <w:pStyle w:val="36"/>
              <w:adjustRightInd w:val="0"/>
              <w:snapToGrid w:val="0"/>
              <w:spacing w:line="560" w:lineRule="exact"/>
              <w:rPr>
                <w:rFonts w:ascii="Times New Roman"/>
                <w:color w:val="auto"/>
                <w:sz w:val="20"/>
                <w:highlight w:val="none"/>
              </w:rPr>
            </w:pPr>
          </w:p>
        </w:tc>
        <w:tc>
          <w:tcPr>
            <w:tcW w:w="794" w:type="dxa"/>
            <w:tcBorders>
              <w:top w:val="single" w:color="000000" w:sz="6" w:space="0"/>
            </w:tcBorders>
          </w:tcPr>
          <w:p w14:paraId="36C0E17A">
            <w:pPr>
              <w:pStyle w:val="36"/>
              <w:adjustRightInd w:val="0"/>
              <w:snapToGrid w:val="0"/>
              <w:spacing w:line="560" w:lineRule="exact"/>
              <w:rPr>
                <w:rFonts w:ascii="Times New Roman"/>
                <w:color w:val="auto"/>
                <w:sz w:val="20"/>
                <w:highlight w:val="none"/>
              </w:rPr>
            </w:pPr>
          </w:p>
        </w:tc>
        <w:tc>
          <w:tcPr>
            <w:tcW w:w="794" w:type="dxa"/>
            <w:tcBorders>
              <w:top w:val="single" w:color="000000" w:sz="6" w:space="0"/>
            </w:tcBorders>
          </w:tcPr>
          <w:p w14:paraId="0576FCF9">
            <w:pPr>
              <w:pStyle w:val="36"/>
              <w:adjustRightInd w:val="0"/>
              <w:snapToGrid w:val="0"/>
              <w:spacing w:line="560" w:lineRule="exact"/>
              <w:rPr>
                <w:rFonts w:ascii="Times New Roman"/>
                <w:color w:val="auto"/>
                <w:sz w:val="20"/>
                <w:highlight w:val="none"/>
              </w:rPr>
            </w:pPr>
          </w:p>
        </w:tc>
        <w:tc>
          <w:tcPr>
            <w:tcW w:w="794" w:type="dxa"/>
            <w:tcBorders>
              <w:top w:val="single" w:color="000000" w:sz="6" w:space="0"/>
            </w:tcBorders>
          </w:tcPr>
          <w:p w14:paraId="07FAAD90">
            <w:pPr>
              <w:pStyle w:val="36"/>
              <w:adjustRightInd w:val="0"/>
              <w:snapToGrid w:val="0"/>
              <w:spacing w:line="560" w:lineRule="exact"/>
              <w:rPr>
                <w:rFonts w:ascii="Times New Roman"/>
                <w:color w:val="auto"/>
                <w:sz w:val="20"/>
                <w:highlight w:val="none"/>
              </w:rPr>
            </w:pPr>
          </w:p>
        </w:tc>
        <w:tc>
          <w:tcPr>
            <w:tcW w:w="791" w:type="dxa"/>
            <w:tcBorders>
              <w:top w:val="single" w:color="000000" w:sz="6" w:space="0"/>
            </w:tcBorders>
          </w:tcPr>
          <w:p w14:paraId="604B032E">
            <w:pPr>
              <w:pStyle w:val="36"/>
              <w:adjustRightInd w:val="0"/>
              <w:snapToGrid w:val="0"/>
              <w:spacing w:line="560" w:lineRule="exact"/>
              <w:rPr>
                <w:rFonts w:ascii="Times New Roman"/>
                <w:color w:val="auto"/>
                <w:sz w:val="20"/>
                <w:highlight w:val="none"/>
              </w:rPr>
            </w:pPr>
          </w:p>
        </w:tc>
        <w:tc>
          <w:tcPr>
            <w:tcW w:w="635" w:type="dxa"/>
            <w:tcBorders>
              <w:top w:val="single" w:color="000000" w:sz="6" w:space="0"/>
            </w:tcBorders>
          </w:tcPr>
          <w:p w14:paraId="231AA85F">
            <w:pPr>
              <w:pStyle w:val="36"/>
              <w:adjustRightInd w:val="0"/>
              <w:snapToGrid w:val="0"/>
              <w:spacing w:line="560" w:lineRule="exact"/>
              <w:rPr>
                <w:rFonts w:ascii="Times New Roman"/>
                <w:color w:val="auto"/>
                <w:sz w:val="20"/>
                <w:highlight w:val="none"/>
              </w:rPr>
            </w:pPr>
          </w:p>
        </w:tc>
        <w:tc>
          <w:tcPr>
            <w:tcW w:w="1687" w:type="dxa"/>
            <w:tcBorders>
              <w:top w:val="single" w:color="000000" w:sz="6" w:space="0"/>
            </w:tcBorders>
          </w:tcPr>
          <w:p w14:paraId="1C936C8E">
            <w:pPr>
              <w:pStyle w:val="36"/>
              <w:adjustRightInd w:val="0"/>
              <w:snapToGrid w:val="0"/>
              <w:spacing w:line="560" w:lineRule="exact"/>
              <w:rPr>
                <w:rFonts w:ascii="Times New Roman"/>
                <w:color w:val="auto"/>
                <w:sz w:val="20"/>
                <w:highlight w:val="none"/>
              </w:rPr>
            </w:pPr>
          </w:p>
        </w:tc>
      </w:tr>
      <w:tr w14:paraId="10EFF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tcPr>
          <w:p w14:paraId="7BB7C4AC">
            <w:pPr>
              <w:pStyle w:val="36"/>
              <w:adjustRightInd w:val="0"/>
              <w:snapToGrid w:val="0"/>
              <w:spacing w:line="560" w:lineRule="exact"/>
              <w:jc w:val="center"/>
              <w:rPr>
                <w:color w:val="auto"/>
                <w:highlight w:val="none"/>
              </w:rPr>
            </w:pPr>
          </w:p>
        </w:tc>
        <w:tc>
          <w:tcPr>
            <w:tcW w:w="1685" w:type="dxa"/>
          </w:tcPr>
          <w:p w14:paraId="6E035868">
            <w:pPr>
              <w:pStyle w:val="36"/>
              <w:adjustRightInd w:val="0"/>
              <w:snapToGrid w:val="0"/>
              <w:spacing w:line="560" w:lineRule="exact"/>
              <w:rPr>
                <w:rFonts w:ascii="Times New Roman"/>
                <w:color w:val="auto"/>
                <w:sz w:val="20"/>
                <w:highlight w:val="none"/>
              </w:rPr>
            </w:pPr>
          </w:p>
        </w:tc>
        <w:tc>
          <w:tcPr>
            <w:tcW w:w="794" w:type="dxa"/>
          </w:tcPr>
          <w:p w14:paraId="7E438364">
            <w:pPr>
              <w:pStyle w:val="36"/>
              <w:adjustRightInd w:val="0"/>
              <w:snapToGrid w:val="0"/>
              <w:spacing w:line="560" w:lineRule="exact"/>
              <w:rPr>
                <w:rFonts w:ascii="Times New Roman"/>
                <w:color w:val="auto"/>
                <w:sz w:val="20"/>
                <w:highlight w:val="none"/>
              </w:rPr>
            </w:pPr>
          </w:p>
        </w:tc>
        <w:tc>
          <w:tcPr>
            <w:tcW w:w="794" w:type="dxa"/>
          </w:tcPr>
          <w:p w14:paraId="0FA08CC5">
            <w:pPr>
              <w:pStyle w:val="36"/>
              <w:adjustRightInd w:val="0"/>
              <w:snapToGrid w:val="0"/>
              <w:spacing w:line="560" w:lineRule="exact"/>
              <w:rPr>
                <w:rFonts w:ascii="Times New Roman"/>
                <w:color w:val="auto"/>
                <w:sz w:val="20"/>
                <w:highlight w:val="none"/>
              </w:rPr>
            </w:pPr>
          </w:p>
        </w:tc>
        <w:tc>
          <w:tcPr>
            <w:tcW w:w="794" w:type="dxa"/>
          </w:tcPr>
          <w:p w14:paraId="57B786FB">
            <w:pPr>
              <w:pStyle w:val="36"/>
              <w:adjustRightInd w:val="0"/>
              <w:snapToGrid w:val="0"/>
              <w:spacing w:line="560" w:lineRule="exact"/>
              <w:rPr>
                <w:rFonts w:ascii="Times New Roman"/>
                <w:color w:val="auto"/>
                <w:sz w:val="20"/>
                <w:highlight w:val="none"/>
              </w:rPr>
            </w:pPr>
          </w:p>
        </w:tc>
        <w:tc>
          <w:tcPr>
            <w:tcW w:w="791" w:type="dxa"/>
          </w:tcPr>
          <w:p w14:paraId="56F76437">
            <w:pPr>
              <w:pStyle w:val="36"/>
              <w:adjustRightInd w:val="0"/>
              <w:snapToGrid w:val="0"/>
              <w:spacing w:line="560" w:lineRule="exact"/>
              <w:rPr>
                <w:rFonts w:ascii="Times New Roman"/>
                <w:color w:val="auto"/>
                <w:sz w:val="20"/>
                <w:highlight w:val="none"/>
              </w:rPr>
            </w:pPr>
          </w:p>
        </w:tc>
        <w:tc>
          <w:tcPr>
            <w:tcW w:w="635" w:type="dxa"/>
          </w:tcPr>
          <w:p w14:paraId="284FFF91">
            <w:pPr>
              <w:pStyle w:val="36"/>
              <w:adjustRightInd w:val="0"/>
              <w:snapToGrid w:val="0"/>
              <w:spacing w:line="560" w:lineRule="exact"/>
              <w:rPr>
                <w:rFonts w:ascii="Times New Roman"/>
                <w:color w:val="auto"/>
                <w:sz w:val="20"/>
                <w:highlight w:val="none"/>
              </w:rPr>
            </w:pPr>
          </w:p>
        </w:tc>
        <w:tc>
          <w:tcPr>
            <w:tcW w:w="1687" w:type="dxa"/>
          </w:tcPr>
          <w:p w14:paraId="5E40AFD5">
            <w:pPr>
              <w:pStyle w:val="36"/>
              <w:adjustRightInd w:val="0"/>
              <w:snapToGrid w:val="0"/>
              <w:spacing w:line="560" w:lineRule="exact"/>
              <w:rPr>
                <w:rFonts w:ascii="Times New Roman"/>
                <w:color w:val="auto"/>
                <w:sz w:val="20"/>
                <w:highlight w:val="none"/>
              </w:rPr>
            </w:pPr>
          </w:p>
        </w:tc>
      </w:tr>
      <w:tr w14:paraId="15A9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tcPr>
          <w:p w14:paraId="55FF4793">
            <w:pPr>
              <w:pStyle w:val="36"/>
              <w:adjustRightInd w:val="0"/>
              <w:snapToGrid w:val="0"/>
              <w:spacing w:line="560" w:lineRule="exact"/>
              <w:jc w:val="center"/>
              <w:rPr>
                <w:color w:val="auto"/>
                <w:highlight w:val="none"/>
              </w:rPr>
            </w:pPr>
          </w:p>
        </w:tc>
        <w:tc>
          <w:tcPr>
            <w:tcW w:w="1685" w:type="dxa"/>
          </w:tcPr>
          <w:p w14:paraId="4FB1F7B5">
            <w:pPr>
              <w:pStyle w:val="36"/>
              <w:adjustRightInd w:val="0"/>
              <w:snapToGrid w:val="0"/>
              <w:spacing w:line="560" w:lineRule="exact"/>
              <w:rPr>
                <w:rFonts w:ascii="Times New Roman"/>
                <w:color w:val="auto"/>
                <w:sz w:val="20"/>
                <w:highlight w:val="none"/>
              </w:rPr>
            </w:pPr>
          </w:p>
        </w:tc>
        <w:tc>
          <w:tcPr>
            <w:tcW w:w="794" w:type="dxa"/>
          </w:tcPr>
          <w:p w14:paraId="6BCB0CE4">
            <w:pPr>
              <w:pStyle w:val="36"/>
              <w:adjustRightInd w:val="0"/>
              <w:snapToGrid w:val="0"/>
              <w:spacing w:line="560" w:lineRule="exact"/>
              <w:rPr>
                <w:rFonts w:ascii="Times New Roman"/>
                <w:color w:val="auto"/>
                <w:sz w:val="20"/>
                <w:highlight w:val="none"/>
              </w:rPr>
            </w:pPr>
          </w:p>
        </w:tc>
        <w:tc>
          <w:tcPr>
            <w:tcW w:w="794" w:type="dxa"/>
          </w:tcPr>
          <w:p w14:paraId="5ECD627D">
            <w:pPr>
              <w:pStyle w:val="36"/>
              <w:adjustRightInd w:val="0"/>
              <w:snapToGrid w:val="0"/>
              <w:spacing w:line="560" w:lineRule="exact"/>
              <w:rPr>
                <w:rFonts w:ascii="Times New Roman"/>
                <w:color w:val="auto"/>
                <w:sz w:val="20"/>
                <w:highlight w:val="none"/>
              </w:rPr>
            </w:pPr>
          </w:p>
        </w:tc>
        <w:tc>
          <w:tcPr>
            <w:tcW w:w="794" w:type="dxa"/>
          </w:tcPr>
          <w:p w14:paraId="1BD77AF6">
            <w:pPr>
              <w:pStyle w:val="36"/>
              <w:adjustRightInd w:val="0"/>
              <w:snapToGrid w:val="0"/>
              <w:spacing w:line="560" w:lineRule="exact"/>
              <w:rPr>
                <w:rFonts w:ascii="Times New Roman"/>
                <w:color w:val="auto"/>
                <w:sz w:val="20"/>
                <w:highlight w:val="none"/>
              </w:rPr>
            </w:pPr>
          </w:p>
        </w:tc>
        <w:tc>
          <w:tcPr>
            <w:tcW w:w="791" w:type="dxa"/>
          </w:tcPr>
          <w:p w14:paraId="54DD764E">
            <w:pPr>
              <w:pStyle w:val="36"/>
              <w:adjustRightInd w:val="0"/>
              <w:snapToGrid w:val="0"/>
              <w:spacing w:line="560" w:lineRule="exact"/>
              <w:rPr>
                <w:rFonts w:ascii="Times New Roman"/>
                <w:color w:val="auto"/>
                <w:sz w:val="20"/>
                <w:highlight w:val="none"/>
              </w:rPr>
            </w:pPr>
          </w:p>
        </w:tc>
        <w:tc>
          <w:tcPr>
            <w:tcW w:w="635" w:type="dxa"/>
          </w:tcPr>
          <w:p w14:paraId="22985307">
            <w:pPr>
              <w:pStyle w:val="36"/>
              <w:adjustRightInd w:val="0"/>
              <w:snapToGrid w:val="0"/>
              <w:spacing w:line="560" w:lineRule="exact"/>
              <w:rPr>
                <w:rFonts w:ascii="Times New Roman"/>
                <w:color w:val="auto"/>
                <w:sz w:val="20"/>
                <w:highlight w:val="none"/>
              </w:rPr>
            </w:pPr>
          </w:p>
        </w:tc>
        <w:tc>
          <w:tcPr>
            <w:tcW w:w="1687" w:type="dxa"/>
          </w:tcPr>
          <w:p w14:paraId="59D16BE3">
            <w:pPr>
              <w:pStyle w:val="36"/>
              <w:adjustRightInd w:val="0"/>
              <w:snapToGrid w:val="0"/>
              <w:spacing w:line="560" w:lineRule="exact"/>
              <w:rPr>
                <w:rFonts w:ascii="Times New Roman"/>
                <w:color w:val="auto"/>
                <w:sz w:val="20"/>
                <w:highlight w:val="none"/>
              </w:rPr>
            </w:pPr>
          </w:p>
        </w:tc>
      </w:tr>
      <w:tr w14:paraId="58941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tcPr>
          <w:p w14:paraId="15B84905">
            <w:pPr>
              <w:pStyle w:val="36"/>
              <w:adjustRightInd w:val="0"/>
              <w:snapToGrid w:val="0"/>
              <w:spacing w:line="560" w:lineRule="exact"/>
              <w:rPr>
                <w:rFonts w:ascii="Times New Roman"/>
                <w:color w:val="auto"/>
                <w:sz w:val="20"/>
                <w:highlight w:val="none"/>
              </w:rPr>
            </w:pPr>
          </w:p>
        </w:tc>
        <w:tc>
          <w:tcPr>
            <w:tcW w:w="1685" w:type="dxa"/>
          </w:tcPr>
          <w:p w14:paraId="4E2CDDB3">
            <w:pPr>
              <w:pStyle w:val="36"/>
              <w:adjustRightInd w:val="0"/>
              <w:snapToGrid w:val="0"/>
              <w:spacing w:line="560" w:lineRule="exact"/>
              <w:rPr>
                <w:rFonts w:ascii="Times New Roman"/>
                <w:color w:val="auto"/>
                <w:sz w:val="20"/>
                <w:highlight w:val="none"/>
              </w:rPr>
            </w:pPr>
          </w:p>
        </w:tc>
        <w:tc>
          <w:tcPr>
            <w:tcW w:w="794" w:type="dxa"/>
          </w:tcPr>
          <w:p w14:paraId="4060FAA7">
            <w:pPr>
              <w:pStyle w:val="36"/>
              <w:adjustRightInd w:val="0"/>
              <w:snapToGrid w:val="0"/>
              <w:spacing w:line="560" w:lineRule="exact"/>
              <w:rPr>
                <w:rFonts w:ascii="Times New Roman"/>
                <w:color w:val="auto"/>
                <w:sz w:val="20"/>
                <w:highlight w:val="none"/>
              </w:rPr>
            </w:pPr>
          </w:p>
        </w:tc>
        <w:tc>
          <w:tcPr>
            <w:tcW w:w="794" w:type="dxa"/>
          </w:tcPr>
          <w:p w14:paraId="5AC2DB86">
            <w:pPr>
              <w:pStyle w:val="36"/>
              <w:adjustRightInd w:val="0"/>
              <w:snapToGrid w:val="0"/>
              <w:spacing w:line="560" w:lineRule="exact"/>
              <w:rPr>
                <w:rFonts w:ascii="Times New Roman"/>
                <w:color w:val="auto"/>
                <w:sz w:val="20"/>
                <w:highlight w:val="none"/>
              </w:rPr>
            </w:pPr>
          </w:p>
        </w:tc>
        <w:tc>
          <w:tcPr>
            <w:tcW w:w="794" w:type="dxa"/>
          </w:tcPr>
          <w:p w14:paraId="22F81621">
            <w:pPr>
              <w:pStyle w:val="36"/>
              <w:adjustRightInd w:val="0"/>
              <w:snapToGrid w:val="0"/>
              <w:spacing w:line="560" w:lineRule="exact"/>
              <w:rPr>
                <w:rFonts w:ascii="Times New Roman"/>
                <w:color w:val="auto"/>
                <w:sz w:val="20"/>
                <w:highlight w:val="none"/>
              </w:rPr>
            </w:pPr>
          </w:p>
        </w:tc>
        <w:tc>
          <w:tcPr>
            <w:tcW w:w="791" w:type="dxa"/>
          </w:tcPr>
          <w:p w14:paraId="6771071C">
            <w:pPr>
              <w:pStyle w:val="36"/>
              <w:adjustRightInd w:val="0"/>
              <w:snapToGrid w:val="0"/>
              <w:spacing w:line="560" w:lineRule="exact"/>
              <w:rPr>
                <w:rFonts w:ascii="Times New Roman"/>
                <w:color w:val="auto"/>
                <w:sz w:val="20"/>
                <w:highlight w:val="none"/>
              </w:rPr>
            </w:pPr>
          </w:p>
        </w:tc>
        <w:tc>
          <w:tcPr>
            <w:tcW w:w="635" w:type="dxa"/>
          </w:tcPr>
          <w:p w14:paraId="1A9E522B">
            <w:pPr>
              <w:pStyle w:val="36"/>
              <w:adjustRightInd w:val="0"/>
              <w:snapToGrid w:val="0"/>
              <w:spacing w:line="560" w:lineRule="exact"/>
              <w:rPr>
                <w:rFonts w:ascii="Times New Roman"/>
                <w:color w:val="auto"/>
                <w:sz w:val="20"/>
                <w:highlight w:val="none"/>
              </w:rPr>
            </w:pPr>
          </w:p>
        </w:tc>
        <w:tc>
          <w:tcPr>
            <w:tcW w:w="1687" w:type="dxa"/>
          </w:tcPr>
          <w:p w14:paraId="5A6973B5">
            <w:pPr>
              <w:pStyle w:val="36"/>
              <w:adjustRightInd w:val="0"/>
              <w:snapToGrid w:val="0"/>
              <w:spacing w:line="560" w:lineRule="exact"/>
              <w:rPr>
                <w:rFonts w:ascii="Times New Roman"/>
                <w:color w:val="auto"/>
                <w:sz w:val="20"/>
                <w:highlight w:val="none"/>
              </w:rPr>
            </w:pPr>
          </w:p>
        </w:tc>
      </w:tr>
      <w:tr w14:paraId="62BE1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tcPr>
          <w:p w14:paraId="05E30112">
            <w:pPr>
              <w:pStyle w:val="36"/>
              <w:adjustRightInd w:val="0"/>
              <w:snapToGrid w:val="0"/>
              <w:spacing w:line="560" w:lineRule="exact"/>
              <w:rPr>
                <w:rFonts w:ascii="Times New Roman"/>
                <w:color w:val="auto"/>
                <w:sz w:val="20"/>
                <w:highlight w:val="none"/>
              </w:rPr>
            </w:pPr>
          </w:p>
        </w:tc>
        <w:tc>
          <w:tcPr>
            <w:tcW w:w="1685" w:type="dxa"/>
          </w:tcPr>
          <w:p w14:paraId="36042335">
            <w:pPr>
              <w:pStyle w:val="36"/>
              <w:adjustRightInd w:val="0"/>
              <w:snapToGrid w:val="0"/>
              <w:spacing w:line="560" w:lineRule="exact"/>
              <w:rPr>
                <w:rFonts w:ascii="Times New Roman"/>
                <w:color w:val="auto"/>
                <w:sz w:val="20"/>
                <w:highlight w:val="none"/>
              </w:rPr>
            </w:pPr>
          </w:p>
        </w:tc>
        <w:tc>
          <w:tcPr>
            <w:tcW w:w="794" w:type="dxa"/>
          </w:tcPr>
          <w:p w14:paraId="49CC8A3D">
            <w:pPr>
              <w:pStyle w:val="36"/>
              <w:adjustRightInd w:val="0"/>
              <w:snapToGrid w:val="0"/>
              <w:spacing w:line="560" w:lineRule="exact"/>
              <w:rPr>
                <w:rFonts w:ascii="Times New Roman"/>
                <w:color w:val="auto"/>
                <w:sz w:val="20"/>
                <w:highlight w:val="none"/>
              </w:rPr>
            </w:pPr>
          </w:p>
        </w:tc>
        <w:tc>
          <w:tcPr>
            <w:tcW w:w="794" w:type="dxa"/>
          </w:tcPr>
          <w:p w14:paraId="5BF5BB81">
            <w:pPr>
              <w:pStyle w:val="36"/>
              <w:adjustRightInd w:val="0"/>
              <w:snapToGrid w:val="0"/>
              <w:spacing w:line="560" w:lineRule="exact"/>
              <w:rPr>
                <w:rFonts w:ascii="Times New Roman"/>
                <w:color w:val="auto"/>
                <w:sz w:val="20"/>
                <w:highlight w:val="none"/>
              </w:rPr>
            </w:pPr>
          </w:p>
        </w:tc>
        <w:tc>
          <w:tcPr>
            <w:tcW w:w="794" w:type="dxa"/>
          </w:tcPr>
          <w:p w14:paraId="1AC1E227">
            <w:pPr>
              <w:pStyle w:val="36"/>
              <w:adjustRightInd w:val="0"/>
              <w:snapToGrid w:val="0"/>
              <w:spacing w:line="560" w:lineRule="exact"/>
              <w:rPr>
                <w:rFonts w:ascii="Times New Roman"/>
                <w:color w:val="auto"/>
                <w:sz w:val="20"/>
                <w:highlight w:val="none"/>
              </w:rPr>
            </w:pPr>
          </w:p>
        </w:tc>
        <w:tc>
          <w:tcPr>
            <w:tcW w:w="791" w:type="dxa"/>
          </w:tcPr>
          <w:p w14:paraId="2B7F17FF">
            <w:pPr>
              <w:pStyle w:val="36"/>
              <w:adjustRightInd w:val="0"/>
              <w:snapToGrid w:val="0"/>
              <w:spacing w:line="560" w:lineRule="exact"/>
              <w:rPr>
                <w:rFonts w:ascii="Times New Roman"/>
                <w:color w:val="auto"/>
                <w:sz w:val="20"/>
                <w:highlight w:val="none"/>
              </w:rPr>
            </w:pPr>
          </w:p>
        </w:tc>
        <w:tc>
          <w:tcPr>
            <w:tcW w:w="635" w:type="dxa"/>
          </w:tcPr>
          <w:p w14:paraId="3C0D43FF">
            <w:pPr>
              <w:pStyle w:val="36"/>
              <w:adjustRightInd w:val="0"/>
              <w:snapToGrid w:val="0"/>
              <w:spacing w:line="560" w:lineRule="exact"/>
              <w:rPr>
                <w:rFonts w:ascii="Times New Roman"/>
                <w:color w:val="auto"/>
                <w:sz w:val="20"/>
                <w:highlight w:val="none"/>
              </w:rPr>
            </w:pPr>
          </w:p>
        </w:tc>
        <w:tc>
          <w:tcPr>
            <w:tcW w:w="1687" w:type="dxa"/>
          </w:tcPr>
          <w:p w14:paraId="230C1DE4">
            <w:pPr>
              <w:pStyle w:val="36"/>
              <w:adjustRightInd w:val="0"/>
              <w:snapToGrid w:val="0"/>
              <w:spacing w:line="560" w:lineRule="exact"/>
              <w:rPr>
                <w:rFonts w:ascii="Times New Roman"/>
                <w:color w:val="auto"/>
                <w:sz w:val="20"/>
                <w:highlight w:val="none"/>
              </w:rPr>
            </w:pPr>
          </w:p>
        </w:tc>
      </w:tr>
      <w:tr w14:paraId="7357C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tcPr>
          <w:p w14:paraId="59E5E85F">
            <w:pPr>
              <w:pStyle w:val="36"/>
              <w:adjustRightInd w:val="0"/>
              <w:snapToGrid w:val="0"/>
              <w:spacing w:line="560" w:lineRule="exact"/>
              <w:rPr>
                <w:rFonts w:ascii="Times New Roman"/>
                <w:color w:val="auto"/>
                <w:sz w:val="20"/>
                <w:highlight w:val="none"/>
              </w:rPr>
            </w:pPr>
          </w:p>
        </w:tc>
        <w:tc>
          <w:tcPr>
            <w:tcW w:w="1685" w:type="dxa"/>
          </w:tcPr>
          <w:p w14:paraId="081F2387">
            <w:pPr>
              <w:pStyle w:val="36"/>
              <w:adjustRightInd w:val="0"/>
              <w:snapToGrid w:val="0"/>
              <w:spacing w:line="560" w:lineRule="exact"/>
              <w:rPr>
                <w:rFonts w:ascii="Times New Roman"/>
                <w:color w:val="auto"/>
                <w:sz w:val="20"/>
                <w:highlight w:val="none"/>
              </w:rPr>
            </w:pPr>
          </w:p>
        </w:tc>
        <w:tc>
          <w:tcPr>
            <w:tcW w:w="794" w:type="dxa"/>
          </w:tcPr>
          <w:p w14:paraId="27E5A51D">
            <w:pPr>
              <w:pStyle w:val="36"/>
              <w:adjustRightInd w:val="0"/>
              <w:snapToGrid w:val="0"/>
              <w:spacing w:line="560" w:lineRule="exact"/>
              <w:rPr>
                <w:rFonts w:ascii="Times New Roman"/>
                <w:color w:val="auto"/>
                <w:sz w:val="20"/>
                <w:highlight w:val="none"/>
              </w:rPr>
            </w:pPr>
          </w:p>
        </w:tc>
        <w:tc>
          <w:tcPr>
            <w:tcW w:w="794" w:type="dxa"/>
          </w:tcPr>
          <w:p w14:paraId="55C35D99">
            <w:pPr>
              <w:pStyle w:val="36"/>
              <w:adjustRightInd w:val="0"/>
              <w:snapToGrid w:val="0"/>
              <w:spacing w:line="560" w:lineRule="exact"/>
              <w:rPr>
                <w:rFonts w:ascii="Times New Roman"/>
                <w:color w:val="auto"/>
                <w:sz w:val="20"/>
                <w:highlight w:val="none"/>
              </w:rPr>
            </w:pPr>
          </w:p>
        </w:tc>
        <w:tc>
          <w:tcPr>
            <w:tcW w:w="794" w:type="dxa"/>
          </w:tcPr>
          <w:p w14:paraId="51852AD3">
            <w:pPr>
              <w:pStyle w:val="36"/>
              <w:adjustRightInd w:val="0"/>
              <w:snapToGrid w:val="0"/>
              <w:spacing w:line="560" w:lineRule="exact"/>
              <w:rPr>
                <w:rFonts w:ascii="Times New Roman"/>
                <w:color w:val="auto"/>
                <w:sz w:val="20"/>
                <w:highlight w:val="none"/>
              </w:rPr>
            </w:pPr>
          </w:p>
        </w:tc>
        <w:tc>
          <w:tcPr>
            <w:tcW w:w="791" w:type="dxa"/>
          </w:tcPr>
          <w:p w14:paraId="03AC0453">
            <w:pPr>
              <w:pStyle w:val="36"/>
              <w:adjustRightInd w:val="0"/>
              <w:snapToGrid w:val="0"/>
              <w:spacing w:line="560" w:lineRule="exact"/>
              <w:rPr>
                <w:rFonts w:ascii="Times New Roman"/>
                <w:color w:val="auto"/>
                <w:sz w:val="20"/>
                <w:highlight w:val="none"/>
              </w:rPr>
            </w:pPr>
          </w:p>
        </w:tc>
        <w:tc>
          <w:tcPr>
            <w:tcW w:w="635" w:type="dxa"/>
          </w:tcPr>
          <w:p w14:paraId="2D53C245">
            <w:pPr>
              <w:pStyle w:val="36"/>
              <w:adjustRightInd w:val="0"/>
              <w:snapToGrid w:val="0"/>
              <w:spacing w:line="560" w:lineRule="exact"/>
              <w:rPr>
                <w:rFonts w:ascii="Times New Roman"/>
                <w:color w:val="auto"/>
                <w:sz w:val="20"/>
                <w:highlight w:val="none"/>
              </w:rPr>
            </w:pPr>
          </w:p>
        </w:tc>
        <w:tc>
          <w:tcPr>
            <w:tcW w:w="1687" w:type="dxa"/>
          </w:tcPr>
          <w:p w14:paraId="773E9EB0">
            <w:pPr>
              <w:pStyle w:val="36"/>
              <w:adjustRightInd w:val="0"/>
              <w:snapToGrid w:val="0"/>
              <w:spacing w:line="560" w:lineRule="exact"/>
              <w:rPr>
                <w:rFonts w:ascii="Times New Roman"/>
                <w:color w:val="auto"/>
                <w:sz w:val="20"/>
                <w:highlight w:val="none"/>
              </w:rPr>
            </w:pPr>
          </w:p>
        </w:tc>
      </w:tr>
    </w:tbl>
    <w:p w14:paraId="11CFDDA8">
      <w:pPr>
        <w:pStyle w:val="8"/>
        <w:adjustRightInd w:val="0"/>
        <w:snapToGrid w:val="0"/>
        <w:spacing w:line="560" w:lineRule="exact"/>
        <w:ind w:firstLine="420"/>
        <w:rPr>
          <w:color w:val="auto"/>
          <w:highlight w:val="none"/>
        </w:rPr>
      </w:pPr>
      <w:r>
        <w:rPr>
          <w:color w:val="auto"/>
          <w:highlight w:val="none"/>
        </w:rPr>
        <w:t>注：</w:t>
      </w:r>
      <w:r>
        <w:rPr>
          <w:rFonts w:hint="eastAsia"/>
          <w:color w:val="auto"/>
          <w:highlight w:val="none"/>
        </w:rPr>
        <w:t>1、</w:t>
      </w:r>
      <w:r>
        <w:rPr>
          <w:color w:val="auto"/>
          <w:highlight w:val="none"/>
        </w:rPr>
        <w:t>本表仅针对不采用招标人推荐品牌，采用其他品牌的投标人填写，并注明并提供相关技术参数、业绩等供评标委员会评审，未在上表中注明且未提供相关技术参数、业绩，或经评标委员会评审未通过的，中标后只能从招标人推荐品牌中进行选择，价格不予调整。</w:t>
      </w:r>
    </w:p>
    <w:p w14:paraId="0C8303C1">
      <w:pPr>
        <w:pStyle w:val="49"/>
        <w:tabs>
          <w:tab w:val="left" w:pos="1319"/>
        </w:tabs>
        <w:adjustRightInd w:val="0"/>
        <w:snapToGrid w:val="0"/>
        <w:spacing w:line="560" w:lineRule="exact"/>
        <w:ind w:left="0" w:firstLine="408" w:firstLineChars="200"/>
        <w:rPr>
          <w:color w:val="auto"/>
          <w:highlight w:val="none"/>
        </w:rPr>
        <w:sectPr>
          <w:pgSz w:w="11910" w:h="16840"/>
          <w:pgMar w:top="1060" w:right="660" w:bottom="1020" w:left="1120" w:header="0" w:footer="833" w:gutter="0"/>
          <w:cols w:space="720" w:num="1"/>
        </w:sectPr>
      </w:pPr>
      <w:r>
        <w:rPr>
          <w:rFonts w:hint="eastAsia"/>
          <w:color w:val="auto"/>
          <w:spacing w:val="-3"/>
          <w:highlight w:val="none"/>
        </w:rPr>
        <w:t>2、</w:t>
      </w:r>
      <w:r>
        <w:rPr>
          <w:color w:val="auto"/>
          <w:spacing w:val="-3"/>
          <w:highlight w:val="none"/>
        </w:rPr>
        <w:t>对于招标人推荐品牌的材料、设备等，投标人如认为招标人推荐的品牌有限定性、唯一性、明显不在同一档次等级的或者其他疑问的，应在本项目</w:t>
      </w:r>
      <w:r>
        <w:rPr>
          <w:rFonts w:hint="eastAsia"/>
          <w:color w:val="auto"/>
          <w:spacing w:val="-3"/>
          <w:highlight w:val="none"/>
        </w:rPr>
        <w:t>异议</w:t>
      </w:r>
      <w:r>
        <w:rPr>
          <w:color w:val="auto"/>
          <w:spacing w:val="-3"/>
          <w:highlight w:val="none"/>
        </w:rPr>
        <w:t>提出的截止时间前通过电子交易系统</w:t>
      </w:r>
      <w:r>
        <w:rPr>
          <w:rFonts w:hint="eastAsia"/>
          <w:color w:val="auto"/>
          <w:spacing w:val="-3"/>
          <w:highlight w:val="none"/>
        </w:rPr>
        <w:t>向招标人提出。</w:t>
      </w:r>
    </w:p>
    <w:p w14:paraId="39CB2162">
      <w:pPr>
        <w:pStyle w:val="4"/>
        <w:adjustRightInd w:val="0"/>
        <w:snapToGrid w:val="0"/>
        <w:spacing w:line="560" w:lineRule="exact"/>
        <w:jc w:val="center"/>
        <w:rPr>
          <w:rFonts w:ascii="宋体" w:hAnsi="宋体"/>
          <w:color w:val="auto"/>
          <w:szCs w:val="21"/>
          <w:highlight w:val="none"/>
        </w:rPr>
      </w:pPr>
      <w:bookmarkStart w:id="1119" w:name="_Toc30962"/>
      <w:bookmarkStart w:id="1120" w:name="_Toc95223546"/>
      <w:r>
        <w:rPr>
          <w:rFonts w:hint="eastAsia" w:ascii="宋体" w:hAnsi="宋体"/>
          <w:color w:val="auto"/>
          <w:szCs w:val="21"/>
          <w:highlight w:val="none"/>
        </w:rPr>
        <w:t>（3）全国建筑市场监管公共服务平台(四库一平台)企业注册人员网页截图；</w:t>
      </w:r>
      <w:bookmarkEnd w:id="1119"/>
    </w:p>
    <w:p w14:paraId="2F2D1116">
      <w:pPr>
        <w:pStyle w:val="4"/>
        <w:adjustRightInd w:val="0"/>
        <w:snapToGrid w:val="0"/>
        <w:spacing w:line="560" w:lineRule="exact"/>
        <w:jc w:val="center"/>
        <w:rPr>
          <w:color w:val="auto"/>
          <w:highlight w:val="none"/>
        </w:rPr>
      </w:pPr>
    </w:p>
    <w:p w14:paraId="7D7B1665">
      <w:pPr>
        <w:pStyle w:val="4"/>
        <w:adjustRightInd w:val="0"/>
        <w:snapToGrid w:val="0"/>
        <w:spacing w:line="560" w:lineRule="exact"/>
        <w:jc w:val="center"/>
        <w:rPr>
          <w:color w:val="auto"/>
          <w:highlight w:val="none"/>
        </w:rPr>
      </w:pPr>
    </w:p>
    <w:p w14:paraId="2C56C30F">
      <w:pPr>
        <w:pStyle w:val="4"/>
        <w:adjustRightInd w:val="0"/>
        <w:snapToGrid w:val="0"/>
        <w:spacing w:line="560" w:lineRule="exact"/>
        <w:jc w:val="center"/>
        <w:rPr>
          <w:color w:val="auto"/>
          <w:highlight w:val="none"/>
        </w:rPr>
      </w:pPr>
      <w:bookmarkStart w:id="1121" w:name="_Toc510"/>
      <w:r>
        <w:rPr>
          <w:rFonts w:hint="eastAsia"/>
          <w:color w:val="auto"/>
          <w:highlight w:val="none"/>
        </w:rPr>
        <w:t>（4）详细评审所需其他材料（如有）</w:t>
      </w:r>
      <w:bookmarkEnd w:id="1120"/>
      <w:bookmarkEnd w:id="1121"/>
    </w:p>
    <w:p w14:paraId="6EDAA2AC">
      <w:pPr>
        <w:adjustRightInd w:val="0"/>
        <w:snapToGrid w:val="0"/>
        <w:spacing w:line="560" w:lineRule="exact"/>
        <w:ind w:firstLine="1928" w:firstLineChars="600"/>
        <w:rPr>
          <w:rFonts w:ascii="宋体"/>
          <w:b/>
          <w:color w:val="auto"/>
          <w:sz w:val="32"/>
          <w:szCs w:val="32"/>
          <w:highlight w:val="none"/>
        </w:rPr>
      </w:pPr>
    </w:p>
    <w:p w14:paraId="2580675A">
      <w:pPr>
        <w:adjustRightInd w:val="0"/>
        <w:snapToGrid w:val="0"/>
        <w:spacing w:line="560" w:lineRule="exact"/>
        <w:rPr>
          <w:b/>
          <w:color w:val="auto"/>
          <w:sz w:val="32"/>
          <w:szCs w:val="32"/>
          <w:highlight w:val="none"/>
        </w:rPr>
      </w:pPr>
    </w:p>
    <w:p w14:paraId="5115C4F9">
      <w:pPr>
        <w:pStyle w:val="8"/>
        <w:adjustRightInd w:val="0"/>
        <w:snapToGrid w:val="0"/>
        <w:spacing w:line="560" w:lineRule="exact"/>
        <w:jc w:val="center"/>
        <w:outlineLvl w:val="0"/>
        <w:rPr>
          <w:rFonts w:eastAsia="黑体"/>
          <w:b/>
          <w:bCs/>
          <w:color w:val="auto"/>
          <w:sz w:val="32"/>
          <w:highlight w:val="none"/>
        </w:rPr>
      </w:pPr>
    </w:p>
    <w:p w14:paraId="16B04AEB">
      <w:pPr>
        <w:pStyle w:val="8"/>
        <w:adjustRightInd w:val="0"/>
        <w:snapToGrid w:val="0"/>
        <w:spacing w:line="560" w:lineRule="exact"/>
        <w:jc w:val="center"/>
        <w:outlineLvl w:val="0"/>
        <w:rPr>
          <w:rFonts w:eastAsia="黑体"/>
          <w:b/>
          <w:bCs/>
          <w:color w:val="auto"/>
          <w:sz w:val="32"/>
          <w:highlight w:val="none"/>
        </w:rPr>
      </w:pPr>
    </w:p>
    <w:p w14:paraId="1FC91B7F">
      <w:pPr>
        <w:pStyle w:val="8"/>
        <w:adjustRightInd w:val="0"/>
        <w:snapToGrid w:val="0"/>
        <w:spacing w:line="560" w:lineRule="exact"/>
        <w:jc w:val="center"/>
        <w:outlineLvl w:val="0"/>
        <w:rPr>
          <w:rFonts w:eastAsia="黑体"/>
          <w:b/>
          <w:bCs/>
          <w:color w:val="auto"/>
          <w:sz w:val="32"/>
          <w:highlight w:val="none"/>
        </w:rPr>
      </w:pPr>
    </w:p>
    <w:p w14:paraId="01F2D9EB">
      <w:pPr>
        <w:pStyle w:val="8"/>
        <w:adjustRightInd w:val="0"/>
        <w:snapToGrid w:val="0"/>
        <w:spacing w:line="560" w:lineRule="exact"/>
        <w:jc w:val="center"/>
        <w:outlineLvl w:val="0"/>
        <w:rPr>
          <w:rFonts w:eastAsia="黑体"/>
          <w:b/>
          <w:bCs/>
          <w:color w:val="auto"/>
          <w:sz w:val="32"/>
          <w:highlight w:val="none"/>
        </w:rPr>
      </w:pPr>
    </w:p>
    <w:p w14:paraId="1B8E1301">
      <w:pPr>
        <w:pStyle w:val="8"/>
        <w:adjustRightInd w:val="0"/>
        <w:snapToGrid w:val="0"/>
        <w:spacing w:line="560" w:lineRule="exact"/>
        <w:jc w:val="center"/>
        <w:outlineLvl w:val="0"/>
        <w:rPr>
          <w:rFonts w:eastAsia="黑体"/>
          <w:b/>
          <w:bCs/>
          <w:color w:val="auto"/>
          <w:sz w:val="32"/>
          <w:highlight w:val="none"/>
        </w:rPr>
      </w:pPr>
    </w:p>
    <w:p w14:paraId="1FDD6ACE">
      <w:pPr>
        <w:pStyle w:val="8"/>
        <w:adjustRightInd w:val="0"/>
        <w:snapToGrid w:val="0"/>
        <w:spacing w:line="560" w:lineRule="exact"/>
        <w:jc w:val="center"/>
        <w:outlineLvl w:val="0"/>
        <w:rPr>
          <w:rFonts w:eastAsia="黑体"/>
          <w:b/>
          <w:bCs/>
          <w:color w:val="auto"/>
          <w:sz w:val="32"/>
          <w:highlight w:val="none"/>
        </w:rPr>
      </w:pPr>
    </w:p>
    <w:p w14:paraId="7DF84916">
      <w:pPr>
        <w:pStyle w:val="8"/>
        <w:adjustRightInd w:val="0"/>
        <w:snapToGrid w:val="0"/>
        <w:spacing w:line="560" w:lineRule="exact"/>
        <w:jc w:val="center"/>
        <w:outlineLvl w:val="0"/>
        <w:rPr>
          <w:rFonts w:eastAsia="黑体"/>
          <w:b/>
          <w:bCs/>
          <w:color w:val="auto"/>
          <w:sz w:val="32"/>
          <w:highlight w:val="none"/>
        </w:rPr>
      </w:pPr>
    </w:p>
    <w:p w14:paraId="02362709">
      <w:pPr>
        <w:pStyle w:val="8"/>
        <w:adjustRightInd w:val="0"/>
        <w:snapToGrid w:val="0"/>
        <w:spacing w:line="560" w:lineRule="exact"/>
        <w:jc w:val="center"/>
        <w:outlineLvl w:val="0"/>
        <w:rPr>
          <w:rFonts w:eastAsia="黑体"/>
          <w:b/>
          <w:bCs/>
          <w:color w:val="auto"/>
          <w:sz w:val="32"/>
          <w:highlight w:val="none"/>
        </w:rPr>
      </w:pPr>
    </w:p>
    <w:p w14:paraId="03DC71E4">
      <w:pPr>
        <w:pStyle w:val="8"/>
        <w:adjustRightInd w:val="0"/>
        <w:snapToGrid w:val="0"/>
        <w:spacing w:line="560" w:lineRule="exact"/>
        <w:jc w:val="center"/>
        <w:outlineLvl w:val="0"/>
        <w:rPr>
          <w:rFonts w:eastAsia="黑体"/>
          <w:b/>
          <w:bCs/>
          <w:color w:val="auto"/>
          <w:sz w:val="32"/>
          <w:highlight w:val="none"/>
        </w:rPr>
      </w:pPr>
    </w:p>
    <w:p w14:paraId="17B0347E">
      <w:pPr>
        <w:pStyle w:val="8"/>
        <w:adjustRightInd w:val="0"/>
        <w:snapToGrid w:val="0"/>
        <w:spacing w:line="560" w:lineRule="exact"/>
        <w:jc w:val="center"/>
        <w:outlineLvl w:val="0"/>
        <w:rPr>
          <w:rFonts w:eastAsia="黑体"/>
          <w:b/>
          <w:bCs/>
          <w:color w:val="auto"/>
          <w:sz w:val="32"/>
          <w:highlight w:val="none"/>
        </w:rPr>
      </w:pPr>
    </w:p>
    <w:p w14:paraId="555F5C60">
      <w:pPr>
        <w:pStyle w:val="8"/>
        <w:adjustRightInd w:val="0"/>
        <w:snapToGrid w:val="0"/>
        <w:spacing w:line="560" w:lineRule="exact"/>
        <w:jc w:val="center"/>
        <w:outlineLvl w:val="0"/>
        <w:rPr>
          <w:rFonts w:eastAsia="黑体"/>
          <w:b/>
          <w:bCs/>
          <w:color w:val="auto"/>
          <w:sz w:val="32"/>
          <w:highlight w:val="none"/>
        </w:rPr>
      </w:pPr>
    </w:p>
    <w:p w14:paraId="7ACA8CB4">
      <w:pPr>
        <w:pStyle w:val="8"/>
        <w:adjustRightInd w:val="0"/>
        <w:snapToGrid w:val="0"/>
        <w:spacing w:line="560" w:lineRule="exact"/>
        <w:jc w:val="center"/>
        <w:outlineLvl w:val="0"/>
        <w:rPr>
          <w:rFonts w:eastAsia="黑体"/>
          <w:b/>
          <w:bCs/>
          <w:color w:val="auto"/>
          <w:sz w:val="32"/>
          <w:highlight w:val="none"/>
        </w:rPr>
      </w:pPr>
    </w:p>
    <w:p w14:paraId="56901EEA">
      <w:pPr>
        <w:pStyle w:val="8"/>
        <w:adjustRightInd w:val="0"/>
        <w:snapToGrid w:val="0"/>
        <w:spacing w:line="560" w:lineRule="exact"/>
        <w:jc w:val="center"/>
        <w:outlineLvl w:val="0"/>
        <w:rPr>
          <w:rFonts w:eastAsia="黑体"/>
          <w:b/>
          <w:bCs/>
          <w:color w:val="auto"/>
          <w:sz w:val="32"/>
          <w:highlight w:val="none"/>
        </w:rPr>
      </w:pPr>
    </w:p>
    <w:p w14:paraId="07763026">
      <w:pPr>
        <w:pStyle w:val="8"/>
        <w:adjustRightInd w:val="0"/>
        <w:snapToGrid w:val="0"/>
        <w:spacing w:line="560" w:lineRule="exact"/>
        <w:jc w:val="center"/>
        <w:outlineLvl w:val="0"/>
        <w:rPr>
          <w:rFonts w:eastAsia="黑体"/>
          <w:b/>
          <w:bCs/>
          <w:color w:val="auto"/>
          <w:sz w:val="32"/>
          <w:highlight w:val="none"/>
        </w:rPr>
      </w:pPr>
    </w:p>
    <w:p w14:paraId="67F8A28E">
      <w:pPr>
        <w:pStyle w:val="8"/>
        <w:adjustRightInd w:val="0"/>
        <w:snapToGrid w:val="0"/>
        <w:spacing w:line="560" w:lineRule="exact"/>
        <w:jc w:val="center"/>
        <w:outlineLvl w:val="0"/>
        <w:rPr>
          <w:rFonts w:eastAsia="黑体"/>
          <w:b/>
          <w:bCs/>
          <w:color w:val="auto"/>
          <w:sz w:val="32"/>
          <w:highlight w:val="none"/>
        </w:rPr>
      </w:pPr>
    </w:p>
    <w:p w14:paraId="3DF5534D">
      <w:pPr>
        <w:pStyle w:val="8"/>
        <w:adjustRightInd w:val="0"/>
        <w:snapToGrid w:val="0"/>
        <w:spacing w:line="560" w:lineRule="exact"/>
        <w:jc w:val="center"/>
        <w:outlineLvl w:val="0"/>
        <w:rPr>
          <w:rFonts w:eastAsia="黑体"/>
          <w:b/>
          <w:bCs/>
          <w:color w:val="auto"/>
          <w:sz w:val="32"/>
          <w:highlight w:val="none"/>
        </w:rPr>
      </w:pPr>
    </w:p>
    <w:p w14:paraId="3106E27E">
      <w:pPr>
        <w:pStyle w:val="8"/>
        <w:adjustRightInd w:val="0"/>
        <w:snapToGrid w:val="0"/>
        <w:spacing w:line="560" w:lineRule="exact"/>
        <w:jc w:val="center"/>
        <w:outlineLvl w:val="0"/>
        <w:rPr>
          <w:rFonts w:eastAsia="黑体"/>
          <w:b/>
          <w:bCs/>
          <w:color w:val="auto"/>
          <w:sz w:val="32"/>
          <w:highlight w:val="none"/>
        </w:rPr>
      </w:pPr>
    </w:p>
    <w:p w14:paraId="7EA4DB37">
      <w:pPr>
        <w:pStyle w:val="8"/>
        <w:adjustRightInd w:val="0"/>
        <w:snapToGrid w:val="0"/>
        <w:spacing w:line="560" w:lineRule="exact"/>
        <w:jc w:val="center"/>
        <w:outlineLvl w:val="0"/>
        <w:rPr>
          <w:rFonts w:eastAsia="黑体"/>
          <w:b/>
          <w:bCs/>
          <w:color w:val="auto"/>
          <w:sz w:val="32"/>
          <w:highlight w:val="none"/>
        </w:rPr>
      </w:pPr>
    </w:p>
    <w:p w14:paraId="3075DC5D">
      <w:pPr>
        <w:pStyle w:val="8"/>
        <w:adjustRightInd w:val="0"/>
        <w:snapToGrid w:val="0"/>
        <w:spacing w:line="560" w:lineRule="exact"/>
        <w:jc w:val="center"/>
        <w:outlineLvl w:val="0"/>
        <w:rPr>
          <w:rFonts w:eastAsia="黑体"/>
          <w:b/>
          <w:bCs/>
          <w:color w:val="auto"/>
          <w:sz w:val="32"/>
          <w:highlight w:val="none"/>
        </w:rPr>
      </w:pPr>
      <w:bookmarkStart w:id="1122" w:name="_Toc9437"/>
      <w:r>
        <w:rPr>
          <w:rFonts w:hint="eastAsia" w:eastAsia="黑体"/>
          <w:b/>
          <w:bCs/>
          <w:color w:val="auto"/>
          <w:sz w:val="32"/>
          <w:highlight w:val="none"/>
        </w:rPr>
        <w:t>第八章  招标</w:t>
      </w:r>
      <w:bookmarkStart w:id="1123" w:name="_Toc60061593"/>
      <w:r>
        <w:rPr>
          <w:rFonts w:hint="eastAsia" w:eastAsia="黑体"/>
          <w:b/>
          <w:bCs/>
          <w:color w:val="auto"/>
          <w:sz w:val="32"/>
          <w:highlight w:val="none"/>
        </w:rPr>
        <w:t>人、招标代理机构对本招标文件的确认</w:t>
      </w:r>
      <w:bookmarkEnd w:id="1122"/>
      <w:bookmarkEnd w:id="1123"/>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55DD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3" w:hRule="atLeast"/>
          <w:jc w:val="center"/>
        </w:trPr>
        <w:tc>
          <w:tcPr>
            <w:tcW w:w="9580" w:type="dxa"/>
          </w:tcPr>
          <w:p w14:paraId="151B3AFE">
            <w:pPr>
              <w:adjustRightInd w:val="0"/>
              <w:snapToGrid w:val="0"/>
              <w:spacing w:line="560" w:lineRule="exact"/>
              <w:rPr>
                <w:color w:val="auto"/>
                <w:sz w:val="30"/>
                <w:highlight w:val="none"/>
              </w:rPr>
            </w:pPr>
          </w:p>
          <w:p w14:paraId="425DBD9B">
            <w:pPr>
              <w:adjustRightInd w:val="0"/>
              <w:snapToGrid w:val="0"/>
              <w:spacing w:line="560" w:lineRule="exact"/>
              <w:ind w:firstLine="700" w:firstLineChars="250"/>
              <w:rPr>
                <w:color w:val="auto"/>
                <w:sz w:val="28"/>
                <w:szCs w:val="28"/>
                <w:highlight w:val="none"/>
              </w:rPr>
            </w:pPr>
            <w:r>
              <w:rPr>
                <w:rFonts w:hint="eastAsia"/>
                <w:color w:val="auto"/>
                <w:sz w:val="28"/>
                <w:szCs w:val="28"/>
                <w:highlight w:val="none"/>
              </w:rPr>
              <w:t>我单位对</w:t>
            </w:r>
            <w:bookmarkStart w:id="1124" w:name="_Toc15058950"/>
            <w:bookmarkStart w:id="1125" w:name="_Toc60061594"/>
            <w:bookmarkStart w:id="1126" w:name="_Toc506107366"/>
            <w:r>
              <w:rPr>
                <w:rFonts w:hint="eastAsia"/>
                <w:color w:val="auto"/>
                <w:sz w:val="28"/>
                <w:szCs w:val="28"/>
                <w:highlight w:val="none"/>
                <w:u w:val="single"/>
                <w:lang w:eastAsia="zh-CN"/>
              </w:rPr>
              <w:t>滁州工投中都科技产业园（一期）屋面光伏项目EPC项目</w:t>
            </w:r>
            <w:r>
              <w:rPr>
                <w:rFonts w:hint="eastAsia" w:ascii="宋体" w:hAnsi="宋体" w:cs="宋体"/>
                <w:color w:val="auto"/>
                <w:kern w:val="0"/>
                <w:sz w:val="28"/>
                <w:szCs w:val="28"/>
                <w:highlight w:val="none"/>
              </w:rPr>
              <w:t>招</w:t>
            </w:r>
            <w:bookmarkEnd w:id="1124"/>
            <w:bookmarkEnd w:id="1125"/>
            <w:bookmarkEnd w:id="1126"/>
            <w:r>
              <w:rPr>
                <w:rFonts w:hint="eastAsia" w:ascii="宋体" w:hAnsi="宋体" w:cs="宋体"/>
                <w:color w:val="auto"/>
                <w:kern w:val="0"/>
                <w:sz w:val="28"/>
                <w:szCs w:val="28"/>
                <w:highlight w:val="none"/>
              </w:rPr>
              <w:t>标</w:t>
            </w:r>
            <w:r>
              <w:rPr>
                <w:rFonts w:hint="eastAsia"/>
                <w:color w:val="auto"/>
                <w:sz w:val="28"/>
                <w:szCs w:val="28"/>
                <w:highlight w:val="none"/>
              </w:rPr>
              <w:t>的招标文件进行确认。</w:t>
            </w:r>
          </w:p>
          <w:p w14:paraId="64F9027C">
            <w:pPr>
              <w:wordWrap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招 标 人：</w:t>
            </w:r>
            <w:r>
              <w:rPr>
                <w:rFonts w:hint="eastAsia" w:ascii="宋体" w:hAnsi="宋体"/>
                <w:color w:val="auto"/>
                <w:sz w:val="28"/>
                <w:szCs w:val="28"/>
                <w:highlight w:val="none"/>
                <w:lang w:eastAsia="zh-CN"/>
              </w:rPr>
              <w:t>滁州工投中都科技产业园有限公司</w:t>
            </w:r>
            <w:r>
              <w:rPr>
                <w:rFonts w:hint="eastAsia" w:ascii="宋体" w:hAnsi="宋体"/>
                <w:color w:val="auto"/>
                <w:sz w:val="28"/>
                <w:szCs w:val="28"/>
                <w:highlight w:val="none"/>
              </w:rPr>
              <w:t xml:space="preserve">  </w:t>
            </w:r>
          </w:p>
          <w:p w14:paraId="310F6737">
            <w:pPr>
              <w:adjustRightInd w:val="0"/>
              <w:snapToGrid w:val="0"/>
              <w:spacing w:line="560" w:lineRule="exact"/>
              <w:ind w:firstLine="560" w:firstLineChars="200"/>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联 系 人：</w:t>
            </w:r>
            <w:r>
              <w:rPr>
                <w:rFonts w:hint="eastAsia" w:ascii="宋体" w:hAnsi="宋体"/>
                <w:color w:val="auto"/>
                <w:sz w:val="28"/>
                <w:szCs w:val="28"/>
                <w:highlight w:val="none"/>
                <w:lang w:val="en-US" w:eastAsia="zh-CN"/>
              </w:rPr>
              <w:t>中都联系人刘工、</w:t>
            </w:r>
            <w:r>
              <w:rPr>
                <w:rFonts w:hint="eastAsia" w:ascii="宋体" w:hAnsi="宋体"/>
                <w:color w:val="auto"/>
                <w:sz w:val="28"/>
                <w:szCs w:val="28"/>
                <w:highlight w:val="none"/>
                <w:lang w:eastAsia="zh-CN"/>
              </w:rPr>
              <w:t>蒋</w:t>
            </w:r>
            <w:r>
              <w:rPr>
                <w:rFonts w:hint="eastAsia" w:ascii="宋体" w:hAnsi="宋体"/>
                <w:color w:val="auto"/>
                <w:sz w:val="28"/>
                <w:szCs w:val="28"/>
                <w:highlight w:val="none"/>
                <w:lang w:val="en-US" w:eastAsia="zh-CN"/>
              </w:rPr>
              <w:t>工</w:t>
            </w:r>
          </w:p>
          <w:p w14:paraId="237AF772">
            <w:pPr>
              <w:adjustRightInd w:val="0"/>
              <w:snapToGrid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联系电话：</w:t>
            </w:r>
            <w:r>
              <w:rPr>
                <w:rFonts w:hint="eastAsia" w:ascii="宋体" w:hAnsi="宋体"/>
                <w:color w:val="auto"/>
                <w:sz w:val="28"/>
                <w:szCs w:val="28"/>
                <w:highlight w:val="none"/>
                <w:lang w:eastAsia="zh-CN"/>
              </w:rPr>
              <w:t>0550-3018125</w:t>
            </w:r>
            <w:r>
              <w:rPr>
                <w:rFonts w:hint="eastAsia" w:ascii="宋体" w:hAnsi="宋体"/>
                <w:color w:val="auto"/>
                <w:sz w:val="28"/>
                <w:szCs w:val="28"/>
                <w:highlight w:val="none"/>
              </w:rPr>
              <w:t xml:space="preserve">                     </w:t>
            </w:r>
          </w:p>
          <w:p w14:paraId="6F3A0F16">
            <w:pPr>
              <w:adjustRightInd w:val="0"/>
              <w:snapToGrid w:val="0"/>
              <w:spacing w:line="560" w:lineRule="exact"/>
              <w:ind w:firstLine="560" w:firstLineChars="200"/>
              <w:rPr>
                <w:rFonts w:ascii="宋体" w:hAnsi="宋体"/>
                <w:color w:val="auto"/>
                <w:sz w:val="28"/>
                <w:szCs w:val="28"/>
                <w:highlight w:val="none"/>
              </w:rPr>
            </w:pPr>
          </w:p>
          <w:p w14:paraId="18C2D881">
            <w:pPr>
              <w:adjustRightInd w:val="0"/>
              <w:snapToGrid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 xml:space="preserve">                                               </w:t>
            </w:r>
          </w:p>
          <w:p w14:paraId="660F37A4">
            <w:pPr>
              <w:adjustRightInd w:val="0"/>
              <w:snapToGrid w:val="0"/>
              <w:spacing w:line="560" w:lineRule="exact"/>
              <w:ind w:firstLine="6580" w:firstLineChars="2350"/>
              <w:rPr>
                <w:rFonts w:ascii="宋体" w:hAnsi="宋体"/>
                <w:color w:val="auto"/>
                <w:sz w:val="28"/>
                <w:szCs w:val="28"/>
                <w:highlight w:val="none"/>
              </w:rPr>
            </w:pPr>
            <w:r>
              <w:rPr>
                <w:rFonts w:hint="eastAsia" w:ascii="宋体" w:hAnsi="宋体"/>
                <w:color w:val="auto"/>
                <w:sz w:val="28"/>
                <w:szCs w:val="28"/>
                <w:highlight w:val="none"/>
              </w:rPr>
              <w:t>（</w:t>
            </w:r>
            <w:r>
              <w:rPr>
                <w:rFonts w:eastAsia="黑体"/>
                <w:color w:val="auto"/>
                <w:sz w:val="28"/>
                <w:szCs w:val="28"/>
                <w:highlight w:val="none"/>
              </w:rPr>
              <w:t>签</w:t>
            </w:r>
            <w:r>
              <w:rPr>
                <w:rFonts w:hint="eastAsia" w:eastAsia="黑体"/>
                <w:color w:val="auto"/>
                <w:sz w:val="28"/>
                <w:szCs w:val="28"/>
                <w:highlight w:val="none"/>
              </w:rPr>
              <w:t>章</w:t>
            </w:r>
            <w:r>
              <w:rPr>
                <w:rFonts w:hint="eastAsia" w:ascii="宋体" w:hAnsi="宋体"/>
                <w:color w:val="auto"/>
                <w:sz w:val="28"/>
                <w:szCs w:val="28"/>
                <w:highlight w:val="none"/>
              </w:rPr>
              <w:t>）</w:t>
            </w:r>
          </w:p>
          <w:p w14:paraId="1486C7B1">
            <w:pPr>
              <w:adjustRightInd w:val="0"/>
              <w:snapToGrid w:val="0"/>
              <w:spacing w:line="560" w:lineRule="exact"/>
              <w:ind w:firstLine="5040" w:firstLineChars="1800"/>
              <w:rPr>
                <w:rFonts w:hint="eastAsia" w:eastAsia="宋体"/>
                <w:color w:val="auto"/>
                <w:sz w:val="30"/>
                <w:highlight w:val="none"/>
                <w:lang w:eastAsia="zh-CN"/>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eastAsia="zh-CN"/>
              </w:rPr>
              <w:t>2026年9月8日</w:t>
            </w:r>
          </w:p>
        </w:tc>
      </w:tr>
      <w:tr w14:paraId="3C5B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6" w:hRule="atLeast"/>
          <w:jc w:val="center"/>
        </w:trPr>
        <w:tc>
          <w:tcPr>
            <w:tcW w:w="9580" w:type="dxa"/>
          </w:tcPr>
          <w:p w14:paraId="466481E2">
            <w:pPr>
              <w:adjustRightInd w:val="0"/>
              <w:snapToGrid w:val="0"/>
              <w:spacing w:line="560" w:lineRule="exact"/>
              <w:ind w:firstLine="600" w:firstLineChars="200"/>
              <w:rPr>
                <w:color w:val="auto"/>
                <w:sz w:val="30"/>
                <w:highlight w:val="none"/>
              </w:rPr>
            </w:pPr>
          </w:p>
          <w:p w14:paraId="6ED715D7">
            <w:pPr>
              <w:adjustRightInd w:val="0"/>
              <w:snapToGrid w:val="0"/>
              <w:spacing w:line="560" w:lineRule="exact"/>
              <w:ind w:firstLine="560" w:firstLineChars="200"/>
              <w:rPr>
                <w:color w:val="auto"/>
                <w:sz w:val="28"/>
                <w:szCs w:val="28"/>
                <w:highlight w:val="none"/>
              </w:rPr>
            </w:pPr>
            <w:r>
              <w:rPr>
                <w:rFonts w:hint="eastAsia"/>
                <w:color w:val="auto"/>
                <w:sz w:val="28"/>
                <w:szCs w:val="28"/>
                <w:highlight w:val="none"/>
              </w:rPr>
              <w:t>招标代理机构：滁州市城投工程咨询管理有限公司</w:t>
            </w:r>
          </w:p>
          <w:p w14:paraId="4F921407">
            <w:pPr>
              <w:spacing w:line="560" w:lineRule="exact"/>
              <w:ind w:firstLine="560" w:firstLineChars="200"/>
              <w:rPr>
                <w:rFonts w:ascii="宋体" w:hAnsi="宋体" w:cs="宋体"/>
                <w:color w:val="auto"/>
                <w:sz w:val="28"/>
                <w:szCs w:val="28"/>
                <w:highlight w:val="none"/>
                <w:u w:val="single"/>
              </w:rPr>
            </w:pPr>
            <w:r>
              <w:rPr>
                <w:rFonts w:hint="eastAsia"/>
                <w:color w:val="auto"/>
                <w:sz w:val="28"/>
                <w:szCs w:val="28"/>
                <w:highlight w:val="none"/>
              </w:rPr>
              <w:t>联系人：曹思敏</w:t>
            </w:r>
          </w:p>
          <w:p w14:paraId="4466A77F">
            <w:pPr>
              <w:adjustRightInd w:val="0"/>
              <w:snapToGrid w:val="0"/>
              <w:spacing w:line="560" w:lineRule="exact"/>
              <w:ind w:firstLine="560" w:firstLineChars="200"/>
              <w:rPr>
                <w:color w:val="auto"/>
                <w:sz w:val="28"/>
                <w:szCs w:val="28"/>
                <w:highlight w:val="none"/>
              </w:rPr>
            </w:pPr>
            <w:r>
              <w:rPr>
                <w:rFonts w:hint="eastAsia"/>
                <w:color w:val="auto"/>
                <w:sz w:val="28"/>
                <w:szCs w:val="28"/>
                <w:highlight w:val="none"/>
              </w:rPr>
              <w:t>联系电话：</w:t>
            </w:r>
            <w:r>
              <w:rPr>
                <w:rFonts w:hint="eastAsia" w:ascii="宋体" w:hAnsi="宋体" w:cs="宋体"/>
                <w:color w:val="auto"/>
                <w:sz w:val="28"/>
                <w:szCs w:val="28"/>
                <w:highlight w:val="none"/>
              </w:rPr>
              <w:t>0550-3519516、18712012204</w:t>
            </w:r>
          </w:p>
          <w:p w14:paraId="5014C5C6">
            <w:pPr>
              <w:adjustRightInd w:val="0"/>
              <w:snapToGrid w:val="0"/>
              <w:spacing w:line="560" w:lineRule="exact"/>
              <w:ind w:firstLine="280" w:firstLineChars="100"/>
              <w:rPr>
                <w:color w:val="auto"/>
                <w:sz w:val="28"/>
                <w:szCs w:val="28"/>
                <w:highlight w:val="none"/>
              </w:rPr>
            </w:pPr>
            <w:r>
              <w:rPr>
                <w:rFonts w:hint="eastAsia"/>
                <w:color w:val="auto"/>
                <w:sz w:val="28"/>
                <w:szCs w:val="28"/>
                <w:highlight w:val="none"/>
              </w:rPr>
              <w:t xml:space="preserve">                                  </w:t>
            </w:r>
          </w:p>
          <w:p w14:paraId="5F083DE9">
            <w:pPr>
              <w:adjustRightInd w:val="0"/>
              <w:snapToGrid w:val="0"/>
              <w:spacing w:line="560" w:lineRule="exact"/>
              <w:ind w:firstLine="280" w:firstLineChars="100"/>
              <w:rPr>
                <w:color w:val="auto"/>
                <w:sz w:val="28"/>
                <w:szCs w:val="28"/>
                <w:highlight w:val="none"/>
              </w:rPr>
            </w:pPr>
          </w:p>
          <w:p w14:paraId="6FF9FECD">
            <w:pPr>
              <w:adjustRightInd w:val="0"/>
              <w:snapToGrid w:val="0"/>
              <w:spacing w:line="560" w:lineRule="exact"/>
              <w:ind w:firstLine="280" w:firstLineChars="100"/>
              <w:jc w:val="center"/>
              <w:rPr>
                <w:color w:val="auto"/>
                <w:sz w:val="28"/>
                <w:szCs w:val="28"/>
                <w:highlight w:val="none"/>
              </w:rPr>
            </w:pPr>
            <w:r>
              <w:rPr>
                <w:rFonts w:hint="eastAsia"/>
                <w:color w:val="auto"/>
                <w:sz w:val="28"/>
                <w:szCs w:val="28"/>
                <w:highlight w:val="none"/>
              </w:rPr>
              <w:t xml:space="preserve">                               （</w:t>
            </w:r>
            <w:r>
              <w:rPr>
                <w:rFonts w:eastAsia="黑体"/>
                <w:color w:val="auto"/>
                <w:sz w:val="28"/>
                <w:szCs w:val="28"/>
                <w:highlight w:val="none"/>
              </w:rPr>
              <w:t>签</w:t>
            </w:r>
            <w:r>
              <w:rPr>
                <w:rFonts w:hint="eastAsia" w:eastAsia="黑体"/>
                <w:color w:val="auto"/>
                <w:sz w:val="28"/>
                <w:szCs w:val="28"/>
                <w:highlight w:val="none"/>
              </w:rPr>
              <w:t>章</w:t>
            </w:r>
            <w:r>
              <w:rPr>
                <w:rFonts w:hint="eastAsia"/>
                <w:color w:val="auto"/>
                <w:sz w:val="28"/>
                <w:szCs w:val="28"/>
                <w:highlight w:val="none"/>
              </w:rPr>
              <w:t>）</w:t>
            </w:r>
          </w:p>
          <w:p w14:paraId="22AE0761">
            <w:pPr>
              <w:adjustRightInd w:val="0"/>
              <w:snapToGrid w:val="0"/>
              <w:spacing w:line="560" w:lineRule="exact"/>
              <w:ind w:firstLine="4900" w:firstLineChars="1750"/>
              <w:rPr>
                <w:rFonts w:hint="eastAsia" w:eastAsia="宋体"/>
                <w:color w:val="auto"/>
                <w:sz w:val="30"/>
                <w:highlight w:val="none"/>
                <w:lang w:eastAsia="zh-CN"/>
              </w:rPr>
            </w:pPr>
            <w:r>
              <w:rPr>
                <w:rFonts w:hint="eastAsia"/>
                <w:color w:val="auto"/>
                <w:sz w:val="28"/>
                <w:szCs w:val="28"/>
                <w:highlight w:val="none"/>
              </w:rPr>
              <w:t xml:space="preserve">     </w:t>
            </w:r>
            <w:r>
              <w:rPr>
                <w:rFonts w:hint="eastAsia" w:ascii="宋体" w:hAnsi="宋体"/>
                <w:color w:val="auto"/>
                <w:sz w:val="28"/>
                <w:szCs w:val="28"/>
                <w:highlight w:val="none"/>
              </w:rPr>
              <w:t xml:space="preserve">   </w:t>
            </w:r>
            <w:bookmarkStart w:id="1127" w:name="_GoBack"/>
            <w:bookmarkEnd w:id="1127"/>
            <w:r>
              <w:rPr>
                <w:rFonts w:hint="eastAsia" w:ascii="宋体" w:hAnsi="宋体"/>
                <w:color w:val="auto"/>
                <w:sz w:val="28"/>
                <w:szCs w:val="28"/>
                <w:highlight w:val="none"/>
                <w:lang w:eastAsia="zh-CN"/>
              </w:rPr>
              <w:t>2026年9月8日</w:t>
            </w:r>
          </w:p>
        </w:tc>
      </w:tr>
      <w:bookmarkEnd w:id="1117"/>
    </w:tbl>
    <w:p w14:paraId="55E02ACF">
      <w:pPr>
        <w:rPr>
          <w:color w:val="auto"/>
          <w:highlight w:val="none"/>
        </w:rPr>
      </w:pPr>
    </w:p>
    <w:sectPr>
      <w:headerReference r:id="rId10" w:type="default"/>
      <w:footerReference r:id="rId11" w:type="default"/>
      <w:pgSz w:w="11906" w:h="16838"/>
      <w:pgMar w:top="1134" w:right="1417"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方正小标宋简体">
    <w:altName w:val="黑体"/>
    <w:panose1 w:val="00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Noto Sans SC">
    <w:panose1 w:val="020B0200000000000000"/>
    <w:charset w:val="86"/>
    <w:family w:val="swiss"/>
    <w:pitch w:val="default"/>
    <w:sig w:usb0="20000083" w:usb1="2ADF3C10" w:usb2="00000016" w:usb3="00000000" w:csb0="60060107"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62868">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CA5A9A">
                          <w:pPr>
                            <w:pStyle w:val="12"/>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24CA5A9A">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E0941">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BBCC6C">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3DBBCC6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DFB59">
    <w:pPr>
      <w:pStyle w:val="1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14EACE4">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114EACE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DF2C5">
    <w:pPr>
      <w:pStyle w:val="12"/>
      <w:rPr>
        <w:rFonts w:cs="宋体"/>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DEA90E">
                          <w:pPr>
                            <w:pStyle w:val="12"/>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22DEA90E">
                    <w:pPr>
                      <w:pStyle w:val="12"/>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5C991">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09B438">
                          <w:pPr>
                            <w:pStyle w:val="12"/>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1E09B438">
                    <w:pPr>
                      <w:pStyle w:val="12"/>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910FF">
    <w:pPr>
      <w:spacing w:line="170" w:lineRule="auto"/>
      <w:ind w:left="4032"/>
      <w:rPr>
        <w:rFonts w:ascii="仿宋" w:hAnsi="仿宋" w:eastAsia="仿宋" w:cs="仿宋"/>
        <w:szCs w:val="21"/>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69CBD2">
                          <w:pPr>
                            <w:pStyle w:val="12"/>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6169CBD2">
                    <w:pPr>
                      <w:pStyle w:val="12"/>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41359">
    <w:pPr>
      <w:pStyle w:val="1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1DB2DF">
                          <w:pPr>
                            <w:pStyle w:val="12"/>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631DB2DF">
                    <w:pPr>
                      <w:pStyle w:val="12"/>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715CB8B">
      <w:pPr>
        <w:pStyle w:val="14"/>
        <w:tabs>
          <w:tab w:val="left" w:pos="8104"/>
        </w:tabs>
      </w:pPr>
      <w:r>
        <w:rPr>
          <w:rStyle w:val="31"/>
        </w:rPr>
        <w:footnoteRef/>
      </w:r>
      <w:r>
        <w:t xml:space="preserve"> </w:t>
      </w:r>
      <w:r>
        <w:rPr>
          <w:rFonts w:hint="eastAsia"/>
        </w:rPr>
        <w:t>采用综合评估法和EPC综合评估法并设置业绩</w:t>
      </w:r>
      <w:r>
        <w:rPr>
          <w:rFonts w:hint="eastAsia" w:ascii="宋体" w:hAnsi="宋体" w:cs="宋体"/>
          <w:color w:val="000000"/>
          <w:szCs w:val="21"/>
        </w:rPr>
        <w:t>和奖项</w:t>
      </w:r>
      <w:r>
        <w:rPr>
          <w:rFonts w:hint="eastAsia"/>
        </w:rPr>
        <w:t>评分项的项目适用本款。</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D5AAA">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3EF96"/>
    <w:multiLevelType w:val="singleLevel"/>
    <w:tmpl w:val="8B53EF96"/>
    <w:lvl w:ilvl="0" w:tentative="0">
      <w:start w:val="3"/>
      <w:numFmt w:val="decimal"/>
      <w:lvlText w:val="(%1)"/>
      <w:lvlJc w:val="left"/>
      <w:pPr>
        <w:tabs>
          <w:tab w:val="left" w:pos="312"/>
        </w:tabs>
      </w:pPr>
    </w:lvl>
  </w:abstractNum>
  <w:abstractNum w:abstractNumId="1">
    <w:nsid w:val="93958678"/>
    <w:multiLevelType w:val="singleLevel"/>
    <w:tmpl w:val="93958678"/>
    <w:lvl w:ilvl="0" w:tentative="0">
      <w:start w:val="1"/>
      <w:numFmt w:val="decimal"/>
      <w:suff w:val="nothing"/>
      <w:lvlText w:val="（%1）"/>
      <w:lvlJc w:val="left"/>
    </w:lvl>
  </w:abstractNum>
  <w:abstractNum w:abstractNumId="2">
    <w:nsid w:val="9B0906DA"/>
    <w:multiLevelType w:val="singleLevel"/>
    <w:tmpl w:val="9B0906DA"/>
    <w:lvl w:ilvl="0" w:tentative="0">
      <w:start w:val="5"/>
      <w:numFmt w:val="decimal"/>
      <w:lvlText w:val="%1."/>
      <w:lvlJc w:val="left"/>
      <w:pPr>
        <w:tabs>
          <w:tab w:val="left" w:pos="312"/>
        </w:tabs>
      </w:pPr>
    </w:lvl>
  </w:abstractNum>
  <w:abstractNum w:abstractNumId="3">
    <w:nsid w:val="A6FCBC53"/>
    <w:multiLevelType w:val="singleLevel"/>
    <w:tmpl w:val="A6FCBC53"/>
    <w:lvl w:ilvl="0" w:tentative="0">
      <w:start w:val="2"/>
      <w:numFmt w:val="chineseCounting"/>
      <w:suff w:val="nothing"/>
      <w:lvlText w:val="%1、"/>
      <w:lvlJc w:val="left"/>
      <w:rPr>
        <w:rFonts w:hint="eastAsia"/>
      </w:rPr>
    </w:lvl>
  </w:abstractNum>
  <w:abstractNum w:abstractNumId="4">
    <w:nsid w:val="BFD0D545"/>
    <w:multiLevelType w:val="singleLevel"/>
    <w:tmpl w:val="BFD0D545"/>
    <w:lvl w:ilvl="0" w:tentative="0">
      <w:start w:val="3"/>
      <w:numFmt w:val="decimal"/>
      <w:suff w:val="nothing"/>
      <w:lvlText w:val="（%1）"/>
      <w:lvlJc w:val="left"/>
    </w:lvl>
  </w:abstractNum>
  <w:abstractNum w:abstractNumId="5">
    <w:nsid w:val="1008C64A"/>
    <w:multiLevelType w:val="singleLevel"/>
    <w:tmpl w:val="1008C64A"/>
    <w:lvl w:ilvl="0" w:tentative="0">
      <w:start w:val="1"/>
      <w:numFmt w:val="decimal"/>
      <w:suff w:val="nothing"/>
      <w:lvlText w:val="（%1）"/>
      <w:lvlJc w:val="left"/>
    </w:lvl>
  </w:abstractNum>
  <w:abstractNum w:abstractNumId="6">
    <w:nsid w:val="31A82D25"/>
    <w:multiLevelType w:val="singleLevel"/>
    <w:tmpl w:val="31A82D25"/>
    <w:lvl w:ilvl="0" w:tentative="0">
      <w:start w:val="1"/>
      <w:numFmt w:val="decimal"/>
      <w:lvlText w:val="(%1)"/>
      <w:lvlJc w:val="left"/>
      <w:pPr>
        <w:tabs>
          <w:tab w:val="left" w:pos="312"/>
        </w:tabs>
      </w:pPr>
    </w:lvl>
  </w:abstractNum>
  <w:abstractNum w:abstractNumId="7">
    <w:nsid w:val="6016677D"/>
    <w:multiLevelType w:val="singleLevel"/>
    <w:tmpl w:val="6016677D"/>
    <w:lvl w:ilvl="0" w:tentative="0">
      <w:start w:val="2"/>
      <w:numFmt w:val="decimal"/>
      <w:suff w:val="nothing"/>
      <w:lvlText w:val="%1、"/>
      <w:lvlJc w:val="left"/>
    </w:lvl>
  </w:abstractNum>
  <w:abstractNum w:abstractNumId="8">
    <w:nsid w:val="644F9311"/>
    <w:multiLevelType w:val="singleLevel"/>
    <w:tmpl w:val="644F9311"/>
    <w:lvl w:ilvl="0" w:tentative="0">
      <w:start w:val="1"/>
      <w:numFmt w:val="upperLetter"/>
      <w:lvlText w:val="%1."/>
      <w:lvlJc w:val="left"/>
      <w:pPr>
        <w:tabs>
          <w:tab w:val="left" w:pos="312"/>
        </w:tabs>
      </w:pPr>
    </w:lvl>
  </w:abstractNum>
  <w:abstractNum w:abstractNumId="9">
    <w:nsid w:val="6FBF3256"/>
    <w:multiLevelType w:val="multilevel"/>
    <w:tmpl w:val="6FBF3256"/>
    <w:lvl w:ilvl="0" w:tentative="0">
      <w:start w:val="1"/>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9"/>
  </w:num>
  <w:num w:numId="3">
    <w:abstractNumId w:val="6"/>
  </w:num>
  <w:num w:numId="4">
    <w:abstractNumId w:val="0"/>
  </w:num>
  <w:num w:numId="5">
    <w:abstractNumId w:val="1"/>
  </w:num>
  <w:num w:numId="6">
    <w:abstractNumId w:val="8"/>
  </w:num>
  <w:num w:numId="7">
    <w:abstractNumId w:val="7"/>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FE62D0"/>
    <w:rsid w:val="01283F63"/>
    <w:rsid w:val="0EEA5BD2"/>
    <w:rsid w:val="12427803"/>
    <w:rsid w:val="15B773A6"/>
    <w:rsid w:val="215E6082"/>
    <w:rsid w:val="22053DC1"/>
    <w:rsid w:val="239164BA"/>
    <w:rsid w:val="253521D1"/>
    <w:rsid w:val="27975009"/>
    <w:rsid w:val="2BA558A6"/>
    <w:rsid w:val="2CFB5520"/>
    <w:rsid w:val="2FA30E96"/>
    <w:rsid w:val="387A0EAF"/>
    <w:rsid w:val="38EC7B0C"/>
    <w:rsid w:val="3BA61568"/>
    <w:rsid w:val="3BF76020"/>
    <w:rsid w:val="50172782"/>
    <w:rsid w:val="520B222A"/>
    <w:rsid w:val="55690BF5"/>
    <w:rsid w:val="58707E4B"/>
    <w:rsid w:val="5FFE62D0"/>
    <w:rsid w:val="60261BC5"/>
    <w:rsid w:val="661C7228"/>
    <w:rsid w:val="6A806AF0"/>
    <w:rsid w:val="6DE466B9"/>
    <w:rsid w:val="6ED3075F"/>
    <w:rsid w:val="6F0743A9"/>
    <w:rsid w:val="79320682"/>
    <w:rsid w:val="7C7C1AD7"/>
    <w:rsid w:val="7E3C2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bCs/>
      <w:kern w:val="44"/>
      <w:sz w:val="44"/>
      <w:szCs w:val="44"/>
    </w:rPr>
  </w:style>
  <w:style w:type="paragraph" w:styleId="3">
    <w:name w:val="heading 2"/>
    <w:basedOn w:val="1"/>
    <w:next w:val="1"/>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qFormat/>
    <w:uiPriority w:val="0"/>
    <w:pPr>
      <w:keepNext/>
      <w:keepLines/>
      <w:spacing w:line="415" w:lineRule="auto"/>
      <w:outlineLvl w:val="2"/>
    </w:pPr>
    <w:rPr>
      <w:b/>
      <w:bCs/>
      <w:kern w:val="0"/>
      <w:sz w:val="32"/>
      <w:szCs w:val="32"/>
    </w:rPr>
  </w:style>
  <w:style w:type="paragraph" w:styleId="5">
    <w:name w:val="heading 4"/>
    <w:basedOn w:val="1"/>
    <w:next w:val="6"/>
    <w:qFormat/>
    <w:uiPriority w:val="0"/>
    <w:pPr>
      <w:keepNext/>
      <w:keepLines/>
      <w:spacing w:line="374" w:lineRule="auto"/>
      <w:outlineLvl w:val="3"/>
    </w:pPr>
    <w:rPr>
      <w:rFonts w:ascii="Arial" w:hAnsi="Arial" w:eastAsia="黑体"/>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Body Text 3"/>
    <w:basedOn w:val="1"/>
    <w:qFormat/>
    <w:uiPriority w:val="0"/>
    <w:rPr>
      <w:rFonts w:ascii="宋体"/>
      <w:sz w:val="24"/>
      <w:szCs w:val="20"/>
    </w:rPr>
  </w:style>
  <w:style w:type="paragraph" w:styleId="8">
    <w:name w:val="Body Text"/>
    <w:basedOn w:val="1"/>
    <w:qFormat/>
    <w:uiPriority w:val="0"/>
  </w:style>
  <w:style w:type="paragraph" w:styleId="9">
    <w:name w:val="Body Text Indent"/>
    <w:basedOn w:val="1"/>
    <w:qFormat/>
    <w:uiPriority w:val="0"/>
    <w:pPr>
      <w:ind w:left="420" w:leftChars="200"/>
    </w:pPr>
  </w:style>
  <w:style w:type="paragraph" w:styleId="10">
    <w:name w:val="toc 3"/>
    <w:basedOn w:val="1"/>
    <w:next w:val="1"/>
    <w:qFormat/>
    <w:uiPriority w:val="0"/>
    <w:pPr>
      <w:ind w:left="840" w:leftChars="400"/>
    </w:pPr>
  </w:style>
  <w:style w:type="paragraph" w:styleId="11">
    <w:name w:val="Body Text Indent 2"/>
    <w:basedOn w:val="1"/>
    <w:qFormat/>
    <w:uiPriority w:val="0"/>
    <w:pPr>
      <w:spacing w:line="360" w:lineRule="exact"/>
      <w:ind w:firstLine="600" w:firstLineChars="250"/>
      <w:jc w:val="left"/>
    </w:pPr>
    <w:rPr>
      <w:sz w:val="24"/>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toc 1"/>
    <w:basedOn w:val="1"/>
    <w:next w:val="1"/>
    <w:qFormat/>
    <w:uiPriority w:val="39"/>
    <w:pPr>
      <w:jc w:val="left"/>
    </w:pPr>
    <w:rPr>
      <w:b/>
      <w:bCs/>
      <w:caps/>
      <w:sz w:val="20"/>
      <w:szCs w:val="20"/>
    </w:rPr>
  </w:style>
  <w:style w:type="paragraph" w:styleId="14">
    <w:name w:val="footnote text"/>
    <w:basedOn w:val="1"/>
    <w:qFormat/>
    <w:uiPriority w:val="0"/>
    <w:rPr>
      <w:sz w:val="20"/>
      <w:szCs w:val="20"/>
    </w:rPr>
  </w:style>
  <w:style w:type="paragraph" w:styleId="15">
    <w:name w:val="toc 2"/>
    <w:basedOn w:val="1"/>
    <w:next w:val="1"/>
    <w:qFormat/>
    <w:uiPriority w:val="0"/>
    <w:pPr>
      <w:ind w:left="420" w:leftChars="200"/>
    </w:pPr>
  </w:style>
  <w:style w:type="paragraph" w:styleId="16">
    <w:name w:val="Normal (Web)"/>
    <w:basedOn w:val="1"/>
    <w:qFormat/>
    <w:uiPriority w:val="0"/>
    <w:pPr>
      <w:jc w:val="left"/>
    </w:pPr>
    <w:rPr>
      <w:kern w:val="0"/>
      <w:sz w:val="24"/>
    </w:rPr>
  </w:style>
  <w:style w:type="paragraph" w:styleId="17">
    <w:name w:val="Body Text First Indent"/>
    <w:basedOn w:val="8"/>
    <w:qFormat/>
    <w:uiPriority w:val="0"/>
    <w:pPr>
      <w:widowControl/>
      <w:spacing w:after="120"/>
      <w:ind w:firstLine="420" w:firstLineChars="100"/>
      <w:jc w:val="left"/>
    </w:pPr>
    <w:rPr>
      <w:rFonts w:eastAsia="Calibri"/>
    </w:rPr>
  </w:style>
  <w:style w:type="paragraph" w:styleId="18">
    <w:name w:val="Body Text First Indent 2"/>
    <w:basedOn w:val="9"/>
    <w:next w:val="1"/>
    <w:qFormat/>
    <w:uiPriority w:val="99"/>
    <w:pPr>
      <w:ind w:firstLine="420" w:firstLineChars="200"/>
    </w:pPr>
  </w:style>
  <w:style w:type="character" w:styleId="21">
    <w:name w:val="Strong"/>
    <w:basedOn w:val="20"/>
    <w:qFormat/>
    <w:uiPriority w:val="0"/>
    <w:rPr>
      <w:b/>
      <w:bCs/>
    </w:rPr>
  </w:style>
  <w:style w:type="character" w:styleId="22">
    <w:name w:val="FollowedHyperlink"/>
    <w:basedOn w:val="20"/>
    <w:qFormat/>
    <w:uiPriority w:val="0"/>
    <w:rPr>
      <w:color w:val="5C5C5C"/>
      <w:u w:val="none"/>
    </w:rPr>
  </w:style>
  <w:style w:type="character" w:styleId="23">
    <w:name w:val="Emphasis"/>
    <w:basedOn w:val="20"/>
    <w:qFormat/>
    <w:uiPriority w:val="0"/>
    <w:rPr>
      <w:b/>
      <w:bCs/>
    </w:rPr>
  </w:style>
  <w:style w:type="character" w:styleId="24">
    <w:name w:val="HTML Definition"/>
    <w:basedOn w:val="20"/>
    <w:qFormat/>
    <w:uiPriority w:val="0"/>
  </w:style>
  <w:style w:type="character" w:styleId="25">
    <w:name w:val="HTML Typewriter"/>
    <w:basedOn w:val="20"/>
    <w:qFormat/>
    <w:uiPriority w:val="0"/>
    <w:rPr>
      <w:rFonts w:ascii="monospace" w:hAnsi="monospace" w:eastAsia="monospace" w:cs="monospace"/>
      <w:sz w:val="20"/>
    </w:rPr>
  </w:style>
  <w:style w:type="character" w:styleId="26">
    <w:name w:val="HTML Acronym"/>
    <w:basedOn w:val="20"/>
    <w:qFormat/>
    <w:uiPriority w:val="0"/>
  </w:style>
  <w:style w:type="character" w:styleId="27">
    <w:name w:val="HTML Variable"/>
    <w:basedOn w:val="20"/>
    <w:qFormat/>
    <w:uiPriority w:val="0"/>
  </w:style>
  <w:style w:type="character" w:styleId="28">
    <w:name w:val="Hyperlink"/>
    <w:qFormat/>
    <w:uiPriority w:val="99"/>
    <w:rPr>
      <w:color w:val="333333"/>
      <w:u w:val="none"/>
    </w:rPr>
  </w:style>
  <w:style w:type="character" w:styleId="29">
    <w:name w:val="HTML Code"/>
    <w:basedOn w:val="20"/>
    <w:qFormat/>
    <w:uiPriority w:val="0"/>
    <w:rPr>
      <w:rFonts w:hint="default" w:ascii="monospace" w:hAnsi="monospace" w:eastAsia="monospace" w:cs="monospace"/>
      <w:sz w:val="20"/>
    </w:rPr>
  </w:style>
  <w:style w:type="character" w:styleId="30">
    <w:name w:val="HTML Cite"/>
    <w:basedOn w:val="20"/>
    <w:qFormat/>
    <w:uiPriority w:val="0"/>
  </w:style>
  <w:style w:type="character" w:styleId="31">
    <w:name w:val="footnote reference"/>
    <w:qFormat/>
    <w:uiPriority w:val="0"/>
    <w:rPr>
      <w:vertAlign w:val="superscript"/>
    </w:rPr>
  </w:style>
  <w:style w:type="character" w:styleId="32">
    <w:name w:val="HTML Keyboard"/>
    <w:basedOn w:val="20"/>
    <w:qFormat/>
    <w:uiPriority w:val="0"/>
    <w:rPr>
      <w:rFonts w:hint="default" w:ascii="monospace" w:hAnsi="monospace" w:eastAsia="monospace" w:cs="monospace"/>
      <w:sz w:val="20"/>
    </w:rPr>
  </w:style>
  <w:style w:type="character" w:styleId="33">
    <w:name w:val="HTML Sample"/>
    <w:basedOn w:val="20"/>
    <w:qFormat/>
    <w:uiPriority w:val="0"/>
    <w:rPr>
      <w:rFonts w:hint="default" w:ascii="monospace" w:hAnsi="monospace" w:eastAsia="monospace" w:cs="monospace"/>
    </w:rPr>
  </w:style>
  <w:style w:type="paragraph" w:customStyle="1" w:styleId="34">
    <w:name w:val="_Style 10"/>
    <w:basedOn w:val="2"/>
    <w:next w:val="1"/>
    <w:autoRedefine/>
    <w:qFormat/>
    <w:uiPriority w:val="39"/>
    <w:pPr>
      <w:widowControl/>
      <w:spacing w:before="480" w:line="276" w:lineRule="auto"/>
      <w:jc w:val="left"/>
      <w:outlineLvl w:val="9"/>
    </w:pPr>
    <w:rPr>
      <w:rFonts w:ascii="Cambria" w:hAnsi="Cambria"/>
      <w:color w:val="365F91"/>
      <w:kern w:val="0"/>
      <w:sz w:val="28"/>
      <w:szCs w:val="28"/>
    </w:rPr>
  </w:style>
  <w:style w:type="paragraph" w:customStyle="1" w:styleId="35">
    <w:name w:val="p0"/>
    <w:basedOn w:val="1"/>
    <w:autoRedefine/>
    <w:qFormat/>
    <w:uiPriority w:val="0"/>
    <w:pPr>
      <w:widowControl/>
    </w:pPr>
    <w:rPr>
      <w:kern w:val="0"/>
      <w:szCs w:val="21"/>
    </w:rPr>
  </w:style>
  <w:style w:type="paragraph" w:customStyle="1" w:styleId="36">
    <w:name w:val="Table Paragraph"/>
    <w:basedOn w:val="1"/>
    <w:autoRedefine/>
    <w:qFormat/>
    <w:uiPriority w:val="1"/>
    <w:rPr>
      <w:rFonts w:ascii="宋体" w:hAnsi="宋体" w:cs="宋体"/>
      <w:lang w:val="zh-CN" w:bidi="zh-CN"/>
    </w:rPr>
  </w:style>
  <w:style w:type="paragraph" w:customStyle="1" w:styleId="37">
    <w:name w:val="Main Title"/>
    <w:next w:val="1"/>
    <w:qFormat/>
    <w:uiPriority w:val="0"/>
    <w:pPr>
      <w:adjustRightInd w:val="0"/>
      <w:snapToGrid w:val="0"/>
      <w:spacing w:afterLines="50" w:line="360" w:lineRule="auto"/>
      <w:jc w:val="center"/>
    </w:pPr>
    <w:rPr>
      <w:rFonts w:ascii="黑体" w:hAnsi="黑体" w:eastAsia="黑体" w:cs="Times New Roman"/>
      <w:b/>
      <w:kern w:val="2"/>
      <w:sz w:val="36"/>
      <w:szCs w:val="22"/>
      <w:lang w:val="zh-CN" w:eastAsia="zh-CN" w:bidi="ar-SA"/>
    </w:rPr>
  </w:style>
  <w:style w:type="paragraph" w:customStyle="1" w:styleId="38">
    <w:name w:val="TOC 标题2"/>
    <w:basedOn w:val="2"/>
    <w:next w:val="1"/>
    <w:qFormat/>
    <w:uiPriority w:val="0"/>
    <w:pPr>
      <w:spacing w:before="260" w:after="260" w:line="413" w:lineRule="auto"/>
    </w:pPr>
    <w:rPr>
      <w:rFonts w:ascii="宋体" w:hAnsi="宋体"/>
      <w:sz w:val="36"/>
      <w:lang w:val="zh-CN"/>
    </w:rPr>
  </w:style>
  <w:style w:type="paragraph" w:customStyle="1" w:styleId="39">
    <w:name w:val="协议书标题2"/>
    <w:basedOn w:val="3"/>
    <w:next w:val="1"/>
    <w:autoRedefine/>
    <w:qFormat/>
    <w:uiPriority w:val="0"/>
    <w:pPr>
      <w:keepNext w:val="0"/>
      <w:keepLines w:val="0"/>
      <w:tabs>
        <w:tab w:val="left" w:pos="567"/>
      </w:tabs>
      <w:spacing w:line="360" w:lineRule="auto"/>
      <w:ind w:left="425"/>
      <w:jc w:val="left"/>
    </w:pPr>
    <w:rPr>
      <w:rFonts w:ascii="宋体" w:hAnsi="宋体" w:eastAsia="宋体"/>
      <w:sz w:val="24"/>
    </w:rPr>
  </w:style>
  <w:style w:type="paragraph" w:customStyle="1" w:styleId="40">
    <w:name w:val="table"/>
    <w:autoRedefin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41">
    <w:name w:val="通用标题2"/>
    <w:basedOn w:val="3"/>
    <w:next w:val="1"/>
    <w:qFormat/>
    <w:uiPriority w:val="0"/>
    <w:pPr>
      <w:keepNext w:val="0"/>
      <w:keepLines w:val="0"/>
      <w:tabs>
        <w:tab w:val="left" w:pos="993"/>
      </w:tabs>
      <w:spacing w:line="360" w:lineRule="auto"/>
    </w:pPr>
    <w:rPr>
      <w:rFonts w:ascii="黑体" w:hAnsi="黑体"/>
    </w:rPr>
  </w:style>
  <w:style w:type="paragraph" w:customStyle="1" w:styleId="42">
    <w:name w:val="专用标题2"/>
    <w:basedOn w:val="3"/>
    <w:next w:val="1"/>
    <w:autoRedefine/>
    <w:qFormat/>
    <w:uiPriority w:val="0"/>
    <w:pPr>
      <w:keepNext w:val="0"/>
      <w:keepLines w:val="0"/>
      <w:tabs>
        <w:tab w:val="left" w:pos="993"/>
      </w:tabs>
      <w:spacing w:line="360" w:lineRule="auto"/>
    </w:pPr>
    <w:rPr>
      <w:rFonts w:ascii="宋体" w:hAnsi="宋体" w:eastAsia="宋体" w:cs="Times"/>
    </w:rPr>
  </w:style>
  <w:style w:type="table" w:customStyle="1" w:styleId="43">
    <w:name w:val="Table Normal"/>
    <w:autoRedefine/>
    <w:unhideWhenUsed/>
    <w:qFormat/>
    <w:uiPriority w:val="0"/>
    <w:tblPr>
      <w:tblCellMar>
        <w:top w:w="0" w:type="dxa"/>
        <w:left w:w="0" w:type="dxa"/>
        <w:bottom w:w="0" w:type="dxa"/>
        <w:right w:w="0" w:type="dxa"/>
      </w:tblCellMar>
    </w:tblPr>
  </w:style>
  <w:style w:type="character" w:customStyle="1" w:styleId="44">
    <w:name w:val="样式 宋体 四号"/>
    <w:autoRedefine/>
    <w:qFormat/>
    <w:uiPriority w:val="0"/>
    <w:rPr>
      <w:rFonts w:ascii="宋体" w:hAnsi="宋体" w:eastAsia="仿宋_GB2312"/>
      <w:sz w:val="28"/>
    </w:rPr>
  </w:style>
  <w:style w:type="character" w:customStyle="1" w:styleId="45">
    <w:name w:val="font01"/>
    <w:basedOn w:val="20"/>
    <w:autoRedefine/>
    <w:qFormat/>
    <w:uiPriority w:val="0"/>
    <w:rPr>
      <w:rFonts w:hint="eastAsia" w:ascii="宋体" w:hAnsi="宋体" w:eastAsia="宋体" w:cs="宋体"/>
      <w:color w:val="000000"/>
      <w:sz w:val="22"/>
      <w:szCs w:val="22"/>
      <w:u w:val="none"/>
    </w:rPr>
  </w:style>
  <w:style w:type="character" w:customStyle="1" w:styleId="46">
    <w:name w:val="font11"/>
    <w:basedOn w:val="20"/>
    <w:autoRedefine/>
    <w:qFormat/>
    <w:uiPriority w:val="0"/>
    <w:rPr>
      <w:rFonts w:hint="eastAsia" w:ascii="宋体" w:hAnsi="宋体" w:eastAsia="宋体" w:cs="宋体"/>
      <w:color w:val="000000"/>
      <w:sz w:val="22"/>
      <w:szCs w:val="22"/>
      <w:u w:val="single"/>
    </w:rPr>
  </w:style>
  <w:style w:type="paragraph" w:customStyle="1" w:styleId="47">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4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9">
    <w:name w:val="列出段落1"/>
    <w:basedOn w:val="1"/>
    <w:autoRedefine/>
    <w:qFormat/>
    <w:uiPriority w:val="1"/>
    <w:pPr>
      <w:ind w:left="354" w:firstLine="420"/>
    </w:pPr>
    <w:rPr>
      <w:rFonts w:ascii="宋体" w:hAnsi="宋体" w:cs="宋体"/>
      <w:lang w:val="zh-CN" w:bidi="zh-CN"/>
    </w:rPr>
  </w:style>
  <w:style w:type="character" w:customStyle="1" w:styleId="50">
    <w:name w:val="hover1"/>
    <w:basedOn w:val="20"/>
    <w:qFormat/>
    <w:uiPriority w:val="0"/>
    <w:rPr>
      <w:color w:val="2590EB"/>
    </w:rPr>
  </w:style>
  <w:style w:type="character" w:customStyle="1" w:styleId="51">
    <w:name w:val="hover2"/>
    <w:basedOn w:val="20"/>
    <w:qFormat/>
    <w:uiPriority w:val="0"/>
    <w:rPr>
      <w:color w:val="2590EB"/>
    </w:rPr>
  </w:style>
  <w:style w:type="character" w:customStyle="1" w:styleId="52">
    <w:name w:val="hover3"/>
    <w:basedOn w:val="20"/>
    <w:qFormat/>
    <w:uiPriority w:val="0"/>
  </w:style>
  <w:style w:type="character" w:customStyle="1" w:styleId="53">
    <w:name w:val="hover4"/>
    <w:basedOn w:val="20"/>
    <w:qFormat/>
    <w:uiPriority w:val="0"/>
    <w:rPr>
      <w:color w:val="2590EB"/>
      <w:shd w:val="clear" w:fill="E9F4FD"/>
    </w:rPr>
  </w:style>
  <w:style w:type="character" w:customStyle="1" w:styleId="54">
    <w:name w:val="mini-outputtext1"/>
    <w:basedOn w:val="20"/>
    <w:qFormat/>
    <w:uiPriority w:val="0"/>
  </w:style>
  <w:style w:type="character" w:customStyle="1" w:styleId="55">
    <w:name w:val="hover"/>
    <w:basedOn w:val="20"/>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146</Pages>
  <Words>19475</Words>
  <Characters>21049</Characters>
  <Lines>0</Lines>
  <Paragraphs>0</Paragraphs>
  <TotalTime>4</TotalTime>
  <ScaleCrop>false</ScaleCrop>
  <LinksUpToDate>false</LinksUpToDate>
  <CharactersWithSpaces>21305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2026-08-20T03:35:00Z</dcterms:created>
  <dc:creator>Pim Pom丶</dc:creator>
  <cp:lastModifiedBy>Pim Pom丶</cp:lastModifiedBy>
  <dcterms:modified xsi:type="dcterms:W3CDTF">2026-09-08T08:50:26Z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265E1CAD94634CA3B65F9D4BB29CDF69_13</vt:lpwstr>
  </property>
  <property fmtid="{D5CDD505-2E9C-101B-9397-08002B2CF9AE}" pid="4" name="KSOTemplateDocerSaveRecord">
    <vt:lpwstr>eyJoZGlkIjoiOTk1OGJkZDZlMmJiZjgxZThhZWQ4YzE0YWIxYTUyMmQiLCJ1c2VySWQiOiI0MDkyMjI1MTkifQ==</vt:lpwstr>
  </property>
</Properties>
</file>