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2CF20A">
      <w:pPr>
        <w:spacing w:line="400" w:lineRule="exact"/>
        <w:rPr>
          <w:rFonts w:hint="eastAsia" w:ascii="宋体" w:hAnsi="宋体"/>
          <w:bCs/>
          <w:sz w:val="24"/>
        </w:rPr>
      </w:pPr>
      <w:bookmarkStart w:id="0" w:name="_GoBack"/>
      <w:bookmarkEnd w:id="0"/>
    </w:p>
    <w:p w14:paraId="32CC1782">
      <w:pPr>
        <w:jc w:val="center"/>
        <w:rPr>
          <w:rFonts w:hint="eastAsia" w:ascii="Times New Roman" w:hAnsi="Times New Roman" w:eastAsia="宋体" w:cs="Times New Roman"/>
          <w:b/>
          <w:bCs/>
          <w:sz w:val="44"/>
        </w:rPr>
      </w:pPr>
      <w:r>
        <w:rPr>
          <w:rFonts w:hint="eastAsia" w:ascii="Times New Roman" w:hAnsi="Times New Roman" w:eastAsia="宋体" w:cs="Times New Roman"/>
          <w:b/>
          <w:bCs/>
          <w:sz w:val="44"/>
        </w:rPr>
        <w:t>最高投标限价总说明</w:t>
      </w:r>
    </w:p>
    <w:p w14:paraId="4E50F709">
      <w:pPr>
        <w:spacing w:line="540" w:lineRule="exact"/>
        <w:rPr>
          <w:rFonts w:hint="eastAsia" w:ascii="宋体" w:hAnsi="宋体" w:eastAsia="宋体" w:cs="Times New Roman"/>
          <w:bCs/>
          <w:sz w:val="24"/>
          <w:lang w:eastAsia="zh-CN"/>
        </w:rPr>
      </w:pPr>
      <w:r>
        <w:rPr>
          <w:rFonts w:hint="eastAsia" w:ascii="宋体" w:hAnsi="宋体" w:eastAsia="宋体" w:cs="Times New Roman"/>
          <w:bCs/>
          <w:sz w:val="24"/>
        </w:rPr>
        <w:t>工程名称：</w:t>
      </w:r>
      <w:r>
        <w:rPr>
          <w:rFonts w:hint="eastAsia" w:ascii="宋体" w:hAnsi="宋体" w:cs="Times New Roman"/>
          <w:bCs/>
          <w:sz w:val="24"/>
          <w:lang w:eastAsia="zh-CN"/>
        </w:rPr>
        <w:t>金山路（世纪大道-安郢路段）东侧挡土墙项目</w:t>
      </w:r>
    </w:p>
    <w:p w14:paraId="78EA01F4">
      <w:pPr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 xml:space="preserve">                                             </w:t>
      </w:r>
    </w:p>
    <w:p w14:paraId="50A73F44">
      <w:pPr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 xml:space="preserve">项目编号：                                             </w:t>
      </w:r>
    </w:p>
    <w:tbl>
      <w:tblPr>
        <w:tblStyle w:val="14"/>
        <w:tblpPr w:leftFromText="180" w:rightFromText="180" w:vertAnchor="text" w:horzAnchor="margin" w:tblpY="433"/>
        <w:tblW w:w="9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 w14:paraId="04246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5" w:hRule="atLeast"/>
        </w:trPr>
        <w:tc>
          <w:tcPr>
            <w:tcW w:w="9360" w:type="dxa"/>
            <w:noWrap w:val="0"/>
            <w:vAlign w:val="top"/>
          </w:tcPr>
          <w:p w14:paraId="06AF116B">
            <w:pPr>
              <w:spacing w:line="360" w:lineRule="exact"/>
              <w:rPr>
                <w:rFonts w:hint="eastAsia"/>
                <w:sz w:val="28"/>
              </w:rPr>
            </w:pPr>
          </w:p>
          <w:p w14:paraId="4EA372D4">
            <w:pPr>
              <w:spacing w:line="360" w:lineRule="exact"/>
              <w:ind w:firstLine="560" w:firstLineChars="20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一、采用的计价依据：</w:t>
            </w:r>
          </w:p>
          <w:p w14:paraId="7A91187A">
            <w:pPr>
              <w:spacing w:line="360" w:lineRule="exact"/>
              <w:ind w:firstLine="560" w:firstLineChars="200"/>
              <w:rPr>
                <w:rFonts w:hint="eastAsia"/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rFonts w:hint="eastAsia"/>
                <w:sz w:val="28"/>
              </w:rPr>
              <w:t>、</w:t>
            </w:r>
            <w:r>
              <w:rPr>
                <w:rFonts w:hint="eastAsia"/>
                <w:sz w:val="28"/>
                <w:lang w:eastAsia="zh-CN"/>
              </w:rPr>
              <w:t>金山路（世纪大道-安郢路段）东侧挡土墙项目</w:t>
            </w:r>
            <w:r>
              <w:rPr>
                <w:rFonts w:hint="eastAsia"/>
                <w:sz w:val="28"/>
              </w:rPr>
              <w:t>工程量清单；</w:t>
            </w:r>
          </w:p>
          <w:p w14:paraId="269B52CA">
            <w:pPr>
              <w:spacing w:line="360" w:lineRule="exact"/>
              <w:ind w:firstLine="560" w:firstLineChars="20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  <w:lang w:val="en-US" w:eastAsia="zh-CN"/>
              </w:rPr>
              <w:t>2、滁州市城乡建设规划设计院有限公司</w:t>
            </w:r>
            <w:r>
              <w:rPr>
                <w:rFonts w:hint="eastAsia"/>
                <w:sz w:val="28"/>
              </w:rPr>
              <w:t>设计的</w:t>
            </w:r>
            <w:r>
              <w:rPr>
                <w:rFonts w:hint="eastAsia"/>
                <w:sz w:val="28"/>
                <w:lang w:eastAsia="zh-CN"/>
              </w:rPr>
              <w:t>金山路（世纪大道-安郢路段）东侧挡土墙项目</w:t>
            </w:r>
            <w:r>
              <w:rPr>
                <w:rFonts w:hint="eastAsia"/>
                <w:sz w:val="28"/>
              </w:rPr>
              <w:t>项目施工图设计文件；</w:t>
            </w:r>
          </w:p>
          <w:p w14:paraId="75B79E69">
            <w:pPr>
              <w:spacing w:line="400" w:lineRule="exact"/>
              <w:ind w:firstLine="560" w:firstLineChars="20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  <w:lang w:val="en-US" w:eastAsia="zh-CN"/>
              </w:rPr>
              <w:t>3、</w:t>
            </w:r>
            <w:r>
              <w:rPr>
                <w:rFonts w:hint="eastAsia"/>
                <w:sz w:val="28"/>
                <w:lang w:eastAsia="zh-CN"/>
              </w:rPr>
              <w:t>金山路（世纪大道-安郢路段）东侧挡土墙项目工程量清单、最高投标限价编制补疑</w:t>
            </w:r>
            <w:r>
              <w:rPr>
                <w:rFonts w:hint="eastAsia"/>
                <w:sz w:val="28"/>
              </w:rPr>
              <w:t>；</w:t>
            </w:r>
          </w:p>
          <w:p w14:paraId="61A234A3">
            <w:pPr>
              <w:spacing w:line="480" w:lineRule="exact"/>
              <w:ind w:firstLine="560" w:firstLineChars="200"/>
              <w:rPr>
                <w:rFonts w:hint="eastAsia" w:ascii="Times New Roman" w:hAnsi="Times New Roman" w:eastAsia="宋体" w:cs="Times New Roman"/>
                <w:sz w:val="28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4、</w:t>
            </w:r>
            <w:r>
              <w:rPr>
                <w:rFonts w:hint="eastAsia" w:ascii="Times New Roman" w:hAnsi="Times New Roman" w:eastAsia="宋体" w:cs="Times New Roman"/>
                <w:sz w:val="28"/>
              </w:rPr>
              <w:t>2018版安徽省建设工程计价依据（含修编版）、安徽省建设工程计价依据动态调整（第1期）。</w:t>
            </w:r>
          </w:p>
          <w:p w14:paraId="322A98BD">
            <w:pPr>
              <w:spacing w:line="360" w:lineRule="exact"/>
              <w:ind w:firstLine="560" w:firstLineChars="200"/>
              <w:rPr>
                <w:rFonts w:hint="eastAsia"/>
                <w:sz w:val="28"/>
              </w:rPr>
            </w:pPr>
            <w:r>
              <w:rPr>
                <w:sz w:val="28"/>
              </w:rPr>
              <w:t>二</w:t>
            </w:r>
            <w:r>
              <w:rPr>
                <w:rFonts w:hint="eastAsia"/>
                <w:sz w:val="28"/>
              </w:rPr>
              <w:t>、</w:t>
            </w:r>
            <w:r>
              <w:rPr>
                <w:sz w:val="28"/>
              </w:rPr>
              <w:t>采用的价格信息来源</w:t>
            </w:r>
            <w:r>
              <w:rPr>
                <w:rFonts w:hint="eastAsia"/>
                <w:sz w:val="28"/>
              </w:rPr>
              <w:t>：</w:t>
            </w:r>
          </w:p>
          <w:p w14:paraId="16E87ACD">
            <w:pPr>
              <w:spacing w:line="360" w:lineRule="exact"/>
              <w:ind w:firstLine="560" w:firstLineChars="200"/>
              <w:rPr>
                <w:rFonts w:hint="eastAsia"/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rFonts w:hint="eastAsia"/>
                <w:sz w:val="28"/>
              </w:rPr>
              <w:t>、主要材料价格：采用</w:t>
            </w:r>
            <w:r>
              <w:rPr>
                <w:rFonts w:hint="eastAsia"/>
                <w:sz w:val="28"/>
                <w:u w:val="single"/>
              </w:rPr>
              <w:t xml:space="preserve"> </w:t>
            </w:r>
            <w:r>
              <w:rPr>
                <w:rFonts w:hint="eastAsia"/>
                <w:sz w:val="28"/>
                <w:u w:val="single"/>
                <w:lang w:val="en-US" w:eastAsia="zh-CN"/>
              </w:rPr>
              <w:t>2025</w:t>
            </w:r>
            <w:r>
              <w:rPr>
                <w:rFonts w:hint="eastAsia"/>
                <w:sz w:val="28"/>
                <w:u w:val="single"/>
              </w:rPr>
              <w:t xml:space="preserve"> </w:t>
            </w:r>
            <w:r>
              <w:rPr>
                <w:rFonts w:hint="eastAsia"/>
                <w:sz w:val="28"/>
              </w:rPr>
              <w:t>年第</w:t>
            </w:r>
            <w:r>
              <w:rPr>
                <w:rFonts w:hint="eastAsia"/>
                <w:sz w:val="28"/>
                <w:u w:val="single"/>
              </w:rPr>
              <w:t xml:space="preserve">  </w:t>
            </w:r>
            <w:r>
              <w:rPr>
                <w:rFonts w:hint="eastAsia"/>
                <w:sz w:val="28"/>
                <w:u w:val="single"/>
                <w:lang w:val="en-US" w:eastAsia="zh-CN"/>
              </w:rPr>
              <w:t>12</w:t>
            </w:r>
            <w:r>
              <w:rPr>
                <w:rFonts w:hint="eastAsia"/>
                <w:sz w:val="28"/>
                <w:u w:val="single"/>
              </w:rPr>
              <w:t xml:space="preserve">  </w:t>
            </w:r>
            <w:r>
              <w:rPr>
                <w:rFonts w:hint="eastAsia"/>
                <w:sz w:val="28"/>
              </w:rPr>
              <w:t>期</w:t>
            </w:r>
            <w:r>
              <w:rPr>
                <w:rFonts w:hint="eastAsia"/>
                <w:sz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sz w:val="28"/>
                <w:u w:val="single"/>
                <w:lang w:val="en-US" w:eastAsia="zh-CN"/>
              </w:rPr>
              <w:t>滁州</w:t>
            </w:r>
            <w:r>
              <w:rPr>
                <w:rFonts w:hint="eastAsia" w:ascii="Times New Roman" w:hAnsi="Times New Roman" w:eastAsia="宋体" w:cs="Times New Roman"/>
                <w:sz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</w:rPr>
              <w:t>地区建设工程市场价格信息主刊不含进项税价格；信息价没有的材料、设备按照市场询价（不含进项税价格）计入。</w:t>
            </w:r>
          </w:p>
          <w:p w14:paraId="3190C593">
            <w:pPr>
              <w:spacing w:line="360" w:lineRule="exact"/>
              <w:ind w:firstLine="560" w:firstLineChars="200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2、</w:t>
            </w:r>
            <w:r>
              <w:rPr>
                <w:rFonts w:hint="eastAsia" w:ascii="宋体" w:hAnsi="宋体"/>
                <w:sz w:val="28"/>
                <w:lang w:val="en-US" w:eastAsia="zh-CN"/>
              </w:rPr>
              <w:t>定额人工单价按140元/工日计取</w:t>
            </w:r>
            <w:r>
              <w:rPr>
                <w:rFonts w:hint="eastAsia" w:ascii="宋体" w:hAnsi="宋体"/>
                <w:sz w:val="28"/>
              </w:rPr>
              <w:t>，定额人工费参与取费、取税，</w:t>
            </w:r>
            <w:r>
              <w:rPr>
                <w:rFonts w:ascii="宋体" w:hAnsi="宋体"/>
                <w:sz w:val="28"/>
              </w:rPr>
              <w:t>人工信息价相对于定额人工单价增加部分</w:t>
            </w:r>
            <w:r>
              <w:rPr>
                <w:rFonts w:hint="eastAsia" w:ascii="宋体" w:hAnsi="宋体"/>
                <w:sz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8"/>
                <w:highlight w:val="none"/>
                <w:u w:val="single"/>
                <w:lang w:val="en-US" w:eastAsia="zh-CN"/>
              </w:rPr>
              <w:t xml:space="preserve"> 16.5 </w:t>
            </w:r>
            <w:r>
              <w:rPr>
                <w:rFonts w:hint="eastAsia" w:ascii="宋体" w:hAnsi="宋体"/>
                <w:sz w:val="28"/>
                <w:u w:val="single"/>
                <w:lang w:val="en-US" w:eastAsia="zh-CN"/>
              </w:rPr>
              <w:t xml:space="preserve"> </w:t>
            </w:r>
            <w:r>
              <w:rPr>
                <w:rFonts w:ascii="宋体" w:hAnsi="宋体"/>
                <w:sz w:val="28"/>
              </w:rPr>
              <w:t>元只计取税金。</w:t>
            </w:r>
          </w:p>
          <w:p w14:paraId="21550056">
            <w:pPr>
              <w:spacing w:line="360" w:lineRule="exact"/>
              <w:ind w:firstLine="560" w:firstLineChars="20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3、机械费价差按规定计取。</w:t>
            </w:r>
          </w:p>
          <w:p w14:paraId="39C4C020">
            <w:pPr>
              <w:spacing w:line="360" w:lineRule="exact"/>
              <w:ind w:firstLine="560" w:firstLineChars="200"/>
              <w:rPr>
                <w:rFonts w:hint="eastAsia" w:ascii="Times New Roman" w:hAnsi="Times New Roman" w:eastAsia="宋体" w:cs="Times New Roman"/>
                <w:sz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</w:rPr>
              <w:t>三、工程取费：</w:t>
            </w:r>
          </w:p>
          <w:p w14:paraId="15D7E377">
            <w:pPr>
              <w:spacing w:line="360" w:lineRule="exact"/>
              <w:ind w:firstLine="560" w:firstLineChars="200"/>
              <w:rPr>
                <w:rFonts w:hint="eastAsia" w:ascii="Times New Roman" w:hAnsi="Times New Roman" w:eastAsia="宋体" w:cs="Times New Roman"/>
                <w:sz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</w:rPr>
              <w:t>本工程措施项目</w:t>
            </w:r>
            <w:r>
              <w:rPr>
                <w:rFonts w:hint="eastAsia" w:ascii="Times New Roman" w:hAnsi="Times New Roman" w:eastAsia="宋体" w:cs="Times New Roman"/>
                <w:sz w:val="28"/>
                <w:lang w:val="en-US" w:eastAsia="zh-CN"/>
              </w:rPr>
              <w:t>费</w:t>
            </w:r>
            <w:r>
              <w:rPr>
                <w:rFonts w:hint="eastAsia" w:ascii="Times New Roman" w:hAnsi="Times New Roman" w:eastAsia="宋体" w:cs="Times New Roman"/>
                <w:sz w:val="28"/>
              </w:rPr>
              <w:t>费率</w:t>
            </w:r>
            <w:r>
              <w:rPr>
                <w:rFonts w:hint="eastAsia" w:ascii="Times New Roman" w:hAnsi="Times New Roman" w:eastAsia="宋体" w:cs="Times New Roman"/>
                <w:sz w:val="28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sz w:val="28"/>
                <w:lang w:val="en-US" w:eastAsia="zh-CN"/>
              </w:rPr>
              <w:t>企业管理费费率、利润费率、</w:t>
            </w:r>
            <w:r>
              <w:rPr>
                <w:rFonts w:hint="eastAsia" w:ascii="Times New Roman" w:hAnsi="Times New Roman" w:eastAsia="宋体" w:cs="Times New Roman"/>
                <w:sz w:val="28"/>
              </w:rPr>
              <w:t>不可竞争</w:t>
            </w:r>
            <w:r>
              <w:rPr>
                <w:rFonts w:hint="eastAsia" w:ascii="Times New Roman" w:hAnsi="Times New Roman" w:eastAsia="宋体" w:cs="Times New Roman"/>
                <w:sz w:val="28"/>
                <w:lang w:val="en-US" w:eastAsia="zh-CN"/>
              </w:rPr>
              <w:t>费</w:t>
            </w:r>
            <w:r>
              <w:rPr>
                <w:rFonts w:hint="eastAsia" w:ascii="Times New Roman" w:hAnsi="Times New Roman" w:eastAsia="宋体" w:cs="Times New Roman"/>
                <w:sz w:val="28"/>
              </w:rPr>
              <w:t>费率</w:t>
            </w:r>
            <w:r>
              <w:rPr>
                <w:rFonts w:hint="eastAsia" w:ascii="Times New Roman" w:hAnsi="Times New Roman" w:eastAsia="宋体" w:cs="Times New Roman"/>
                <w:sz w:val="28"/>
                <w:lang w:val="en-US" w:eastAsia="zh-CN"/>
              </w:rPr>
              <w:t>按</w:t>
            </w:r>
            <w:r>
              <w:rPr>
                <w:rFonts w:hint="eastAsia" w:ascii="Times New Roman" w:hAnsi="Times New Roman" w:eastAsia="宋体" w:cs="Times New Roman"/>
                <w:sz w:val="28"/>
              </w:rPr>
              <w:t>“</w:t>
            </w:r>
            <w:r>
              <w:rPr>
                <w:rFonts w:hint="eastAsia" w:ascii="Times New Roman" w:hAnsi="Times New Roman" w:eastAsia="宋体" w:cs="Times New Roman"/>
                <w:sz w:val="28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8"/>
                <w:u w:val="single"/>
                <w:lang w:val="en-US" w:eastAsia="zh-CN"/>
              </w:rPr>
              <w:t>建筑</w:t>
            </w:r>
            <w:r>
              <w:rPr>
                <w:rFonts w:hint="eastAsia" w:ascii="Times New Roman" w:hAnsi="Times New Roman" w:eastAsia="宋体" w:cs="Times New Roman"/>
                <w:sz w:val="28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8"/>
              </w:rPr>
              <w:t>工程取费标准”中费率计取。</w:t>
            </w:r>
          </w:p>
          <w:p w14:paraId="6FAE6450">
            <w:pPr>
              <w:spacing w:line="360" w:lineRule="exact"/>
              <w:ind w:firstLine="560" w:firstLineChars="200"/>
              <w:rPr>
                <w:rFonts w:hint="eastAsia" w:ascii="Times New Roman" w:hAnsi="Times New Roman" w:eastAsia="宋体" w:cs="Times New Roman"/>
                <w:sz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</w:rPr>
              <w:t>四、税率计算：</w:t>
            </w:r>
          </w:p>
          <w:p w14:paraId="62D32226">
            <w:pPr>
              <w:spacing w:line="360" w:lineRule="exact"/>
              <w:ind w:firstLine="560" w:firstLineChars="20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本</w:t>
            </w:r>
            <w:r>
              <w:rPr>
                <w:rFonts w:hint="eastAsia"/>
                <w:sz w:val="28"/>
                <w:lang w:val="en-US" w:eastAsia="zh-CN"/>
              </w:rPr>
              <w:t>工程</w:t>
            </w:r>
            <w:r>
              <w:rPr>
                <w:rFonts w:hint="eastAsia"/>
                <w:sz w:val="28"/>
              </w:rPr>
              <w:t>采用一般计税方法，增值税税率按9%计算，建设工程造价=税前工程造价</w:t>
            </w:r>
            <w:r>
              <w:rPr>
                <w:rFonts w:hint="eastAsia" w:ascii="宋体" w:hAnsi="宋体"/>
                <w:sz w:val="28"/>
              </w:rPr>
              <w:t>*</w:t>
            </w:r>
            <w:r>
              <w:rPr>
                <w:rFonts w:hint="eastAsia"/>
                <w:sz w:val="28"/>
              </w:rPr>
              <w:t>（1+9%）。</w:t>
            </w:r>
          </w:p>
          <w:p w14:paraId="1EB287EC">
            <w:pPr>
              <w:spacing w:line="360" w:lineRule="exact"/>
              <w:ind w:firstLine="560" w:firstLineChars="200"/>
              <w:rPr>
                <w:sz w:val="28"/>
              </w:rPr>
            </w:pPr>
            <w:r>
              <w:rPr>
                <w:rFonts w:hint="eastAsia"/>
                <w:sz w:val="28"/>
              </w:rPr>
              <w:t>五、其它说明：</w:t>
            </w:r>
            <w:r>
              <w:rPr>
                <w:sz w:val="28"/>
              </w:rPr>
              <w:t xml:space="preserve"> </w:t>
            </w:r>
          </w:p>
          <w:p w14:paraId="24E243EC">
            <w:pPr>
              <w:spacing w:line="360" w:lineRule="exact"/>
              <w:ind w:firstLine="560" w:firstLineChars="200"/>
              <w:rPr>
                <w:sz w:val="28"/>
                <w:u w:val="single"/>
              </w:rPr>
            </w:pPr>
            <w:r>
              <w:rPr>
                <w:sz w:val="28"/>
              </w:rPr>
              <w:t>1</w:t>
            </w:r>
            <w:r>
              <w:rPr>
                <w:rFonts w:hint="eastAsia"/>
                <w:sz w:val="28"/>
              </w:rPr>
              <w:t>、总承包服务费：</w:t>
            </w:r>
            <w:r>
              <w:rPr>
                <w:rFonts w:hint="eastAsia"/>
                <w:sz w:val="28"/>
                <w:u w:val="single"/>
              </w:rPr>
              <w:t>详见招标文件及其补疑文件。</w:t>
            </w:r>
          </w:p>
          <w:p w14:paraId="5D974F29">
            <w:pPr>
              <w:spacing w:line="360" w:lineRule="exact"/>
              <w:ind w:firstLine="560" w:firstLineChars="200"/>
              <w:rPr>
                <w:sz w:val="28"/>
                <w:u w:val="single"/>
              </w:rPr>
            </w:pPr>
            <w:r>
              <w:rPr>
                <w:sz w:val="28"/>
              </w:rPr>
              <w:t>2</w:t>
            </w:r>
            <w:r>
              <w:rPr>
                <w:rFonts w:hint="eastAsia"/>
                <w:sz w:val="28"/>
              </w:rPr>
              <w:t>、实行暂估价的材料、设备、专业工程及其价格：</w:t>
            </w:r>
            <w:r>
              <w:rPr>
                <w:rFonts w:hint="eastAsia"/>
                <w:sz w:val="28"/>
                <w:u w:val="single"/>
              </w:rPr>
              <w:t>详见招标文件及其补疑文件；</w:t>
            </w:r>
          </w:p>
          <w:p w14:paraId="146FDB30">
            <w:pPr>
              <w:spacing w:line="360" w:lineRule="exact"/>
              <w:ind w:firstLine="560" w:firstLineChars="200"/>
              <w:rPr>
                <w:rFonts w:hint="eastAsia"/>
                <w:sz w:val="28"/>
                <w:u w:val="single"/>
              </w:rPr>
            </w:pPr>
            <w:r>
              <w:rPr>
                <w:rFonts w:hint="eastAsia"/>
                <w:sz w:val="28"/>
              </w:rPr>
              <w:t>实行暂估价材料、设备、专业工程的采购、保管费：</w:t>
            </w:r>
            <w:r>
              <w:rPr>
                <w:rFonts w:hint="eastAsia"/>
                <w:sz w:val="28"/>
                <w:u w:val="single"/>
              </w:rPr>
              <w:t>详见招标文件及其补疑文件。</w:t>
            </w:r>
          </w:p>
          <w:p w14:paraId="78B2864A">
            <w:pPr>
              <w:spacing w:line="360" w:lineRule="exact"/>
              <w:ind w:firstLine="560" w:firstLineChars="200"/>
              <w:rPr>
                <w:rFonts w:hint="eastAsia"/>
                <w:sz w:val="28"/>
                <w:u w:val="single"/>
              </w:rPr>
            </w:pPr>
            <w:r>
              <w:rPr>
                <w:sz w:val="28"/>
              </w:rPr>
              <w:t>3</w:t>
            </w:r>
            <w:r>
              <w:rPr>
                <w:rFonts w:hint="eastAsia"/>
                <w:sz w:val="28"/>
              </w:rPr>
              <w:t>、建设单位自行采购的材料、工程设备及其价格：</w:t>
            </w:r>
            <w:r>
              <w:rPr>
                <w:rFonts w:hint="eastAsia"/>
                <w:sz w:val="28"/>
                <w:u w:val="single"/>
              </w:rPr>
              <w:t xml:space="preserve"> 详见招标文件及其补疑文件；</w:t>
            </w:r>
          </w:p>
          <w:p w14:paraId="7B558D6D">
            <w:pPr>
              <w:spacing w:line="360" w:lineRule="exact"/>
              <w:ind w:firstLine="560" w:firstLineChars="200"/>
              <w:rPr>
                <w:rFonts w:hint="eastAsia"/>
                <w:sz w:val="28"/>
                <w:u w:val="single"/>
              </w:rPr>
            </w:pPr>
            <w:r>
              <w:rPr>
                <w:rFonts w:hint="eastAsia"/>
                <w:sz w:val="28"/>
              </w:rPr>
              <w:t>建设单位自行采购材料、工程设备的采购、保管费：</w:t>
            </w:r>
            <w:r>
              <w:rPr>
                <w:rFonts w:hint="eastAsia"/>
                <w:sz w:val="28"/>
                <w:u w:val="single"/>
              </w:rPr>
              <w:t>详见招标文件及其补疑文件。</w:t>
            </w:r>
          </w:p>
          <w:p w14:paraId="7E1877C2">
            <w:pPr>
              <w:numPr>
                <w:ilvl w:val="0"/>
                <w:numId w:val="1"/>
              </w:numPr>
              <w:spacing w:line="360" w:lineRule="exact"/>
              <w:ind w:firstLine="560" w:firstLineChars="200"/>
              <w:rPr>
                <w:rFonts w:hint="eastAsia"/>
                <w:sz w:val="28"/>
                <w:u w:val="single"/>
              </w:rPr>
            </w:pPr>
            <w:r>
              <w:rPr>
                <w:rFonts w:hint="eastAsia"/>
                <w:sz w:val="28"/>
              </w:rPr>
              <w:t>暂列金额：</w:t>
            </w:r>
            <w:r>
              <w:rPr>
                <w:rFonts w:hint="eastAsia"/>
                <w:sz w:val="28"/>
                <w:u w:val="single"/>
                <w:lang w:val="en-US" w:eastAsia="zh-CN"/>
              </w:rPr>
              <w:t>3万元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8"/>
                <w:highlight w:val="none"/>
                <w:u w:val="single"/>
                <w:lang w:val="en-US" w:eastAsia="zh-CN"/>
              </w:rPr>
              <w:t>，列入土建工程清单中</w:t>
            </w:r>
            <w:r>
              <w:rPr>
                <w:rFonts w:hint="eastAsia"/>
                <w:sz w:val="28"/>
                <w:u w:val="single"/>
              </w:rPr>
              <w:t>。</w:t>
            </w:r>
          </w:p>
          <w:p w14:paraId="0E0B1FC8">
            <w:pPr>
              <w:numPr>
                <w:ilvl w:val="0"/>
                <w:numId w:val="1"/>
              </w:numPr>
              <w:spacing w:line="360" w:lineRule="exact"/>
              <w:ind w:firstLine="560" w:firstLineChars="200"/>
              <w:rPr>
                <w:rFonts w:hint="eastAsia"/>
                <w:sz w:val="28"/>
                <w:u w:val="single"/>
              </w:rPr>
            </w:pPr>
            <w:r>
              <w:rPr>
                <w:rFonts w:hint="eastAsia"/>
                <w:sz w:val="28"/>
                <w:u w:val="none"/>
                <w:lang w:val="en-US" w:eastAsia="zh-CN"/>
              </w:rPr>
              <w:t>控制价金额：</w:t>
            </w:r>
            <w:r>
              <w:rPr>
                <w:rFonts w:hint="eastAsia"/>
                <w:sz w:val="28"/>
                <w:u w:val="single"/>
                <w:lang w:val="en-US" w:eastAsia="zh-CN"/>
              </w:rPr>
              <w:t>590057.15元</w:t>
            </w:r>
          </w:p>
        </w:tc>
      </w:tr>
    </w:tbl>
    <w:p w14:paraId="6CBCF765">
      <w:pPr>
        <w:rPr>
          <w:sz w:val="44"/>
          <w:szCs w:val="44"/>
        </w:rPr>
      </w:pPr>
    </w:p>
    <w:sectPr>
      <w:headerReference r:id="rId3" w:type="default"/>
      <w:footerReference r:id="rId5" w:type="default"/>
      <w:headerReference r:id="rId4" w:type="even"/>
      <w:pgSz w:w="11906" w:h="16838"/>
      <w:pgMar w:top="1871" w:right="1503" w:bottom="1871" w:left="15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74648C">
    <w:pPr>
      <w:pStyle w:val="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fldChar w:fldCharType="end"/>
    </w:r>
  </w:p>
  <w:p w14:paraId="19E4F790"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BDF061">
    <w:pPr>
      <w:pStyle w:val="10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E23419">
    <w:pPr>
      <w:pStyle w:val="1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A3FA8C"/>
    <w:multiLevelType w:val="singleLevel"/>
    <w:tmpl w:val="DCA3FA8C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zY2VjMGMzNjBlNDE2MzkxYjM2Nzc4ZWI0NGNmY2IifQ=="/>
  </w:docVars>
  <w:rsids>
    <w:rsidRoot w:val="00172A27"/>
    <w:rsid w:val="00002FFC"/>
    <w:rsid w:val="00015B46"/>
    <w:rsid w:val="0001711A"/>
    <w:rsid w:val="00032486"/>
    <w:rsid w:val="00055868"/>
    <w:rsid w:val="00060539"/>
    <w:rsid w:val="000A4DBE"/>
    <w:rsid w:val="000A60B1"/>
    <w:rsid w:val="000C6DB0"/>
    <w:rsid w:val="000D195F"/>
    <w:rsid w:val="000E5594"/>
    <w:rsid w:val="000E5BD3"/>
    <w:rsid w:val="00104F64"/>
    <w:rsid w:val="0010736E"/>
    <w:rsid w:val="00111C61"/>
    <w:rsid w:val="00111FB4"/>
    <w:rsid w:val="00124EE7"/>
    <w:rsid w:val="00130A0E"/>
    <w:rsid w:val="00131DC4"/>
    <w:rsid w:val="0014006B"/>
    <w:rsid w:val="0015661B"/>
    <w:rsid w:val="00183435"/>
    <w:rsid w:val="001A0624"/>
    <w:rsid w:val="001E65AB"/>
    <w:rsid w:val="001E7B42"/>
    <w:rsid w:val="00202C77"/>
    <w:rsid w:val="00203B28"/>
    <w:rsid w:val="00214396"/>
    <w:rsid w:val="002162A8"/>
    <w:rsid w:val="00221D62"/>
    <w:rsid w:val="00225E04"/>
    <w:rsid w:val="00234C64"/>
    <w:rsid w:val="00235203"/>
    <w:rsid w:val="00240820"/>
    <w:rsid w:val="00262403"/>
    <w:rsid w:val="00273D8C"/>
    <w:rsid w:val="00281A19"/>
    <w:rsid w:val="00282DCE"/>
    <w:rsid w:val="002A1B62"/>
    <w:rsid w:val="002B7661"/>
    <w:rsid w:val="002C3E74"/>
    <w:rsid w:val="002D16BB"/>
    <w:rsid w:val="002D1992"/>
    <w:rsid w:val="002D39D0"/>
    <w:rsid w:val="002D4AA9"/>
    <w:rsid w:val="002D5AE3"/>
    <w:rsid w:val="002D6FEA"/>
    <w:rsid w:val="002F14C9"/>
    <w:rsid w:val="003010AC"/>
    <w:rsid w:val="00304A72"/>
    <w:rsid w:val="00316ED0"/>
    <w:rsid w:val="0031783B"/>
    <w:rsid w:val="00326CDB"/>
    <w:rsid w:val="0034212C"/>
    <w:rsid w:val="00342B09"/>
    <w:rsid w:val="00345465"/>
    <w:rsid w:val="00372E66"/>
    <w:rsid w:val="00377588"/>
    <w:rsid w:val="003965FE"/>
    <w:rsid w:val="003A2634"/>
    <w:rsid w:val="003A3BAB"/>
    <w:rsid w:val="003A3C83"/>
    <w:rsid w:val="003A6448"/>
    <w:rsid w:val="003E418D"/>
    <w:rsid w:val="003F2FD6"/>
    <w:rsid w:val="00410D4D"/>
    <w:rsid w:val="0041140D"/>
    <w:rsid w:val="00416D18"/>
    <w:rsid w:val="00423948"/>
    <w:rsid w:val="00444C95"/>
    <w:rsid w:val="004532E6"/>
    <w:rsid w:val="004536A5"/>
    <w:rsid w:val="004643B6"/>
    <w:rsid w:val="0048726E"/>
    <w:rsid w:val="00491309"/>
    <w:rsid w:val="004A0FC1"/>
    <w:rsid w:val="004A202F"/>
    <w:rsid w:val="004C0F84"/>
    <w:rsid w:val="004C1477"/>
    <w:rsid w:val="004C4A89"/>
    <w:rsid w:val="004C72A9"/>
    <w:rsid w:val="004D25B4"/>
    <w:rsid w:val="00506394"/>
    <w:rsid w:val="00516981"/>
    <w:rsid w:val="005238D9"/>
    <w:rsid w:val="00551C51"/>
    <w:rsid w:val="00562124"/>
    <w:rsid w:val="0056635F"/>
    <w:rsid w:val="005761AE"/>
    <w:rsid w:val="005900E3"/>
    <w:rsid w:val="005945C8"/>
    <w:rsid w:val="00596020"/>
    <w:rsid w:val="005974D3"/>
    <w:rsid w:val="005B0658"/>
    <w:rsid w:val="005B1206"/>
    <w:rsid w:val="005B69C7"/>
    <w:rsid w:val="005D706E"/>
    <w:rsid w:val="005E1D76"/>
    <w:rsid w:val="005E2608"/>
    <w:rsid w:val="005E3C8D"/>
    <w:rsid w:val="005E724A"/>
    <w:rsid w:val="005F1657"/>
    <w:rsid w:val="006150BA"/>
    <w:rsid w:val="0061741B"/>
    <w:rsid w:val="0062371E"/>
    <w:rsid w:val="00624BB2"/>
    <w:rsid w:val="006351E6"/>
    <w:rsid w:val="00664DB2"/>
    <w:rsid w:val="00693B58"/>
    <w:rsid w:val="00712885"/>
    <w:rsid w:val="00715F40"/>
    <w:rsid w:val="00722DFB"/>
    <w:rsid w:val="00724B56"/>
    <w:rsid w:val="00725EC7"/>
    <w:rsid w:val="007400DA"/>
    <w:rsid w:val="00752DF9"/>
    <w:rsid w:val="00756242"/>
    <w:rsid w:val="00764050"/>
    <w:rsid w:val="0078083D"/>
    <w:rsid w:val="00790F00"/>
    <w:rsid w:val="007925EB"/>
    <w:rsid w:val="007A7183"/>
    <w:rsid w:val="007B7FA7"/>
    <w:rsid w:val="007C7B61"/>
    <w:rsid w:val="007E04A6"/>
    <w:rsid w:val="007F49E4"/>
    <w:rsid w:val="00806D0C"/>
    <w:rsid w:val="0081557C"/>
    <w:rsid w:val="0081789D"/>
    <w:rsid w:val="00823A0C"/>
    <w:rsid w:val="008476AA"/>
    <w:rsid w:val="008708EC"/>
    <w:rsid w:val="008711D2"/>
    <w:rsid w:val="008735F3"/>
    <w:rsid w:val="008763AD"/>
    <w:rsid w:val="008775FA"/>
    <w:rsid w:val="00877DB3"/>
    <w:rsid w:val="00880AC7"/>
    <w:rsid w:val="00880B28"/>
    <w:rsid w:val="00883C65"/>
    <w:rsid w:val="00892472"/>
    <w:rsid w:val="00895701"/>
    <w:rsid w:val="008A57F8"/>
    <w:rsid w:val="008A779F"/>
    <w:rsid w:val="008B423D"/>
    <w:rsid w:val="008C6780"/>
    <w:rsid w:val="008D553E"/>
    <w:rsid w:val="008E50ED"/>
    <w:rsid w:val="008F1D53"/>
    <w:rsid w:val="009019C5"/>
    <w:rsid w:val="00907A73"/>
    <w:rsid w:val="00907DA1"/>
    <w:rsid w:val="00916269"/>
    <w:rsid w:val="00934F6D"/>
    <w:rsid w:val="0093763A"/>
    <w:rsid w:val="00940C18"/>
    <w:rsid w:val="009518B2"/>
    <w:rsid w:val="0096048C"/>
    <w:rsid w:val="009718A6"/>
    <w:rsid w:val="0097393F"/>
    <w:rsid w:val="009831F6"/>
    <w:rsid w:val="009B0F6F"/>
    <w:rsid w:val="009C1A09"/>
    <w:rsid w:val="009D0EC6"/>
    <w:rsid w:val="00A147C5"/>
    <w:rsid w:val="00A14BA6"/>
    <w:rsid w:val="00A24D7E"/>
    <w:rsid w:val="00A3580E"/>
    <w:rsid w:val="00A46D8C"/>
    <w:rsid w:val="00A679B2"/>
    <w:rsid w:val="00A72015"/>
    <w:rsid w:val="00A747F1"/>
    <w:rsid w:val="00AA0FE0"/>
    <w:rsid w:val="00AC6E47"/>
    <w:rsid w:val="00AE0B73"/>
    <w:rsid w:val="00AE657E"/>
    <w:rsid w:val="00AE65D6"/>
    <w:rsid w:val="00B17FB1"/>
    <w:rsid w:val="00B2408E"/>
    <w:rsid w:val="00B33CA2"/>
    <w:rsid w:val="00B35C80"/>
    <w:rsid w:val="00B37023"/>
    <w:rsid w:val="00B40064"/>
    <w:rsid w:val="00B46B71"/>
    <w:rsid w:val="00B53F7E"/>
    <w:rsid w:val="00B57160"/>
    <w:rsid w:val="00B57514"/>
    <w:rsid w:val="00B77720"/>
    <w:rsid w:val="00B835D6"/>
    <w:rsid w:val="00B91006"/>
    <w:rsid w:val="00BB3C11"/>
    <w:rsid w:val="00BB5A3A"/>
    <w:rsid w:val="00BB77BF"/>
    <w:rsid w:val="00BD6838"/>
    <w:rsid w:val="00BF189D"/>
    <w:rsid w:val="00C026FD"/>
    <w:rsid w:val="00C02B91"/>
    <w:rsid w:val="00C0487C"/>
    <w:rsid w:val="00C05607"/>
    <w:rsid w:val="00C3038D"/>
    <w:rsid w:val="00C37FE9"/>
    <w:rsid w:val="00C41341"/>
    <w:rsid w:val="00C50546"/>
    <w:rsid w:val="00C508EF"/>
    <w:rsid w:val="00C515D3"/>
    <w:rsid w:val="00C552CC"/>
    <w:rsid w:val="00C77FE8"/>
    <w:rsid w:val="00C9107C"/>
    <w:rsid w:val="00C91471"/>
    <w:rsid w:val="00C9685C"/>
    <w:rsid w:val="00CB54AE"/>
    <w:rsid w:val="00CC3368"/>
    <w:rsid w:val="00CD297F"/>
    <w:rsid w:val="00CE180A"/>
    <w:rsid w:val="00CE4E0F"/>
    <w:rsid w:val="00CF1F60"/>
    <w:rsid w:val="00CF2A72"/>
    <w:rsid w:val="00D139C5"/>
    <w:rsid w:val="00D163CF"/>
    <w:rsid w:val="00D36C19"/>
    <w:rsid w:val="00D41FD3"/>
    <w:rsid w:val="00D66E35"/>
    <w:rsid w:val="00D66F64"/>
    <w:rsid w:val="00D8173D"/>
    <w:rsid w:val="00D97F67"/>
    <w:rsid w:val="00DA12FB"/>
    <w:rsid w:val="00DA1699"/>
    <w:rsid w:val="00DA2D17"/>
    <w:rsid w:val="00DB4C03"/>
    <w:rsid w:val="00DD2F60"/>
    <w:rsid w:val="00DE5AD6"/>
    <w:rsid w:val="00DE7105"/>
    <w:rsid w:val="00E0218E"/>
    <w:rsid w:val="00E059D3"/>
    <w:rsid w:val="00E1602F"/>
    <w:rsid w:val="00E1624D"/>
    <w:rsid w:val="00E26AC6"/>
    <w:rsid w:val="00E30068"/>
    <w:rsid w:val="00E35FF6"/>
    <w:rsid w:val="00E445C7"/>
    <w:rsid w:val="00E455C3"/>
    <w:rsid w:val="00E5282F"/>
    <w:rsid w:val="00E539AC"/>
    <w:rsid w:val="00E63369"/>
    <w:rsid w:val="00E717B9"/>
    <w:rsid w:val="00E747A1"/>
    <w:rsid w:val="00E77C46"/>
    <w:rsid w:val="00EA091F"/>
    <w:rsid w:val="00EB7D44"/>
    <w:rsid w:val="00EC13F9"/>
    <w:rsid w:val="00ED0040"/>
    <w:rsid w:val="00ED2E8C"/>
    <w:rsid w:val="00F0256B"/>
    <w:rsid w:val="00F200BA"/>
    <w:rsid w:val="00F44DB6"/>
    <w:rsid w:val="00F45638"/>
    <w:rsid w:val="00F5796E"/>
    <w:rsid w:val="00F627BD"/>
    <w:rsid w:val="00F65C80"/>
    <w:rsid w:val="00F72B95"/>
    <w:rsid w:val="00F91A1F"/>
    <w:rsid w:val="00F97042"/>
    <w:rsid w:val="00FA0A3A"/>
    <w:rsid w:val="00FB1E2D"/>
    <w:rsid w:val="00FB3AFD"/>
    <w:rsid w:val="00FF207B"/>
    <w:rsid w:val="06F41082"/>
    <w:rsid w:val="07DA5891"/>
    <w:rsid w:val="08337083"/>
    <w:rsid w:val="085770F7"/>
    <w:rsid w:val="095E40A4"/>
    <w:rsid w:val="0A3F28A7"/>
    <w:rsid w:val="0A852F32"/>
    <w:rsid w:val="0B0B0B09"/>
    <w:rsid w:val="0BE81F29"/>
    <w:rsid w:val="0C411257"/>
    <w:rsid w:val="10DF1876"/>
    <w:rsid w:val="135D0CE1"/>
    <w:rsid w:val="146B4FEF"/>
    <w:rsid w:val="14D60239"/>
    <w:rsid w:val="152B43B6"/>
    <w:rsid w:val="16647684"/>
    <w:rsid w:val="166C7196"/>
    <w:rsid w:val="18012A91"/>
    <w:rsid w:val="18D36871"/>
    <w:rsid w:val="19BB08C0"/>
    <w:rsid w:val="1B2C23F1"/>
    <w:rsid w:val="1CE9719C"/>
    <w:rsid w:val="1F154199"/>
    <w:rsid w:val="1FB25480"/>
    <w:rsid w:val="22A26468"/>
    <w:rsid w:val="25474A1E"/>
    <w:rsid w:val="27541274"/>
    <w:rsid w:val="2B1F0366"/>
    <w:rsid w:val="2D9259EE"/>
    <w:rsid w:val="2EE8337B"/>
    <w:rsid w:val="2FEA3EFA"/>
    <w:rsid w:val="2FFB576A"/>
    <w:rsid w:val="30D81288"/>
    <w:rsid w:val="315506C1"/>
    <w:rsid w:val="321201BB"/>
    <w:rsid w:val="341B2E2C"/>
    <w:rsid w:val="3527452E"/>
    <w:rsid w:val="35B7416A"/>
    <w:rsid w:val="3A5D6EBF"/>
    <w:rsid w:val="3A8D769E"/>
    <w:rsid w:val="3CF1388E"/>
    <w:rsid w:val="3D432D4D"/>
    <w:rsid w:val="3E417F11"/>
    <w:rsid w:val="3E8062F1"/>
    <w:rsid w:val="40F560DE"/>
    <w:rsid w:val="42EB4A78"/>
    <w:rsid w:val="432124FD"/>
    <w:rsid w:val="453C4E2F"/>
    <w:rsid w:val="4B2D7925"/>
    <w:rsid w:val="4F78021E"/>
    <w:rsid w:val="514239F1"/>
    <w:rsid w:val="52F13199"/>
    <w:rsid w:val="533D5A42"/>
    <w:rsid w:val="56BA65A5"/>
    <w:rsid w:val="57A30D47"/>
    <w:rsid w:val="58F30EF0"/>
    <w:rsid w:val="58FB56CF"/>
    <w:rsid w:val="593E6025"/>
    <w:rsid w:val="5946726F"/>
    <w:rsid w:val="5B355D5C"/>
    <w:rsid w:val="5D005442"/>
    <w:rsid w:val="61C135C0"/>
    <w:rsid w:val="62333FBE"/>
    <w:rsid w:val="63347B92"/>
    <w:rsid w:val="65ED5189"/>
    <w:rsid w:val="6A6C10EF"/>
    <w:rsid w:val="7215370C"/>
    <w:rsid w:val="746A025E"/>
    <w:rsid w:val="757C658C"/>
    <w:rsid w:val="77D5366B"/>
    <w:rsid w:val="78A65FD9"/>
    <w:rsid w:val="793379F2"/>
    <w:rsid w:val="79C65F53"/>
    <w:rsid w:val="7A7250B2"/>
    <w:rsid w:val="7DAE40DB"/>
    <w:rsid w:val="7DEF05C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keepLines/>
      <w:spacing w:before="72" w:beforeLines="0" w:after="120" w:afterLines="0"/>
      <w:jc w:val="left"/>
      <w:outlineLvl w:val="0"/>
    </w:pPr>
    <w:rPr>
      <w:rFonts w:ascii="宋体" w:hAnsi="宋体" w:eastAsia="黑体"/>
      <w:sz w:val="32"/>
      <w:szCs w:val="20"/>
    </w:rPr>
  </w:style>
  <w:style w:type="paragraph" w:styleId="3">
    <w:name w:val="heading 2"/>
    <w:basedOn w:val="1"/>
    <w:next w:val="1"/>
    <w:link w:val="19"/>
    <w:qFormat/>
    <w:uiPriority w:val="9"/>
    <w:pPr>
      <w:keepNext/>
      <w:keepLines/>
      <w:outlineLvl w:val="1"/>
    </w:pPr>
    <w:rPr>
      <w:rFonts w:ascii="Cambria" w:hAnsi="Cambria"/>
      <w:bCs/>
      <w:sz w:val="32"/>
      <w:szCs w:val="32"/>
    </w:rPr>
  </w:style>
  <w:style w:type="paragraph" w:styleId="4">
    <w:name w:val="heading 3"/>
    <w:basedOn w:val="1"/>
    <w:next w:val="1"/>
    <w:link w:val="20"/>
    <w:qFormat/>
    <w:uiPriority w:val="9"/>
    <w:pPr>
      <w:keepNext/>
      <w:keepLines/>
      <w:outlineLvl w:val="2"/>
    </w:pPr>
    <w:rPr>
      <w:rFonts w:eastAsia="楷体"/>
      <w:bCs/>
      <w:sz w:val="32"/>
      <w:szCs w:val="32"/>
    </w:rPr>
  </w:style>
  <w:style w:type="character" w:default="1" w:styleId="16">
    <w:name w:val="Default Paragraph Font"/>
    <w:unhideWhenUsed/>
    <w:qFormat/>
    <w:uiPriority w:val="1"/>
  </w:style>
  <w:style w:type="table" w:default="1" w:styleId="1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21"/>
    <w:unhideWhenUsed/>
    <w:qFormat/>
    <w:uiPriority w:val="99"/>
    <w:rPr>
      <w:rFonts w:ascii="宋体"/>
      <w:sz w:val="18"/>
      <w:szCs w:val="18"/>
    </w:rPr>
  </w:style>
  <w:style w:type="paragraph" w:styleId="6">
    <w:name w:val="toc 3"/>
    <w:basedOn w:val="1"/>
    <w:next w:val="1"/>
    <w:unhideWhenUsed/>
    <w:qFormat/>
    <w:uiPriority w:val="39"/>
    <w:pPr>
      <w:widowControl/>
      <w:spacing w:after="100" w:afterLines="0" w:line="276" w:lineRule="auto"/>
      <w:ind w:left="440"/>
      <w:jc w:val="left"/>
    </w:pPr>
    <w:rPr>
      <w:rFonts w:ascii="Calibri" w:hAnsi="Calibri" w:eastAsia="宋体" w:cs="Times New Roman"/>
      <w:kern w:val="0"/>
      <w:sz w:val="22"/>
      <w:szCs w:val="22"/>
    </w:rPr>
  </w:style>
  <w:style w:type="paragraph" w:styleId="7">
    <w:name w:val="Date"/>
    <w:basedOn w:val="1"/>
    <w:next w:val="1"/>
    <w:link w:val="22"/>
    <w:qFormat/>
    <w:uiPriority w:val="0"/>
    <w:pPr>
      <w:ind w:left="100" w:leftChars="2500"/>
    </w:pPr>
  </w:style>
  <w:style w:type="paragraph" w:styleId="8">
    <w:name w:val="Balloon Text"/>
    <w:basedOn w:val="1"/>
    <w:link w:val="23"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2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unhideWhenUsed/>
    <w:qFormat/>
    <w:uiPriority w:val="39"/>
  </w:style>
  <w:style w:type="paragraph" w:styleId="12">
    <w:name w:val="toc 2"/>
    <w:basedOn w:val="1"/>
    <w:next w:val="1"/>
    <w:unhideWhenUsed/>
    <w:qFormat/>
    <w:uiPriority w:val="39"/>
    <w:pPr>
      <w:widowControl/>
      <w:spacing w:after="100" w:afterLines="0" w:line="276" w:lineRule="auto"/>
      <w:ind w:left="220"/>
      <w:jc w:val="left"/>
    </w:pPr>
    <w:rPr>
      <w:rFonts w:ascii="Calibri" w:hAnsi="Calibri" w:eastAsia="宋体" w:cs="Times New Roman"/>
      <w:kern w:val="0"/>
      <w:sz w:val="22"/>
      <w:szCs w:val="22"/>
    </w:rPr>
  </w:style>
  <w:style w:type="paragraph" w:styleId="13">
    <w:name w:val="Normal (Web)"/>
    <w:basedOn w:val="1"/>
    <w:unhideWhenUsed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table" w:styleId="15">
    <w:name w:val="Table Grid"/>
    <w:basedOn w:val="14"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Hyperlink"/>
    <w:qFormat/>
    <w:uiPriority w:val="99"/>
    <w:rPr>
      <w:color w:val="0000FF"/>
      <w:u w:val="none"/>
    </w:rPr>
  </w:style>
  <w:style w:type="character" w:customStyle="1" w:styleId="18">
    <w:name w:val="标题 1 Char"/>
    <w:link w:val="2"/>
    <w:qFormat/>
    <w:uiPriority w:val="0"/>
    <w:rPr>
      <w:rFonts w:ascii="宋体" w:hAnsi="宋体" w:eastAsia="黑体"/>
      <w:kern w:val="2"/>
      <w:sz w:val="32"/>
    </w:rPr>
  </w:style>
  <w:style w:type="character" w:customStyle="1" w:styleId="19">
    <w:name w:val="标题 2 Char"/>
    <w:link w:val="3"/>
    <w:qFormat/>
    <w:uiPriority w:val="9"/>
    <w:rPr>
      <w:rFonts w:ascii="Cambria" w:hAnsi="Cambria"/>
      <w:bCs/>
      <w:kern w:val="2"/>
      <w:sz w:val="32"/>
      <w:szCs w:val="32"/>
    </w:rPr>
  </w:style>
  <w:style w:type="character" w:customStyle="1" w:styleId="20">
    <w:name w:val="标题 3 Char"/>
    <w:link w:val="4"/>
    <w:qFormat/>
    <w:uiPriority w:val="9"/>
    <w:rPr>
      <w:rFonts w:ascii="Times New Roman" w:hAnsi="Times New Roman" w:eastAsia="楷体"/>
      <w:bCs/>
      <w:kern w:val="2"/>
      <w:sz w:val="32"/>
      <w:szCs w:val="32"/>
    </w:rPr>
  </w:style>
  <w:style w:type="character" w:customStyle="1" w:styleId="21">
    <w:name w:val="文档结构图 Char"/>
    <w:link w:val="5"/>
    <w:semiHidden/>
    <w:qFormat/>
    <w:uiPriority w:val="99"/>
    <w:rPr>
      <w:rFonts w:ascii="宋体" w:hAnsi="Times New Roman"/>
      <w:kern w:val="2"/>
      <w:sz w:val="18"/>
      <w:szCs w:val="18"/>
    </w:rPr>
  </w:style>
  <w:style w:type="character" w:customStyle="1" w:styleId="22">
    <w:name w:val="日期 Char"/>
    <w:link w:val="7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23">
    <w:name w:val="批注框文本 Char"/>
    <w:link w:val="8"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24">
    <w:name w:val="页脚 Char"/>
    <w:link w:val="9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5">
    <w:name w:val="页眉 Char"/>
    <w:link w:val="10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26">
    <w:name w:val="paragraphindent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7">
    <w:name w:val="_Style 26"/>
    <w:basedOn w:val="2"/>
    <w:next w:val="1"/>
    <w:qFormat/>
    <w:uiPriority w:val="39"/>
    <w:pPr>
      <w:widowControl/>
      <w:spacing w:before="480" w:beforeLines="0" w:after="0" w:afterLines="0" w:line="276" w:lineRule="auto"/>
      <w:jc w:val="left"/>
      <w:outlineLvl w:val="9"/>
    </w:pPr>
    <w:rPr>
      <w:rFonts w:ascii="Cambria" w:hAnsi="Cambria" w:eastAsia="宋体" w:cs="Times New Roman"/>
      <w:bCs/>
      <w:color w:val="365F91"/>
      <w:kern w:val="0"/>
      <w:sz w:val="28"/>
      <w:szCs w:val="28"/>
    </w:rPr>
  </w:style>
  <w:style w:type="paragraph" w:styleId="2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9">
    <w:name w:val="p0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30">
    <w:name w:val="_Style 29"/>
    <w:basedOn w:val="1"/>
    <w:next w:val="1"/>
    <w:link w:val="31"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31">
    <w:name w:val="z-窗体顶端 Char"/>
    <w:link w:val="30"/>
    <w:semiHidden/>
    <w:qFormat/>
    <w:uiPriority w:val="99"/>
    <w:rPr>
      <w:rFonts w:ascii="Arial" w:hAnsi="Arial" w:cs="Arial"/>
      <w:vanish/>
      <w:sz w:val="16"/>
      <w:szCs w:val="16"/>
    </w:rPr>
  </w:style>
  <w:style w:type="paragraph" w:customStyle="1" w:styleId="32">
    <w:name w:val="_Style 31"/>
    <w:basedOn w:val="1"/>
    <w:next w:val="1"/>
    <w:link w:val="33"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33">
    <w:name w:val="z-窗体底端 Char"/>
    <w:link w:val="32"/>
    <w:semiHidden/>
    <w:qFormat/>
    <w:uiPriority w:val="99"/>
    <w:rPr>
      <w:rFonts w:ascii="Arial" w:hAnsi="Arial" w:cs="Arial"/>
      <w:vanish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2</Pages>
  <Words>618</Words>
  <Characters>642</Characters>
  <Lines>17</Lines>
  <Paragraphs>4</Paragraphs>
  <TotalTime>3</TotalTime>
  <ScaleCrop>false</ScaleCrop>
  <LinksUpToDate>false</LinksUpToDate>
  <CharactersWithSpaces>748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2019-01-08T02:39:00Z</dcterms:created>
  <dc:creator>杨荣</dc:creator>
  <cp:lastModifiedBy>果冻</cp:lastModifiedBy>
  <cp:lastPrinted>2026-01-20T06:35:00Z</cp:lastPrinted>
  <dcterms:modified xsi:type="dcterms:W3CDTF">2026-01-22T07:48:18Z</dcterms:modified>
  <dc:title>目  录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DB335FEC9ACC488587D17D0B80456D2D_13</vt:lpwstr>
  </property>
  <property fmtid="{D5CDD505-2E9C-101B-9397-08002B2CF9AE}" pid="4" name="KSOTemplateDocerSaveRecord">
    <vt:lpwstr>eyJoZGlkIjoiZjIzY2VjMGMzNjBlNDE2MzkxYjM2Nzc4ZWI0NGNmY2IiLCJ1c2VySWQiOiIyNDkyODkxMjMifQ==</vt:lpwstr>
  </property>
</Properties>
</file>