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F04A4">
      <w:pPr>
        <w:jc w:val="center"/>
        <w:rPr>
          <w:rFonts w:hint="eastAsia"/>
          <w:b/>
          <w:bCs/>
          <w:sz w:val="44"/>
        </w:rPr>
      </w:pPr>
      <w:r>
        <w:rPr>
          <w:rFonts w:hint="eastAsia"/>
          <w:b/>
          <w:bCs/>
          <w:sz w:val="44"/>
        </w:rPr>
        <w:t xml:space="preserve">工程量清单总说明 </w:t>
      </w:r>
    </w:p>
    <w:p w14:paraId="38082FAF">
      <w:pPr>
        <w:spacing w:line="540" w:lineRule="exact"/>
        <w:ind w:firstLine="120" w:firstLineChars="50"/>
        <w:rPr>
          <w:rFonts w:hint="eastAsia" w:ascii="宋体" w:hAnsi="宋体"/>
          <w:bCs/>
          <w:sz w:val="24"/>
        </w:rPr>
      </w:pPr>
      <w:r>
        <w:rPr>
          <w:rFonts w:hint="eastAsia" w:ascii="宋体" w:hAnsi="宋体"/>
          <w:bCs/>
          <w:sz w:val="24"/>
        </w:rPr>
        <w:t>工程名称：</w:t>
      </w:r>
      <w:r>
        <w:rPr>
          <w:rFonts w:hint="eastAsia" w:ascii="宋体" w:hAnsi="宋体"/>
          <w:bCs/>
          <w:sz w:val="24"/>
          <w:lang w:eastAsia="zh-CN"/>
        </w:rPr>
        <w:t>金山路（世纪大道-安郢路段）东侧挡土墙项目</w:t>
      </w:r>
      <w:r>
        <w:rPr>
          <w:rFonts w:hint="eastAsia" w:ascii="宋体" w:hAnsi="宋体"/>
          <w:bCs/>
          <w:sz w:val="24"/>
        </w:rPr>
        <w:t xml:space="preserve">                                                         </w:t>
      </w:r>
    </w:p>
    <w:p w14:paraId="4D226ACB">
      <w:pPr>
        <w:spacing w:line="540" w:lineRule="exact"/>
        <w:ind w:firstLine="120" w:firstLineChars="50"/>
        <w:rPr>
          <w:rFonts w:hint="default" w:ascii="宋体" w:hAnsi="宋体" w:eastAsia="宋体"/>
          <w:b/>
          <w:bCs/>
          <w:sz w:val="44"/>
          <w:lang w:val="en-US" w:eastAsia="zh-CN"/>
        </w:rPr>
      </w:pPr>
      <w:r>
        <w:rPr>
          <w:rFonts w:hint="eastAsia" w:ascii="宋体" w:hAnsi="宋体"/>
          <w:bCs/>
          <w:sz w:val="24"/>
        </w:rPr>
        <w:t>项目编号:</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6"/>
      </w:tblGrid>
      <w:tr w14:paraId="1CF2F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32" w:hRule="atLeast"/>
        </w:trPr>
        <w:tc>
          <w:tcPr>
            <w:tcW w:w="5000" w:type="pct"/>
            <w:noWrap w:val="0"/>
            <w:vAlign w:val="top"/>
          </w:tcPr>
          <w:p w14:paraId="096AB5C2">
            <w:pPr>
              <w:numPr>
                <w:ilvl w:val="0"/>
                <w:numId w:val="1"/>
              </w:numPr>
              <w:spacing w:line="480" w:lineRule="exact"/>
              <w:ind w:left="560"/>
              <w:rPr>
                <w:rFonts w:hint="eastAsia" w:ascii="宋体" w:hAnsi="宋体"/>
                <w:sz w:val="28"/>
              </w:rPr>
            </w:pPr>
            <w:r>
              <w:rPr>
                <w:rFonts w:hint="eastAsia" w:ascii="宋体" w:hAnsi="宋体"/>
                <w:sz w:val="28"/>
              </w:rPr>
              <w:t>工程概况：</w:t>
            </w:r>
          </w:p>
          <w:p w14:paraId="0F223ACA">
            <w:pPr>
              <w:numPr>
                <w:ilvl w:val="0"/>
                <w:numId w:val="0"/>
              </w:numPr>
              <w:spacing w:line="480" w:lineRule="exact"/>
              <w:ind w:firstLine="560" w:firstLineChars="200"/>
              <w:rPr>
                <w:rFonts w:hint="eastAsia" w:ascii="宋体" w:hAnsi="宋体"/>
                <w:sz w:val="28"/>
              </w:rPr>
            </w:pPr>
            <w:r>
              <w:rPr>
                <w:rFonts w:hint="eastAsia" w:ascii="宋体" w:hAnsi="宋体"/>
                <w:sz w:val="28"/>
              </w:rPr>
              <w:t>工程地点：</w:t>
            </w:r>
            <w:r>
              <w:rPr>
                <w:rFonts w:hint="eastAsia" w:ascii="宋体" w:hAnsi="宋体"/>
                <w:sz w:val="28"/>
                <w:lang w:val="en-US" w:eastAsia="zh-CN"/>
              </w:rPr>
              <w:t>安徽省滁州市</w:t>
            </w:r>
            <w:r>
              <w:rPr>
                <w:rFonts w:hint="eastAsia" w:ascii="宋体" w:hAnsi="宋体"/>
                <w:sz w:val="28"/>
              </w:rPr>
              <w:t>；</w:t>
            </w:r>
          </w:p>
          <w:p w14:paraId="60EE9BB1">
            <w:pPr>
              <w:spacing w:line="480" w:lineRule="exact"/>
              <w:ind w:left="560"/>
              <w:rPr>
                <w:rFonts w:hint="eastAsia" w:ascii="宋体" w:hAnsi="宋体"/>
                <w:sz w:val="28"/>
              </w:rPr>
            </w:pPr>
            <w:r>
              <w:rPr>
                <w:rFonts w:hint="eastAsia" w:ascii="宋体" w:hAnsi="宋体"/>
                <w:sz w:val="28"/>
              </w:rPr>
              <w:t>占地面积：见总平图 ；</w:t>
            </w:r>
          </w:p>
          <w:p w14:paraId="26FC7765">
            <w:pPr>
              <w:spacing w:line="480" w:lineRule="exact"/>
              <w:ind w:left="560"/>
              <w:rPr>
                <w:rFonts w:hint="eastAsia" w:ascii="宋体" w:hAnsi="宋体"/>
                <w:sz w:val="28"/>
              </w:rPr>
            </w:pPr>
            <w:r>
              <w:rPr>
                <w:rFonts w:hint="eastAsia" w:ascii="宋体" w:hAnsi="宋体"/>
                <w:sz w:val="28"/>
              </w:rPr>
              <w:t>该项目共包含：</w:t>
            </w:r>
            <w:r>
              <w:rPr>
                <w:rFonts w:hint="eastAsia" w:ascii="宋体" w:hAnsi="宋体"/>
                <w:sz w:val="28"/>
                <w:lang w:val="en-US" w:eastAsia="zh-CN"/>
              </w:rPr>
              <w:t>混凝土重力式挡土墙</w:t>
            </w:r>
            <w:r>
              <w:rPr>
                <w:rFonts w:hint="eastAsia" w:ascii="宋体" w:hAnsi="宋体"/>
                <w:sz w:val="28"/>
                <w:highlight w:val="none"/>
                <w:lang w:val="en-US" w:eastAsia="zh-CN"/>
              </w:rPr>
              <w:t>共长120米，排水沟长度共长120</w:t>
            </w:r>
            <w:r>
              <w:rPr>
                <w:rFonts w:hint="eastAsia" w:ascii="宋体" w:hAnsi="宋体"/>
                <w:sz w:val="28"/>
                <w:lang w:val="en-US" w:eastAsia="zh-CN"/>
              </w:rPr>
              <w:t>米和地形平整及植草防护</w:t>
            </w:r>
            <w:r>
              <w:rPr>
                <w:rFonts w:hint="eastAsia" w:ascii="宋体" w:hAnsi="宋体"/>
                <w:sz w:val="28"/>
              </w:rPr>
              <w:t>等；</w:t>
            </w:r>
          </w:p>
          <w:p w14:paraId="424FA219">
            <w:pPr>
              <w:spacing w:line="480" w:lineRule="exact"/>
              <w:ind w:firstLine="560" w:firstLineChars="200"/>
              <w:rPr>
                <w:rFonts w:hint="eastAsia" w:ascii="宋体" w:hAnsi="宋体"/>
                <w:sz w:val="28"/>
              </w:rPr>
            </w:pPr>
            <w:r>
              <w:rPr>
                <w:rFonts w:hint="eastAsia" w:ascii="宋体" w:hAnsi="宋体"/>
                <w:sz w:val="28"/>
              </w:rPr>
              <w:t>二、工程招标范围：</w:t>
            </w:r>
          </w:p>
          <w:p w14:paraId="5C03212C">
            <w:pPr>
              <w:spacing w:line="480" w:lineRule="exact"/>
              <w:ind w:firstLine="560" w:firstLineChars="200"/>
              <w:rPr>
                <w:rFonts w:hint="eastAsia" w:ascii="宋体" w:hAnsi="宋体"/>
                <w:sz w:val="28"/>
              </w:rPr>
            </w:pPr>
            <w:r>
              <w:rPr>
                <w:rFonts w:hint="eastAsia" w:ascii="宋体" w:hAnsi="宋体"/>
                <w:sz w:val="28"/>
              </w:rPr>
              <w:t>见本项目招标</w:t>
            </w:r>
            <w:r>
              <w:rPr>
                <w:rFonts w:hint="eastAsia"/>
                <w:sz w:val="28"/>
              </w:rPr>
              <w:t>补疑</w:t>
            </w:r>
            <w:r>
              <w:rPr>
                <w:rFonts w:hint="eastAsia" w:ascii="宋体" w:hAnsi="宋体"/>
                <w:sz w:val="28"/>
              </w:rPr>
              <w:t>中的招标范围。</w:t>
            </w:r>
          </w:p>
          <w:p w14:paraId="2A7A46D1">
            <w:pPr>
              <w:spacing w:line="480" w:lineRule="exact"/>
              <w:ind w:firstLine="560" w:firstLineChars="200"/>
              <w:rPr>
                <w:rFonts w:hint="eastAsia" w:ascii="宋体" w:hAnsi="宋体"/>
                <w:sz w:val="28"/>
              </w:rPr>
            </w:pPr>
            <w:r>
              <w:rPr>
                <w:rFonts w:hint="eastAsia" w:ascii="宋体" w:hAnsi="宋体"/>
                <w:sz w:val="28"/>
              </w:rPr>
              <w:t>三、工程量清单编制依据</w:t>
            </w:r>
          </w:p>
          <w:p w14:paraId="13024347">
            <w:pPr>
              <w:spacing w:line="400" w:lineRule="exact"/>
              <w:ind w:firstLine="560" w:firstLineChars="200"/>
              <w:rPr>
                <w:rFonts w:hint="eastAsia"/>
                <w:sz w:val="28"/>
              </w:rPr>
            </w:pPr>
            <w:r>
              <w:rPr>
                <w:rFonts w:hint="eastAsia" w:ascii="宋体" w:hAnsi="宋体"/>
                <w:sz w:val="28"/>
              </w:rPr>
              <w:t>1、</w:t>
            </w:r>
            <w:r>
              <w:rPr>
                <w:rFonts w:hint="eastAsia"/>
                <w:sz w:val="28"/>
                <w:lang w:val="en-US" w:eastAsia="zh-CN"/>
              </w:rPr>
              <w:t>滁州市城乡建设规划设计院有限公司</w:t>
            </w:r>
            <w:r>
              <w:rPr>
                <w:rFonts w:hint="eastAsia"/>
                <w:sz w:val="28"/>
              </w:rPr>
              <w:t>设计的</w:t>
            </w:r>
            <w:r>
              <w:rPr>
                <w:rFonts w:hint="eastAsia"/>
                <w:sz w:val="28"/>
                <w:lang w:eastAsia="zh-CN"/>
              </w:rPr>
              <w:t>金山路（世纪大道-安郢路段）东侧挡土墙项目</w:t>
            </w:r>
            <w:bookmarkStart w:id="0" w:name="_GoBack"/>
            <w:bookmarkEnd w:id="0"/>
            <w:r>
              <w:rPr>
                <w:rFonts w:hint="eastAsia"/>
                <w:sz w:val="28"/>
              </w:rPr>
              <w:t>施工图设计文件；</w:t>
            </w:r>
          </w:p>
          <w:p w14:paraId="2253CE42">
            <w:pPr>
              <w:spacing w:line="400" w:lineRule="exact"/>
              <w:ind w:firstLine="560" w:firstLineChars="200"/>
              <w:rPr>
                <w:rFonts w:hint="eastAsia"/>
                <w:sz w:val="28"/>
              </w:rPr>
            </w:pPr>
            <w:r>
              <w:rPr>
                <w:rFonts w:hint="eastAsia"/>
                <w:sz w:val="28"/>
                <w:lang w:val="en-US" w:eastAsia="zh-CN"/>
              </w:rPr>
              <w:t>2、</w:t>
            </w:r>
            <w:r>
              <w:rPr>
                <w:rFonts w:hint="eastAsia"/>
                <w:sz w:val="28"/>
                <w:lang w:eastAsia="zh-CN"/>
              </w:rPr>
              <w:t>金山路（世纪大道-安郢路段）东侧挡土墙项目工程量清单、最高投标限价编制补疑</w:t>
            </w:r>
            <w:r>
              <w:rPr>
                <w:rFonts w:hint="eastAsia"/>
                <w:sz w:val="28"/>
              </w:rPr>
              <w:t>；</w:t>
            </w:r>
          </w:p>
          <w:p w14:paraId="5E4C33C4">
            <w:pPr>
              <w:spacing w:line="480" w:lineRule="exact"/>
              <w:ind w:firstLine="560" w:firstLineChars="200"/>
              <w:rPr>
                <w:rFonts w:hint="eastAsia" w:ascii="宋体" w:hAnsi="宋体" w:eastAsia="宋体" w:cs="Times New Roman"/>
                <w:sz w:val="28"/>
              </w:rPr>
            </w:pPr>
            <w:r>
              <w:rPr>
                <w:rFonts w:hint="eastAsia" w:eastAsia="宋体"/>
                <w:sz w:val="28"/>
                <w:lang w:val="en-US" w:eastAsia="zh-CN"/>
              </w:rPr>
              <w:t>3、</w:t>
            </w:r>
            <w:r>
              <w:rPr>
                <w:rFonts w:hint="eastAsia" w:ascii="宋体" w:hAnsi="宋体" w:eastAsia="宋体" w:cs="Times New Roman"/>
                <w:sz w:val="28"/>
              </w:rPr>
              <w:t>2018版安徽省建设工程计价依据（含修编版）、安徽省建设工程计价依据动态调整（第1期）。</w:t>
            </w:r>
          </w:p>
          <w:p w14:paraId="1009C1C7">
            <w:pPr>
              <w:spacing w:line="480" w:lineRule="exact"/>
              <w:ind w:firstLine="560" w:firstLineChars="200"/>
              <w:rPr>
                <w:rFonts w:hint="eastAsia" w:ascii="宋体" w:hAnsi="宋体"/>
                <w:sz w:val="28"/>
              </w:rPr>
            </w:pPr>
            <w:r>
              <w:rPr>
                <w:rFonts w:hint="eastAsia" w:ascii="宋体" w:hAnsi="宋体"/>
                <w:sz w:val="28"/>
              </w:rPr>
              <w:t>四、工程量清单编制及报价要求</w:t>
            </w:r>
          </w:p>
          <w:p w14:paraId="49C80E5D">
            <w:pPr>
              <w:spacing w:line="480" w:lineRule="exact"/>
              <w:ind w:firstLine="560" w:firstLineChars="200"/>
              <w:rPr>
                <w:rFonts w:hint="eastAsia" w:ascii="宋体" w:hAnsi="宋体"/>
                <w:sz w:val="28"/>
              </w:rPr>
            </w:pPr>
            <w:r>
              <w:rPr>
                <w:rFonts w:hint="eastAsia" w:ascii="宋体" w:hAnsi="宋体"/>
                <w:sz w:val="28"/>
              </w:rPr>
              <w:t>1、工程量清单列出的每个细目已包含涉及到与该细目有关的全部工程内容，投标人应将工程量清单与投标人须知、合同通用条款、专用条款以及技术规范和图纸一起对照阅读。</w:t>
            </w:r>
          </w:p>
          <w:p w14:paraId="2775D0FB">
            <w:pPr>
              <w:spacing w:line="480" w:lineRule="exact"/>
              <w:ind w:firstLine="560" w:firstLineChars="200"/>
              <w:rPr>
                <w:rFonts w:hint="eastAsia" w:ascii="宋体" w:hAnsi="宋体"/>
                <w:sz w:val="28"/>
              </w:rPr>
            </w:pPr>
            <w:r>
              <w:rPr>
                <w:rFonts w:hint="eastAsia" w:ascii="宋体" w:hAnsi="宋体"/>
                <w:sz w:val="28"/>
              </w:rPr>
              <w:t>2、除非合同另有规定，分部分项工程量清单中每一项综合单价均已包括完成一个规定计量单位项目所需的人工费、材料费、机械费和综合费。</w:t>
            </w:r>
          </w:p>
          <w:p w14:paraId="221508C4">
            <w:pPr>
              <w:spacing w:line="480" w:lineRule="exact"/>
              <w:ind w:firstLine="560" w:firstLineChars="200"/>
              <w:rPr>
                <w:rFonts w:hint="eastAsia"/>
                <w:sz w:val="28"/>
              </w:rPr>
            </w:pPr>
            <w:r>
              <w:rPr>
                <w:rFonts w:hint="eastAsia" w:ascii="宋体" w:hAnsi="宋体"/>
                <w:sz w:val="28"/>
              </w:rPr>
              <w:t>3、本工程量清单依据</w:t>
            </w:r>
            <w:r>
              <w:rPr>
                <w:rFonts w:hint="eastAsia" w:ascii="宋体" w:hAnsi="宋体" w:eastAsia="宋体" w:cs="Times New Roman"/>
                <w:sz w:val="28"/>
              </w:rPr>
              <w:t>2018版安徽省建设工程计价依据（含修编版）、安徽省建设工程计价依据动态调整（第1期）</w:t>
            </w:r>
            <w:r>
              <w:rPr>
                <w:rFonts w:hint="eastAsia"/>
                <w:sz w:val="28"/>
              </w:rPr>
              <w:t>规定</w:t>
            </w:r>
            <w:r>
              <w:rPr>
                <w:rFonts w:hint="eastAsia" w:ascii="宋体" w:hAnsi="宋体"/>
                <w:sz w:val="28"/>
              </w:rPr>
              <w:t>的编码列项；项目特征只描述</w:t>
            </w:r>
            <w:r>
              <w:rPr>
                <w:rFonts w:hint="eastAsia" w:ascii="宋体" w:hAnsi="宋体"/>
                <w:b/>
                <w:sz w:val="28"/>
              </w:rPr>
              <w:t>主要、关键特征</w:t>
            </w:r>
            <w:r>
              <w:rPr>
                <w:rFonts w:hint="eastAsia" w:ascii="宋体" w:hAnsi="宋体"/>
                <w:sz w:val="28"/>
              </w:rPr>
              <w:t>，未描述或不完整之处，详见图纸、施工规范及相关说明要求。投标人必须注意，投标报价中的综合单价须包含完成分部分项工程的所有内容（含所需采取的技术措施、施工方案等费用）的报价。</w:t>
            </w:r>
          </w:p>
          <w:p w14:paraId="279C6F2B">
            <w:pPr>
              <w:spacing w:line="480" w:lineRule="exact"/>
              <w:ind w:firstLine="560" w:firstLineChars="200"/>
              <w:rPr>
                <w:rFonts w:hint="eastAsia" w:ascii="宋体" w:hAnsi="宋体"/>
                <w:sz w:val="28"/>
              </w:rPr>
            </w:pPr>
            <w:r>
              <w:rPr>
                <w:rFonts w:hint="eastAsia" w:ascii="宋体" w:hAnsi="宋体"/>
                <w:sz w:val="28"/>
              </w:rPr>
              <w:t>4、投标人须认真阅读与项目有关的招标文件、设计图纸、地勘报告等，并通过现场勘查，考虑周边环境及施工期间可能出现的事宜，确定其各项可能产生的费用，且已包含在投标报价中，工程结算时不再调整该部分的费用。</w:t>
            </w:r>
          </w:p>
          <w:p w14:paraId="265B6620">
            <w:pPr>
              <w:spacing w:line="480" w:lineRule="exact"/>
              <w:ind w:firstLine="560" w:firstLineChars="200"/>
              <w:rPr>
                <w:rFonts w:hint="eastAsia" w:ascii="宋体" w:hAnsi="宋体"/>
                <w:sz w:val="28"/>
              </w:rPr>
            </w:pPr>
            <w:r>
              <w:rPr>
                <w:rFonts w:hint="eastAsia" w:ascii="宋体" w:hAnsi="宋体"/>
                <w:sz w:val="28"/>
              </w:rPr>
              <w:t>5、措施项目费指为完成建设工程施工，发生于该工程施工前和施工过程中的技术、生活等方面的费用。本项目工程量清单中未列明的其他措施项目费，投标人可根据各专业特点、地区和工程特点，考虑所需要的措施费用。</w:t>
            </w:r>
          </w:p>
          <w:p w14:paraId="181F50E8">
            <w:pPr>
              <w:spacing w:line="480" w:lineRule="exact"/>
              <w:ind w:firstLine="560" w:firstLineChars="200"/>
              <w:rPr>
                <w:rFonts w:hint="eastAsia" w:ascii="宋体" w:hAnsi="宋体"/>
                <w:sz w:val="28"/>
              </w:rPr>
            </w:pPr>
            <w:r>
              <w:rPr>
                <w:rFonts w:hint="eastAsia" w:ascii="宋体" w:hAnsi="宋体"/>
                <w:sz w:val="28"/>
              </w:rPr>
              <w:t xml:space="preserve">五、其他需要说明的问题： </w:t>
            </w:r>
          </w:p>
          <w:p w14:paraId="65F4680F">
            <w:pPr>
              <w:spacing w:line="480" w:lineRule="exact"/>
              <w:ind w:firstLine="560" w:firstLineChars="200"/>
              <w:rPr>
                <w:rFonts w:hint="eastAsia" w:ascii="宋体" w:hAnsi="宋体"/>
                <w:sz w:val="28"/>
              </w:rPr>
            </w:pPr>
            <w:r>
              <w:rPr>
                <w:rFonts w:hint="eastAsia" w:ascii="宋体" w:hAnsi="宋体"/>
                <w:sz w:val="28"/>
              </w:rPr>
              <w:t>1、工程量清单及其计价格式中所有要求签字、盖章的地方，必须由规定的单位和人员签字、盖章。</w:t>
            </w:r>
          </w:p>
          <w:p w14:paraId="13CE82F5">
            <w:pPr>
              <w:spacing w:line="480" w:lineRule="exact"/>
              <w:ind w:firstLine="560" w:firstLineChars="200"/>
              <w:rPr>
                <w:rFonts w:hint="eastAsia" w:ascii="宋体" w:hAnsi="宋体"/>
                <w:sz w:val="28"/>
              </w:rPr>
            </w:pPr>
            <w:r>
              <w:rPr>
                <w:rFonts w:hint="eastAsia" w:ascii="宋体" w:hAnsi="宋体"/>
                <w:sz w:val="28"/>
              </w:rPr>
              <w:t>2、工程量清单及其计价格式中的任何内容不得随意删除或涂改。</w:t>
            </w:r>
          </w:p>
          <w:p w14:paraId="5B63AE59">
            <w:pPr>
              <w:spacing w:line="480" w:lineRule="exact"/>
              <w:ind w:firstLine="560" w:firstLineChars="200"/>
              <w:rPr>
                <w:rFonts w:hint="eastAsia" w:ascii="宋体" w:hAnsi="宋体"/>
                <w:sz w:val="24"/>
              </w:rPr>
            </w:pPr>
            <w:r>
              <w:rPr>
                <w:rFonts w:hint="eastAsia" w:ascii="宋体" w:hAnsi="宋体"/>
                <w:sz w:val="28"/>
              </w:rPr>
              <w:t xml:space="preserve">3、金额（价格）均应以 </w:t>
            </w:r>
            <w:r>
              <w:rPr>
                <w:rFonts w:hint="eastAsia" w:ascii="宋体" w:hAnsi="宋体"/>
                <w:b/>
                <w:sz w:val="28"/>
                <w:u w:val="single"/>
              </w:rPr>
              <w:t>人民币</w:t>
            </w:r>
            <w:r>
              <w:rPr>
                <w:rFonts w:hint="eastAsia" w:ascii="宋体" w:hAnsi="宋体"/>
                <w:b/>
                <w:sz w:val="28"/>
              </w:rPr>
              <w:t xml:space="preserve"> </w:t>
            </w:r>
            <w:r>
              <w:rPr>
                <w:rFonts w:hint="eastAsia" w:ascii="宋体" w:hAnsi="宋体"/>
                <w:sz w:val="28"/>
              </w:rPr>
              <w:t>表示。</w:t>
            </w:r>
            <w:r>
              <w:rPr>
                <w:rFonts w:hint="eastAsia" w:ascii="宋体" w:hAnsi="宋体"/>
                <w:sz w:val="28"/>
              </w:rPr>
              <w:cr/>
            </w:r>
          </w:p>
        </w:tc>
      </w:tr>
    </w:tbl>
    <w:p w14:paraId="6F4A5E21">
      <w:pPr>
        <w:spacing w:line="400" w:lineRule="exact"/>
        <w:rPr>
          <w:rFonts w:hint="eastAsia" w:ascii="宋体" w:hAnsi="宋体"/>
          <w:bCs/>
          <w:sz w:val="24"/>
        </w:rPr>
      </w:pPr>
    </w:p>
    <w:p w14:paraId="67ECE4A9">
      <w:pPr>
        <w:spacing w:line="400" w:lineRule="exact"/>
        <w:rPr>
          <w:rFonts w:hint="eastAsia" w:ascii="宋体" w:hAnsi="宋体"/>
          <w:bCs/>
          <w:sz w:val="24"/>
        </w:rPr>
      </w:pPr>
    </w:p>
    <w:p w14:paraId="50198EBF">
      <w:pPr>
        <w:rPr>
          <w:sz w:val="44"/>
          <w:szCs w:val="44"/>
        </w:rPr>
      </w:pPr>
    </w:p>
    <w:sectPr>
      <w:headerReference r:id="rId3" w:type="default"/>
      <w:footerReference r:id="rId5" w:type="default"/>
      <w:headerReference r:id="rId4" w:type="even"/>
      <w:pgSz w:w="11906" w:h="16838"/>
      <w:pgMar w:top="1871" w:right="1503" w:bottom="1871" w:left="15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CA005">
    <w:pPr>
      <w:pStyle w:val="9"/>
      <w:jc w:val="right"/>
    </w:pPr>
    <w:r>
      <w:fldChar w:fldCharType="begin"/>
    </w:r>
    <w:r>
      <w:instrText xml:space="preserve"> PAGE   \* MERGEFORMAT </w:instrText>
    </w:r>
    <w:r>
      <w:fldChar w:fldCharType="separate"/>
    </w:r>
    <w:r>
      <w:rPr>
        <w:lang w:val="zh-CN"/>
      </w:rPr>
      <w:t>3</w:t>
    </w:r>
    <w:r>
      <w:fldChar w:fldCharType="end"/>
    </w:r>
  </w:p>
  <w:p w14:paraId="35DEF818">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7840C">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F2C99">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46DBC5"/>
    <w:multiLevelType w:val="singleLevel"/>
    <w:tmpl w:val="4E46DBC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zY2VjMGMzNjBlNDE2MzkxYjM2Nzc4ZWI0NGNmY2IifQ=="/>
  </w:docVars>
  <w:rsids>
    <w:rsidRoot w:val="00172A27"/>
    <w:rsid w:val="00002FFC"/>
    <w:rsid w:val="00015B46"/>
    <w:rsid w:val="0001711A"/>
    <w:rsid w:val="00032486"/>
    <w:rsid w:val="00055868"/>
    <w:rsid w:val="00060539"/>
    <w:rsid w:val="000A4DBE"/>
    <w:rsid w:val="000A60B1"/>
    <w:rsid w:val="000C6DB0"/>
    <w:rsid w:val="000D195F"/>
    <w:rsid w:val="000E5594"/>
    <w:rsid w:val="000E5BD3"/>
    <w:rsid w:val="00104F64"/>
    <w:rsid w:val="0010736E"/>
    <w:rsid w:val="00111C61"/>
    <w:rsid w:val="00111FB4"/>
    <w:rsid w:val="00124EE7"/>
    <w:rsid w:val="00130A0E"/>
    <w:rsid w:val="00131DC4"/>
    <w:rsid w:val="0014006B"/>
    <w:rsid w:val="0015661B"/>
    <w:rsid w:val="00183435"/>
    <w:rsid w:val="001A0624"/>
    <w:rsid w:val="001E65AB"/>
    <w:rsid w:val="001E7B42"/>
    <w:rsid w:val="00202C77"/>
    <w:rsid w:val="00203B28"/>
    <w:rsid w:val="00214396"/>
    <w:rsid w:val="002162A8"/>
    <w:rsid w:val="00221D62"/>
    <w:rsid w:val="00225E04"/>
    <w:rsid w:val="00234C64"/>
    <w:rsid w:val="00235203"/>
    <w:rsid w:val="00240820"/>
    <w:rsid w:val="00262403"/>
    <w:rsid w:val="00273D8C"/>
    <w:rsid w:val="00281A19"/>
    <w:rsid w:val="00282DCE"/>
    <w:rsid w:val="002A1B62"/>
    <w:rsid w:val="002B7661"/>
    <w:rsid w:val="002C3E74"/>
    <w:rsid w:val="002D16BB"/>
    <w:rsid w:val="002D1992"/>
    <w:rsid w:val="002D30BE"/>
    <w:rsid w:val="002D39D0"/>
    <w:rsid w:val="002D4AA9"/>
    <w:rsid w:val="002D5AE3"/>
    <w:rsid w:val="002D6FEA"/>
    <w:rsid w:val="002F14C9"/>
    <w:rsid w:val="003010AC"/>
    <w:rsid w:val="00304A72"/>
    <w:rsid w:val="00316ED0"/>
    <w:rsid w:val="0031783B"/>
    <w:rsid w:val="00326CDB"/>
    <w:rsid w:val="0034212C"/>
    <w:rsid w:val="00342B09"/>
    <w:rsid w:val="00345465"/>
    <w:rsid w:val="00372E66"/>
    <w:rsid w:val="00377588"/>
    <w:rsid w:val="003965FE"/>
    <w:rsid w:val="003A2634"/>
    <w:rsid w:val="003A3BAB"/>
    <w:rsid w:val="003A3C83"/>
    <w:rsid w:val="003A6448"/>
    <w:rsid w:val="003E418D"/>
    <w:rsid w:val="003F2FD6"/>
    <w:rsid w:val="00410D4D"/>
    <w:rsid w:val="0041140D"/>
    <w:rsid w:val="00416D18"/>
    <w:rsid w:val="00423948"/>
    <w:rsid w:val="00444C95"/>
    <w:rsid w:val="004532E6"/>
    <w:rsid w:val="004536A5"/>
    <w:rsid w:val="004643B6"/>
    <w:rsid w:val="0048726E"/>
    <w:rsid w:val="00491309"/>
    <w:rsid w:val="004A0FC1"/>
    <w:rsid w:val="004A202F"/>
    <w:rsid w:val="004C0F84"/>
    <w:rsid w:val="004C1477"/>
    <w:rsid w:val="004C4A89"/>
    <w:rsid w:val="004C72A9"/>
    <w:rsid w:val="004D25B4"/>
    <w:rsid w:val="00506394"/>
    <w:rsid w:val="00516981"/>
    <w:rsid w:val="005238D9"/>
    <w:rsid w:val="00551C51"/>
    <w:rsid w:val="00562124"/>
    <w:rsid w:val="0056635F"/>
    <w:rsid w:val="005761AE"/>
    <w:rsid w:val="005900E3"/>
    <w:rsid w:val="005945C8"/>
    <w:rsid w:val="00596020"/>
    <w:rsid w:val="005974D3"/>
    <w:rsid w:val="005B0658"/>
    <w:rsid w:val="005B1206"/>
    <w:rsid w:val="005B69C7"/>
    <w:rsid w:val="005D706E"/>
    <w:rsid w:val="005E1D76"/>
    <w:rsid w:val="005E2608"/>
    <w:rsid w:val="005E3C8D"/>
    <w:rsid w:val="005E724A"/>
    <w:rsid w:val="005F1657"/>
    <w:rsid w:val="006150BA"/>
    <w:rsid w:val="0061741B"/>
    <w:rsid w:val="0062371E"/>
    <w:rsid w:val="00624BB2"/>
    <w:rsid w:val="006351E6"/>
    <w:rsid w:val="00664DB2"/>
    <w:rsid w:val="00693B58"/>
    <w:rsid w:val="00712885"/>
    <w:rsid w:val="00715F40"/>
    <w:rsid w:val="00722DFB"/>
    <w:rsid w:val="00724B56"/>
    <w:rsid w:val="00725EC7"/>
    <w:rsid w:val="007400DA"/>
    <w:rsid w:val="00752DF9"/>
    <w:rsid w:val="00756242"/>
    <w:rsid w:val="00764050"/>
    <w:rsid w:val="0078083D"/>
    <w:rsid w:val="00790F00"/>
    <w:rsid w:val="007925EB"/>
    <w:rsid w:val="007A7183"/>
    <w:rsid w:val="007B7FA7"/>
    <w:rsid w:val="007C7B61"/>
    <w:rsid w:val="007E04A6"/>
    <w:rsid w:val="007F49E4"/>
    <w:rsid w:val="00806D0C"/>
    <w:rsid w:val="0081557C"/>
    <w:rsid w:val="0081789D"/>
    <w:rsid w:val="00823A0C"/>
    <w:rsid w:val="008476AA"/>
    <w:rsid w:val="008708EC"/>
    <w:rsid w:val="008711D2"/>
    <w:rsid w:val="008735F3"/>
    <w:rsid w:val="008763AD"/>
    <w:rsid w:val="008775FA"/>
    <w:rsid w:val="00877DB3"/>
    <w:rsid w:val="00880AC7"/>
    <w:rsid w:val="00880B28"/>
    <w:rsid w:val="00883C65"/>
    <w:rsid w:val="00892472"/>
    <w:rsid w:val="00895701"/>
    <w:rsid w:val="008A57F8"/>
    <w:rsid w:val="008A779F"/>
    <w:rsid w:val="008B423D"/>
    <w:rsid w:val="008C6780"/>
    <w:rsid w:val="008D553E"/>
    <w:rsid w:val="008E50ED"/>
    <w:rsid w:val="008F1D53"/>
    <w:rsid w:val="009019C5"/>
    <w:rsid w:val="00907A73"/>
    <w:rsid w:val="00907DA1"/>
    <w:rsid w:val="00916269"/>
    <w:rsid w:val="00934F6D"/>
    <w:rsid w:val="0093763A"/>
    <w:rsid w:val="00940C18"/>
    <w:rsid w:val="009518B2"/>
    <w:rsid w:val="0096048C"/>
    <w:rsid w:val="009718A6"/>
    <w:rsid w:val="0097393F"/>
    <w:rsid w:val="009831F6"/>
    <w:rsid w:val="009B0F6F"/>
    <w:rsid w:val="009C1A09"/>
    <w:rsid w:val="009D0EC6"/>
    <w:rsid w:val="00A147C5"/>
    <w:rsid w:val="00A14BA6"/>
    <w:rsid w:val="00A24D7E"/>
    <w:rsid w:val="00A3580E"/>
    <w:rsid w:val="00A46D8C"/>
    <w:rsid w:val="00A679B2"/>
    <w:rsid w:val="00A72015"/>
    <w:rsid w:val="00A747F1"/>
    <w:rsid w:val="00AA0FE0"/>
    <w:rsid w:val="00AC6E47"/>
    <w:rsid w:val="00AE0B73"/>
    <w:rsid w:val="00AE657E"/>
    <w:rsid w:val="00AE65D6"/>
    <w:rsid w:val="00B17FB1"/>
    <w:rsid w:val="00B2408E"/>
    <w:rsid w:val="00B33CA2"/>
    <w:rsid w:val="00B35C80"/>
    <w:rsid w:val="00B37023"/>
    <w:rsid w:val="00B40064"/>
    <w:rsid w:val="00B46B71"/>
    <w:rsid w:val="00B53F7E"/>
    <w:rsid w:val="00B57160"/>
    <w:rsid w:val="00B57514"/>
    <w:rsid w:val="00B77720"/>
    <w:rsid w:val="00B835D6"/>
    <w:rsid w:val="00B91006"/>
    <w:rsid w:val="00BB3C11"/>
    <w:rsid w:val="00BB5A3A"/>
    <w:rsid w:val="00BB77BF"/>
    <w:rsid w:val="00BD6838"/>
    <w:rsid w:val="00BF189D"/>
    <w:rsid w:val="00C026FD"/>
    <w:rsid w:val="00C02B91"/>
    <w:rsid w:val="00C0487C"/>
    <w:rsid w:val="00C05607"/>
    <w:rsid w:val="00C3038D"/>
    <w:rsid w:val="00C37FE9"/>
    <w:rsid w:val="00C41341"/>
    <w:rsid w:val="00C50546"/>
    <w:rsid w:val="00C508EF"/>
    <w:rsid w:val="00C515D3"/>
    <w:rsid w:val="00C552CC"/>
    <w:rsid w:val="00C77FE8"/>
    <w:rsid w:val="00C9107C"/>
    <w:rsid w:val="00C91471"/>
    <w:rsid w:val="00C9685C"/>
    <w:rsid w:val="00CB54AE"/>
    <w:rsid w:val="00CC3368"/>
    <w:rsid w:val="00CD297F"/>
    <w:rsid w:val="00CE180A"/>
    <w:rsid w:val="00CE4E0F"/>
    <w:rsid w:val="00CF1F60"/>
    <w:rsid w:val="00CF2A72"/>
    <w:rsid w:val="00D139C5"/>
    <w:rsid w:val="00D163CF"/>
    <w:rsid w:val="00D36C19"/>
    <w:rsid w:val="00D41FD3"/>
    <w:rsid w:val="00D66E35"/>
    <w:rsid w:val="00D66F64"/>
    <w:rsid w:val="00D8173D"/>
    <w:rsid w:val="00D97F67"/>
    <w:rsid w:val="00DA12FB"/>
    <w:rsid w:val="00DA1699"/>
    <w:rsid w:val="00DA2D17"/>
    <w:rsid w:val="00DB4C03"/>
    <w:rsid w:val="00DD2F60"/>
    <w:rsid w:val="00DE5AD6"/>
    <w:rsid w:val="00DE7105"/>
    <w:rsid w:val="00E0218E"/>
    <w:rsid w:val="00E059D3"/>
    <w:rsid w:val="00E1602F"/>
    <w:rsid w:val="00E1624D"/>
    <w:rsid w:val="00E26AC6"/>
    <w:rsid w:val="00E30068"/>
    <w:rsid w:val="00E35FF6"/>
    <w:rsid w:val="00E445C7"/>
    <w:rsid w:val="00E455C3"/>
    <w:rsid w:val="00E5282F"/>
    <w:rsid w:val="00E539AC"/>
    <w:rsid w:val="00E63369"/>
    <w:rsid w:val="00E717B9"/>
    <w:rsid w:val="00E747A1"/>
    <w:rsid w:val="00E77C46"/>
    <w:rsid w:val="00EA091F"/>
    <w:rsid w:val="00EB7D44"/>
    <w:rsid w:val="00EC13F9"/>
    <w:rsid w:val="00ED0040"/>
    <w:rsid w:val="00ED2E8C"/>
    <w:rsid w:val="00F0256B"/>
    <w:rsid w:val="00F200BA"/>
    <w:rsid w:val="00F44DB6"/>
    <w:rsid w:val="00F45638"/>
    <w:rsid w:val="00F5796E"/>
    <w:rsid w:val="00F627BD"/>
    <w:rsid w:val="00F65C80"/>
    <w:rsid w:val="00F72B95"/>
    <w:rsid w:val="00F91A1F"/>
    <w:rsid w:val="00F97042"/>
    <w:rsid w:val="00FA0A3A"/>
    <w:rsid w:val="00FB1E2D"/>
    <w:rsid w:val="00FB3AFD"/>
    <w:rsid w:val="00FF207B"/>
    <w:rsid w:val="01A54347"/>
    <w:rsid w:val="05AF7F10"/>
    <w:rsid w:val="06DE6C6E"/>
    <w:rsid w:val="07166EE2"/>
    <w:rsid w:val="07DA5891"/>
    <w:rsid w:val="0A3F28A7"/>
    <w:rsid w:val="0B0B0B09"/>
    <w:rsid w:val="0C411257"/>
    <w:rsid w:val="0E40323C"/>
    <w:rsid w:val="115E7DAC"/>
    <w:rsid w:val="15A12E30"/>
    <w:rsid w:val="18012A91"/>
    <w:rsid w:val="18515E2A"/>
    <w:rsid w:val="19BB08C0"/>
    <w:rsid w:val="1AB97E02"/>
    <w:rsid w:val="1F435401"/>
    <w:rsid w:val="202C5961"/>
    <w:rsid w:val="22A26468"/>
    <w:rsid w:val="251A6161"/>
    <w:rsid w:val="25474A1E"/>
    <w:rsid w:val="26CF3D9A"/>
    <w:rsid w:val="271D5AC1"/>
    <w:rsid w:val="2747230E"/>
    <w:rsid w:val="281F2573"/>
    <w:rsid w:val="2B1F0366"/>
    <w:rsid w:val="2EE8337B"/>
    <w:rsid w:val="2EFC03AB"/>
    <w:rsid w:val="31C14498"/>
    <w:rsid w:val="321201BB"/>
    <w:rsid w:val="32BE0ECA"/>
    <w:rsid w:val="34C25154"/>
    <w:rsid w:val="3AE21AB4"/>
    <w:rsid w:val="3DB42B8B"/>
    <w:rsid w:val="3E254A2F"/>
    <w:rsid w:val="3E8062F1"/>
    <w:rsid w:val="3F45552D"/>
    <w:rsid w:val="48DF7BE4"/>
    <w:rsid w:val="4A847317"/>
    <w:rsid w:val="4B2D7925"/>
    <w:rsid w:val="514239F1"/>
    <w:rsid w:val="52F13199"/>
    <w:rsid w:val="533D5A42"/>
    <w:rsid w:val="57A30D47"/>
    <w:rsid w:val="58F30EF0"/>
    <w:rsid w:val="58FB56CF"/>
    <w:rsid w:val="593E6025"/>
    <w:rsid w:val="5946726F"/>
    <w:rsid w:val="5BD805DC"/>
    <w:rsid w:val="5C51243E"/>
    <w:rsid w:val="61C135C0"/>
    <w:rsid w:val="67B87979"/>
    <w:rsid w:val="699634B0"/>
    <w:rsid w:val="711E5C4A"/>
    <w:rsid w:val="7215370C"/>
    <w:rsid w:val="72AB5250"/>
    <w:rsid w:val="74E4059E"/>
    <w:rsid w:val="757C658C"/>
    <w:rsid w:val="78A65FD9"/>
    <w:rsid w:val="7DAE40DB"/>
    <w:rsid w:val="7DEF05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72" w:beforeLines="0" w:after="120" w:afterLines="0"/>
      <w:jc w:val="left"/>
      <w:outlineLvl w:val="0"/>
    </w:pPr>
    <w:rPr>
      <w:rFonts w:ascii="宋体" w:hAnsi="宋体" w:eastAsia="黑体"/>
      <w:sz w:val="32"/>
      <w:szCs w:val="20"/>
    </w:rPr>
  </w:style>
  <w:style w:type="paragraph" w:styleId="3">
    <w:name w:val="heading 2"/>
    <w:basedOn w:val="1"/>
    <w:next w:val="1"/>
    <w:link w:val="19"/>
    <w:qFormat/>
    <w:uiPriority w:val="9"/>
    <w:pPr>
      <w:keepNext/>
      <w:keepLines/>
      <w:outlineLvl w:val="1"/>
    </w:pPr>
    <w:rPr>
      <w:rFonts w:ascii="Cambria" w:hAnsi="Cambria"/>
      <w:bCs/>
      <w:sz w:val="32"/>
      <w:szCs w:val="32"/>
    </w:rPr>
  </w:style>
  <w:style w:type="paragraph" w:styleId="4">
    <w:name w:val="heading 3"/>
    <w:basedOn w:val="1"/>
    <w:next w:val="1"/>
    <w:link w:val="20"/>
    <w:qFormat/>
    <w:uiPriority w:val="9"/>
    <w:pPr>
      <w:keepNext/>
      <w:keepLines/>
      <w:outlineLvl w:val="2"/>
    </w:pPr>
    <w:rPr>
      <w:rFonts w:eastAsia="楷体"/>
      <w:bCs/>
      <w:sz w:val="32"/>
      <w:szCs w:val="32"/>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Document Map"/>
    <w:basedOn w:val="1"/>
    <w:link w:val="21"/>
    <w:unhideWhenUsed/>
    <w:qFormat/>
    <w:uiPriority w:val="99"/>
    <w:rPr>
      <w:rFonts w:ascii="宋体"/>
      <w:sz w:val="18"/>
      <w:szCs w:val="18"/>
    </w:rPr>
  </w:style>
  <w:style w:type="paragraph" w:styleId="6">
    <w:name w:val="toc 3"/>
    <w:basedOn w:val="1"/>
    <w:next w:val="1"/>
    <w:unhideWhenUsed/>
    <w:qFormat/>
    <w:uiPriority w:val="39"/>
    <w:pPr>
      <w:widowControl/>
      <w:spacing w:after="100" w:afterLines="0" w:line="276" w:lineRule="auto"/>
      <w:ind w:left="440"/>
      <w:jc w:val="left"/>
    </w:pPr>
    <w:rPr>
      <w:rFonts w:ascii="Calibri" w:hAnsi="Calibri" w:eastAsia="宋体" w:cs="Times New Roman"/>
      <w:kern w:val="0"/>
      <w:sz w:val="22"/>
      <w:szCs w:val="22"/>
    </w:rPr>
  </w:style>
  <w:style w:type="paragraph" w:styleId="7">
    <w:name w:val="Date"/>
    <w:basedOn w:val="1"/>
    <w:next w:val="1"/>
    <w:link w:val="22"/>
    <w:qFormat/>
    <w:uiPriority w:val="0"/>
    <w:pPr>
      <w:ind w:left="100" w:leftChars="2500"/>
    </w:pPr>
  </w:style>
  <w:style w:type="paragraph" w:styleId="8">
    <w:name w:val="Balloon Text"/>
    <w:basedOn w:val="1"/>
    <w:link w:val="23"/>
    <w:unhideWhenUsed/>
    <w:qFormat/>
    <w:uiPriority w:val="99"/>
    <w:rPr>
      <w:sz w:val="18"/>
      <w:szCs w:val="18"/>
    </w:rPr>
  </w:style>
  <w:style w:type="paragraph" w:styleId="9">
    <w:name w:val="footer"/>
    <w:basedOn w:val="1"/>
    <w:link w:val="24"/>
    <w:qFormat/>
    <w:uiPriority w:val="99"/>
    <w:pPr>
      <w:tabs>
        <w:tab w:val="center" w:pos="4153"/>
        <w:tab w:val="right" w:pos="8306"/>
      </w:tabs>
      <w:snapToGrid w:val="0"/>
      <w:jc w:val="left"/>
    </w:pPr>
    <w:rPr>
      <w:sz w:val="18"/>
      <w:szCs w:val="18"/>
    </w:rPr>
  </w:style>
  <w:style w:type="paragraph" w:styleId="10">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style>
  <w:style w:type="paragraph" w:styleId="12">
    <w:name w:val="toc 2"/>
    <w:basedOn w:val="1"/>
    <w:next w:val="1"/>
    <w:unhideWhenUsed/>
    <w:qFormat/>
    <w:uiPriority w:val="39"/>
    <w:pPr>
      <w:widowControl/>
      <w:spacing w:after="100" w:afterLines="0" w:line="276" w:lineRule="auto"/>
      <w:ind w:left="220"/>
      <w:jc w:val="left"/>
    </w:pPr>
    <w:rPr>
      <w:rFonts w:ascii="Calibri" w:hAnsi="Calibri" w:eastAsia="宋体" w:cs="Times New Roman"/>
      <w:kern w:val="0"/>
      <w:sz w:val="22"/>
      <w:szCs w:val="22"/>
    </w:rPr>
  </w:style>
  <w:style w:type="paragraph" w:styleId="13">
    <w:name w:val="Normal (Web)"/>
    <w:basedOn w:val="1"/>
    <w:unhideWhenUsed/>
    <w:qFormat/>
    <w:uiPriority w:val="99"/>
    <w:pPr>
      <w:widowControl/>
      <w:spacing w:before="100" w:beforeLines="0" w:beforeAutospacing="1" w:after="100" w:afterLines="0" w:afterAutospacing="1"/>
      <w:jc w:val="left"/>
    </w:pPr>
    <w:rPr>
      <w:rFonts w:ascii="宋体" w:hAnsi="宋体" w:cs="宋体"/>
      <w:kern w:val="0"/>
      <w:sz w:val="24"/>
    </w:rPr>
  </w:style>
  <w:style w:type="table" w:styleId="15">
    <w:name w:val="Table Grid"/>
    <w:basedOn w:val="14"/>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qFormat/>
    <w:uiPriority w:val="99"/>
    <w:rPr>
      <w:color w:val="0000FF"/>
      <w:u w:val="none"/>
    </w:rPr>
  </w:style>
  <w:style w:type="character" w:customStyle="1" w:styleId="18">
    <w:name w:val="标题 1 Char"/>
    <w:link w:val="2"/>
    <w:qFormat/>
    <w:uiPriority w:val="0"/>
    <w:rPr>
      <w:rFonts w:ascii="宋体" w:hAnsi="宋体" w:eastAsia="黑体"/>
      <w:kern w:val="2"/>
      <w:sz w:val="32"/>
    </w:rPr>
  </w:style>
  <w:style w:type="character" w:customStyle="1" w:styleId="19">
    <w:name w:val="标题 2 Char"/>
    <w:link w:val="3"/>
    <w:qFormat/>
    <w:uiPriority w:val="9"/>
    <w:rPr>
      <w:rFonts w:ascii="Cambria" w:hAnsi="Cambria"/>
      <w:bCs/>
      <w:kern w:val="2"/>
      <w:sz w:val="32"/>
      <w:szCs w:val="32"/>
    </w:rPr>
  </w:style>
  <w:style w:type="character" w:customStyle="1" w:styleId="20">
    <w:name w:val="标题 3 Char"/>
    <w:link w:val="4"/>
    <w:qFormat/>
    <w:uiPriority w:val="9"/>
    <w:rPr>
      <w:rFonts w:ascii="Times New Roman" w:hAnsi="Times New Roman" w:eastAsia="楷体"/>
      <w:bCs/>
      <w:kern w:val="2"/>
      <w:sz w:val="32"/>
      <w:szCs w:val="32"/>
    </w:rPr>
  </w:style>
  <w:style w:type="character" w:customStyle="1" w:styleId="21">
    <w:name w:val="文档结构图 Char"/>
    <w:link w:val="5"/>
    <w:semiHidden/>
    <w:qFormat/>
    <w:uiPriority w:val="99"/>
    <w:rPr>
      <w:rFonts w:ascii="宋体" w:hAnsi="Times New Roman"/>
      <w:kern w:val="2"/>
      <w:sz w:val="18"/>
      <w:szCs w:val="18"/>
    </w:rPr>
  </w:style>
  <w:style w:type="character" w:customStyle="1" w:styleId="22">
    <w:name w:val="日期 Char"/>
    <w:link w:val="7"/>
    <w:qFormat/>
    <w:uiPriority w:val="0"/>
    <w:rPr>
      <w:rFonts w:ascii="Times New Roman" w:hAnsi="Times New Roman" w:eastAsia="宋体" w:cs="Times New Roman"/>
      <w:szCs w:val="24"/>
    </w:rPr>
  </w:style>
  <w:style w:type="character" w:customStyle="1" w:styleId="23">
    <w:name w:val="批注框文本 Char"/>
    <w:link w:val="8"/>
    <w:semiHidden/>
    <w:qFormat/>
    <w:uiPriority w:val="99"/>
    <w:rPr>
      <w:rFonts w:ascii="Times New Roman" w:hAnsi="Times New Roman"/>
      <w:kern w:val="2"/>
      <w:sz w:val="18"/>
      <w:szCs w:val="18"/>
    </w:rPr>
  </w:style>
  <w:style w:type="character" w:customStyle="1" w:styleId="24">
    <w:name w:val="页脚 Char"/>
    <w:link w:val="9"/>
    <w:qFormat/>
    <w:uiPriority w:val="99"/>
    <w:rPr>
      <w:rFonts w:ascii="Times New Roman" w:hAnsi="Times New Roman" w:eastAsia="宋体" w:cs="Times New Roman"/>
      <w:sz w:val="18"/>
      <w:szCs w:val="18"/>
    </w:rPr>
  </w:style>
  <w:style w:type="character" w:customStyle="1" w:styleId="25">
    <w:name w:val="页眉 Char"/>
    <w:link w:val="10"/>
    <w:qFormat/>
    <w:uiPriority w:val="0"/>
    <w:rPr>
      <w:rFonts w:ascii="Times New Roman" w:hAnsi="Times New Roman" w:eastAsia="宋体" w:cs="Times New Roman"/>
      <w:sz w:val="18"/>
      <w:szCs w:val="18"/>
    </w:rPr>
  </w:style>
  <w:style w:type="paragraph" w:customStyle="1" w:styleId="26">
    <w:name w:val="paragraphindent"/>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7">
    <w:name w:val="_Style 26"/>
    <w:basedOn w:val="2"/>
    <w:next w:val="1"/>
    <w:qFormat/>
    <w:uiPriority w:val="39"/>
    <w:pPr>
      <w:widowControl/>
      <w:spacing w:before="480" w:beforeLines="0" w:after="0" w:afterLines="0" w:line="276" w:lineRule="auto"/>
      <w:jc w:val="left"/>
      <w:outlineLvl w:val="9"/>
    </w:pPr>
    <w:rPr>
      <w:rFonts w:ascii="Cambria" w:hAnsi="Cambria" w:eastAsia="宋体" w:cs="Times New Roman"/>
      <w:bCs/>
      <w:color w:val="365F91"/>
      <w:kern w:val="0"/>
      <w:sz w:val="28"/>
      <w:szCs w:val="28"/>
    </w:rPr>
  </w:style>
  <w:style w:type="paragraph" w:styleId="28">
    <w:name w:val="List Paragraph"/>
    <w:basedOn w:val="1"/>
    <w:qFormat/>
    <w:uiPriority w:val="34"/>
    <w:pPr>
      <w:ind w:firstLine="420" w:firstLineChars="200"/>
    </w:pPr>
    <w:rPr>
      <w:rFonts w:ascii="Calibri" w:hAnsi="Calibri"/>
      <w:szCs w:val="22"/>
    </w:rPr>
  </w:style>
  <w:style w:type="paragraph" w:customStyle="1" w:styleId="29">
    <w:name w:val="p0"/>
    <w:basedOn w:val="1"/>
    <w:qFormat/>
    <w:uiPriority w:val="0"/>
    <w:pPr>
      <w:widowControl/>
      <w:jc w:val="left"/>
    </w:pPr>
    <w:rPr>
      <w:rFonts w:ascii="宋体" w:hAnsi="宋体" w:cs="宋体"/>
      <w:kern w:val="0"/>
      <w:sz w:val="24"/>
    </w:rPr>
  </w:style>
  <w:style w:type="paragraph" w:customStyle="1" w:styleId="30">
    <w:name w:val="_Style 29"/>
    <w:basedOn w:val="1"/>
    <w:next w:val="1"/>
    <w:link w:val="31"/>
    <w:unhideWhenUsed/>
    <w:qFormat/>
    <w:uiPriority w:val="99"/>
    <w:pPr>
      <w:widowControl/>
      <w:pBdr>
        <w:bottom w:val="single" w:color="auto" w:sz="6" w:space="1"/>
      </w:pBdr>
      <w:jc w:val="center"/>
    </w:pPr>
    <w:rPr>
      <w:rFonts w:ascii="Arial" w:hAnsi="Arial" w:cs="Arial"/>
      <w:vanish/>
      <w:kern w:val="0"/>
      <w:sz w:val="16"/>
      <w:szCs w:val="16"/>
    </w:rPr>
  </w:style>
  <w:style w:type="character" w:customStyle="1" w:styleId="31">
    <w:name w:val="z-窗体顶端 Char"/>
    <w:link w:val="30"/>
    <w:semiHidden/>
    <w:qFormat/>
    <w:uiPriority w:val="99"/>
    <w:rPr>
      <w:rFonts w:ascii="Arial" w:hAnsi="Arial" w:cs="Arial"/>
      <w:vanish/>
      <w:sz w:val="16"/>
      <w:szCs w:val="16"/>
    </w:rPr>
  </w:style>
  <w:style w:type="paragraph" w:customStyle="1" w:styleId="32">
    <w:name w:val="_Style 31"/>
    <w:basedOn w:val="1"/>
    <w:next w:val="1"/>
    <w:link w:val="33"/>
    <w:unhideWhenUsed/>
    <w:qFormat/>
    <w:uiPriority w:val="99"/>
    <w:pPr>
      <w:widowControl/>
      <w:pBdr>
        <w:top w:val="single" w:color="auto" w:sz="6" w:space="1"/>
      </w:pBdr>
      <w:jc w:val="center"/>
    </w:pPr>
    <w:rPr>
      <w:rFonts w:ascii="Arial" w:hAnsi="Arial" w:cs="Arial"/>
      <w:vanish/>
      <w:kern w:val="0"/>
      <w:sz w:val="16"/>
      <w:szCs w:val="16"/>
    </w:rPr>
  </w:style>
  <w:style w:type="character" w:customStyle="1" w:styleId="33">
    <w:name w:val="z-窗体底端 Char"/>
    <w:link w:val="32"/>
    <w:semiHidden/>
    <w:qFormat/>
    <w:uiPriority w:val="99"/>
    <w:rPr>
      <w:rFonts w:ascii="Arial" w:hAnsi="Arial" w:cs="Arial"/>
      <w:vanish/>
      <w:sz w:val="16"/>
      <w:szCs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Company>
  <Pages>2</Pages>
  <Words>890</Words>
  <Characters>900</Characters>
  <Lines>17</Lines>
  <Paragraphs>4</Paragraphs>
  <TotalTime>1</TotalTime>
  <ScaleCrop>false</ScaleCrop>
  <LinksUpToDate>false</LinksUpToDate>
  <CharactersWithSpaces>963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2019-01-08T02:39:00Z</dcterms:created>
  <dc:creator>杨荣</dc:creator>
  <cp:lastModifiedBy>果冻</cp:lastModifiedBy>
  <cp:lastPrinted>2024-07-17T02:27:00Z</cp:lastPrinted>
  <dcterms:modified xsi:type="dcterms:W3CDTF">2026-01-22T08:03:51Z</dcterms:modified>
  <dc:title>目  录</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1DFD49D3B8514C32A843552DFBB9E1E5_13</vt:lpwstr>
  </property>
  <property fmtid="{D5CDD505-2E9C-101B-9397-08002B2CF9AE}" pid="4" name="KSOTemplateDocerSaveRecord">
    <vt:lpwstr>eyJoZGlkIjoiZjIzY2VjMGMzNjBlNDE2MzkxYjM2Nzc4ZWI0NGNmY2IiLCJ1c2VySWQiOiIyNDkyODkxMjMifQ==</vt:lpwstr>
  </property>
</Properties>
</file>