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6373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225EE0EE">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59D3641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6BACDB2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rPr>
        <w:t>（货物类）</w:t>
      </w:r>
    </w:p>
    <w:p w14:paraId="7B5B07E5">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（2024年版）</w:t>
      </w:r>
    </w:p>
    <w:p w14:paraId="248239F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2EFA277B">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07FD5DD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265DF43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3F7A2D0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5E600A7B">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kern w:val="0"/>
          <w:sz w:val="32"/>
          <w:szCs w:val="32"/>
          <w:highlight w:val="none"/>
        </w:rPr>
      </w:pPr>
    </w:p>
    <w:p w14:paraId="1F3C746D">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项目名称：</w:t>
      </w:r>
      <w:r>
        <w:rPr>
          <w:rFonts w:hint="eastAsia" w:ascii="宋体" w:hAnsi="宋体" w:eastAsia="宋体"/>
          <w:b/>
          <w:color w:val="auto"/>
          <w:kern w:val="0"/>
          <w:sz w:val="32"/>
          <w:szCs w:val="32"/>
          <w:highlight w:val="none"/>
          <w:u w:val="single"/>
          <w:lang w:eastAsia="zh-CN"/>
        </w:rPr>
        <w:t>滁州职业技术学院虚拟仿真实训平台采购项目</w:t>
      </w:r>
    </w:p>
    <w:p w14:paraId="5F8A7075">
      <w:pPr>
        <w:tabs>
          <w:tab w:val="left" w:pos="2410"/>
        </w:tabs>
        <w:autoSpaceDE w:val="0"/>
        <w:autoSpaceDN w:val="0"/>
        <w:adjustRightInd w:val="0"/>
        <w:snapToGrid w:val="0"/>
        <w:spacing w:line="360" w:lineRule="auto"/>
        <w:ind w:firstLine="643" w:firstLineChars="200"/>
        <w:rPr>
          <w:rFonts w:hint="default" w:ascii="宋体" w:hAnsi="宋体" w:eastAsia="宋体"/>
          <w:b/>
          <w:color w:val="auto"/>
          <w:kern w:val="0"/>
          <w:sz w:val="32"/>
          <w:szCs w:val="32"/>
          <w:highlight w:val="none"/>
          <w:lang w:val="en-US" w:eastAsia="zh-CN"/>
        </w:rPr>
      </w:pPr>
      <w:r>
        <w:rPr>
          <w:rFonts w:hint="eastAsia" w:ascii="宋体" w:hAnsi="宋体" w:eastAsia="宋体"/>
          <w:b/>
          <w:color w:val="auto"/>
          <w:kern w:val="0"/>
          <w:sz w:val="32"/>
          <w:szCs w:val="32"/>
          <w:highlight w:val="none"/>
        </w:rPr>
        <w:t>项目编号：</w:t>
      </w:r>
      <w:r>
        <w:rPr>
          <w:rFonts w:hint="eastAsia" w:ascii="宋体" w:hAnsi="宋体" w:eastAsia="宋体"/>
          <w:b/>
          <w:color w:val="auto"/>
          <w:kern w:val="0"/>
          <w:sz w:val="32"/>
          <w:szCs w:val="32"/>
          <w:highlight w:val="none"/>
          <w:u w:val="single"/>
          <w:lang w:val="en-US" w:eastAsia="zh-CN"/>
        </w:rPr>
        <w:t>czsjcg202508-021</w:t>
      </w:r>
    </w:p>
    <w:p w14:paraId="747C420D">
      <w:pPr>
        <w:tabs>
          <w:tab w:val="left" w:pos="2410"/>
        </w:tabs>
        <w:autoSpaceDE w:val="0"/>
        <w:autoSpaceDN w:val="0"/>
        <w:adjustRightInd w:val="0"/>
        <w:snapToGrid w:val="0"/>
        <w:spacing w:line="360" w:lineRule="auto"/>
        <w:ind w:firstLine="643" w:firstLineChars="200"/>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采 购 人：</w:t>
      </w:r>
      <w:r>
        <w:rPr>
          <w:rFonts w:hint="eastAsia" w:ascii="宋体" w:hAnsi="宋体" w:eastAsia="宋体"/>
          <w:b/>
          <w:color w:val="auto"/>
          <w:kern w:val="0"/>
          <w:sz w:val="32"/>
          <w:szCs w:val="32"/>
          <w:highlight w:val="none"/>
          <w:u w:val="single"/>
          <w:lang w:eastAsia="zh-CN"/>
        </w:rPr>
        <w:t>滁州职业技术学院</w:t>
      </w:r>
    </w:p>
    <w:p w14:paraId="2B37B137">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kern w:val="0"/>
          <w:sz w:val="32"/>
          <w:szCs w:val="32"/>
          <w:highlight w:val="none"/>
        </w:rPr>
        <w:t>采购代理机构：</w:t>
      </w:r>
      <w:r>
        <w:rPr>
          <w:rFonts w:hint="eastAsia" w:ascii="宋体" w:hAnsi="宋体" w:eastAsia="宋体"/>
          <w:b/>
          <w:color w:val="auto"/>
          <w:kern w:val="0"/>
          <w:sz w:val="32"/>
          <w:szCs w:val="32"/>
          <w:highlight w:val="none"/>
          <w:u w:val="single"/>
        </w:rPr>
        <w:t>滁州市城投工程咨询管理有限公司</w:t>
      </w:r>
    </w:p>
    <w:p w14:paraId="528C20A2">
      <w:pPr>
        <w:tabs>
          <w:tab w:val="left" w:pos="2410"/>
        </w:tabs>
        <w:autoSpaceDE w:val="0"/>
        <w:autoSpaceDN w:val="0"/>
        <w:adjustRightInd w:val="0"/>
        <w:snapToGrid w:val="0"/>
        <w:spacing w:line="360" w:lineRule="auto"/>
        <w:ind w:firstLine="643" w:firstLineChars="200"/>
        <w:rPr>
          <w:rFonts w:hint="eastAsia" w:ascii="宋体" w:hAnsi="宋体" w:eastAsia="宋体"/>
          <w:b/>
          <w:color w:val="auto"/>
          <w:kern w:val="0"/>
          <w:sz w:val="32"/>
          <w:szCs w:val="32"/>
          <w:highlight w:val="none"/>
        </w:rPr>
      </w:pPr>
    </w:p>
    <w:p w14:paraId="353303BB">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36"/>
          <w:highlight w:val="none"/>
          <w:u w:val="single"/>
        </w:rPr>
        <w:t xml:space="preserve"> 2025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8</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3E761FB3">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目  录</w:t>
      </w:r>
    </w:p>
    <w:p w14:paraId="5E42B10C">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"1-2" \h \z \u </w:instrText>
      </w:r>
      <w:r>
        <w:rPr>
          <w:rFonts w:hint="eastAsia" w:ascii="宋体" w:hAnsi="宋体" w:eastAsia="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"_Toc23443" </w:instrText>
      </w:r>
      <w:r>
        <w:rPr>
          <w:color w:val="auto"/>
          <w:highlight w:val="none"/>
        </w:rPr>
        <w:fldChar w:fldCharType="separate"/>
      </w:r>
      <w:r>
        <w:rPr>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_Toc23443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B820CB8">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"_Toc31935" </w:instrText>
      </w:r>
      <w:r>
        <w:rPr>
          <w:color w:val="auto"/>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_Toc31935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7E1AEB8">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"_Toc10891" </w:instrText>
      </w:r>
      <w:r>
        <w:rPr>
          <w:color w:val="auto"/>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CE48623">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"_Toc16417" </w:instrText>
      </w:r>
      <w:r>
        <w:rPr>
          <w:color w:val="auto"/>
          <w:highlight w:val="none"/>
        </w:rPr>
        <w:fldChar w:fldCharType="separate"/>
      </w:r>
      <w:r>
        <w:rPr>
          <w:rFonts w:hint="eastAsia" w:ascii="宋体" w:hAnsi="宋体" w:eastAsia="宋体" w:cs="宋体"/>
          <w:color w:val="auto"/>
          <w:sz w:val="28"/>
          <w:szCs w:val="28"/>
          <w:highlight w:val="none"/>
        </w:rPr>
        <w:t>第四章  评标方法和标准（综合评分法）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_Toc16417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3A0B593">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"_Toc4682" </w:instrText>
      </w:r>
      <w:r>
        <w:rPr>
          <w:color w:val="auto"/>
          <w:highlight w:val="none"/>
        </w:rPr>
        <w:fldChar w:fldCharType="separate"/>
      </w:r>
      <w:r>
        <w:rPr>
          <w:rFonts w:hint="eastAsia" w:ascii="宋体" w:hAnsi="宋体" w:eastAsia="宋体" w:cs="宋体"/>
          <w:color w:val="auto"/>
          <w:sz w:val="28"/>
          <w:szCs w:val="28"/>
          <w:highlight w:val="none"/>
        </w:rPr>
        <w:t>第五章  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_Toc4682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263C10B">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"_Toc22492" </w:instrText>
      </w:r>
      <w:r>
        <w:rPr>
          <w:color w:val="auto"/>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_Toc22492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A00131">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"_Toc18131" </w:instrText>
      </w:r>
      <w:r>
        <w:rPr>
          <w:color w:val="auto"/>
          <w:highlight w:val="none"/>
        </w:rPr>
        <w:fldChar w:fldCharType="separate"/>
      </w:r>
      <w:r>
        <w:rPr>
          <w:rFonts w:hint="eastAsia" w:ascii="宋体" w:hAnsi="宋体" w:eastAsia="宋体" w:cs="宋体"/>
          <w:color w:val="auto"/>
          <w:sz w:val="28"/>
          <w:szCs w:val="28"/>
          <w:highlight w:val="none"/>
        </w:rPr>
        <w:t>第七章</w:t>
      </w:r>
      <w:r>
        <w:rPr>
          <w:rFonts w:hint="eastAsia" w:ascii="宋体" w:hAnsi="宋体" w:eastAsia="宋体" w:cs="宋体"/>
          <w:bCs/>
          <w:color w:val="auto"/>
          <w:sz w:val="28"/>
          <w:szCs w:val="28"/>
          <w:highlight w:val="none"/>
        </w:rPr>
        <w:t xml:space="preserve">  政府采购</w:t>
      </w:r>
      <w:r>
        <w:rPr>
          <w:rFonts w:hint="eastAsia" w:ascii="宋体" w:hAnsi="宋体" w:eastAsia="宋体" w:cs="宋体"/>
          <w:color w:val="auto"/>
          <w:sz w:val="28"/>
          <w:szCs w:val="28"/>
          <w:highlight w:val="none"/>
        </w:rPr>
        <w:t>供应</w:t>
      </w:r>
      <w:r>
        <w:rPr>
          <w:rFonts w:hint="eastAsia" w:ascii="宋体" w:hAnsi="宋体" w:eastAsia="宋体" w:cs="宋体"/>
          <w:bCs/>
          <w:color w:val="auto"/>
          <w:sz w:val="28"/>
          <w:szCs w:val="28"/>
          <w:highlight w:val="none"/>
        </w:rPr>
        <w:t>商询问函和质疑函范本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_Toc18131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113540E">
      <w:pPr>
        <w:spacing w:line="360" w:lineRule="auto"/>
        <w:rPr>
          <w:rFonts w:hint="eastAsia" w:asciiTheme="minorEastAsia" w:hAnsiTheme="minorEastAsia" w:eastAsiaTheme="minorEastAsia"/>
          <w:b/>
          <w:color w:val="auto"/>
          <w:sz w:val="32"/>
          <w:highlight w:val="none"/>
        </w:rPr>
      </w:pPr>
      <w:r>
        <w:rPr>
          <w:rFonts w:hint="eastAsia" w:ascii="宋体" w:hAnsi="宋体" w:eastAsia="宋体" w:cs="宋体"/>
          <w:color w:val="auto"/>
          <w:sz w:val="28"/>
          <w:szCs w:val="28"/>
          <w:highlight w:val="none"/>
        </w:rPr>
        <w:fldChar w:fldCharType="end"/>
      </w:r>
    </w:p>
    <w:p w14:paraId="2E3E4221">
      <w:pPr>
        <w:pStyle w:val="9"/>
        <w:rPr>
          <w:rFonts w:hint="eastAsia"/>
          <w:color w:val="auto"/>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A4A8439">
      <w:pPr>
        <w:spacing w:line="360" w:lineRule="auto"/>
        <w:jc w:val="center"/>
        <w:outlineLvl w:val="0"/>
        <w:rPr>
          <w:rFonts w:hint="eastAsia" w:asciiTheme="minorEastAsia" w:hAnsiTheme="minorEastAsia" w:eastAsiaTheme="minorEastAsia"/>
          <w:b/>
          <w:color w:val="auto"/>
          <w:sz w:val="28"/>
          <w:highlight w:val="none"/>
        </w:rPr>
      </w:pPr>
      <w:bookmarkStart w:id="1" w:name="_Toc2344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p>
    <w:p w14:paraId="5FC7C0E0">
      <w:pPr>
        <w:keepNext/>
        <w:keepLines/>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项目概况</w:t>
      </w:r>
    </w:p>
    <w:p w14:paraId="13E6F270">
      <w:pPr>
        <w:keepNext/>
        <w:keepLines/>
        <w:wordWrap w:val="0"/>
        <w:ind w:firstLine="560" w:firstLineChars="200"/>
        <w:rPr>
          <w:rFonts w:hint="eastAsia" w:ascii="黑体" w:hAnsi="宋体" w:eastAsia="宋体" w:cs="宋体"/>
          <w:color w:val="auto"/>
          <w:sz w:val="28"/>
          <w:szCs w:val="28"/>
          <w:highlight w:val="none"/>
        </w:rPr>
      </w:pPr>
      <w:r>
        <w:rPr>
          <w:rFonts w:hint="eastAsia" w:ascii="仿宋" w:hAnsi="仿宋" w:eastAsia="仿宋" w:cs="仿宋"/>
          <w:color w:val="auto"/>
          <w:sz w:val="28"/>
          <w:szCs w:val="28"/>
          <w:highlight w:val="none"/>
          <w:u w:val="single"/>
          <w:lang w:eastAsia="zh-CN" w:bidi="ar"/>
        </w:rPr>
        <w:t>滁州职业技术学院虚拟仿真实训平台采购项目</w:t>
      </w:r>
      <w:r>
        <w:rPr>
          <w:rFonts w:hint="eastAsia" w:ascii="仿宋" w:hAnsi="仿宋" w:eastAsia="仿宋" w:cs="仿宋"/>
          <w:color w:val="auto"/>
          <w:sz w:val="28"/>
          <w:szCs w:val="28"/>
          <w:highlight w:val="none"/>
          <w:lang w:bidi="ar"/>
        </w:rPr>
        <w:t>的潜在投标人应在</w:t>
      </w:r>
      <w:r>
        <w:rPr>
          <w:rFonts w:hint="eastAsia" w:ascii="仿宋" w:hAnsi="仿宋" w:eastAsia="仿宋" w:cs="仿宋"/>
          <w:color w:val="auto"/>
          <w:sz w:val="28"/>
          <w:szCs w:val="28"/>
          <w:highlight w:val="none"/>
          <w:u w:val="single"/>
          <w:lang w:bidi="ar"/>
        </w:rPr>
        <w:t>滁州市公共资源交易中心网（http：//ggzy.chuzhou.gov.cn/）</w:t>
      </w:r>
      <w:r>
        <w:rPr>
          <w:rFonts w:hint="eastAsia" w:ascii="仿宋" w:hAnsi="仿宋" w:eastAsia="仿宋" w:cs="仿宋"/>
          <w:color w:val="auto"/>
          <w:sz w:val="28"/>
          <w:szCs w:val="28"/>
          <w:highlight w:val="none"/>
          <w:lang w:bidi="ar"/>
        </w:rPr>
        <w:t>获取招标文件，并于</w:t>
      </w:r>
      <w:r>
        <w:rPr>
          <w:rFonts w:hint="eastAsia" w:ascii="仿宋" w:hAnsi="仿宋" w:eastAsia="仿宋" w:cs="仿宋"/>
          <w:color w:val="auto"/>
          <w:sz w:val="28"/>
          <w:szCs w:val="28"/>
          <w:highlight w:val="none"/>
          <w:u w:val="single"/>
          <w:lang w:bidi="ar"/>
        </w:rPr>
        <w:t xml:space="preserve"> 2025年</w:t>
      </w:r>
      <w:r>
        <w:rPr>
          <w:rFonts w:hint="eastAsia" w:ascii="仿宋" w:hAnsi="仿宋" w:eastAsia="仿宋" w:cs="仿宋"/>
          <w:color w:val="auto"/>
          <w:sz w:val="28"/>
          <w:szCs w:val="28"/>
          <w:highlight w:val="none"/>
          <w:u w:val="single"/>
          <w:lang w:val="en-US" w:eastAsia="zh-CN" w:bidi="ar"/>
        </w:rPr>
        <w:t>9</w:t>
      </w:r>
      <w:r>
        <w:rPr>
          <w:rFonts w:hint="eastAsia" w:ascii="仿宋" w:hAnsi="仿宋" w:eastAsia="仿宋" w:cs="仿宋"/>
          <w:color w:val="auto"/>
          <w:sz w:val="28"/>
          <w:szCs w:val="28"/>
          <w:highlight w:val="none"/>
          <w:u w:val="single"/>
          <w:lang w:bidi="ar"/>
        </w:rPr>
        <w:t>月</w:t>
      </w:r>
      <w:r>
        <w:rPr>
          <w:rFonts w:hint="eastAsia" w:ascii="仿宋" w:hAnsi="仿宋" w:eastAsia="仿宋" w:cs="仿宋"/>
          <w:color w:val="auto"/>
          <w:sz w:val="28"/>
          <w:szCs w:val="28"/>
          <w:highlight w:val="none"/>
          <w:u w:val="single"/>
          <w:lang w:val="en-US" w:eastAsia="zh-CN" w:bidi="ar"/>
        </w:rPr>
        <w:t>1</w:t>
      </w:r>
      <w:r>
        <w:rPr>
          <w:rFonts w:hint="eastAsia" w:ascii="仿宋" w:hAnsi="仿宋" w:eastAsia="仿宋" w:cs="仿宋"/>
          <w:color w:val="auto"/>
          <w:sz w:val="28"/>
          <w:szCs w:val="28"/>
          <w:highlight w:val="none"/>
          <w:u w:val="single"/>
          <w:lang w:bidi="ar"/>
        </w:rPr>
        <w:t>日8点00分</w:t>
      </w:r>
      <w:r>
        <w:rPr>
          <w:rFonts w:hint="eastAsia" w:ascii="仿宋" w:hAnsi="仿宋" w:eastAsia="仿宋" w:cs="仿宋"/>
          <w:color w:val="auto"/>
          <w:sz w:val="28"/>
          <w:szCs w:val="28"/>
          <w:highlight w:val="none"/>
          <w:lang w:bidi="ar"/>
        </w:rPr>
        <w:t>（北京时间）前递交投标文件。</w:t>
      </w:r>
    </w:p>
    <w:p w14:paraId="7CD47158">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一、项目基本情况</w:t>
      </w:r>
    </w:p>
    <w:p w14:paraId="411A1104">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项目编号：czsjcg202508-021</w:t>
      </w:r>
    </w:p>
    <w:p w14:paraId="1F37EE30">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项目名称：</w:t>
      </w:r>
      <w:r>
        <w:rPr>
          <w:rFonts w:hint="eastAsia" w:ascii="仿宋" w:hAnsi="仿宋" w:eastAsia="仿宋" w:cs="仿宋"/>
          <w:color w:val="auto"/>
          <w:sz w:val="28"/>
          <w:szCs w:val="28"/>
          <w:highlight w:val="none"/>
          <w:lang w:eastAsia="zh-CN" w:bidi="ar"/>
        </w:rPr>
        <w:t>滁州职业技术学院虚拟仿真实训平台采购项目</w:t>
      </w:r>
    </w:p>
    <w:p w14:paraId="79CA298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预算金额：</w:t>
      </w:r>
      <w:r>
        <w:rPr>
          <w:rFonts w:hint="eastAsia" w:ascii="仿宋" w:hAnsi="仿宋" w:eastAsia="仿宋" w:cs="仿宋"/>
          <w:color w:val="auto"/>
          <w:sz w:val="28"/>
          <w:szCs w:val="28"/>
          <w:highlight w:val="none"/>
          <w:lang w:eastAsia="zh-CN" w:bidi="ar"/>
        </w:rPr>
        <w:t>1200000</w:t>
      </w:r>
      <w:r>
        <w:rPr>
          <w:rFonts w:hint="eastAsia" w:ascii="仿宋" w:hAnsi="仿宋" w:eastAsia="仿宋" w:cs="仿宋"/>
          <w:color w:val="auto"/>
          <w:sz w:val="28"/>
          <w:szCs w:val="28"/>
          <w:highlight w:val="none"/>
          <w:lang w:val="en-US" w:eastAsia="zh-CN" w:bidi="ar"/>
        </w:rPr>
        <w:t>.00</w:t>
      </w:r>
      <w:r>
        <w:rPr>
          <w:rFonts w:hint="eastAsia" w:ascii="仿宋" w:hAnsi="仿宋" w:eastAsia="仿宋" w:cs="仿宋"/>
          <w:color w:val="auto"/>
          <w:sz w:val="28"/>
          <w:szCs w:val="28"/>
          <w:highlight w:val="none"/>
          <w:lang w:bidi="ar"/>
        </w:rPr>
        <w:t>元</w:t>
      </w:r>
    </w:p>
    <w:p w14:paraId="0AA7144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最高限价：</w:t>
      </w:r>
      <w:r>
        <w:rPr>
          <w:rFonts w:hint="eastAsia" w:ascii="仿宋" w:hAnsi="仿宋" w:eastAsia="仿宋" w:cs="仿宋"/>
          <w:color w:val="auto"/>
          <w:sz w:val="28"/>
          <w:szCs w:val="28"/>
          <w:highlight w:val="none"/>
          <w:lang w:val="en-US" w:eastAsia="zh-CN" w:bidi="ar"/>
        </w:rPr>
        <w:t>1195000.00</w:t>
      </w:r>
      <w:r>
        <w:rPr>
          <w:rFonts w:hint="eastAsia" w:ascii="仿宋" w:hAnsi="仿宋" w:eastAsia="仿宋" w:cs="仿宋"/>
          <w:color w:val="auto"/>
          <w:sz w:val="28"/>
          <w:szCs w:val="28"/>
          <w:highlight w:val="none"/>
          <w:lang w:bidi="ar"/>
        </w:rPr>
        <w:t>元，投标报价高于最高限价的，其投标文件按无效标处理。</w:t>
      </w:r>
    </w:p>
    <w:p w14:paraId="1EBB90AB">
      <w:pPr>
        <w:spacing w:line="360" w:lineRule="auto"/>
        <w:ind w:firstLine="560" w:firstLineChars="200"/>
        <w:jc w:val="left"/>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采购需求：</w:t>
      </w:r>
      <w:r>
        <w:rPr>
          <w:rFonts w:hint="eastAsia" w:ascii="仿宋" w:hAnsi="仿宋" w:eastAsia="仿宋" w:cs="仿宋"/>
          <w:color w:val="auto"/>
          <w:sz w:val="28"/>
          <w:szCs w:val="28"/>
          <w:highlight w:val="none"/>
          <w:lang w:val="en-US" w:eastAsia="zh-CN" w:bidi="ar"/>
        </w:rPr>
        <w:t>虚拟仿真实训平台采购，需实现与校内各类虚拟仿真实训中心的深度互联互通，包括专业虚拟仿真实训中心、虚拟仿真体验中心、公共虚拟仿真实训中心及虚拟仿真研创中心，以确保数据高效共享与协同应用，打造协同创新的仿真实训生态，助力数字化教学与科研发展；同时需无缝对接智慧校园</w:t>
      </w:r>
      <w:r>
        <w:rPr>
          <w:rFonts w:hint="eastAsia" w:ascii="仿宋" w:hAnsi="仿宋" w:eastAsia="仿宋" w:cs="仿宋"/>
          <w:color w:val="auto"/>
          <w:sz w:val="28"/>
          <w:szCs w:val="28"/>
          <w:highlight w:val="none"/>
          <w:lang w:bidi="ar"/>
        </w:rPr>
        <w:t>。</w:t>
      </w:r>
    </w:p>
    <w:p w14:paraId="2449AFED">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合同履行期限：分批次履约，除2门课程定制资源外，合同签订后，自采购人通知之日起60个日历天完成全部货物的供货、安装、调试、运行和培训工作；2门课程定制资源，接采购人通知之日起6个月内完成。</w:t>
      </w:r>
    </w:p>
    <w:p w14:paraId="7F04FD98">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本项目不接受联合体投标。</w:t>
      </w:r>
    </w:p>
    <w:p w14:paraId="0433C305">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二、申请人的资格要求</w:t>
      </w:r>
    </w:p>
    <w:p w14:paraId="77E39A0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1.满足《中华人民共和国政府采购法》第二十二条规定；</w:t>
      </w:r>
    </w:p>
    <w:p w14:paraId="1124F423">
      <w:pPr>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bidi="ar"/>
        </w:rPr>
        <w:t>2.落实政府采购政策需满足的资格要求：</w:t>
      </w:r>
      <w:r>
        <w:rPr>
          <w:rFonts w:hint="eastAsia" w:ascii="仿宋" w:hAnsi="仿宋" w:eastAsia="仿宋" w:cs="仿宋"/>
          <w:color w:val="auto"/>
          <w:sz w:val="28"/>
          <w:szCs w:val="28"/>
          <w:highlight w:val="none"/>
          <w:u w:val="single"/>
          <w:lang w:bidi="ar"/>
        </w:rPr>
        <w:t>按照财政部、工业和信息化部制定的《政府采购促进中小企业发展管理办法》第六条第三款（按照本办法规定预留采购份额无法确保充分供应、充分竞争，或者存在可能影响政府采购目标实现的情形）之规定，本项目为非专门面向中小企业采购项目。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1CC98CCB">
      <w:pPr>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bidi="ar"/>
        </w:rPr>
        <w:t>3.本项目的特定资格要求：无；</w:t>
      </w:r>
    </w:p>
    <w:p w14:paraId="2496EED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4.信誉要求：投标人不得存在以下情形：</w:t>
      </w:r>
    </w:p>
    <w:p w14:paraId="45129EBB">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①被列入“信用中国”网站“失信被执行人”的；</w:t>
      </w:r>
    </w:p>
    <w:p w14:paraId="6F969ECE">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②被列入“信用中国”网站“重大税收违法失信主体”的；</w:t>
      </w:r>
    </w:p>
    <w:p w14:paraId="4F1D1E99">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③被列入“信用中国”网站 “严重失信主体名单”的；</w:t>
      </w:r>
    </w:p>
    <w:p w14:paraId="420FAC81">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④在</w:t>
      </w:r>
      <w:bookmarkStart w:id="2" w:name="OLE_LINK129"/>
      <w:bookmarkStart w:id="3" w:name="OLE_LINK128"/>
      <w:bookmarkStart w:id="4" w:name="OLE_LINK127"/>
      <w:r>
        <w:rPr>
          <w:rFonts w:hint="eastAsia" w:ascii="仿宋" w:hAnsi="仿宋" w:eastAsia="仿宋" w:cs="仿宋"/>
          <w:color w:val="auto"/>
          <w:sz w:val="28"/>
          <w:szCs w:val="28"/>
          <w:highlight w:val="none"/>
          <w:lang w:bidi="ar"/>
        </w:rPr>
        <w:t>“信用中国”网站</w:t>
      </w:r>
      <w:bookmarkEnd w:id="2"/>
      <w:bookmarkEnd w:id="3"/>
      <w:bookmarkEnd w:id="4"/>
      <w:r>
        <w:rPr>
          <w:rFonts w:hint="eastAsia" w:ascii="仿宋" w:hAnsi="仿宋" w:eastAsia="仿宋" w:cs="仿宋"/>
          <w:color w:val="auto"/>
          <w:sz w:val="28"/>
          <w:szCs w:val="28"/>
          <w:highlight w:val="none"/>
          <w:lang w:bidi="ar"/>
        </w:rPr>
        <w:t>上披露的仍在公示期的严重失信行为(具体行为类别及判定依据见“信用中国”查询的严重失信行为类别及判定依据)的。</w:t>
      </w:r>
    </w:p>
    <w:p w14:paraId="385A51C0">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⑤被列入国家企业信用信息公示系统网站“经营异常名录”或者“严重违法失信名单”的。</w:t>
      </w:r>
    </w:p>
    <w:p w14:paraId="42EB73B5">
      <w:pPr>
        <w:ind w:firstLine="560" w:firstLineChars="200"/>
        <w:rPr>
          <w:rFonts w:hint="eastAsia" w:ascii="仿宋" w:hAnsi="仿宋" w:eastAsia="仿宋" w:cs="仿宋"/>
          <w:color w:val="auto"/>
          <w:sz w:val="28"/>
          <w:szCs w:val="28"/>
          <w:highlight w:val="none"/>
          <w:lang w:bidi="ar"/>
        </w:rPr>
      </w:pPr>
      <w:bookmarkStart w:id="5" w:name="OLE_LINK113"/>
      <w:bookmarkStart w:id="6" w:name="OLE_LINK114"/>
      <w:r>
        <w:rPr>
          <w:rFonts w:hint="eastAsia" w:ascii="仿宋" w:hAnsi="仿宋" w:eastAsia="仿宋" w:cs="仿宋"/>
          <w:color w:val="auto"/>
          <w:sz w:val="28"/>
          <w:szCs w:val="28"/>
          <w:highlight w:val="none"/>
          <w:lang w:bidi="ar"/>
        </w:rPr>
        <w:t>⑥</w:t>
      </w:r>
      <w:bookmarkEnd w:id="5"/>
      <w:bookmarkEnd w:id="6"/>
      <w:r>
        <w:rPr>
          <w:rFonts w:hint="eastAsia" w:ascii="仿宋" w:hAnsi="仿宋" w:eastAsia="仿宋" w:cs="仿宋"/>
          <w:color w:val="auto"/>
          <w:sz w:val="28"/>
          <w:szCs w:val="28"/>
          <w:highlight w:val="none"/>
          <w:lang w:bidi="ar"/>
        </w:rPr>
        <w:t>被列入中国政府采购网站“政府采购严重违法失信行为信息记录”的。</w:t>
      </w:r>
    </w:p>
    <w:p w14:paraId="48E367EB">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⑦前三年有行贿犯罪行为的单位和个人。</w:t>
      </w:r>
    </w:p>
    <w:p w14:paraId="75D666CA">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5.投标人所属分公司、办事处等分支机构存在第4款信誉要求①-⑦项情形之一的，接受投标人参加本项目。</w:t>
      </w:r>
    </w:p>
    <w:p w14:paraId="57393539">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备注：第4、5条按照“关于联合惩戒失信行为加强信用查询管理的通知”查询或承诺。</w:t>
      </w:r>
    </w:p>
    <w:p w14:paraId="54D4E473">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三、获取招标文件</w:t>
      </w:r>
    </w:p>
    <w:p w14:paraId="61B15F2C">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时间：</w:t>
      </w:r>
      <w:r>
        <w:rPr>
          <w:rFonts w:hint="eastAsia" w:ascii="仿宋" w:hAnsi="仿宋" w:eastAsia="仿宋" w:cs="仿宋"/>
          <w:color w:val="auto"/>
          <w:sz w:val="28"/>
          <w:szCs w:val="28"/>
          <w:highlight w:val="none"/>
          <w:u w:val="single"/>
          <w:lang w:bidi="ar"/>
        </w:rPr>
        <w:t>2025年</w:t>
      </w:r>
      <w:r>
        <w:rPr>
          <w:rFonts w:hint="eastAsia" w:ascii="仿宋" w:hAnsi="仿宋" w:eastAsia="仿宋" w:cs="仿宋"/>
          <w:color w:val="auto"/>
          <w:sz w:val="28"/>
          <w:szCs w:val="28"/>
          <w:highlight w:val="none"/>
          <w:u w:val="single"/>
          <w:lang w:val="en-US" w:eastAsia="zh-CN" w:bidi="ar"/>
        </w:rPr>
        <w:t>8</w:t>
      </w:r>
      <w:r>
        <w:rPr>
          <w:rFonts w:hint="eastAsia" w:ascii="仿宋" w:hAnsi="仿宋" w:eastAsia="仿宋" w:cs="仿宋"/>
          <w:color w:val="auto"/>
          <w:sz w:val="28"/>
          <w:szCs w:val="28"/>
          <w:highlight w:val="none"/>
          <w:u w:val="single"/>
          <w:lang w:bidi="ar"/>
        </w:rPr>
        <w:t>月</w:t>
      </w:r>
      <w:r>
        <w:rPr>
          <w:rFonts w:hint="eastAsia" w:ascii="仿宋" w:hAnsi="仿宋" w:eastAsia="仿宋" w:cs="仿宋"/>
          <w:color w:val="auto"/>
          <w:sz w:val="28"/>
          <w:szCs w:val="28"/>
          <w:highlight w:val="none"/>
          <w:u w:val="single"/>
          <w:lang w:val="en-US" w:eastAsia="zh-CN" w:bidi="ar"/>
        </w:rPr>
        <w:t>11</w:t>
      </w:r>
      <w:r>
        <w:rPr>
          <w:rFonts w:hint="eastAsia" w:ascii="仿宋" w:hAnsi="仿宋" w:eastAsia="仿宋" w:cs="仿宋"/>
          <w:color w:val="auto"/>
          <w:sz w:val="28"/>
          <w:szCs w:val="28"/>
          <w:highlight w:val="none"/>
          <w:u w:val="single"/>
          <w:lang w:bidi="ar"/>
        </w:rPr>
        <w:t>日</w:t>
      </w:r>
      <w:r>
        <w:rPr>
          <w:rFonts w:hint="eastAsia" w:ascii="仿宋" w:hAnsi="仿宋" w:eastAsia="仿宋" w:cs="仿宋"/>
          <w:color w:val="auto"/>
          <w:sz w:val="28"/>
          <w:szCs w:val="28"/>
          <w:highlight w:val="none"/>
          <w:lang w:bidi="ar"/>
        </w:rPr>
        <w:t>至</w:t>
      </w:r>
      <w:r>
        <w:rPr>
          <w:rFonts w:hint="eastAsia" w:ascii="仿宋" w:hAnsi="仿宋" w:eastAsia="仿宋" w:cs="仿宋"/>
          <w:color w:val="auto"/>
          <w:sz w:val="28"/>
          <w:szCs w:val="28"/>
          <w:highlight w:val="none"/>
          <w:u w:val="single"/>
          <w:lang w:bidi="ar"/>
        </w:rPr>
        <w:t>2025年</w:t>
      </w:r>
      <w:r>
        <w:rPr>
          <w:rFonts w:hint="eastAsia" w:ascii="仿宋" w:hAnsi="仿宋" w:eastAsia="仿宋" w:cs="仿宋"/>
          <w:color w:val="auto"/>
          <w:sz w:val="28"/>
          <w:szCs w:val="28"/>
          <w:highlight w:val="none"/>
          <w:u w:val="single"/>
          <w:lang w:val="en-US" w:eastAsia="zh-CN" w:bidi="ar"/>
        </w:rPr>
        <w:t>9</w:t>
      </w:r>
      <w:r>
        <w:rPr>
          <w:rFonts w:hint="eastAsia" w:ascii="仿宋" w:hAnsi="仿宋" w:eastAsia="仿宋" w:cs="仿宋"/>
          <w:color w:val="auto"/>
          <w:sz w:val="28"/>
          <w:szCs w:val="28"/>
          <w:highlight w:val="none"/>
          <w:u w:val="single"/>
          <w:lang w:bidi="ar"/>
        </w:rPr>
        <w:t>月</w:t>
      </w:r>
      <w:r>
        <w:rPr>
          <w:rFonts w:hint="eastAsia" w:ascii="仿宋" w:hAnsi="仿宋" w:eastAsia="仿宋" w:cs="仿宋"/>
          <w:color w:val="auto"/>
          <w:sz w:val="28"/>
          <w:szCs w:val="28"/>
          <w:highlight w:val="none"/>
          <w:u w:val="single"/>
          <w:lang w:val="en-US" w:eastAsia="zh-CN" w:bidi="ar"/>
        </w:rPr>
        <w:t>1</w:t>
      </w:r>
      <w:r>
        <w:rPr>
          <w:rFonts w:hint="eastAsia" w:ascii="仿宋" w:hAnsi="仿宋" w:eastAsia="仿宋" w:cs="仿宋"/>
          <w:color w:val="auto"/>
          <w:sz w:val="28"/>
          <w:szCs w:val="28"/>
          <w:highlight w:val="none"/>
          <w:u w:val="single"/>
          <w:lang w:bidi="ar"/>
        </w:rPr>
        <w:t>日</w:t>
      </w:r>
    </w:p>
    <w:p w14:paraId="7C228D8C">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地点：滁州市公共资源交易中心网</w:t>
      </w:r>
    </w:p>
    <w:p w14:paraId="72AC1695">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方式：网上下载</w:t>
      </w:r>
    </w:p>
    <w:p w14:paraId="6425B6F8">
      <w:pPr>
        <w:ind w:firstLine="540"/>
        <w:rPr>
          <w:rFonts w:hint="eastAsia" w:ascii="仿宋" w:hAnsi="仿宋" w:eastAsia="仿宋" w:cs="宋体"/>
          <w:color w:val="auto"/>
          <w:sz w:val="28"/>
          <w:szCs w:val="28"/>
          <w:highlight w:val="none"/>
        </w:rPr>
      </w:pPr>
      <w:r>
        <w:rPr>
          <w:rFonts w:hint="eastAsia" w:ascii="仿宋" w:hAnsi="仿宋" w:eastAsia="仿宋" w:cs="仿宋"/>
          <w:color w:val="auto"/>
          <w:sz w:val="28"/>
          <w:szCs w:val="28"/>
          <w:highlight w:val="none"/>
          <w:lang w:bidi="ar"/>
        </w:rPr>
        <w:t>售价：0元</w:t>
      </w:r>
    </w:p>
    <w:p w14:paraId="202C84F2">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四、提交投标文件截止时间、开标时间和地点</w:t>
      </w:r>
    </w:p>
    <w:p w14:paraId="0E73804D">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u w:val="single"/>
          <w:lang w:bidi="ar"/>
        </w:rPr>
        <w:t>2025年</w:t>
      </w:r>
      <w:r>
        <w:rPr>
          <w:rFonts w:hint="eastAsia" w:ascii="仿宋" w:hAnsi="仿宋" w:eastAsia="仿宋" w:cs="仿宋"/>
          <w:color w:val="auto"/>
          <w:kern w:val="0"/>
          <w:sz w:val="28"/>
          <w:szCs w:val="28"/>
          <w:highlight w:val="none"/>
          <w:u w:val="single"/>
          <w:lang w:val="en-US" w:eastAsia="zh-CN" w:bidi="ar"/>
        </w:rPr>
        <w:t>8</w:t>
      </w:r>
      <w:bookmarkStart w:id="59" w:name="_GoBack"/>
      <w:bookmarkEnd w:id="59"/>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1</w:t>
      </w:r>
      <w:r>
        <w:rPr>
          <w:rFonts w:hint="eastAsia" w:ascii="仿宋" w:hAnsi="仿宋" w:eastAsia="仿宋" w:cs="仿宋"/>
          <w:color w:val="auto"/>
          <w:kern w:val="0"/>
          <w:sz w:val="28"/>
          <w:szCs w:val="28"/>
          <w:highlight w:val="none"/>
          <w:u w:val="single"/>
          <w:lang w:bidi="ar"/>
        </w:rPr>
        <w:t>日8点00分</w:t>
      </w:r>
      <w:r>
        <w:rPr>
          <w:rFonts w:hint="eastAsia" w:ascii="仿宋" w:hAnsi="仿宋" w:eastAsia="仿宋" w:cs="仿宋"/>
          <w:color w:val="auto"/>
          <w:kern w:val="0"/>
          <w:sz w:val="28"/>
          <w:szCs w:val="28"/>
          <w:highlight w:val="none"/>
          <w:lang w:bidi="ar"/>
        </w:rPr>
        <w:t>（北京时间）</w:t>
      </w:r>
    </w:p>
    <w:p w14:paraId="2B2AFBBE">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lang w:bidi="ar"/>
        </w:rPr>
        <w:t>地点：</w:t>
      </w:r>
      <w:r>
        <w:rPr>
          <w:rFonts w:hint="eastAsia" w:ascii="仿宋" w:hAnsi="仿宋" w:eastAsia="仿宋" w:cs="仿宋"/>
          <w:color w:val="auto"/>
          <w:sz w:val="28"/>
          <w:szCs w:val="28"/>
          <w:highlight w:val="none"/>
          <w:lang w:bidi="ar"/>
        </w:rPr>
        <w:t>滁州市公共资源交易平台电子交易系统</w:t>
      </w:r>
    </w:p>
    <w:p w14:paraId="0093DB1D">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五、公告期限</w:t>
      </w:r>
    </w:p>
    <w:p w14:paraId="1810621F">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lang w:bidi="ar"/>
        </w:rPr>
        <w:t>自本公告发布之日起5个工作日。</w:t>
      </w:r>
    </w:p>
    <w:p w14:paraId="30720F23">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六、其他补充事宜</w:t>
      </w:r>
    </w:p>
    <w:p w14:paraId="2507D395">
      <w:pPr>
        <w:wordWrap w:val="0"/>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2DE19CE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2.请投标人登录滁州市公共资源交易中心网站查看参加本项目的程序。（具体操作步骤和程序请参见服务指南&gt;交易须知&gt;投标人填写投标信息、下载文件及网上提问操作手册）。</w:t>
      </w:r>
    </w:p>
    <w:p w14:paraId="39683262">
      <w:pPr>
        <w:wordWrap w:val="0"/>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本项目采用不见面开标（远程解密)方式，开标时投标人无须至开标现场进行解密，开标采取远程解密方式解密投标文件，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p>
    <w:p w14:paraId="5B4C7D43">
      <w:pPr>
        <w:autoSpaceDE w:val="0"/>
        <w:ind w:firstLine="560" w:firstLineChars="200"/>
        <w:rPr>
          <w:rFonts w:hint="eastAsia" w:ascii="宋体" w:hAnsi="宋体" w:eastAsia="宋体"/>
          <w:color w:val="auto"/>
          <w:sz w:val="24"/>
          <w:szCs w:val="24"/>
          <w:highlight w:val="none"/>
        </w:rPr>
      </w:pPr>
      <w:r>
        <w:rPr>
          <w:rFonts w:hint="eastAsia" w:ascii="仿宋" w:hAnsi="仿宋" w:eastAsia="仿宋" w:cs="仿宋"/>
          <w:color w:val="auto"/>
          <w:sz w:val="28"/>
          <w:szCs w:val="28"/>
          <w:highlight w:val="none"/>
          <w:lang w:bidi="ar"/>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r>
        <w:rPr>
          <w:rFonts w:hint="eastAsia" w:ascii="宋体" w:hAnsi="宋体" w:eastAsia="宋体" w:cs="宋体"/>
          <w:color w:val="auto"/>
          <w:sz w:val="24"/>
          <w:szCs w:val="24"/>
          <w:highlight w:val="none"/>
          <w:lang w:bidi="ar"/>
        </w:rPr>
        <w:t>。</w:t>
      </w:r>
    </w:p>
    <w:p w14:paraId="3FF6D67F">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七、对本次招标提出询问，请按以下方式联系</w:t>
      </w:r>
    </w:p>
    <w:p w14:paraId="1AA3F164">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1.采购人信息</w:t>
      </w:r>
    </w:p>
    <w:p w14:paraId="6DD597B4">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名  称：</w:t>
      </w:r>
      <w:r>
        <w:rPr>
          <w:rFonts w:hint="eastAsia" w:ascii="仿宋" w:hAnsi="仿宋" w:eastAsia="仿宋" w:cs="仿宋"/>
          <w:color w:val="auto"/>
          <w:sz w:val="28"/>
          <w:szCs w:val="28"/>
          <w:highlight w:val="none"/>
          <w:u w:val="single"/>
          <w:lang w:eastAsia="zh-CN" w:bidi="ar"/>
        </w:rPr>
        <w:t>滁州职业技术学院</w:t>
      </w:r>
    </w:p>
    <w:p w14:paraId="37EB7247">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地  址：</w:t>
      </w:r>
      <w:r>
        <w:rPr>
          <w:rFonts w:hint="eastAsia" w:ascii="仿宋" w:hAnsi="仿宋" w:eastAsia="仿宋" w:cs="仿宋"/>
          <w:color w:val="auto"/>
          <w:sz w:val="28"/>
          <w:szCs w:val="28"/>
          <w:highlight w:val="none"/>
          <w:u w:val="single"/>
          <w:lang w:eastAsia="zh-CN" w:bidi="ar"/>
        </w:rPr>
        <w:t>安徽省滁州市丰乐大道2188号</w:t>
      </w:r>
    </w:p>
    <w:p w14:paraId="4AA4A51C">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联系人：</w:t>
      </w:r>
      <w:r>
        <w:rPr>
          <w:rFonts w:hint="eastAsia" w:ascii="仿宋" w:hAnsi="仿宋" w:eastAsia="仿宋" w:cs="仿宋"/>
          <w:color w:val="auto"/>
          <w:sz w:val="28"/>
          <w:szCs w:val="28"/>
          <w:highlight w:val="none"/>
          <w:u w:val="single"/>
          <w:lang w:eastAsia="zh-CN" w:bidi="ar"/>
        </w:rPr>
        <w:t>陈老师、李老师</w:t>
      </w:r>
    </w:p>
    <w:p w14:paraId="4B21B631">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联系方式：</w:t>
      </w:r>
      <w:r>
        <w:rPr>
          <w:rFonts w:hint="eastAsia" w:ascii="仿宋" w:hAnsi="仿宋" w:eastAsia="仿宋" w:cs="仿宋"/>
          <w:color w:val="auto"/>
          <w:sz w:val="28"/>
          <w:szCs w:val="28"/>
          <w:highlight w:val="none"/>
          <w:u w:val="single"/>
          <w:lang w:eastAsia="zh-CN" w:bidi="ar"/>
        </w:rPr>
        <w:t>0550-3854662</w:t>
      </w:r>
    </w:p>
    <w:p w14:paraId="0E37E1DF">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2.采购代理机构信息</w:t>
      </w:r>
    </w:p>
    <w:p w14:paraId="2278734B">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名  称：</w:t>
      </w:r>
      <w:r>
        <w:rPr>
          <w:rFonts w:hint="eastAsia" w:ascii="仿宋" w:hAnsi="仿宋" w:eastAsia="仿宋" w:cs="仿宋"/>
          <w:color w:val="auto"/>
          <w:sz w:val="28"/>
          <w:szCs w:val="28"/>
          <w:highlight w:val="none"/>
          <w:u w:val="single"/>
          <w:lang w:bidi="ar"/>
        </w:rPr>
        <w:t>滁州市城投工程咨询管理有限公司</w:t>
      </w:r>
    </w:p>
    <w:p w14:paraId="69449F56">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地  址：</w:t>
      </w:r>
      <w:r>
        <w:rPr>
          <w:rFonts w:hint="eastAsia" w:ascii="仿宋" w:hAnsi="仿宋" w:eastAsia="仿宋" w:cs="仿宋"/>
          <w:color w:val="auto"/>
          <w:sz w:val="28"/>
          <w:szCs w:val="28"/>
          <w:highlight w:val="none"/>
          <w:u w:val="single"/>
          <w:lang w:bidi="ar"/>
        </w:rPr>
        <w:t>滁州市龙蟠大道109号房产商务大厦6楼</w:t>
      </w:r>
    </w:p>
    <w:p w14:paraId="06F11BB4">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联系人：</w:t>
      </w:r>
      <w:r>
        <w:rPr>
          <w:rFonts w:hint="eastAsia" w:ascii="仿宋" w:hAnsi="仿宋" w:eastAsia="仿宋" w:cs="仿宋"/>
          <w:color w:val="auto"/>
          <w:sz w:val="28"/>
          <w:szCs w:val="28"/>
          <w:highlight w:val="none"/>
          <w:u w:val="single"/>
          <w:lang w:bidi="ar"/>
        </w:rPr>
        <w:t>胡国庆</w:t>
      </w:r>
    </w:p>
    <w:p w14:paraId="289AFC95">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联系方式：</w:t>
      </w:r>
      <w:r>
        <w:rPr>
          <w:rFonts w:hint="eastAsia" w:ascii="仿宋" w:hAnsi="仿宋" w:eastAsia="仿宋" w:cs="仿宋"/>
          <w:color w:val="auto"/>
          <w:sz w:val="28"/>
          <w:szCs w:val="28"/>
          <w:highlight w:val="none"/>
          <w:u w:val="single"/>
          <w:lang w:bidi="ar"/>
        </w:rPr>
        <w:t>0550-3519517、18005500950</w:t>
      </w:r>
    </w:p>
    <w:p w14:paraId="27B0CD3B">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3.政府采购监督管理部门信息</w:t>
      </w:r>
    </w:p>
    <w:p w14:paraId="72C9F081">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名  称：</w:t>
      </w:r>
      <w:r>
        <w:rPr>
          <w:rFonts w:hint="eastAsia" w:ascii="仿宋" w:hAnsi="仿宋" w:eastAsia="仿宋" w:cs="仿宋"/>
          <w:color w:val="auto"/>
          <w:sz w:val="28"/>
          <w:szCs w:val="28"/>
          <w:highlight w:val="none"/>
          <w:u w:val="single"/>
          <w:lang w:bidi="ar"/>
        </w:rPr>
        <w:t>滁州市公共资源交易监督管理局</w:t>
      </w:r>
    </w:p>
    <w:p w14:paraId="29556E60">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地  址：</w:t>
      </w:r>
      <w:r>
        <w:rPr>
          <w:rFonts w:hint="eastAsia" w:ascii="仿宋" w:hAnsi="仿宋" w:eastAsia="仿宋" w:cs="仿宋"/>
          <w:color w:val="auto"/>
          <w:sz w:val="28"/>
          <w:szCs w:val="28"/>
          <w:highlight w:val="none"/>
          <w:u w:val="single"/>
          <w:lang w:bidi="ar"/>
        </w:rPr>
        <w:t>滁州市龙蟠大道109号房产大厦三楼</w:t>
      </w:r>
    </w:p>
    <w:p w14:paraId="335BA794">
      <w:pPr>
        <w:autoSpaceDE w:val="0"/>
        <w:ind w:firstLine="560" w:firstLineChars="200"/>
        <w:rPr>
          <w:rFonts w:hint="eastAsia" w:ascii="宋体" w:hAnsi="宋体" w:eastAsia="宋体"/>
          <w:color w:val="auto"/>
          <w:sz w:val="24"/>
          <w:szCs w:val="18"/>
          <w:highlight w:val="none"/>
          <w:u w:val="single"/>
        </w:rPr>
      </w:pPr>
      <w:r>
        <w:rPr>
          <w:rFonts w:hint="eastAsia" w:ascii="仿宋" w:hAnsi="仿宋" w:eastAsia="仿宋" w:cs="仿宋"/>
          <w:color w:val="auto"/>
          <w:sz w:val="28"/>
          <w:szCs w:val="28"/>
          <w:highlight w:val="none"/>
          <w:lang w:bidi="ar"/>
        </w:rPr>
        <w:t>联系方式：</w:t>
      </w:r>
      <w:r>
        <w:rPr>
          <w:rFonts w:hint="eastAsia" w:ascii="仿宋" w:hAnsi="仿宋" w:eastAsia="仿宋" w:cs="仿宋"/>
          <w:color w:val="auto"/>
          <w:sz w:val="28"/>
          <w:szCs w:val="28"/>
          <w:highlight w:val="none"/>
          <w:u w:val="single"/>
          <w:lang w:bidi="ar"/>
        </w:rPr>
        <w:t>0550-3801601</w:t>
      </w:r>
    </w:p>
    <w:p w14:paraId="2C24D20A">
      <w:pPr>
        <w:widowControl/>
        <w:jc w:val="left"/>
        <w:rPr>
          <w:rFonts w:hint="eastAsia" w:ascii="宋体" w:hAnsi="宋体" w:eastAsia="宋体"/>
          <w:color w:val="auto"/>
          <w:sz w:val="24"/>
          <w:szCs w:val="18"/>
          <w:highlight w:val="none"/>
        </w:rPr>
      </w:pPr>
      <w:r>
        <w:rPr>
          <w:rFonts w:ascii="宋体" w:hAnsi="宋体" w:eastAsia="宋体"/>
          <w:color w:val="auto"/>
          <w:sz w:val="24"/>
          <w:szCs w:val="18"/>
          <w:highlight w:val="none"/>
        </w:rPr>
        <w:br w:type="page"/>
      </w:r>
    </w:p>
    <w:p w14:paraId="4487E7C8">
      <w:pPr>
        <w:spacing w:line="360" w:lineRule="auto"/>
        <w:jc w:val="center"/>
        <w:outlineLvl w:val="0"/>
        <w:rPr>
          <w:rFonts w:hint="eastAsia" w:asciiTheme="minorEastAsia" w:hAnsiTheme="minorEastAsia" w:eastAsiaTheme="minorEastAsia"/>
          <w:b/>
          <w:color w:val="auto"/>
          <w:sz w:val="28"/>
          <w:highlight w:val="none"/>
        </w:rPr>
      </w:pPr>
      <w:bookmarkStart w:id="7" w:name="_Toc31935"/>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7"/>
    </w:p>
    <w:p w14:paraId="7273BF97">
      <w:pPr>
        <w:spacing w:line="360" w:lineRule="auto"/>
        <w:jc w:val="center"/>
        <w:outlineLvl w:val="1"/>
        <w:rPr>
          <w:rFonts w:hint="eastAsia" w:asciiTheme="minorEastAsia" w:hAnsiTheme="minorEastAsia" w:eastAsiaTheme="minorEastAsia"/>
          <w:b/>
          <w:color w:val="auto"/>
          <w:sz w:val="24"/>
          <w:highlight w:val="none"/>
        </w:rPr>
      </w:pPr>
      <w:bookmarkStart w:id="8" w:name="_Toc3114"/>
      <w:bookmarkStart w:id="9" w:name="_Toc7178"/>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8"/>
      <w:bookmarkEnd w:id="9"/>
    </w:p>
    <w:p w14:paraId="60D4A11D">
      <w:pPr>
        <w:spacing w:line="360" w:lineRule="auto"/>
        <w:ind w:firstLine="435"/>
        <w:rPr>
          <w:rFonts w:hint="eastAsia"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5"/>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3559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F866885">
            <w:pPr>
              <w:pStyle w:val="4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63FAFF21">
            <w:pPr>
              <w:pStyle w:val="4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06A2FDDD">
            <w:pPr>
              <w:pStyle w:val="4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41F4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499AF17">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5</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5F36ED15">
            <w:pPr>
              <w:pStyle w:val="43"/>
              <w:keepNext w:val="0"/>
              <w:keepLines w:val="0"/>
              <w:widowControl w:val="0"/>
              <w:suppressLineNumbers w:val="0"/>
              <w:spacing w:before="0" w:beforeAutospacing="0" w:after="0" w:afterAutospacing="0" w:line="360" w:lineRule="auto"/>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现场考察或标前答疑会</w:t>
            </w:r>
          </w:p>
        </w:tc>
        <w:tc>
          <w:tcPr>
            <w:tcW w:w="3244" w:type="pct"/>
            <w:vAlign w:val="center"/>
          </w:tcPr>
          <w:p w14:paraId="5F3254E5">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default" w:ascii="Segoe UI Symbol" w:hAnsi="Segoe UI Symbol" w:eastAsia="宋体" w:cs="Segoe UI Symbol"/>
                <w:bCs/>
                <w:color w:val="auto"/>
                <w:sz w:val="24"/>
                <w:szCs w:val="24"/>
                <w:highlight w:val="none"/>
              </w:rPr>
              <w:t>☑</w:t>
            </w:r>
            <w:r>
              <w:rPr>
                <w:rFonts w:hint="eastAsia" w:ascii="宋体" w:hAnsi="宋体" w:eastAsia="宋体"/>
                <w:color w:val="auto"/>
                <w:sz w:val="24"/>
                <w:szCs w:val="20"/>
                <w:highlight w:val="none"/>
              </w:rPr>
              <w:t>不组织或不召开</w:t>
            </w:r>
          </w:p>
          <w:p w14:paraId="3EFE02FE">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eastAsia" w:ascii="宋体" w:hAnsi="宋体" w:eastAsia="宋体"/>
                <w:color w:val="auto"/>
                <w:sz w:val="24"/>
                <w:szCs w:val="20"/>
                <w:highlight w:val="none"/>
              </w:rPr>
              <w:t>□</w:t>
            </w:r>
            <w:r>
              <w:rPr>
                <w:rFonts w:hint="eastAsia" w:ascii="宋体" w:hAnsi="宋体" w:eastAsia="宋体"/>
                <w:bCs/>
                <w:color w:val="auto"/>
                <w:sz w:val="24"/>
                <w:szCs w:val="20"/>
                <w:highlight w:val="none"/>
              </w:rPr>
              <w:t>统一组织或统一召开</w:t>
            </w:r>
          </w:p>
          <w:p w14:paraId="553D45A1">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时间：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月</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日</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时</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分</w:t>
            </w:r>
          </w:p>
          <w:p w14:paraId="001A86E9">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地点：</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rPr>
              <w:t>/</w:t>
            </w:r>
            <w:r>
              <w:rPr>
                <w:rFonts w:hint="default" w:ascii="宋体" w:hAnsi="宋体" w:eastAsia="宋体"/>
                <w:bCs/>
                <w:color w:val="auto"/>
                <w:sz w:val="24"/>
                <w:szCs w:val="20"/>
                <w:highlight w:val="none"/>
                <w:u w:val="single"/>
              </w:rPr>
              <w:t xml:space="preserve">                  </w:t>
            </w:r>
          </w:p>
          <w:p w14:paraId="2294E4DB">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联系人及联系电话：</w:t>
            </w:r>
            <w:r>
              <w:rPr>
                <w:rFonts w:hint="eastAsia" w:ascii="宋体" w:hAnsi="宋体" w:eastAsia="宋体"/>
                <w:bCs/>
                <w:color w:val="auto"/>
                <w:sz w:val="24"/>
                <w:szCs w:val="20"/>
                <w:highlight w:val="none"/>
                <w:u w:val="single"/>
              </w:rPr>
              <w:t xml:space="preserve"> 魏老师、18155148042</w:t>
            </w:r>
            <w:r>
              <w:rPr>
                <w:rFonts w:hint="default" w:ascii="宋体" w:hAnsi="宋体" w:eastAsia="宋体"/>
                <w:bCs/>
                <w:color w:val="auto"/>
                <w:sz w:val="24"/>
                <w:szCs w:val="20"/>
                <w:highlight w:val="none"/>
                <w:u w:val="single"/>
              </w:rPr>
              <w:t xml:space="preserve">  </w:t>
            </w:r>
          </w:p>
          <w:p w14:paraId="2F4D7675">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0E7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4F39B86">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6</w:t>
            </w:r>
            <w:r>
              <w:rPr>
                <w:rFonts w:hint="default" w:ascii="宋体" w:hAnsi="宋体" w:eastAsia="宋体"/>
                <w:bCs/>
                <w:color w:val="auto"/>
                <w:kern w:val="2"/>
                <w:highlight w:val="none"/>
              </w:rPr>
              <w:t>.1</w:t>
            </w:r>
          </w:p>
        </w:tc>
        <w:tc>
          <w:tcPr>
            <w:tcW w:w="1174" w:type="pct"/>
            <w:vAlign w:val="center"/>
          </w:tcPr>
          <w:p w14:paraId="65A9D89F">
            <w:pPr>
              <w:pStyle w:val="43"/>
              <w:keepNext w:val="0"/>
              <w:keepLines w:val="0"/>
              <w:widowControl w:val="0"/>
              <w:suppressLineNumbers w:val="0"/>
              <w:spacing w:before="0" w:beforeAutospacing="0" w:after="0" w:afterAutospacing="0"/>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42AA220D">
            <w:pPr>
              <w:pStyle w:val="43"/>
              <w:keepNext w:val="0"/>
              <w:keepLines w:val="0"/>
              <w:widowControl w:val="0"/>
              <w:suppressLineNumbers w:val="0"/>
              <w:spacing w:before="0" w:beforeAutospacing="0" w:after="0" w:afterAutospacing="0"/>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2025</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年</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8</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月</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18</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日</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17</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时</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30</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1A25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7FE67D">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7</w:t>
            </w:r>
            <w:r>
              <w:rPr>
                <w:rFonts w:hint="default" w:ascii="宋体" w:hAnsi="宋体" w:eastAsia="宋体"/>
                <w:bCs/>
                <w:color w:val="auto"/>
                <w:kern w:val="2"/>
                <w:highlight w:val="none"/>
              </w:rPr>
              <w:t>.1</w:t>
            </w:r>
          </w:p>
        </w:tc>
        <w:tc>
          <w:tcPr>
            <w:tcW w:w="1174" w:type="pct"/>
            <w:vAlign w:val="center"/>
          </w:tcPr>
          <w:p w14:paraId="7611E739">
            <w:pPr>
              <w:pStyle w:val="43"/>
              <w:keepNext w:val="0"/>
              <w:keepLines w:val="0"/>
              <w:widowControl w:val="0"/>
              <w:suppressLineNumbers w:val="0"/>
              <w:spacing w:before="0" w:beforeAutospacing="0" w:after="0" w:afterAutospacing="0"/>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4C9BD1E3">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default" w:ascii="宋体" w:hAnsi="宋体" w:eastAsia="宋体"/>
                <w:b w:val="0"/>
                <w:color w:val="auto"/>
                <w:sz w:val="24"/>
                <w:highlight w:val="none"/>
              </w:rPr>
              <w:t>不分包     □分为</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个包</w:t>
            </w:r>
          </w:p>
          <w:p w14:paraId="76C8969F">
            <w:pPr>
              <w:pStyle w:val="43"/>
              <w:keepNext w:val="0"/>
              <w:keepLines w:val="0"/>
              <w:widowControl w:val="0"/>
              <w:suppressLineNumbers w:val="0"/>
              <w:spacing w:before="0" w:beforeAutospacing="0" w:after="0" w:afterAutospacing="0"/>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hint="default"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hint="default" w:ascii="宋体" w:hAnsi="宋体" w:eastAsia="宋体"/>
                <w:b w:val="0"/>
                <w:bCs w:val="0"/>
                <w:color w:val="auto"/>
                <w:sz w:val="24"/>
                <w:szCs w:val="18"/>
                <w:highlight w:val="none"/>
                <w:u w:val="single"/>
              </w:rPr>
              <w:t xml:space="preserve"> </w:t>
            </w:r>
            <w:r>
              <w:rPr>
                <w:rFonts w:hint="eastAsia" w:ascii="宋体" w:hAnsi="宋体" w:eastAsia="宋体"/>
                <w:b w:val="0"/>
                <w:bCs w:val="0"/>
                <w:color w:val="auto"/>
                <w:sz w:val="24"/>
                <w:szCs w:val="18"/>
                <w:highlight w:val="none"/>
                <w:u w:val="single"/>
              </w:rPr>
              <w:t>/</w:t>
            </w:r>
            <w:r>
              <w:rPr>
                <w:rFonts w:hint="default" w:ascii="宋体" w:hAnsi="宋体" w:eastAsia="宋体"/>
                <w:b w:val="0"/>
                <w:bCs w:val="0"/>
                <w:color w:val="auto"/>
                <w:sz w:val="24"/>
                <w:szCs w:val="18"/>
                <w:highlight w:val="none"/>
                <w:u w:val="single"/>
              </w:rPr>
              <w:t xml:space="preserve">    </w:t>
            </w:r>
          </w:p>
        </w:tc>
      </w:tr>
      <w:tr w14:paraId="1039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11320252">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10</w:t>
            </w:r>
            <w:r>
              <w:rPr>
                <w:rFonts w:hint="default" w:ascii="宋体" w:hAnsi="宋体" w:eastAsia="宋体"/>
                <w:bCs/>
                <w:color w:val="auto"/>
                <w:kern w:val="2"/>
                <w:highlight w:val="none"/>
              </w:rPr>
              <w:t>.1</w:t>
            </w:r>
          </w:p>
        </w:tc>
        <w:tc>
          <w:tcPr>
            <w:tcW w:w="1174" w:type="pct"/>
            <w:vAlign w:val="center"/>
          </w:tcPr>
          <w:p w14:paraId="42E36530">
            <w:pPr>
              <w:pStyle w:val="43"/>
              <w:keepNext w:val="0"/>
              <w:keepLines w:val="0"/>
              <w:widowControl w:val="0"/>
              <w:suppressLineNumbers w:val="0"/>
              <w:spacing w:before="0" w:beforeAutospacing="0" w:after="0" w:afterAutospacing="0" w:line="360" w:lineRule="auto"/>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0EE9EF2B">
            <w:pPr>
              <w:keepNext w:val="0"/>
              <w:keepLines w:val="0"/>
              <w:suppressLineNumbers w:val="0"/>
              <w:spacing w:before="0" w:beforeAutospacing="0" w:after="0" w:afterAutospacing="0" w:line="360" w:lineRule="auto"/>
              <w:ind w:left="0" w:right="0"/>
              <w:rPr>
                <w:rFonts w:hint="eastAsia"/>
                <w:color w:val="auto"/>
                <w:szCs w:val="20"/>
                <w:highlight w:val="none"/>
              </w:rPr>
            </w:pPr>
            <w:r>
              <w:rPr>
                <w:rFonts w:hint="eastAsia" w:ascii="宋体" w:hAnsi="宋体" w:eastAsia="宋体"/>
                <w:bCs/>
                <w:color w:val="auto"/>
                <w:kern w:val="0"/>
                <w:sz w:val="24"/>
                <w:szCs w:val="28"/>
                <w:highlight w:val="none"/>
              </w:rPr>
              <w:t>不收取</w:t>
            </w:r>
          </w:p>
        </w:tc>
      </w:tr>
      <w:tr w14:paraId="41DF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F6E0697">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11</w:t>
            </w:r>
            <w:r>
              <w:rPr>
                <w:rFonts w:hint="default" w:ascii="宋体" w:hAnsi="宋体" w:eastAsia="宋体"/>
                <w:bCs/>
                <w:color w:val="auto"/>
                <w:kern w:val="2"/>
                <w:highlight w:val="none"/>
              </w:rPr>
              <w:t>.1</w:t>
            </w:r>
          </w:p>
        </w:tc>
        <w:tc>
          <w:tcPr>
            <w:tcW w:w="1174" w:type="pct"/>
            <w:vAlign w:val="center"/>
          </w:tcPr>
          <w:p w14:paraId="008933C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26DECD5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 xml:space="preserve"> 90 </w:t>
            </w:r>
            <w:r>
              <w:rPr>
                <w:rFonts w:hint="eastAsia" w:ascii="宋体" w:hAnsi="宋体" w:eastAsia="宋体"/>
                <w:b w:val="0"/>
                <w:color w:val="auto"/>
                <w:sz w:val="24"/>
                <w:highlight w:val="none"/>
              </w:rPr>
              <w:t>日历日</w:t>
            </w:r>
          </w:p>
        </w:tc>
      </w:tr>
      <w:tr w14:paraId="4C64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8646351">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13</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690B4A7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3244" w:type="pct"/>
            <w:vAlign w:val="center"/>
          </w:tcPr>
          <w:p w14:paraId="670887B4">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投标截止时间后</w:t>
            </w:r>
            <w:r>
              <w:rPr>
                <w:rFonts w:hint="eastAsia" w:ascii="宋体" w:hAnsi="宋体" w:eastAsia="宋体"/>
                <w:b w:val="0"/>
                <w:color w:val="auto"/>
                <w:sz w:val="24"/>
                <w:highlight w:val="none"/>
                <w:u w:val="single"/>
              </w:rPr>
              <w:t xml:space="preserve"> 60 </w:t>
            </w:r>
            <w:r>
              <w:rPr>
                <w:rFonts w:hint="eastAsia" w:ascii="宋体" w:hAnsi="宋体" w:eastAsia="宋体"/>
                <w:b w:val="0"/>
                <w:color w:val="auto"/>
                <w:sz w:val="24"/>
                <w:highlight w:val="none"/>
              </w:rPr>
              <w:t>分钟内</w:t>
            </w:r>
          </w:p>
        </w:tc>
      </w:tr>
      <w:tr w14:paraId="6A4E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A8201D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14.1</w:t>
            </w:r>
          </w:p>
        </w:tc>
        <w:tc>
          <w:tcPr>
            <w:tcW w:w="1174" w:type="pct"/>
            <w:vAlign w:val="center"/>
          </w:tcPr>
          <w:p w14:paraId="299BC257">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60FC2D3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eastAsia" w:ascii="宋体" w:hAnsi="宋体" w:eastAsia="宋体"/>
                <w:b w:val="0"/>
                <w:bCs w:val="0"/>
                <w:color w:val="auto"/>
                <w:sz w:val="24"/>
                <w:highlight w:val="none"/>
              </w:rPr>
              <w:t>采购人审查</w:t>
            </w:r>
          </w:p>
          <w:p w14:paraId="09A2EDE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default"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1741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EF3E72">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hint="default" w:ascii="宋体" w:hAnsi="宋体" w:eastAsia="宋体"/>
                <w:bCs/>
                <w:color w:val="auto"/>
                <w:kern w:val="2"/>
                <w:highlight w:val="none"/>
              </w:rPr>
              <w:t>.2</w:t>
            </w:r>
          </w:p>
        </w:tc>
        <w:tc>
          <w:tcPr>
            <w:tcW w:w="1174" w:type="pct"/>
            <w:vAlign w:val="center"/>
          </w:tcPr>
          <w:p w14:paraId="0EFAB133">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178D5BE3">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宋体" w:hAnsi="宋体" w:eastAsia="宋体"/>
                <w:b w:val="0"/>
                <w:bCs w:val="0"/>
                <w:color w:val="auto"/>
                <w:sz w:val="24"/>
                <w:szCs w:val="24"/>
                <w:highlight w:val="none"/>
              </w:rPr>
              <w:t>□</w:t>
            </w:r>
            <w:r>
              <w:rPr>
                <w:rFonts w:hint="eastAsia" w:ascii="宋体" w:hAnsi="宋体" w:eastAsia="宋体"/>
                <w:b w:val="0"/>
                <w:color w:val="auto"/>
                <w:sz w:val="24"/>
                <w:highlight w:val="none"/>
              </w:rPr>
              <w:t>最低评标价法</w:t>
            </w:r>
          </w:p>
          <w:p w14:paraId="308B441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eastAsia" w:ascii="宋体" w:hAnsi="宋体" w:eastAsia="宋体"/>
                <w:b w:val="0"/>
                <w:color w:val="auto"/>
                <w:sz w:val="24"/>
                <w:highlight w:val="none"/>
              </w:rPr>
              <w:t>综合评分法</w:t>
            </w:r>
          </w:p>
        </w:tc>
      </w:tr>
      <w:tr w14:paraId="54B6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757ABC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hint="default" w:ascii="宋体" w:hAnsi="宋体" w:eastAsia="宋体"/>
                <w:bCs/>
                <w:color w:val="auto"/>
                <w:kern w:val="2"/>
                <w:highlight w:val="none"/>
              </w:rPr>
              <w:t>.3</w:t>
            </w:r>
          </w:p>
        </w:tc>
        <w:tc>
          <w:tcPr>
            <w:tcW w:w="1174" w:type="pct"/>
            <w:vAlign w:val="center"/>
          </w:tcPr>
          <w:p w14:paraId="44366D0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报价扣除</w:t>
            </w:r>
          </w:p>
          <w:p w14:paraId="5A82CFB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color w:val="auto"/>
                <w:sz w:val="24"/>
                <w:highlight w:val="none"/>
              </w:rPr>
            </w:pPr>
          </w:p>
        </w:tc>
        <w:tc>
          <w:tcPr>
            <w:tcW w:w="3244" w:type="pct"/>
            <w:vAlign w:val="center"/>
          </w:tcPr>
          <w:p w14:paraId="1800F23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w:t>
            </w:r>
            <w:r>
              <w:rPr>
                <w:rFonts w:hint="default"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rPr>
              <w:t>对小型和微型企业产品的价格给予10%的扣除后参与评审；其评审价=投标报价*90%</w:t>
            </w:r>
            <w:r>
              <w:rPr>
                <w:rFonts w:hint="eastAsia" w:ascii="宋体" w:hAnsi="宋体" w:eastAsia="宋体"/>
                <w:b w:val="0"/>
                <w:color w:val="auto"/>
                <w:sz w:val="24"/>
                <w:highlight w:val="none"/>
              </w:rPr>
              <w:t>。</w:t>
            </w:r>
          </w:p>
          <w:p w14:paraId="7BAE72F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（2）监狱企业价格扣除：同</w:t>
            </w:r>
            <w:r>
              <w:rPr>
                <w:rFonts w:hint="default"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7FD0C617">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（3）残疾人福利性单位价格扣除：同</w:t>
            </w:r>
            <w:r>
              <w:rPr>
                <w:rFonts w:hint="default"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6CD880FC">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rPr>
              <w:t>联合体投标的，小型、微型企业的协议合同金额占联合体协议合同总金额30%以上的，价格给予联合体4%的扣除后参与评审；其评审价=投标报价*96%；联合体各方均为小型、微型企业的，联合体视同为小型、微型企业，其评审价按（1）款执行</w:t>
            </w:r>
            <w:r>
              <w:rPr>
                <w:rFonts w:hint="eastAsia" w:ascii="宋体" w:hAnsi="宋体" w:eastAsia="宋体"/>
                <w:b w:val="0"/>
                <w:color w:val="auto"/>
                <w:sz w:val="24"/>
                <w:highlight w:val="none"/>
              </w:rPr>
              <w:t>。</w:t>
            </w:r>
          </w:p>
          <w:p w14:paraId="30F59943">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rPr>
              <w:t>允许大中型企业向一家或者多家小微企业分包的，对于分包意向协议约定小微企业的合同份额占到合同总金额30%以上的，给予大中型企业的投标报价按照4%标准扣除后的价格参与评审；其评审价=投标报价*96%</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407F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07287EE">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49E0E9C1">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hint="default"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hint="default" w:ascii="宋体" w:hAnsi="宋体" w:eastAsia="宋体"/>
                <w:b w:val="0"/>
                <w:color w:val="auto"/>
                <w:sz w:val="24"/>
                <w:highlight w:val="none"/>
              </w:rPr>
              <w:t>数量</w:t>
            </w:r>
          </w:p>
        </w:tc>
        <w:tc>
          <w:tcPr>
            <w:tcW w:w="3244" w:type="pct"/>
            <w:vAlign w:val="center"/>
          </w:tcPr>
          <w:p w14:paraId="117DEDF8">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推荐3名中标候选人</w:t>
            </w:r>
          </w:p>
        </w:tc>
      </w:tr>
      <w:tr w14:paraId="0A22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8BCBC24">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50B2B84B">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2D579C2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□采购人委托评标委员会确定</w:t>
            </w:r>
          </w:p>
          <w:p w14:paraId="36EE8BEA">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0"/>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采购人确定</w:t>
            </w:r>
          </w:p>
        </w:tc>
      </w:tr>
      <w:tr w14:paraId="0E1D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E15DB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default" w:ascii="宋体" w:hAnsi="宋体" w:eastAsia="宋体"/>
                <w:bCs/>
                <w:color w:val="auto"/>
                <w:kern w:val="2"/>
                <w:highlight w:val="none"/>
              </w:rPr>
              <w:t>2</w:t>
            </w:r>
            <w:r>
              <w:rPr>
                <w:rFonts w:hint="eastAsia" w:ascii="宋体" w:hAnsi="宋体" w:eastAsia="宋体"/>
                <w:bCs/>
                <w:color w:val="auto"/>
                <w:kern w:val="2"/>
                <w:highlight w:val="none"/>
              </w:rPr>
              <w:t>3</w:t>
            </w:r>
            <w:r>
              <w:rPr>
                <w:rFonts w:hint="default" w:ascii="宋体" w:hAnsi="宋体" w:eastAsia="宋体"/>
                <w:bCs/>
                <w:color w:val="auto"/>
                <w:kern w:val="2"/>
                <w:highlight w:val="none"/>
              </w:rPr>
              <w:t>.3</w:t>
            </w:r>
          </w:p>
        </w:tc>
        <w:tc>
          <w:tcPr>
            <w:tcW w:w="1174" w:type="pct"/>
            <w:vAlign w:val="center"/>
          </w:tcPr>
          <w:p w14:paraId="3D0AC561">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随中标结果公告同时公告的内容</w:t>
            </w:r>
          </w:p>
        </w:tc>
        <w:tc>
          <w:tcPr>
            <w:tcW w:w="3244" w:type="pct"/>
            <w:vAlign w:val="center"/>
          </w:tcPr>
          <w:p w14:paraId="0CFF9C27">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（1）中小企业声明函；</w:t>
            </w:r>
            <w:r>
              <w:rPr>
                <w:rFonts w:hint="eastAsia" w:ascii="宋体" w:hAnsi="宋体" w:eastAsia="宋体"/>
                <w:b w:val="0"/>
                <w:i/>
                <w:iCs/>
                <w:color w:val="auto"/>
                <w:sz w:val="24"/>
                <w:highlight w:val="none"/>
              </w:rPr>
              <w:t>（如有）</w:t>
            </w:r>
          </w:p>
          <w:p w14:paraId="3BC1A78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color w:val="auto"/>
                <w:sz w:val="24"/>
                <w:highlight w:val="none"/>
              </w:rPr>
            </w:pPr>
            <w:r>
              <w:rPr>
                <w:rFonts w:hint="eastAsia" w:ascii="宋体" w:hAnsi="宋体" w:eastAsia="宋体"/>
                <w:b w:val="0"/>
                <w:color w:val="auto"/>
                <w:sz w:val="24"/>
                <w:highlight w:val="none"/>
              </w:rPr>
              <w:t>（2）残疾人福利性单位声明函；</w:t>
            </w:r>
            <w:r>
              <w:rPr>
                <w:rFonts w:hint="eastAsia" w:ascii="宋体" w:hAnsi="宋体" w:eastAsia="宋体"/>
                <w:b w:val="0"/>
                <w:i/>
                <w:iCs/>
                <w:color w:val="auto"/>
                <w:sz w:val="24"/>
                <w:highlight w:val="none"/>
              </w:rPr>
              <w:t>（如有）</w:t>
            </w:r>
          </w:p>
          <w:p w14:paraId="3C45BC5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iCs/>
                <w:color w:val="auto"/>
                <w:sz w:val="24"/>
                <w:highlight w:val="none"/>
                <w:lang w:eastAsia="zh-CN"/>
              </w:rPr>
            </w:pPr>
            <w:r>
              <w:rPr>
                <w:rFonts w:hint="eastAsia" w:ascii="宋体" w:hAnsi="宋体" w:eastAsia="宋体"/>
                <w:b w:val="0"/>
                <w:color w:val="auto"/>
                <w:sz w:val="24"/>
                <w:highlight w:val="none"/>
              </w:rPr>
              <w:t>（3）中标（成交）供应商的评审总得分</w:t>
            </w:r>
            <w:r>
              <w:rPr>
                <w:rFonts w:hint="eastAsia" w:ascii="宋体" w:hAnsi="宋体" w:eastAsia="宋体"/>
                <w:b w:val="0"/>
                <w:color w:val="auto"/>
                <w:sz w:val="24"/>
                <w:highlight w:val="none"/>
                <w:lang w:eastAsia="zh-CN"/>
              </w:rPr>
              <w:t>；</w:t>
            </w:r>
          </w:p>
          <w:p w14:paraId="6C0B0BD7">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24"/>
                <w:highlight w:val="none"/>
              </w:rPr>
            </w:pP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4</w:t>
            </w: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中标（成交）供应商的</w:t>
            </w:r>
            <w:r>
              <w:rPr>
                <w:rFonts w:hint="eastAsia" w:ascii="宋体" w:hAnsi="宋体" w:eastAsia="宋体"/>
                <w:b w:val="0"/>
                <w:color w:val="auto"/>
                <w:sz w:val="24"/>
                <w:highlight w:val="none"/>
                <w:u w:val="single"/>
              </w:rPr>
              <w:t>投标分项报价表。</w:t>
            </w:r>
            <w:r>
              <w:rPr>
                <w:rFonts w:hint="eastAsia" w:ascii="宋体" w:hAnsi="宋体" w:eastAsia="宋体"/>
                <w:b w:val="0"/>
                <w:i/>
                <w:iCs/>
                <w:color w:val="auto"/>
                <w:sz w:val="24"/>
                <w:highlight w:val="none"/>
              </w:rPr>
              <w:t>（如有）</w:t>
            </w:r>
          </w:p>
        </w:tc>
      </w:tr>
      <w:tr w14:paraId="4C09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8051D9F">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24</w:t>
            </w:r>
            <w:r>
              <w:rPr>
                <w:rFonts w:hint="default" w:ascii="宋体" w:hAnsi="宋体" w:eastAsia="宋体"/>
                <w:bCs/>
                <w:color w:val="auto"/>
                <w:kern w:val="2"/>
                <w:highlight w:val="none"/>
              </w:rPr>
              <w:t>.1</w:t>
            </w:r>
          </w:p>
        </w:tc>
        <w:tc>
          <w:tcPr>
            <w:tcW w:w="1174" w:type="pct"/>
            <w:vAlign w:val="center"/>
          </w:tcPr>
          <w:p w14:paraId="4DEDD05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7755D541">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hint="default"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FE"/>
            </w:r>
            <w:r>
              <w:rPr>
                <w:rFonts w:hint="eastAsia" w:ascii="宋体" w:hAnsi="宋体" w:eastAsia="宋体"/>
                <w:b w:val="0"/>
                <w:bCs w:val="0"/>
                <w:color w:val="auto"/>
                <w:sz w:val="24"/>
                <w:szCs w:val="24"/>
                <w:highlight w:val="none"/>
              </w:rPr>
              <w:t>数据电文</w:t>
            </w:r>
          </w:p>
        </w:tc>
      </w:tr>
      <w:tr w14:paraId="6A9F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0AD3685">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25</w:t>
            </w:r>
            <w:r>
              <w:rPr>
                <w:rFonts w:hint="default" w:ascii="宋体" w:hAnsi="宋体" w:eastAsia="宋体"/>
                <w:bCs/>
                <w:color w:val="auto"/>
                <w:kern w:val="2"/>
                <w:highlight w:val="none"/>
              </w:rPr>
              <w:t>.1</w:t>
            </w:r>
          </w:p>
        </w:tc>
        <w:tc>
          <w:tcPr>
            <w:tcW w:w="1174" w:type="pct"/>
            <w:vAlign w:val="center"/>
          </w:tcPr>
          <w:p w14:paraId="19E609AC">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63739C4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投标人自行登录电子</w:t>
            </w:r>
            <w:r>
              <w:rPr>
                <w:rFonts w:hint="eastAsia" w:ascii="宋体" w:hAnsi="宋体" w:eastAsia="宋体" w:cs="宋体"/>
                <w:color w:val="auto"/>
                <w:sz w:val="24"/>
                <w:szCs w:val="24"/>
                <w:highlight w:val="none"/>
              </w:rPr>
              <w:t>交易</w:t>
            </w:r>
            <w:r>
              <w:rPr>
                <w:rFonts w:hint="eastAsia" w:asciiTheme="minorEastAsia" w:hAnsiTheme="minorEastAsia" w:eastAsiaTheme="minorEastAsia"/>
                <w:color w:val="auto"/>
                <w:kern w:val="0"/>
                <w:sz w:val="24"/>
                <w:szCs w:val="24"/>
                <w:highlight w:val="none"/>
              </w:rPr>
              <w:t>系统查看</w:t>
            </w:r>
          </w:p>
          <w:p w14:paraId="46C4E22E">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bCs w:val="0"/>
                <w:color w:val="auto"/>
                <w:kern w:val="2"/>
                <w:sz w:val="24"/>
                <w:szCs w:val="24"/>
                <w:highlight w:val="none"/>
              </w:rPr>
            </w:pPr>
            <w:r>
              <w:rPr>
                <w:rFonts w:hint="eastAsia" w:asciiTheme="minorEastAsia" w:hAnsiTheme="minorEastAsia" w:eastAsiaTheme="minorEastAsia"/>
                <w:b w:val="0"/>
                <w:bCs w:val="0"/>
                <w:color w:val="auto"/>
                <w:kern w:val="2"/>
                <w:sz w:val="24"/>
                <w:szCs w:val="24"/>
                <w:highlight w:val="none"/>
              </w:rPr>
              <w:t>□评标现场告知</w:t>
            </w:r>
          </w:p>
        </w:tc>
      </w:tr>
      <w:tr w14:paraId="2F1F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5EB5F66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26</w:t>
            </w:r>
            <w:r>
              <w:rPr>
                <w:rFonts w:hint="default" w:ascii="宋体" w:hAnsi="宋体" w:eastAsia="宋体"/>
                <w:bCs/>
                <w:color w:val="auto"/>
                <w:kern w:val="2"/>
                <w:highlight w:val="none"/>
              </w:rPr>
              <w:t>.1</w:t>
            </w:r>
          </w:p>
        </w:tc>
        <w:tc>
          <w:tcPr>
            <w:tcW w:w="1174" w:type="pct"/>
            <w:vAlign w:val="center"/>
          </w:tcPr>
          <w:p w14:paraId="272628A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4A620094">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2FDF5EDC">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免收</w:t>
            </w:r>
          </w:p>
          <w:p w14:paraId="5A5813D0">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Segoe UI Symbol" w:hAnsi="Segoe UI Symbol" w:eastAsia="宋体" w:cs="Segoe UI Symbol"/>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hint="default"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rPr>
              <w:t>2.5</w:t>
            </w:r>
            <w:r>
              <w:rPr>
                <w:rFonts w:hint="default" w:ascii="宋体" w:hAnsi="宋体" w:eastAsia="宋体"/>
                <w:bCs/>
                <w:color w:val="auto"/>
                <w:kern w:val="0"/>
                <w:sz w:val="24"/>
                <w:szCs w:val="28"/>
                <w:highlight w:val="none"/>
                <w:u w:val="single"/>
              </w:rPr>
              <w:t xml:space="preserve"> </w:t>
            </w:r>
            <w:r>
              <w:rPr>
                <w:rFonts w:hint="default" w:ascii="宋体" w:hAnsi="宋体" w:eastAsia="宋体"/>
                <w:bCs/>
                <w:color w:val="auto"/>
                <w:kern w:val="0"/>
                <w:sz w:val="24"/>
                <w:szCs w:val="28"/>
                <w:highlight w:val="none"/>
              </w:rPr>
              <w:t>%</w:t>
            </w:r>
          </w:p>
          <w:p w14:paraId="216C4266">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     </w:t>
            </w:r>
            <w:r>
              <w:rPr>
                <w:rFonts w:hint="eastAsia" w:ascii="宋体" w:hAnsi="宋体" w:eastAsia="宋体"/>
                <w:bCs/>
                <w:color w:val="auto"/>
                <w:kern w:val="0"/>
                <w:sz w:val="24"/>
                <w:szCs w:val="28"/>
                <w:highlight w:val="none"/>
              </w:rPr>
              <w:t>元</w:t>
            </w:r>
          </w:p>
          <w:p w14:paraId="58362BFE">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16547B6C">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保</w:t>
            </w:r>
            <w:r>
              <w:rPr>
                <w:rFonts w:hint="default" w:ascii="宋体" w:hAnsi="宋体" w:eastAsia="宋体"/>
                <w:bCs/>
                <w:color w:val="auto"/>
                <w:kern w:val="0"/>
                <w:sz w:val="24"/>
                <w:szCs w:val="28"/>
                <w:highlight w:val="none"/>
              </w:rPr>
              <w:t>函</w:t>
            </w:r>
          </w:p>
          <w:p w14:paraId="4581E653">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另行通知   </w:t>
            </w:r>
            <w:r>
              <w:rPr>
                <w:rFonts w:hint="eastAsia" w:ascii="宋体" w:hAnsi="宋体" w:eastAsia="宋体"/>
                <w:bCs/>
                <w:color w:val="auto"/>
                <w:kern w:val="0"/>
                <w:sz w:val="24"/>
                <w:szCs w:val="28"/>
                <w:highlight w:val="none"/>
              </w:rPr>
              <w:t xml:space="preserve">              </w:t>
            </w:r>
          </w:p>
          <w:p w14:paraId="7E6B09BE">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（4）收取账号：</w:t>
            </w:r>
            <w:r>
              <w:rPr>
                <w:rFonts w:hint="eastAsia" w:ascii="宋体" w:hAnsi="宋体" w:eastAsia="宋体"/>
                <w:bCs/>
                <w:color w:val="auto"/>
                <w:kern w:val="0"/>
                <w:sz w:val="24"/>
                <w:szCs w:val="28"/>
                <w:highlight w:val="none"/>
                <w:u w:val="single"/>
              </w:rPr>
              <w:t xml:space="preserve"> 另行通知   </w:t>
            </w:r>
          </w:p>
          <w:p w14:paraId="1C751E62">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0"/>
                <w:highlight w:val="none"/>
              </w:rPr>
            </w:pPr>
            <w:r>
              <w:rPr>
                <w:rFonts w:hint="eastAsia" w:ascii="宋体" w:hAnsi="宋体" w:eastAsia="宋体"/>
                <w:bCs/>
                <w:color w:val="auto"/>
                <w:kern w:val="0"/>
                <w:sz w:val="24"/>
                <w:szCs w:val="28"/>
                <w:highlight w:val="none"/>
              </w:rPr>
              <w:t>（5）</w:t>
            </w:r>
            <w:r>
              <w:rPr>
                <w:rFonts w:hint="eastAsia" w:ascii="宋体" w:hAnsi="宋体" w:eastAsia="宋体"/>
                <w:color w:val="auto"/>
                <w:sz w:val="24"/>
                <w:szCs w:val="20"/>
                <w:highlight w:val="none"/>
              </w:rPr>
              <w:t>退还时间：</w:t>
            </w:r>
            <w:r>
              <w:rPr>
                <w:rFonts w:hint="eastAsia" w:ascii="宋体" w:hAnsi="宋体" w:eastAsia="宋体"/>
                <w:bCs/>
                <w:color w:val="auto"/>
                <w:kern w:val="0"/>
                <w:sz w:val="24"/>
                <w:szCs w:val="28"/>
                <w:highlight w:val="none"/>
                <w:u w:val="single"/>
              </w:rPr>
              <w:t>①采用银行转账方式：政府采购验收合格后，一次性退还；②采用支票、汇票、本票、保函等方式：有效期为自合同签订之日起至供货期满后止。</w:t>
            </w:r>
          </w:p>
          <w:p w14:paraId="3A3731DD">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52C36792">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14EB95DF">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4F90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7C062ECB">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27</w:t>
            </w:r>
            <w:r>
              <w:rPr>
                <w:rFonts w:hint="default" w:ascii="宋体" w:hAnsi="宋体" w:eastAsia="宋体"/>
                <w:bCs/>
                <w:color w:val="auto"/>
                <w:kern w:val="2"/>
                <w:highlight w:val="none"/>
              </w:rPr>
              <w:t>.1</w:t>
            </w:r>
          </w:p>
        </w:tc>
        <w:tc>
          <w:tcPr>
            <w:tcW w:w="1174" w:type="pct"/>
            <w:vAlign w:val="center"/>
          </w:tcPr>
          <w:p w14:paraId="5DD77DDF">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签订合同和合同公告时间</w:t>
            </w:r>
          </w:p>
        </w:tc>
        <w:tc>
          <w:tcPr>
            <w:tcW w:w="3244" w:type="pct"/>
          </w:tcPr>
          <w:p w14:paraId="01C861F2">
            <w:pPr>
              <w:pStyle w:val="20"/>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（1）采购人与中标人应当自发出中标通知书之日起7个工作日内签订合同，采购合同签订之日起2个工作日内完成政府采购合同公开。</w:t>
            </w:r>
          </w:p>
          <w:p w14:paraId="2AB1684B">
            <w:pPr>
              <w:pStyle w:val="20"/>
              <w:keepNext w:val="0"/>
              <w:keepLines w:val="0"/>
              <w:widowControl/>
              <w:suppressLineNumbers w:val="0"/>
              <w:spacing w:before="0" w:beforeAutospacing="0" w:after="0" w:afterAutospacing="0" w:line="360" w:lineRule="auto"/>
              <w:ind w:left="0" w:right="0"/>
              <w:rPr>
                <w:rFonts w:hint="eastAsia" w:ascii="宋体" w:hAnsi="宋体" w:eastAsia="宋体"/>
                <w:b/>
                <w:bCs/>
                <w:color w:val="auto"/>
                <w:szCs w:val="24"/>
                <w:highlight w:val="none"/>
              </w:rPr>
            </w:pPr>
            <w:r>
              <w:rPr>
                <w:rFonts w:hint="eastAsia" w:ascii="宋体" w:hAnsi="宋体" w:eastAsia="宋体" w:cs="宋体"/>
                <w:color w:val="auto"/>
                <w:szCs w:val="24"/>
                <w:highlight w:val="none"/>
              </w:rPr>
              <w:t>（2）采购人与中标人</w:t>
            </w:r>
            <w:r>
              <w:rPr>
                <w:rFonts w:hint="default" w:ascii="宋体" w:hAnsi="宋体" w:eastAsia="宋体" w:cs="宋体"/>
                <w:color w:val="auto"/>
                <w:szCs w:val="24"/>
                <w:highlight w:val="none"/>
              </w:rPr>
              <w:t>不得擅自变更合同，依照政府采购法确需变更政府采购合同内容的，采购人应当自合同变更之日起2个工作日内</w:t>
            </w:r>
            <w:r>
              <w:rPr>
                <w:rFonts w:hint="eastAsia" w:ascii="宋体" w:hAnsi="宋体" w:eastAsia="宋体" w:cs="宋体"/>
                <w:color w:val="auto"/>
                <w:szCs w:val="24"/>
                <w:highlight w:val="none"/>
              </w:rPr>
              <w:t>在安徽省政府采购网和滁州市公共资源交易中心网</w:t>
            </w:r>
            <w:r>
              <w:rPr>
                <w:rFonts w:hint="default" w:ascii="宋体" w:hAnsi="宋体" w:eastAsia="宋体" w:cs="宋体"/>
                <w:color w:val="auto"/>
                <w:szCs w:val="24"/>
                <w:highlight w:val="none"/>
              </w:rPr>
              <w:t>发布政府采购合同变更公告</w:t>
            </w:r>
            <w:r>
              <w:rPr>
                <w:rFonts w:hint="eastAsia" w:ascii="宋体" w:hAnsi="宋体" w:eastAsia="宋体" w:cs="宋体"/>
                <w:color w:val="auto"/>
                <w:szCs w:val="24"/>
                <w:highlight w:val="none"/>
              </w:rPr>
              <w:t>，</w:t>
            </w:r>
            <w:r>
              <w:rPr>
                <w:rFonts w:hint="default" w:ascii="宋体" w:hAnsi="宋体" w:eastAsia="宋体" w:cs="宋体"/>
                <w:color w:val="auto"/>
                <w:szCs w:val="24"/>
                <w:highlight w:val="none"/>
              </w:rPr>
              <w:t>但涉及国家秘密、商业秘密的信息和其他依法不得公开的信息除外。</w:t>
            </w:r>
          </w:p>
        </w:tc>
      </w:tr>
      <w:tr w14:paraId="386D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AD440E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28</w:t>
            </w:r>
            <w:r>
              <w:rPr>
                <w:rFonts w:hint="default" w:ascii="宋体" w:hAnsi="宋体" w:eastAsia="宋体"/>
                <w:bCs/>
                <w:color w:val="auto"/>
                <w:kern w:val="2"/>
                <w:highlight w:val="none"/>
              </w:rPr>
              <w:t>.1</w:t>
            </w:r>
          </w:p>
        </w:tc>
        <w:tc>
          <w:tcPr>
            <w:tcW w:w="1174" w:type="pct"/>
            <w:vAlign w:val="center"/>
          </w:tcPr>
          <w:p w14:paraId="7E2E93C2">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代理费用</w:t>
            </w:r>
          </w:p>
        </w:tc>
        <w:tc>
          <w:tcPr>
            <w:tcW w:w="3244" w:type="pct"/>
            <w:vAlign w:val="center"/>
          </w:tcPr>
          <w:p w14:paraId="5A65A35C">
            <w:pPr>
              <w:keepNext w:val="0"/>
              <w:keepLines w:val="0"/>
              <w:suppressLineNumbers w:val="0"/>
              <w:spacing w:before="39"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hint="default" w:ascii="宋体" w:hAnsi="宋体" w:eastAsia="宋体"/>
                <w:bCs/>
                <w:color w:val="auto"/>
                <w:kern w:val="0"/>
                <w:sz w:val="24"/>
                <w:szCs w:val="28"/>
                <w:highlight w:val="none"/>
              </w:rPr>
              <w:t>收费对象</w:t>
            </w:r>
            <w:r>
              <w:rPr>
                <w:rFonts w:hint="default"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hint="default"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00FE"/>
            </w:r>
            <w:r>
              <w:rPr>
                <w:rFonts w:hint="default" w:ascii="宋体" w:hAnsi="宋体" w:eastAsia="宋体" w:cs="宋体"/>
                <w:color w:val="auto"/>
                <w:spacing w:val="14"/>
                <w:sz w:val="24"/>
                <w:szCs w:val="24"/>
                <w:highlight w:val="none"/>
              </w:rPr>
              <w:t>中标人</w:t>
            </w:r>
          </w:p>
          <w:p w14:paraId="2F938C6B">
            <w:pPr>
              <w:keepNext w:val="0"/>
              <w:keepLines w:val="0"/>
              <w:suppressLineNumbers w:val="0"/>
              <w:spacing w:before="24"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中标单位在获取中标通知书时一次性支付给代理机构。</w:t>
            </w:r>
          </w:p>
          <w:p w14:paraId="37E218CF">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bCs w:val="0"/>
                <w:color w:val="auto"/>
                <w:sz w:val="24"/>
                <w:highlight w:val="none"/>
              </w:rPr>
              <w:t>（3）</w:t>
            </w:r>
            <w:r>
              <w:rPr>
                <w:rFonts w:hint="default" w:ascii="宋体" w:hAnsi="宋体" w:eastAsia="宋体"/>
                <w:b w:val="0"/>
                <w:color w:val="auto"/>
                <w:sz w:val="24"/>
                <w:highlight w:val="none"/>
              </w:rPr>
              <w:t>收费标准：</w:t>
            </w:r>
            <w:r>
              <w:rPr>
                <w:rFonts w:hint="eastAsia" w:ascii="宋体" w:hAnsi="宋体" w:eastAsia="宋体" w:cs="宋体"/>
                <w:b w:val="0"/>
                <w:bCs w:val="0"/>
                <w:color w:val="auto"/>
                <w:kern w:val="2"/>
                <w:sz w:val="24"/>
                <w:szCs w:val="24"/>
                <w:highlight w:val="none"/>
                <w:u w:val="single"/>
                <w:lang w:val="en-US" w:eastAsia="zh-CN"/>
              </w:rPr>
              <w:t>8600</w:t>
            </w:r>
            <w:r>
              <w:rPr>
                <w:rFonts w:hint="eastAsia" w:ascii="宋体" w:hAnsi="宋体" w:eastAsia="宋体" w:cs="宋体"/>
                <w:b w:val="0"/>
                <w:bCs w:val="0"/>
                <w:color w:val="auto"/>
                <w:kern w:val="2"/>
                <w:sz w:val="24"/>
                <w:szCs w:val="24"/>
                <w:highlight w:val="none"/>
                <w:u w:val="single"/>
              </w:rPr>
              <w:t>元，</w:t>
            </w:r>
            <w:r>
              <w:rPr>
                <w:rFonts w:hint="eastAsia" w:ascii="宋体" w:hAnsi="宋体" w:eastAsia="宋体" w:cs="宋体"/>
                <w:b w:val="0"/>
                <w:bCs w:val="0"/>
                <w:color w:val="auto"/>
                <w:kern w:val="2"/>
                <w:sz w:val="24"/>
                <w:szCs w:val="24"/>
                <w:highlight w:val="none"/>
                <w:u w:val="single"/>
                <w:lang w:val="en-US" w:eastAsia="zh-CN"/>
              </w:rPr>
              <w:t>参考</w:t>
            </w:r>
            <w:r>
              <w:rPr>
                <w:rFonts w:hint="eastAsia" w:ascii="宋体" w:hAnsi="宋体" w:eastAsia="宋体" w:cs="宋体"/>
                <w:b w:val="0"/>
                <w:bCs w:val="0"/>
                <w:color w:val="auto"/>
                <w:kern w:val="2"/>
                <w:sz w:val="24"/>
                <w:szCs w:val="24"/>
                <w:highlight w:val="none"/>
                <w:u w:val="single"/>
              </w:rPr>
              <w:t>《滁州市公共资源交易代理机构及从业人员管理办法》(滁公管〔2025〕1 号)</w:t>
            </w:r>
            <w:r>
              <w:rPr>
                <w:rFonts w:hint="eastAsia" w:ascii="宋体" w:hAnsi="宋体" w:eastAsia="宋体" w:cs="宋体"/>
                <w:b w:val="0"/>
                <w:bCs w:val="0"/>
                <w:color w:val="auto"/>
                <w:kern w:val="2"/>
                <w:sz w:val="24"/>
                <w:szCs w:val="24"/>
                <w:highlight w:val="none"/>
                <w:u w:val="single"/>
                <w:lang w:val="en-US" w:eastAsia="zh-CN"/>
              </w:rPr>
              <w:t>以及《关于进一步明确代理费计取标准的通知》（滁公管综〔2023〕19号）文件</w:t>
            </w:r>
            <w:r>
              <w:rPr>
                <w:rFonts w:hint="eastAsia" w:ascii="宋体" w:hAnsi="宋体" w:eastAsia="宋体" w:cs="宋体"/>
                <w:b w:val="0"/>
                <w:bCs w:val="0"/>
                <w:color w:val="auto"/>
                <w:kern w:val="2"/>
                <w:sz w:val="24"/>
                <w:szCs w:val="24"/>
                <w:highlight w:val="none"/>
                <w:u w:val="single"/>
                <w:lang w:eastAsia="zh-CN"/>
              </w:rPr>
              <w:t>，</w:t>
            </w:r>
            <w:r>
              <w:rPr>
                <w:rFonts w:hint="eastAsia" w:ascii="宋体" w:hAnsi="宋体" w:eastAsia="宋体" w:cs="宋体"/>
                <w:b w:val="0"/>
                <w:bCs w:val="0"/>
                <w:color w:val="auto"/>
                <w:kern w:val="2"/>
                <w:sz w:val="24"/>
                <w:szCs w:val="24"/>
                <w:highlight w:val="none"/>
                <w:u w:val="single"/>
                <w:lang w:val="en-US" w:eastAsia="zh-CN"/>
              </w:rPr>
              <w:t>以最高限价（控制价）计算</w:t>
            </w:r>
            <w:r>
              <w:rPr>
                <w:rFonts w:hint="eastAsia" w:ascii="宋体" w:hAnsi="宋体" w:eastAsia="宋体" w:cs="宋体"/>
                <w:b w:val="0"/>
                <w:bCs w:val="0"/>
                <w:color w:val="auto"/>
                <w:kern w:val="2"/>
                <w:sz w:val="24"/>
                <w:szCs w:val="24"/>
                <w:highlight w:val="none"/>
                <w:u w:val="single"/>
              </w:rPr>
              <w:t>。</w:t>
            </w:r>
          </w:p>
        </w:tc>
      </w:tr>
      <w:tr w14:paraId="3C5C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92A346D">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31</w:t>
            </w:r>
            <w:r>
              <w:rPr>
                <w:rFonts w:hint="default" w:ascii="宋体" w:hAnsi="宋体" w:eastAsia="宋体"/>
                <w:bCs/>
                <w:color w:val="auto"/>
                <w:kern w:val="2"/>
                <w:highlight w:val="none"/>
              </w:rPr>
              <w:t>.</w:t>
            </w:r>
            <w:r>
              <w:rPr>
                <w:rFonts w:hint="eastAsia" w:ascii="宋体" w:hAnsi="宋体" w:eastAsia="宋体"/>
                <w:bCs/>
                <w:color w:val="auto"/>
                <w:kern w:val="2"/>
                <w:highlight w:val="none"/>
              </w:rPr>
              <w:t>3</w:t>
            </w:r>
          </w:p>
        </w:tc>
        <w:tc>
          <w:tcPr>
            <w:tcW w:w="1174" w:type="pct"/>
            <w:vAlign w:val="center"/>
          </w:tcPr>
          <w:p w14:paraId="2C2FF32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4065BDE2">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color w:val="auto"/>
                <w:sz w:val="24"/>
                <w:highlight w:val="none"/>
                <w:u w:val="single"/>
              </w:rPr>
              <w:t>如投标人对招标文件有质疑，可以依据中华人民共和国财政部令第94号《政府采购质疑和投诉办法》规定，以书面形式向采购人、采购代理机构提出质疑，也可以在滁州市公共资源交易中心网电子交易系统中进行质疑，具体操作步骤和程序请参见服务指南&gt;交易须知&gt;在线异议、质疑和投诉操作手册；</w:t>
            </w:r>
          </w:p>
          <w:p w14:paraId="4EF2CF3E">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color w:val="auto"/>
                <w:sz w:val="24"/>
                <w:highlight w:val="none"/>
                <w:u w:val="single"/>
                <w:lang w:eastAsia="zh-CN"/>
              </w:rPr>
              <w:t>滁州职业技术学院</w:t>
            </w:r>
            <w:r>
              <w:rPr>
                <w:rFonts w:hint="eastAsia" w:ascii="宋体" w:hAnsi="宋体" w:eastAsia="宋体"/>
                <w:color w:val="auto"/>
                <w:sz w:val="24"/>
                <w:highlight w:val="none"/>
                <w:u w:val="single"/>
              </w:rPr>
              <w:t>、滁州市城投工程咨询管理有限公司；</w:t>
            </w:r>
          </w:p>
          <w:p w14:paraId="3135D612">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18"/>
                <w:highlight w:val="none"/>
              </w:rPr>
            </w:pPr>
            <w:r>
              <w:rPr>
                <w:rFonts w:hint="default" w:ascii="宋体" w:hAnsi="宋体" w:eastAsia="宋体"/>
                <w:b w:val="0"/>
                <w:color w:val="auto"/>
                <w:sz w:val="24"/>
                <w:highlight w:val="none"/>
              </w:rPr>
              <w:t>联系电话：</w:t>
            </w:r>
            <w:r>
              <w:rPr>
                <w:rFonts w:hint="eastAsia" w:ascii="宋体" w:hAnsi="宋体" w:eastAsia="宋体"/>
                <w:color w:val="auto"/>
                <w:sz w:val="24"/>
                <w:highlight w:val="none"/>
                <w:u w:val="single"/>
                <w:lang w:eastAsia="zh-CN"/>
              </w:rPr>
              <w:t>0550-3854662</w:t>
            </w:r>
            <w:r>
              <w:rPr>
                <w:rFonts w:hint="eastAsia" w:ascii="宋体" w:hAnsi="宋体" w:eastAsia="宋体"/>
                <w:color w:val="auto"/>
                <w:sz w:val="24"/>
                <w:highlight w:val="none"/>
                <w:u w:val="single"/>
              </w:rPr>
              <w:t>、0550-3519517；</w:t>
            </w:r>
          </w:p>
          <w:p w14:paraId="3F660FB5">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color w:val="auto"/>
                <w:sz w:val="24"/>
                <w:highlight w:val="none"/>
                <w:u w:val="single"/>
                <w:lang w:eastAsia="zh-CN"/>
              </w:rPr>
              <w:t>安徽省滁州市丰乐大道2188号</w:t>
            </w:r>
            <w:r>
              <w:rPr>
                <w:rFonts w:hint="eastAsia" w:ascii="宋体" w:hAnsi="宋体" w:eastAsia="宋体"/>
                <w:color w:val="auto"/>
                <w:sz w:val="24"/>
                <w:highlight w:val="none"/>
                <w:u w:val="single"/>
              </w:rPr>
              <w:t>、滁州市龙蟠大道109号房产商务大厦6楼605室。</w:t>
            </w:r>
          </w:p>
        </w:tc>
      </w:tr>
      <w:tr w14:paraId="056D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D86EF90">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32</w:t>
            </w:r>
          </w:p>
        </w:tc>
        <w:tc>
          <w:tcPr>
            <w:tcW w:w="1174" w:type="pct"/>
            <w:vAlign w:val="center"/>
          </w:tcPr>
          <w:p w14:paraId="76455E0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3244" w:type="pct"/>
            <w:vAlign w:val="center"/>
          </w:tcPr>
          <w:p w14:paraId="5734085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1.解释权：</w:t>
            </w:r>
          </w:p>
          <w:p w14:paraId="6614185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hint="default" w:asciiTheme="minorEastAsia" w:hAnsiTheme="minorEastAsia" w:eastAsiaTheme="minorEastAsia"/>
                <w:bCs/>
                <w:color w:val="auto"/>
                <w:sz w:val="24"/>
                <w:szCs w:val="24"/>
                <w:highlight w:val="none"/>
              </w:rPr>
              <w:t>构成本招标文件的各个组成文件应互为解释，互为说明；</w:t>
            </w:r>
          </w:p>
          <w:p w14:paraId="0ADCD917">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hint="default" w:asciiTheme="minorEastAsia" w:hAnsiTheme="minorEastAsia" w:eastAsiaTheme="minorEastAsia"/>
                <w:bCs/>
                <w:color w:val="auto"/>
                <w:sz w:val="24"/>
                <w:szCs w:val="24"/>
                <w:highlight w:val="none"/>
              </w:rPr>
              <w:t>同一组成文件中就同一事项的规定或约定不一致的，以编排顺序在后者为准；</w:t>
            </w:r>
          </w:p>
          <w:p w14:paraId="7139781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hint="default"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5B36F64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hint="default"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hint="default"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hint="default"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hint="default" w:asciiTheme="minorEastAsia" w:hAnsiTheme="minorEastAsia" w:eastAsiaTheme="minorEastAsia"/>
                <w:bCs/>
                <w:color w:val="auto"/>
                <w:sz w:val="24"/>
                <w:szCs w:val="24"/>
                <w:highlight w:val="none"/>
              </w:rPr>
              <w:t>、投标文件格式的先后顺序解释；</w:t>
            </w:r>
          </w:p>
          <w:p w14:paraId="2D8D69D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w:t>
            </w:r>
            <w:r>
              <w:rPr>
                <w:rFonts w:hint="default" w:asciiTheme="minorEastAsia" w:hAnsiTheme="minorEastAsia" w:eastAsiaTheme="minorEastAsia"/>
                <w:b w:val="0"/>
                <w:color w:val="auto"/>
                <w:kern w:val="2"/>
                <w:sz w:val="24"/>
                <w:szCs w:val="24"/>
                <w:highlight w:val="none"/>
              </w:rPr>
              <w:t>按本款前述规定仍不能形成结论的，由</w:t>
            </w:r>
            <w:r>
              <w:rPr>
                <w:rFonts w:hint="eastAsia" w:asciiTheme="minorEastAsia" w:hAnsiTheme="minorEastAsia" w:eastAsiaTheme="minorEastAsia"/>
                <w:b w:val="0"/>
                <w:color w:val="auto"/>
                <w:kern w:val="2"/>
                <w:sz w:val="24"/>
                <w:szCs w:val="24"/>
                <w:highlight w:val="none"/>
              </w:rPr>
              <w:t>采购</w:t>
            </w:r>
            <w:r>
              <w:rPr>
                <w:rFonts w:hint="default" w:asciiTheme="minorEastAsia" w:hAnsiTheme="minorEastAsia" w:eastAsiaTheme="minorEastAsia"/>
                <w:b w:val="0"/>
                <w:color w:val="auto"/>
                <w:kern w:val="2"/>
                <w:sz w:val="24"/>
                <w:szCs w:val="24"/>
                <w:highlight w:val="none"/>
              </w:rPr>
              <w:t>人负责解释。</w:t>
            </w:r>
          </w:p>
          <w:p w14:paraId="4189455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2.“政采贷”融资指引：有融资需求的</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融资申请信息推送第三方平台、意向金融机构。</w:t>
            </w:r>
          </w:p>
          <w:p w14:paraId="6A75C3A6">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3.电子保函指引：中标人可访问安徽省政府采购网“融资/保函”栏目，申请办理电子保函（包括：履约保函、预付款保函）。</w:t>
            </w:r>
          </w:p>
          <w:p w14:paraId="0503A8C7">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4.部分可提供线下政采贷的金融机构：</w:t>
            </w:r>
          </w:p>
          <w:p w14:paraId="36DA8B63">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市本级</w:t>
            </w:r>
          </w:p>
          <w:p w14:paraId="2218E00B">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金融机构名称：兴业银行滁州分行</w:t>
            </w:r>
          </w:p>
          <w:p w14:paraId="038BF29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安徽省滁州市琅琊区丰乐大道1090号</w:t>
            </w:r>
          </w:p>
          <w:p w14:paraId="30D14536">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伏庚：17755080811。</w:t>
            </w:r>
          </w:p>
          <w:p w14:paraId="58535B63">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5.特别提示：</w:t>
            </w:r>
          </w:p>
          <w:p w14:paraId="3D3B9DC1">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（1）投标人应填写投标信息并下载招标文件，否则无法上传投标文件。</w:t>
            </w:r>
          </w:p>
          <w:p w14:paraId="036DB44B">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注：投标人如为联合体的，牵头人必须完善投标人信息，并在上传投标文件环节添加联合体投标信息。</w:t>
            </w:r>
          </w:p>
          <w:p w14:paraId="633730D1">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401AE713">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（3）如果过程中出现招标文件更改，应以最后发布的招标答疑澄清文件中的模板制作本项目最新投标文件。</w:t>
            </w:r>
          </w:p>
          <w:p w14:paraId="40E9DAB9">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 xml:space="preserve">（4）投标人应当用本单位CA数字证书制作投标文件，制作成功后进行投标文件上传。 </w:t>
            </w:r>
          </w:p>
          <w:p w14:paraId="2BE5D57D">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24165FB4">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（6）请投标人注意加密投标文件CA数字证书的有效期，不在有效期的CA数字证书无法解密投标文件。</w:t>
            </w:r>
          </w:p>
          <w:p w14:paraId="4FFAD96C">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（7）投标人投标MAC地址或投标人联系人或联系电话相同的，由评标委员会否决其投标，并报告监管部门作不良行为处理和进一步调查。</w:t>
            </w:r>
          </w:p>
          <w:p w14:paraId="3D3223CA">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（8）投标人单方面出现其他投标人材料的，由评标委员会否决其投标。</w:t>
            </w:r>
          </w:p>
          <w:p w14:paraId="7B0C23A3">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2CCC8420">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6E65E05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6.评标过程中的澄清、说明或补正：</w:t>
            </w:r>
          </w:p>
          <w:p w14:paraId="015BE327">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（1）评标委员会通过网上招投标系统将需要澄清、说明或补正的内容以询标函的形式发送给投标人，投标人应安排专人登录网上招投标系统并保持在线状态，以便及时接收评标委员会可能发出的询标函。</w:t>
            </w:r>
          </w:p>
          <w:p w14:paraId="7FDC6415">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0AFB5BC0">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7.同义词语：</w:t>
            </w:r>
          </w:p>
          <w:p w14:paraId="6893E71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招标文件第六章  投标文件格式、附件1“关于联合惩戒失信行为 加强信用查询管理的通知”等章节中 “招标人”、“供应商”，等同于“采购人”、“投标人”。</w:t>
            </w:r>
          </w:p>
          <w:p w14:paraId="7B1C0221">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8.落实政府采购支持节能产品、环境标志产品政策。</w:t>
            </w:r>
          </w:p>
          <w:p w14:paraId="63561F16">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9.系统中提供的表格与采购文件中不一致时，以采购文件中提供的表格格式为准。</w:t>
            </w:r>
          </w:p>
        </w:tc>
      </w:tr>
    </w:tbl>
    <w:p w14:paraId="43774063">
      <w:pPr>
        <w:spacing w:line="360" w:lineRule="auto"/>
        <w:jc w:val="center"/>
        <w:outlineLvl w:val="1"/>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10" w:name="_Toc24882"/>
      <w:bookmarkStart w:id="11" w:name="_Toc14880"/>
      <w:r>
        <w:rPr>
          <w:rFonts w:hint="eastAsia" w:asciiTheme="minorEastAsia" w:hAnsiTheme="minorEastAsia" w:eastAsiaTheme="minorEastAsia"/>
          <w:b/>
          <w:color w:val="auto"/>
          <w:sz w:val="24"/>
          <w:szCs w:val="24"/>
          <w:highlight w:val="none"/>
        </w:rPr>
        <w:t>二、</w:t>
      </w:r>
      <w:r>
        <w:rPr>
          <w:rFonts w:asciiTheme="minorEastAsia" w:hAnsiTheme="minorEastAsia" w:eastAsiaTheme="minorEastAsia"/>
          <w:b/>
          <w:color w:val="auto"/>
          <w:sz w:val="24"/>
          <w:szCs w:val="24"/>
          <w:highlight w:val="none"/>
        </w:rPr>
        <w:t>投标人须知</w:t>
      </w:r>
      <w:r>
        <w:rPr>
          <w:rFonts w:hint="eastAsia" w:asciiTheme="minorEastAsia" w:hAnsiTheme="minorEastAsia" w:eastAsiaTheme="minorEastAsia"/>
          <w:b/>
          <w:color w:val="auto"/>
          <w:sz w:val="24"/>
          <w:szCs w:val="24"/>
          <w:highlight w:val="none"/>
        </w:rPr>
        <w:t>正文</w:t>
      </w:r>
      <w:bookmarkEnd w:id="10"/>
      <w:bookmarkEnd w:id="11"/>
    </w:p>
    <w:p w14:paraId="7CCA371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1.采购人、采购代理机构及投标人</w:t>
      </w:r>
    </w:p>
    <w:p w14:paraId="6A11E9A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.1采购人：是指依法开展政府采购活动的国家机关、事业单位、团体组织。</w:t>
      </w:r>
    </w:p>
    <w:p w14:paraId="7A16E36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.2采购代理机构：是指集中采购机构或从事采购代理业务的社会中介机构。</w:t>
      </w:r>
    </w:p>
    <w:p w14:paraId="7997A12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2B3AD0D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125DED7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23325A0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以采购代理机构认可的方式获得了本项目的招标文件。</w:t>
      </w:r>
    </w:p>
    <w:p w14:paraId="379D2DC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rPr>
        <w:t>采购需求</w:t>
      </w:r>
      <w:r>
        <w:rPr>
          <w:rFonts w:ascii="宋体" w:hAnsi="宋体" w:eastAsia="宋体"/>
          <w:color w:val="auto"/>
          <w:sz w:val="24"/>
          <w:highlight w:val="none"/>
        </w:rPr>
        <w:t>中写明允许采购进口产品，投标人应保证所投产品可履行合法报通关手续进入中国关境内。</w:t>
      </w:r>
    </w:p>
    <w:p w14:paraId="797AE46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若采购需求中未写明允许采购进口产品，如投标人所投产品为进口产品，其投标将被认定为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25BEE5F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179631C7">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5.1两个以上供应商可以组成一个投标联合体，以一个投标人的身份投标。联合体投标的，</w:t>
      </w:r>
      <w:r>
        <w:rPr>
          <w:rFonts w:hint="eastAsia" w:ascii="宋体" w:hAnsi="宋体" w:eastAsia="宋体"/>
          <w:color w:val="auto"/>
          <w:sz w:val="24"/>
          <w:highlight w:val="none"/>
        </w:rPr>
        <w:t>招标文件获取</w:t>
      </w:r>
      <w:r>
        <w:rPr>
          <w:rFonts w:ascii="宋体" w:hAnsi="宋体" w:eastAsia="宋体"/>
          <w:color w:val="auto"/>
          <w:sz w:val="24"/>
          <w:highlight w:val="none"/>
        </w:rPr>
        <w:t>手续由联合体</w:t>
      </w:r>
      <w:r>
        <w:rPr>
          <w:rFonts w:hint="eastAsia" w:ascii="宋体" w:hAnsi="宋体" w:eastAsia="宋体"/>
          <w:color w:val="auto"/>
          <w:sz w:val="24"/>
          <w:highlight w:val="none"/>
        </w:rPr>
        <w:t>中</w:t>
      </w:r>
      <w:r>
        <w:rPr>
          <w:rFonts w:ascii="宋体" w:hAnsi="宋体" w:eastAsia="宋体"/>
          <w:color w:val="auto"/>
          <w:sz w:val="24"/>
          <w:highlight w:val="none"/>
        </w:rPr>
        <w:t>任</w:t>
      </w:r>
      <w:r>
        <w:rPr>
          <w:rFonts w:hint="eastAsia" w:ascii="宋体" w:hAnsi="宋体" w:eastAsia="宋体"/>
          <w:color w:val="auto"/>
          <w:sz w:val="24"/>
          <w:highlight w:val="none"/>
        </w:rPr>
        <w:t>一成员单位</w:t>
      </w:r>
      <w:r>
        <w:rPr>
          <w:rFonts w:ascii="宋体" w:hAnsi="宋体" w:eastAsia="宋体"/>
          <w:color w:val="auto"/>
          <w:sz w:val="24"/>
          <w:highlight w:val="none"/>
        </w:rPr>
        <w:t>办理均可。</w:t>
      </w:r>
    </w:p>
    <w:p w14:paraId="48C1BD1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5.2联合体各方均应符合《中华人民共和国政府采购法》第二十二条规定的条件。</w:t>
      </w:r>
    </w:p>
    <w:p w14:paraId="3B37FB3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5.3采购人根据采购项目对投标人的特殊要求，联合体中至少应当有一方符合相关规定。</w:t>
      </w:r>
    </w:p>
    <w:p w14:paraId="66D7AB7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2851E67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59BF89C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3B9EC66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6A8AA9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rPr>
        <w:t>申请人的资格要求</w:t>
      </w:r>
      <w:r>
        <w:rPr>
          <w:rFonts w:ascii="宋体" w:hAnsi="宋体" w:eastAsia="宋体"/>
          <w:color w:val="auto"/>
          <w:sz w:val="24"/>
          <w:highlight w:val="none"/>
        </w:rPr>
        <w:t>。</w:t>
      </w:r>
    </w:p>
    <w:p w14:paraId="428FFC5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2.资金落实情况</w:t>
      </w:r>
    </w:p>
    <w:p w14:paraId="23D2471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4DF93067">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3.投标费用</w:t>
      </w:r>
    </w:p>
    <w:p w14:paraId="2623AD8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0B418DC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4.适用法律</w:t>
      </w:r>
    </w:p>
    <w:p w14:paraId="4A74C446">
      <w:pPr>
        <w:spacing w:line="360" w:lineRule="auto"/>
        <w:ind w:firstLine="435"/>
        <w:rPr>
          <w:rFonts w:hint="eastAsia" w:asciiTheme="minorEastAsia" w:hAnsiTheme="minorEastAsia" w:eastAsiaTheme="minorEastAsia"/>
          <w:b/>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50A93C7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5.招标文件构成</w:t>
      </w:r>
    </w:p>
    <w:p w14:paraId="67485B3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5.1招标文件包括下列内容：</w:t>
      </w:r>
    </w:p>
    <w:p w14:paraId="6A321F01">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5B3A0D10">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57967023">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2114492F">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59964446">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7500DF32">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232CA640">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76C51AB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考察（标前答疑会）</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713B470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1AC3E4C9">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，对样品的评审方法及评审标准见招标文件第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2277165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投标人应认真阅读招标文件所有的事项、格式、条款和技术规范等。</w:t>
      </w:r>
    </w:p>
    <w:p w14:paraId="3E09B282">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6.招标文件的澄清与修改</w:t>
      </w:r>
    </w:p>
    <w:p w14:paraId="31CBFBA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w:t>
      </w:r>
      <w:r>
        <w:rPr>
          <w:rFonts w:hint="eastAsia" w:asciiTheme="minorEastAsia" w:hAnsiTheme="minorEastAsia" w:eastAsiaTheme="minorEastAsia"/>
          <w:color w:val="auto"/>
          <w:sz w:val="24"/>
          <w:highlight w:val="none"/>
        </w:rPr>
        <w:t>可</w:t>
      </w:r>
      <w:r>
        <w:rPr>
          <w:rFonts w:asciiTheme="minorEastAsia" w:hAnsiTheme="minorEastAsia" w:eastAsiaTheme="minorEastAsia"/>
          <w:color w:val="auto"/>
          <w:sz w:val="24"/>
          <w:highlight w:val="none"/>
        </w:rPr>
        <w:t>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截止时间前提交给采购代理机构。</w:t>
      </w:r>
    </w:p>
    <w:p w14:paraId="4DC63DF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2采购人可主动地或在答复投标人提出的询问时对招标文件进行澄清与修改。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在安徽省政府采购网和滁州市公共资源交易中心网以发布更正公告的方式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3765BC7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621DE9B8">
      <w:pPr>
        <w:spacing w:line="360" w:lineRule="auto"/>
        <w:ind w:firstLine="435"/>
        <w:rPr>
          <w:rFonts w:hint="eastAsia"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57C81030">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7.投标范围及投标文件中标准和计量单位的使用</w:t>
      </w:r>
    </w:p>
    <w:p w14:paraId="472CF61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7F94058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1B282309">
      <w:pPr>
        <w:spacing w:line="360" w:lineRule="auto"/>
        <w:ind w:firstLine="435"/>
        <w:rPr>
          <w:rFonts w:hint="eastAsia" w:asciiTheme="minorEastAsia" w:hAnsiTheme="minorEastAsia" w:eastAsiaTheme="minorEastAsia"/>
          <w:color w:val="auto"/>
          <w:sz w:val="24"/>
          <w:highlight w:val="none"/>
        </w:rPr>
      </w:pPr>
      <w:bookmarkStart w:id="12" w:name="_Hlk16458980"/>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投标人所投货物及伴随的服务和工程均应符合国家强制性标准。</w:t>
      </w:r>
    </w:p>
    <w:bookmarkEnd w:id="12"/>
    <w:p w14:paraId="05F3B10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10A4AF2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66F0545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7EFEFE0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0380D57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rPr>
        <w:t>形式</w:t>
      </w:r>
      <w:r>
        <w:rPr>
          <w:rFonts w:asciiTheme="minorEastAsia" w:hAnsiTheme="minorEastAsia" w:eastAsiaTheme="minorEastAsia"/>
          <w:color w:val="auto"/>
          <w:sz w:val="24"/>
          <w:highlight w:val="none"/>
        </w:rPr>
        <w:t>可以是文字资料、图纸和数据</w:t>
      </w:r>
      <w:bookmarkStart w:id="13" w:name="_Hlk11703583"/>
      <w:r>
        <w:rPr>
          <w:rFonts w:hint="eastAsia" w:asciiTheme="minorEastAsia" w:hAnsiTheme="minorEastAsia" w:eastAsiaTheme="minorEastAsia"/>
          <w:color w:val="auto"/>
          <w:sz w:val="24"/>
          <w:highlight w:val="none"/>
        </w:rPr>
        <w:t>等。</w:t>
      </w:r>
    </w:p>
    <w:bookmarkEnd w:id="13"/>
    <w:p w14:paraId="14A0F46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180A2676">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4DC549E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。除招标文件另有规定外，所有投标均应以人民币报价。投标人的投标报价应遵守《中华人民共和国价格法》。</w:t>
      </w:r>
    </w:p>
    <w:p w14:paraId="633F512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0DA72A8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307B4EDB">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0A4DFCD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采购人不接受具有附加条件的报价。</w:t>
      </w:r>
    </w:p>
    <w:p w14:paraId="57248B3A">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3027D51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10.1本项目不收取投标保证金。</w:t>
      </w:r>
    </w:p>
    <w:p w14:paraId="2254F116">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6DFA92D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7E42B7D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2C59B4A9">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2091AD72">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18793B0F">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2.1投标人应当在招标公告规定的投标截止时间前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608C9F6A">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23FB527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3612FBE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开标时，</w:t>
      </w:r>
      <w:r>
        <w:rPr>
          <w:rFonts w:ascii="宋体" w:hAnsi="宋体" w:eastAsia="宋体" w:cs="宋体"/>
          <w:color w:val="auto"/>
          <w:sz w:val="24"/>
          <w:szCs w:val="24"/>
          <w:highlight w:val="none"/>
        </w:rPr>
        <w:t>各投标人应在</w:t>
      </w:r>
      <w:r>
        <w:rPr>
          <w:rFonts w:ascii="宋体" w:hAnsi="宋体" w:eastAsia="宋体" w:cs="宋体"/>
          <w:color w:val="auto"/>
          <w:sz w:val="24"/>
          <w:szCs w:val="24"/>
          <w:highlight w:val="none"/>
          <w:u w:val="single"/>
        </w:rPr>
        <w:t>投标人须知前附表</w:t>
      </w:r>
      <w:r>
        <w:rPr>
          <w:rFonts w:ascii="宋体" w:hAnsi="宋体" w:eastAsia="宋体" w:cs="宋体"/>
          <w:color w:val="auto"/>
          <w:sz w:val="24"/>
          <w:szCs w:val="24"/>
          <w:highlight w:val="none"/>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01EF54D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018EA16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13.3采购人或采购代理机构将对开标过程进行记录，，并存档备查。</w:t>
      </w:r>
    </w:p>
    <w:p w14:paraId="5CBBBBA4">
      <w:pPr>
        <w:spacing w:line="360" w:lineRule="auto"/>
        <w:ind w:firstLine="435"/>
        <w:rPr>
          <w:rFonts w:hint="eastAsia"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13.4投标人代表对开标过程和开标记录有疑义，以及认为采购人、采购代理机构相关工作人员有需要回避的情形的，应当场提出询问或者回避申请。</w:t>
      </w:r>
    </w:p>
    <w:p w14:paraId="346F8D3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03ECB18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1BF54B8F">
      <w:pPr>
        <w:spacing w:line="360" w:lineRule="auto"/>
        <w:ind w:firstLine="435"/>
        <w:rPr>
          <w:rFonts w:hint="eastAsia" w:ascii="宋体" w:hAnsi="宋体" w:eastAsia="宋体" w:cs="宋体"/>
          <w:color w:val="auto"/>
          <w:sz w:val="24"/>
          <w:szCs w:val="24"/>
          <w:highlight w:val="none"/>
        </w:rPr>
      </w:pPr>
      <w:bookmarkStart w:id="14"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DB3E96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4D9C4E55">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14"/>
    <w:p w14:paraId="17DDFC84">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14.3按照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0FD20FA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036F34F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39F8C26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.2如一个分包内只有一种产品，不同投标人所投产品为同一品牌的，按如下方式处理：</w:t>
      </w:r>
    </w:p>
    <w:p w14:paraId="18BC6C5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规定的方式确定一个参加评标的投标人；未规定的采取随机抽取方式确定，其他投标将被认定为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79B6F18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6212E26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中载明核心产品，多家投标人提供的核心产品品牌相同的，按第</w:t>
      </w: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款</w:t>
      </w:r>
      <w:r>
        <w:rPr>
          <w:rFonts w:asciiTheme="minorEastAsia" w:hAnsiTheme="minorEastAsia" w:eastAsiaTheme="minorEastAsia"/>
          <w:color w:val="auto"/>
          <w:sz w:val="24"/>
          <w:highlight w:val="none"/>
        </w:rPr>
        <w:t>规定处理。</w:t>
      </w:r>
    </w:p>
    <w:p w14:paraId="3921A6C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50AEA38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12A2FE5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b/>
          <w:bCs/>
          <w:color w:val="auto"/>
          <w:sz w:val="24"/>
          <w:highlight w:val="none"/>
        </w:rPr>
        <w:t>本项目采用远程开标，具体操作方法详见服务指南&gt;交易须知&gt;开标大厅远程解密、质疑(异议)及回复以及评标过程中询标流程操作手册。</w:t>
      </w:r>
    </w:p>
    <w:p w14:paraId="2451C22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4.2</w:t>
      </w:r>
      <w:r>
        <w:rPr>
          <w:rFonts w:hint="eastAsia" w:asciiTheme="minorEastAsia" w:hAnsiTheme="minorEastAsia" w:eastAsiaTheme="minorEastAsia"/>
          <w:color w:val="auto"/>
          <w:sz w:val="24"/>
          <w:highlight w:val="none"/>
        </w:rPr>
        <w:t>投标人的澄清、说明或补正将作为投标文件的一部分。</w:t>
      </w:r>
    </w:p>
    <w:p w14:paraId="33F029B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7828A82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5投标文件报价出现前后不一致的，按照下列规定修正：</w:t>
      </w:r>
    </w:p>
    <w:p w14:paraId="5184BE04">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4714D618">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36F97C88">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7073388A">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5E429DFB">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rPr>
        <w:t>15.</w:t>
      </w:r>
      <w:r>
        <w:rPr>
          <w:rFonts w:ascii="宋体" w:hAnsi="宋体" w:eastAsia="宋体"/>
          <w:color w:val="auto"/>
          <w:sz w:val="24"/>
          <w:highlight w:val="none"/>
        </w:rPr>
        <w:t>4条的规定经投标人确认后产生约束力，</w:t>
      </w:r>
      <w:r>
        <w:rPr>
          <w:rFonts w:hint="eastAsia" w:ascii="宋体" w:hAnsi="宋体" w:eastAsia="宋体"/>
          <w:color w:val="auto"/>
          <w:sz w:val="24"/>
          <w:highlight w:val="none"/>
        </w:rPr>
        <w:t>无论投标人是接受或是拒绝调整后的价格，都应当由投标人在系统中确认。投标人拒绝对投标文件出现的错漏按上述原则进行修正、澄清、说明，</w:t>
      </w:r>
      <w:r>
        <w:rPr>
          <w:rFonts w:ascii="宋体" w:hAnsi="宋体" w:eastAsia="宋体"/>
          <w:color w:val="auto"/>
          <w:sz w:val="24"/>
          <w:highlight w:val="none"/>
        </w:rPr>
        <w:t>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22488769">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0BF6D57C">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16.投标无效</w:t>
      </w:r>
    </w:p>
    <w:p w14:paraId="5A63519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7BF75F0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6ED1E12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5E96782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077E6F5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3598059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4EFD0E0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4CF4ECC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23A20389">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1DFCC087">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17.比较与评价</w:t>
      </w:r>
    </w:p>
    <w:p w14:paraId="4AC65A0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17.1经符合性审查合格的投标文件，评标委员会将根据招标文件确定的评标方法和标准，对其投标文件作进一步的比较与评价。</w:t>
      </w:r>
    </w:p>
    <w:p w14:paraId="0CB20FF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39D64CF6">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34B60BE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0D49416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179013C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1A4F19C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3DB9E3E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12472B6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18.1出现下列情形之一，将导致项目废标：</w:t>
      </w:r>
    </w:p>
    <w:p w14:paraId="16D8DD6D">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246283D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669914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49BEC2A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3A50380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200430C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6ED6798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Theme="minorEastAsia" w:hAnsiTheme="minorEastAsia" w:eastAsiaTheme="minorEastAsia"/>
          <w:color w:val="auto"/>
          <w:sz w:val="24"/>
          <w:highlight w:val="none"/>
        </w:rPr>
        <w:t>批准。</w:t>
      </w:r>
    </w:p>
    <w:p w14:paraId="683B24D8">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566685F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19.1评标将在严格保密的情况下进行。</w:t>
      </w:r>
    </w:p>
    <w:p w14:paraId="1751EAC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03126958">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7B778626">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0</w:t>
      </w:r>
      <w:r>
        <w:rPr>
          <w:rFonts w:asciiTheme="minorEastAsia" w:hAnsiTheme="minorEastAsia" w:eastAsiaTheme="minorEastAsia"/>
          <w:color w:val="auto"/>
          <w:sz w:val="24"/>
          <w:highlight w:val="none"/>
        </w:rPr>
        <w:t>.1评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4BA4CD3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2B84C88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color w:val="auto"/>
          <w:sz w:val="24"/>
          <w:highlight w:val="none"/>
        </w:rPr>
        <w:t>，则所投产品为节能产品、环境标志产品、不发达地区或少数民族地区产品者优先；若</w:t>
      </w:r>
      <w:r>
        <w:rPr>
          <w:rFonts w:asciiTheme="minorEastAsia" w:hAnsiTheme="minorEastAsia" w:eastAsiaTheme="minorEastAsia"/>
          <w:color w:val="auto"/>
          <w:sz w:val="24"/>
          <w:highlight w:val="none"/>
        </w:rPr>
        <w:t>得分与投标报价均相同</w:t>
      </w:r>
      <w:r>
        <w:rPr>
          <w:rFonts w:hint="eastAsia" w:asciiTheme="minorEastAsia" w:hAnsiTheme="minorEastAsia" w:eastAsiaTheme="minorEastAsia"/>
          <w:color w:val="auto"/>
          <w:sz w:val="24"/>
          <w:highlight w:val="none"/>
        </w:rPr>
        <w:t>且所投产品同为节能产品、环境标志产品、不发达地区或少数民族地区产品的，则采取评标委员会随机抽取的方式确定中标候选顺序。</w:t>
      </w:r>
    </w:p>
    <w:p w14:paraId="61C495AE">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6C626ED9">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0417516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68BDB5D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351FF93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11A1411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4156F0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19F7741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ADE2D77">
      <w:pPr>
        <w:spacing w:line="360" w:lineRule="auto"/>
        <w:ind w:firstLine="435"/>
        <w:rPr>
          <w:rFonts w:hint="eastAsia" w:ascii="宋体" w:hAnsi="宋体" w:eastAsia="宋体"/>
          <w:color w:val="auto"/>
          <w:sz w:val="24"/>
          <w:szCs w:val="18"/>
          <w:highlight w:val="none"/>
        </w:rPr>
      </w:pPr>
      <w:r>
        <w:rPr>
          <w:rFonts w:hint="eastAsia" w:asciiTheme="minorEastAsia" w:hAnsiTheme="minorEastAsia" w:eastAsiaTheme="minorEastAsia"/>
          <w:color w:val="auto"/>
          <w:sz w:val="24"/>
          <w:highlight w:val="none"/>
        </w:rPr>
        <w:t>23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自中标人确定之日起2个工作日内，采购代理机构将在安徽省政府采购网（www.ccgp-anhui.gov.cn）和滁州市公共资源交易中心网上发布中标结果公告。</w:t>
      </w:r>
    </w:p>
    <w:p w14:paraId="6F80E54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w:t>
      </w:r>
      <w:r>
        <w:rPr>
          <w:rFonts w:hint="eastAsia" w:asciiTheme="minorEastAsia" w:hAnsiTheme="minorEastAsia" w:eastAsiaTheme="minorEastAsia"/>
          <w:color w:val="auto"/>
          <w:sz w:val="24"/>
          <w:highlight w:val="none"/>
        </w:rPr>
        <w:t>品牌（如有）、规格型号、数量、单价</w:t>
      </w:r>
      <w:r>
        <w:rPr>
          <w:rFonts w:asciiTheme="minorEastAsia" w:hAnsiTheme="minorEastAsia" w:eastAsiaTheme="minorEastAsia"/>
          <w:color w:val="auto"/>
          <w:sz w:val="24"/>
          <w:highlight w:val="none"/>
        </w:rPr>
        <w:t>，中标公告期限、评审专家名单以及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3E3BFEB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2AB43C3E">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r>
        <w:rPr>
          <w:rFonts w:hint="eastAsia" w:asciiTheme="minorEastAsia" w:hAnsiTheme="minorEastAsia" w:eastAsiaTheme="minorEastAsia"/>
          <w:color w:val="auto"/>
          <w:sz w:val="24"/>
          <w:highlight w:val="none"/>
        </w:rPr>
        <w:t>中标通知书须加盖采购人、采购代理机构公章并经公共资源交易中心加盖见证章后，方可发出。</w:t>
      </w:r>
    </w:p>
    <w:p w14:paraId="2AE4562C">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71D44FDB">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560E5B32">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04ED79F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1A25588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5F35D22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7C893136">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26.</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7E60D210">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3B98264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23EB33F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27.2招标文件、中标人的投标文件及其澄清文件等，均为签订合同的依据。</w:t>
      </w:r>
    </w:p>
    <w:p w14:paraId="02C74C8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001B4D8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27.4依据《政府采购促进中小企业发展管理办法》（财库〔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474121C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代理费用</w:t>
      </w:r>
    </w:p>
    <w:p w14:paraId="39A0343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w:t>
      </w:r>
      <w:r>
        <w:rPr>
          <w:rFonts w:hint="eastAsia" w:ascii="宋体" w:hAnsi="宋体" w:eastAsia="宋体"/>
          <w:color w:val="auto"/>
          <w:sz w:val="24"/>
          <w:highlight w:val="none"/>
        </w:rPr>
        <w:t>本项目代理费用的收取按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6AD353B7">
      <w:pPr>
        <w:spacing w:line="360" w:lineRule="auto"/>
        <w:ind w:firstLine="437"/>
        <w:outlineLvl w:val="2"/>
        <w:rPr>
          <w:rFonts w:hint="eastAsia" w:asciiTheme="minorEastAsia" w:hAnsiTheme="minorEastAsia" w:eastAsiaTheme="minorEastAsia"/>
          <w:b/>
          <w:color w:val="auto"/>
          <w:sz w:val="24"/>
          <w:highlight w:val="none"/>
        </w:rPr>
      </w:pPr>
      <w:bookmarkStart w:id="15" w:name="_Toc2583661"/>
      <w:bookmarkStart w:id="16" w:name="_Toc518923100"/>
      <w:r>
        <w:rPr>
          <w:rFonts w:hint="eastAsia" w:asciiTheme="minorEastAsia" w:hAnsiTheme="minorEastAsia" w:eastAsiaTheme="minorEastAsia"/>
          <w:b/>
          <w:color w:val="auto"/>
          <w:sz w:val="24"/>
          <w:highlight w:val="none"/>
        </w:rPr>
        <w:t>29.廉洁自律</w:t>
      </w:r>
      <w:r>
        <w:rPr>
          <w:rFonts w:asciiTheme="minorEastAsia" w:hAnsiTheme="minorEastAsia" w:eastAsiaTheme="minorEastAsia"/>
          <w:b/>
          <w:color w:val="auto"/>
          <w:sz w:val="24"/>
          <w:highlight w:val="none"/>
        </w:rPr>
        <w:t>规定</w:t>
      </w:r>
      <w:bookmarkEnd w:id="15"/>
      <w:bookmarkEnd w:id="16"/>
    </w:p>
    <w:p w14:paraId="43321B1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4DC2EFE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16C0AC95">
      <w:pPr>
        <w:spacing w:line="360" w:lineRule="auto"/>
        <w:ind w:firstLine="437"/>
        <w:outlineLvl w:val="2"/>
        <w:rPr>
          <w:rFonts w:hint="eastAsia" w:asciiTheme="minorEastAsia" w:hAnsiTheme="minorEastAsia" w:eastAsiaTheme="minorEastAsia"/>
          <w:b/>
          <w:color w:val="auto"/>
          <w:sz w:val="24"/>
          <w:highlight w:val="none"/>
        </w:rPr>
      </w:pPr>
      <w:bookmarkStart w:id="17" w:name="_Toc518923101"/>
      <w:bookmarkStart w:id="18" w:name="_Toc2583662"/>
      <w:r>
        <w:rPr>
          <w:rFonts w:hint="eastAsia" w:asciiTheme="minorEastAsia" w:hAnsiTheme="minorEastAsia" w:eastAsiaTheme="minorEastAsia"/>
          <w:b/>
          <w:color w:val="auto"/>
          <w:sz w:val="24"/>
          <w:highlight w:val="none"/>
        </w:rPr>
        <w:t>30.人员回避</w:t>
      </w:r>
      <w:bookmarkEnd w:id="17"/>
      <w:bookmarkEnd w:id="18"/>
    </w:p>
    <w:p w14:paraId="20E1D711">
      <w:pPr>
        <w:spacing w:line="360" w:lineRule="auto"/>
        <w:ind w:firstLine="435"/>
        <w:rPr>
          <w:rFonts w:hint="eastAsia"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05F7FF8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1D1B496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152F90C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E43636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31.3采购代理机构质疑函接收部门、联系电话和通讯地址，见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3E497B1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注：上述条款中所要求的书面形式包含通过电子交易系统递交方式。</w:t>
      </w:r>
    </w:p>
    <w:p w14:paraId="1879D22D">
      <w:pPr>
        <w:spacing w:line="360" w:lineRule="auto"/>
        <w:ind w:firstLine="437"/>
        <w:outlineLvl w:val="2"/>
        <w:rPr>
          <w:rFonts w:hint="eastAsia" w:ascii="宋体" w:hAnsi="宋体" w:eastAsia="宋体"/>
          <w:b/>
          <w:color w:val="auto"/>
          <w:sz w:val="24"/>
          <w:szCs w:val="24"/>
          <w:highlight w:val="none"/>
        </w:rPr>
      </w:pPr>
      <w:r>
        <w:rPr>
          <w:rFonts w:hint="eastAsia" w:asciiTheme="minorEastAsia" w:hAnsiTheme="minorEastAsia" w:eastAsiaTheme="minorEastAsia"/>
          <w:b/>
          <w:color w:val="auto"/>
          <w:sz w:val="24"/>
          <w:highlight w:val="none"/>
        </w:rPr>
        <w:t>32</w:t>
      </w:r>
      <w:r>
        <w:rPr>
          <w:rFonts w:asciiTheme="minorEastAsia" w:hAnsiTheme="minorEastAsia" w:eastAsiaTheme="minorEastAsia"/>
          <w:b/>
          <w:color w:val="auto"/>
          <w:sz w:val="24"/>
          <w:highlight w:val="none"/>
        </w:rPr>
        <w:t>.</w:t>
      </w:r>
      <w:r>
        <w:rPr>
          <w:rFonts w:hint="eastAsia" w:ascii="宋体" w:hAnsi="宋体" w:eastAsia="宋体" w:cs="宋体"/>
          <w:b/>
          <w:color w:val="auto"/>
          <w:sz w:val="24"/>
          <w:szCs w:val="24"/>
          <w:highlight w:val="none"/>
          <w:lang w:bidi="ar"/>
        </w:rPr>
        <w:t>投诉</w:t>
      </w:r>
    </w:p>
    <w:p w14:paraId="28379D9A">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2111E856">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2837F61F">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32.3政府采购监督管理部门在处理投诉事项期间，可以视具体情况书面通知采购人暂停采购活动，但暂停时间最长不得超过30日。</w:t>
      </w:r>
    </w:p>
    <w:p w14:paraId="0CA8D752">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33.需要补充的其他内容</w:t>
      </w:r>
    </w:p>
    <w:p w14:paraId="4A2521C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4943258E">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075A378B">
      <w:pPr>
        <w:spacing w:line="360" w:lineRule="auto"/>
        <w:jc w:val="center"/>
        <w:outlineLvl w:val="0"/>
        <w:rPr>
          <w:rFonts w:hint="eastAsia" w:asciiTheme="minorEastAsia" w:hAnsiTheme="minorEastAsia" w:eastAsiaTheme="minorEastAsia"/>
          <w:b/>
          <w:color w:val="auto"/>
          <w:sz w:val="28"/>
          <w:highlight w:val="none"/>
        </w:rPr>
      </w:pPr>
      <w:bookmarkStart w:id="19" w:name="_Toc10891"/>
      <w:r>
        <w:rPr>
          <w:rFonts w:hint="eastAsia" w:asciiTheme="minorEastAsia" w:hAnsiTheme="minorEastAsia" w:eastAsiaTheme="minorEastAsia"/>
          <w:b/>
          <w:color w:val="auto"/>
          <w:sz w:val="28"/>
          <w:highlight w:val="none"/>
        </w:rPr>
        <w:t>第三章  采购需求</w:t>
      </w:r>
      <w:bookmarkEnd w:id="19"/>
    </w:p>
    <w:p w14:paraId="2B7836CF">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4B9CC636">
      <w:pPr>
        <w:spacing w:line="360" w:lineRule="auto"/>
        <w:ind w:firstLine="435"/>
        <w:rPr>
          <w:rFonts w:hint="eastAsia"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313E1BFE">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2B6191B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621B595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7CB81F8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（3）企业划型标准按照《关于印发中小企业划型标准规定的通知》（工信部联企业〔2011〕300号）规定执行。中标候选人享受政策性优惠的，在发布中标结果通知书时将在相关媒体予以公开、公示。</w:t>
      </w:r>
    </w:p>
    <w:p w14:paraId="0F0C5F3F">
      <w:pPr>
        <w:spacing w:line="360" w:lineRule="auto"/>
        <w:ind w:firstLine="435"/>
        <w:rPr>
          <w:rFonts w:hint="eastAsia"/>
          <w:color w:val="auto"/>
          <w:highlight w:val="none"/>
        </w:rPr>
      </w:pPr>
      <w:r>
        <w:rPr>
          <w:rFonts w:hint="eastAsia" w:ascii="宋体" w:hAnsi="宋体" w:eastAsia="宋体" w:cs="宋体"/>
          <w:color w:val="auto"/>
          <w:sz w:val="24"/>
          <w:szCs w:val="24"/>
          <w:highlight w:val="none"/>
        </w:rPr>
        <w:t>3.</w:t>
      </w:r>
      <w:r>
        <w:rPr>
          <w:rFonts w:hint="eastAsia" w:ascii="宋体" w:hAnsi="宋体" w:eastAsia="宋体"/>
          <w:color w:val="auto"/>
          <w:sz w:val="24"/>
          <w:szCs w:val="18"/>
          <w:highlight w:val="none"/>
        </w:rPr>
        <w:t>如采购人允许采用分包方式履行合同的，应当明确可以分包履行的相关内容：</w:t>
      </w:r>
      <w:r>
        <w:rPr>
          <w:rFonts w:hint="eastAsia" w:ascii="宋体" w:hAnsi="宋体" w:eastAsia="宋体"/>
          <w:color w:val="auto"/>
          <w:sz w:val="24"/>
          <w:szCs w:val="18"/>
          <w:highlight w:val="none"/>
          <w:u w:val="single"/>
        </w:rPr>
        <w:t>本项目不允许分包</w:t>
      </w:r>
      <w:r>
        <w:rPr>
          <w:rFonts w:hint="eastAsia" w:ascii="宋体" w:hAnsi="宋体" w:eastAsia="宋体"/>
          <w:color w:val="auto"/>
          <w:sz w:val="24"/>
          <w:szCs w:val="18"/>
          <w:highlight w:val="none"/>
        </w:rPr>
        <w:t>。</w:t>
      </w:r>
    </w:p>
    <w:p w14:paraId="528C74F4">
      <w:pPr>
        <w:spacing w:line="360" w:lineRule="auto"/>
        <w:ind w:firstLine="437"/>
        <w:outlineLvl w:val="1"/>
        <w:rPr>
          <w:rFonts w:hint="eastAsia" w:ascii="宋体" w:hAnsi="宋体" w:eastAsia="宋体"/>
          <w:b/>
          <w:color w:val="auto"/>
          <w:sz w:val="24"/>
          <w:szCs w:val="18"/>
          <w:highlight w:val="none"/>
        </w:rPr>
      </w:pPr>
      <w:bookmarkStart w:id="20" w:name="_Toc32151"/>
      <w:bookmarkStart w:id="21" w:name="_Toc2554"/>
      <w:r>
        <w:rPr>
          <w:rFonts w:hint="eastAsia" w:ascii="宋体" w:hAnsi="宋体" w:eastAsia="宋体"/>
          <w:b/>
          <w:color w:val="auto"/>
          <w:sz w:val="24"/>
          <w:szCs w:val="18"/>
          <w:highlight w:val="none"/>
        </w:rPr>
        <w:t>一、采购需求前附表</w:t>
      </w:r>
      <w:bookmarkEnd w:id="20"/>
      <w:bookmarkEnd w:id="21"/>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0F91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E829813">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015B985E">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3528891F">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7F92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F37D5F2">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2107D7E7">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4DCF74D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合同签订且具备实施条件后，支付合同价的40%预付款（预付款支付前，中标人须提供同等金额的见索即付保函）。项目分2次验收，第一次验收除2门课程定制资源外的所有内容，验收合格后付至合同价款的95%；第二次验收2门课程定制资源，验收时间为合同签订后且接采购人通知的6个月内，验收合格后付至合同价款的100%。</w:t>
            </w:r>
          </w:p>
        </w:tc>
      </w:tr>
      <w:tr w14:paraId="0B65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9BA0240">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6B0E5D2B">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17" w:type="pct"/>
            <w:vAlign w:val="center"/>
          </w:tcPr>
          <w:p w14:paraId="61058D81">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采购人指定地点</w:t>
            </w:r>
          </w:p>
        </w:tc>
      </w:tr>
      <w:tr w14:paraId="49A0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27EA2E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392C3F40">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17" w:type="pct"/>
            <w:vAlign w:val="center"/>
          </w:tcPr>
          <w:p w14:paraId="68FB192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分批次履约，除2门课程定制资源外，合同签订</w:t>
            </w:r>
            <w:r>
              <w:rPr>
                <w:rFonts w:hint="eastAsia" w:ascii="宋体" w:hAnsi="宋体" w:eastAsia="宋体"/>
                <w:b w:val="0"/>
                <w:color w:val="auto"/>
                <w:sz w:val="24"/>
                <w:highlight w:val="none"/>
                <w:u w:val="single"/>
                <w:lang w:val="en-US" w:eastAsia="zh-CN"/>
              </w:rPr>
              <w:t>后，自采购人通知</w:t>
            </w:r>
            <w:r>
              <w:rPr>
                <w:rFonts w:hint="eastAsia" w:ascii="宋体" w:hAnsi="宋体" w:eastAsia="宋体"/>
                <w:b w:val="0"/>
                <w:color w:val="auto"/>
                <w:sz w:val="24"/>
                <w:highlight w:val="none"/>
                <w:u w:val="single"/>
              </w:rPr>
              <w:t>之日起</w:t>
            </w:r>
            <w:r>
              <w:rPr>
                <w:rFonts w:hint="eastAsia" w:ascii="宋体" w:hAnsi="宋体" w:eastAsia="宋体"/>
                <w:b w:val="0"/>
                <w:color w:val="auto"/>
                <w:sz w:val="24"/>
                <w:highlight w:val="none"/>
                <w:u w:val="single"/>
                <w:lang w:val="en-US" w:eastAsia="zh-CN"/>
              </w:rPr>
              <w:t>60</w:t>
            </w:r>
            <w:r>
              <w:rPr>
                <w:rFonts w:hint="eastAsia" w:ascii="宋体" w:hAnsi="宋体" w:eastAsia="宋体"/>
                <w:b w:val="0"/>
                <w:color w:val="auto"/>
                <w:sz w:val="24"/>
                <w:highlight w:val="none"/>
                <w:u w:val="single"/>
              </w:rPr>
              <w:t>个日历天完成全部货物的供货、安装、调试、运行和培训工作</w:t>
            </w:r>
            <w:r>
              <w:rPr>
                <w:rFonts w:hint="eastAsia" w:ascii="宋体" w:hAnsi="宋体" w:eastAsia="宋体"/>
                <w:b w:val="0"/>
                <w:color w:val="auto"/>
                <w:sz w:val="24"/>
                <w:highlight w:val="none"/>
                <w:u w:val="single"/>
                <w:lang w:eastAsia="zh-CN"/>
              </w:rPr>
              <w:t>；2门课程定制资源，接采购人通知之日起6个月内</w:t>
            </w:r>
            <w:r>
              <w:rPr>
                <w:rFonts w:hint="eastAsia" w:ascii="宋体" w:hAnsi="宋体" w:eastAsia="宋体"/>
                <w:b w:val="0"/>
                <w:color w:val="auto"/>
                <w:sz w:val="24"/>
                <w:highlight w:val="none"/>
                <w:u w:val="single"/>
                <w:lang w:val="en-US" w:eastAsia="zh-CN"/>
              </w:rPr>
              <w:t>完成</w:t>
            </w:r>
            <w:r>
              <w:rPr>
                <w:rFonts w:hint="eastAsia" w:ascii="宋体" w:hAnsi="宋体" w:eastAsia="宋体"/>
                <w:b w:val="0"/>
                <w:color w:val="auto"/>
                <w:sz w:val="24"/>
                <w:highlight w:val="none"/>
                <w:u w:val="single"/>
              </w:rPr>
              <w:t>。</w:t>
            </w:r>
          </w:p>
        </w:tc>
      </w:tr>
      <w:tr w14:paraId="687F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C5FCBBE">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14:paraId="63CFEF45">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3217" w:type="pct"/>
            <w:vAlign w:val="center"/>
          </w:tcPr>
          <w:p w14:paraId="03BECBA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所投产品提供</w:t>
            </w:r>
            <w:r>
              <w:rPr>
                <w:rFonts w:hint="eastAsia" w:ascii="宋体" w:hAnsi="宋体" w:eastAsia="宋体"/>
                <w:b w:val="0"/>
                <w:color w:val="auto"/>
                <w:sz w:val="24"/>
                <w:highlight w:val="none"/>
                <w:u w:val="single"/>
                <w:lang w:val="en-US" w:eastAsia="zh-CN"/>
              </w:rPr>
              <w:t>至少</w:t>
            </w:r>
            <w:r>
              <w:rPr>
                <w:rFonts w:hint="eastAsia" w:ascii="宋体" w:hAnsi="宋体" w:eastAsia="宋体"/>
                <w:b w:val="0"/>
                <w:color w:val="auto"/>
                <w:sz w:val="24"/>
                <w:highlight w:val="none"/>
                <w:u w:val="single"/>
              </w:rPr>
              <w:t>3年的免费质保服务</w:t>
            </w:r>
            <w:r>
              <w:rPr>
                <w:rFonts w:hint="eastAsia" w:ascii="宋体" w:hAnsi="宋体" w:eastAsia="宋体"/>
                <w:b w:val="0"/>
                <w:color w:val="auto"/>
                <w:sz w:val="24"/>
                <w:highlight w:val="none"/>
                <w:u w:val="single"/>
                <w:lang w:eastAsia="zh-CN"/>
              </w:rPr>
              <w:t>（</w:t>
            </w:r>
            <w:r>
              <w:rPr>
                <w:rFonts w:hint="eastAsia" w:ascii="宋体" w:hAnsi="宋体" w:eastAsia="宋体"/>
                <w:b w:val="0"/>
                <w:color w:val="auto"/>
                <w:sz w:val="24"/>
                <w:highlight w:val="none"/>
                <w:u w:val="single"/>
                <w:lang w:val="en-US" w:eastAsia="zh-CN"/>
              </w:rPr>
              <w:t>具体以投标</w:t>
            </w:r>
            <w:r>
              <w:rPr>
                <w:rFonts w:hint="eastAsia" w:ascii="宋体" w:hAnsi="宋体" w:eastAsia="宋体"/>
                <w:b w:val="0"/>
                <w:color w:val="auto"/>
                <w:sz w:val="24"/>
                <w:highlight w:val="none"/>
                <w:u w:val="single"/>
                <w:lang w:eastAsia="zh-CN"/>
              </w:rPr>
              <w:t>承诺的期限</w:t>
            </w:r>
            <w:r>
              <w:rPr>
                <w:rFonts w:hint="eastAsia" w:ascii="宋体" w:hAnsi="宋体" w:eastAsia="宋体"/>
                <w:b w:val="0"/>
                <w:color w:val="auto"/>
                <w:sz w:val="24"/>
                <w:highlight w:val="none"/>
                <w:u w:val="single"/>
                <w:lang w:val="en-US" w:eastAsia="zh-CN"/>
              </w:rPr>
              <w:t>为准</w:t>
            </w:r>
            <w:r>
              <w:rPr>
                <w:rFonts w:hint="eastAsia" w:ascii="宋体" w:hAnsi="宋体" w:eastAsia="宋体"/>
                <w:b w:val="0"/>
                <w:color w:val="auto"/>
                <w:sz w:val="24"/>
                <w:highlight w:val="none"/>
                <w:u w:val="single"/>
                <w:lang w:eastAsia="zh-CN"/>
              </w:rPr>
              <w:t>）</w:t>
            </w:r>
            <w:r>
              <w:rPr>
                <w:rFonts w:hint="eastAsia" w:ascii="宋体" w:hAnsi="宋体" w:eastAsia="宋体"/>
                <w:b w:val="0"/>
                <w:color w:val="auto"/>
                <w:sz w:val="24"/>
                <w:highlight w:val="none"/>
                <w:u w:val="single"/>
              </w:rPr>
              <w:t>。</w:t>
            </w:r>
          </w:p>
        </w:tc>
      </w:tr>
    </w:tbl>
    <w:p w14:paraId="4907C039">
      <w:pPr>
        <w:spacing w:line="360" w:lineRule="auto"/>
        <w:ind w:firstLine="437"/>
        <w:outlineLvl w:val="1"/>
        <w:rPr>
          <w:rFonts w:hint="eastAsia" w:ascii="宋体" w:hAnsi="宋体" w:eastAsia="宋体"/>
          <w:b/>
          <w:bCs/>
          <w:color w:val="auto"/>
          <w:sz w:val="24"/>
          <w:szCs w:val="18"/>
          <w:highlight w:val="none"/>
        </w:rPr>
      </w:pPr>
      <w:bookmarkStart w:id="22" w:name="_Toc5944"/>
      <w:bookmarkStart w:id="23" w:name="_Toc7671"/>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22"/>
      <w:bookmarkEnd w:id="23"/>
    </w:p>
    <w:tbl>
      <w:tblPr>
        <w:tblStyle w:val="25"/>
        <w:tblW w:w="56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1"/>
        <w:gridCol w:w="1072"/>
        <w:gridCol w:w="3923"/>
        <w:gridCol w:w="1080"/>
        <w:gridCol w:w="854"/>
        <w:gridCol w:w="1064"/>
        <w:gridCol w:w="1088"/>
      </w:tblGrid>
      <w:tr w14:paraId="7659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EDDBAF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bookmarkStart w:id="24" w:name="_Toc4843"/>
            <w:bookmarkStart w:id="25" w:name="_Toc7421"/>
            <w:r>
              <w:rPr>
                <w:rFonts w:hint="eastAsia" w:ascii="宋体" w:hAnsi="宋体" w:eastAsia="宋体" w:cs="宋体"/>
                <w:b/>
                <w:bCs/>
                <w:color w:val="auto"/>
                <w:kern w:val="2"/>
                <w:sz w:val="24"/>
                <w:szCs w:val="24"/>
                <w:highlight w:val="none"/>
                <w:lang w:val="en-US" w:eastAsia="zh-CN" w:bidi="ar"/>
              </w:rPr>
              <w:t>序号</w:t>
            </w:r>
          </w:p>
        </w:tc>
        <w:tc>
          <w:tcPr>
            <w:tcW w:w="1072" w:type="dxa"/>
            <w:tcBorders>
              <w:top w:val="single" w:color="auto" w:sz="4" w:space="0"/>
              <w:left w:val="nil"/>
              <w:bottom w:val="single" w:color="auto" w:sz="4" w:space="0"/>
              <w:right w:val="single" w:color="auto" w:sz="4" w:space="0"/>
            </w:tcBorders>
            <w:shd w:val="clear" w:color="auto" w:fill="auto"/>
            <w:vAlign w:val="center"/>
          </w:tcPr>
          <w:p w14:paraId="4946971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3923" w:type="dxa"/>
            <w:tcBorders>
              <w:top w:val="single" w:color="auto" w:sz="4" w:space="0"/>
              <w:left w:val="nil"/>
              <w:bottom w:val="single" w:color="auto" w:sz="4" w:space="0"/>
              <w:right w:val="single" w:color="auto" w:sz="4" w:space="0"/>
            </w:tcBorders>
            <w:shd w:val="clear" w:color="auto" w:fill="auto"/>
            <w:vAlign w:val="center"/>
          </w:tcPr>
          <w:p w14:paraId="7FA451A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技术参数及要求</w:t>
            </w:r>
          </w:p>
        </w:tc>
        <w:tc>
          <w:tcPr>
            <w:tcW w:w="1080" w:type="dxa"/>
            <w:tcBorders>
              <w:top w:val="single" w:color="auto" w:sz="4" w:space="0"/>
              <w:left w:val="nil"/>
              <w:bottom w:val="single" w:color="auto" w:sz="4" w:space="0"/>
              <w:right w:val="single" w:color="auto" w:sz="4" w:space="0"/>
            </w:tcBorders>
            <w:shd w:val="clear" w:color="auto" w:fill="auto"/>
            <w:vAlign w:val="center"/>
          </w:tcPr>
          <w:p w14:paraId="064F2B6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数量</w:t>
            </w:r>
          </w:p>
          <w:p w14:paraId="493A29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854" w:type="dxa"/>
            <w:tcBorders>
              <w:top w:val="single" w:color="auto" w:sz="4" w:space="0"/>
              <w:left w:val="nil"/>
              <w:bottom w:val="single" w:color="auto" w:sz="4" w:space="0"/>
              <w:right w:val="single" w:color="auto" w:sz="4" w:space="0"/>
            </w:tcBorders>
            <w:shd w:val="clear" w:color="auto" w:fill="auto"/>
            <w:vAlign w:val="center"/>
          </w:tcPr>
          <w:p w14:paraId="387C33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所属</w:t>
            </w:r>
          </w:p>
          <w:p w14:paraId="73C3527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行业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4FC3C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是否为核心产品</w:t>
            </w:r>
          </w:p>
        </w:tc>
        <w:tc>
          <w:tcPr>
            <w:tcW w:w="1088" w:type="dxa"/>
            <w:tcBorders>
              <w:top w:val="single" w:color="auto" w:sz="4" w:space="0"/>
              <w:left w:val="nil"/>
              <w:bottom w:val="single" w:color="auto" w:sz="4" w:space="0"/>
              <w:right w:val="single" w:color="auto" w:sz="4" w:space="0"/>
            </w:tcBorders>
            <w:shd w:val="clear" w:color="auto" w:fill="auto"/>
            <w:vAlign w:val="center"/>
          </w:tcPr>
          <w:p w14:paraId="2F6AF2E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单价最高限价</w:t>
            </w:r>
          </w:p>
        </w:tc>
      </w:tr>
      <w:tr w14:paraId="701B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75C67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072" w:type="dxa"/>
            <w:tcBorders>
              <w:top w:val="single" w:color="auto" w:sz="4" w:space="0"/>
              <w:left w:val="nil"/>
              <w:bottom w:val="single" w:color="auto" w:sz="4" w:space="0"/>
              <w:right w:val="single" w:color="auto" w:sz="4" w:space="0"/>
            </w:tcBorders>
            <w:shd w:val="clear" w:color="auto" w:fill="auto"/>
            <w:vAlign w:val="center"/>
          </w:tcPr>
          <w:p w14:paraId="0BC3D07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虚拟仿真实训教学及资源共享管理平台</w:t>
            </w:r>
          </w:p>
        </w:tc>
        <w:tc>
          <w:tcPr>
            <w:tcW w:w="3923" w:type="dxa"/>
            <w:tcBorders>
              <w:top w:val="single" w:color="auto" w:sz="4" w:space="0"/>
              <w:left w:val="nil"/>
              <w:bottom w:val="single" w:color="auto" w:sz="4" w:space="0"/>
              <w:right w:val="single" w:color="auto" w:sz="4" w:space="0"/>
            </w:tcBorders>
            <w:shd w:val="clear" w:color="auto" w:fill="auto"/>
            <w:vAlign w:val="center"/>
          </w:tcPr>
          <w:p w14:paraId="531CA44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（一）整体要求：</w:t>
            </w:r>
          </w:p>
          <w:p w14:paraId="5984E5D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平台采用B/S架构设计，支持采用静态文件和动态应用系统分离方式部署，静态文件管理系统可通过动态配置切换，支持公有云对象存储、私有云对象存储和本地文件服务器。可随时根据参与教学人数进行横向部署扩展。</w:t>
            </w:r>
          </w:p>
          <w:p w14:paraId="6A045F1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2.系统支持在不开启http协议之外端口的情况下能进行版本升级和二次开发部分定点更新。</w:t>
            </w:r>
          </w:p>
          <w:p w14:paraId="6C30AEF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▲3.产品能够支持不少于1000并发量，同时在线人数不少于10000人，提供第三方测评机构出具的性能测评报告。</w:t>
            </w:r>
            <w:r>
              <w:rPr>
                <w:rFonts w:hint="eastAsia" w:ascii="宋体" w:hAnsi="宋体" w:eastAsia="宋体" w:cs="宋体"/>
                <w:b/>
                <w:bCs w:val="0"/>
                <w:color w:val="auto"/>
                <w:kern w:val="2"/>
                <w:sz w:val="21"/>
                <w:szCs w:val="21"/>
                <w:highlight w:val="none"/>
              </w:rPr>
              <w:t>（投标时提供第三方检测机构出具的测评报告扫描件）</w:t>
            </w:r>
          </w:p>
          <w:p w14:paraId="145404B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▲4.需提供中国计算机软件著作权登记证书。</w:t>
            </w:r>
            <w:r>
              <w:rPr>
                <w:rFonts w:hint="eastAsia" w:ascii="宋体" w:hAnsi="宋体" w:eastAsia="宋体" w:cs="宋体"/>
                <w:b/>
                <w:bCs w:val="0"/>
                <w:color w:val="auto"/>
                <w:kern w:val="2"/>
                <w:sz w:val="21"/>
                <w:szCs w:val="21"/>
                <w:highlight w:val="none"/>
              </w:rPr>
              <w:t>（投标时提供证书原件扫描件）</w:t>
            </w:r>
          </w:p>
          <w:p w14:paraId="661B912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▲5.提供云监测服务，平台开放外网的情况下，支持每周7*24*2的双倍智能监测，统计联通率、停滞率、总时长、联通时长、停滞时长。支持异常检测结果的推送并自动生成检测报告。</w:t>
            </w:r>
            <w:r>
              <w:rPr>
                <w:rFonts w:hint="eastAsia" w:ascii="宋体" w:hAnsi="宋体" w:eastAsia="宋体" w:cs="宋体"/>
                <w:b/>
                <w:bCs w:val="0"/>
                <w:color w:val="auto"/>
                <w:kern w:val="2"/>
                <w:sz w:val="21"/>
                <w:szCs w:val="21"/>
                <w:highlight w:val="none"/>
              </w:rPr>
              <w:t>（投标时需提供软件功能截图）</w:t>
            </w:r>
          </w:p>
          <w:p w14:paraId="6E79A18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（二）智慧共享门户</w:t>
            </w:r>
          </w:p>
          <w:p w14:paraId="1C583F2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1.提供信息共享展示门户，结合学院的专业特色进行设计开发，在需求沟通及设计阶段提供不少于10套的设计模板供用户参考，能够展示共享的仿真实训资源及重要通知公告等。</w:t>
            </w:r>
          </w:p>
          <w:p w14:paraId="18C571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2.栏目及网站内容可通过后台设置，自定义信息栏目和内容发布。</w:t>
            </w:r>
          </w:p>
          <w:p w14:paraId="388449F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3.提供信息共享门户后台管理功能，为门户的搭建提供后台管理支撑。</w:t>
            </w:r>
          </w:p>
          <w:p w14:paraId="4FC351E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4.提供站点管理，该门户网站均有自己对应的唯一的站点，后续相关网站内容的维护均在该站点下进行维护。</w:t>
            </w:r>
          </w:p>
          <w:p w14:paraId="19F24CC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提供管理与服务门户网站，具有自动映射域名，灵活配置功能，支持多个模块自由组合、站点导入导出以形成新网站；支持管理员在线编辑站点中的样式，无需手动替换服务器文件即可在线完成门户网站的维护，并支持实时预览。</w:t>
            </w:r>
          </w:p>
          <w:p w14:paraId="42A80F3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6.提供文章管理，管理员可以维护网站前台可展示的文章内容。</w:t>
            </w:r>
          </w:p>
          <w:p w14:paraId="5F39C93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7.支持单个文章的添加，管理员可以维护文章所属栏目、文章标题、英文名称、文章简介、文章内容。</w:t>
            </w:r>
          </w:p>
          <w:p w14:paraId="15CDFCD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8.支持文章的导入功能，可以将文章进行批量地导入。</w:t>
            </w:r>
          </w:p>
          <w:p w14:paraId="4BF246A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用户可以通过门户开放的入口登录进入各自角色的实训环境。信息共享门户前台作为用户统一登录的入口，支持校级管理员、院级管理员、教学、学生、校外用户登录使用，登录方式一般包含使用后台管理的账号密码登录、注册账号密码登录、统一身份认证登录，不用身份权限的用户登录系统后可以看到不同的用户界面。</w:t>
            </w:r>
          </w:p>
          <w:p w14:paraId="0EDFE6B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10.登录实训门户之后，管理者用户可以进行门户的相关管理和配置。</w:t>
            </w:r>
          </w:p>
          <w:p w14:paraId="5C00CF5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11.登录实训门户之后，学生用户可以查看公开的实训课程。</w:t>
            </w:r>
          </w:p>
          <w:p w14:paraId="6CDBDE0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12.提供数据统计功能，门户网站中可以将累计学习人数、累计访问量、问答讨论数相关数据进行展示和汇总。</w:t>
            </w:r>
          </w:p>
          <w:p w14:paraId="12EC4E1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13.提供栏目管理，管理员可以维护网站前台可展示的栏目内容。栏目内容包括栏目图片，展示区域，打开方式，排序，可以灵活设置栏目的展示前后顺序。</w:t>
            </w:r>
          </w:p>
          <w:p w14:paraId="21DB063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14.实训门户系统的功能核心模块展示，如课程中心、资源推荐等。门户网站风格样式及内容展示，需要结合学校特色、教师需求等进行个性化设计定制开发。</w:t>
            </w:r>
          </w:p>
          <w:p w14:paraId="0F6E9D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（三）公共基础数据支撑管理</w:t>
            </w:r>
          </w:p>
          <w:p w14:paraId="5B2BD2E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1.支持自定义组织架构，支持定义多级组织架构，管理员可以对学院、专业、班级进行增删改查、支持数据的批量操作；组织架构可与用户数据、资源数据形成关联与联动。</w:t>
            </w:r>
          </w:p>
          <w:p w14:paraId="0B56317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2.支持对于实训平台的基础信息进行维护与管理，包含：专业信息管理、课程信息管理、组织机构管理、年级管理、班级信息管理、教师信息管理、学生信息管理等基础信息管理功能。</w:t>
            </w:r>
          </w:p>
          <w:p w14:paraId="717D951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3.基础信息可以通过系统导入，也可以通过手工维护或文件批量导入。</w:t>
            </w:r>
          </w:p>
          <w:p w14:paraId="664C4B6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4.提供系统管理功能，包括功能管理、角色管理、角色权限管理、用户管理、日志管理。</w:t>
            </w:r>
          </w:p>
          <w:p w14:paraId="2FF6367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5.人员角色可自定义，系统默认有系统管理员、系部管理员、教师，学生用户角色，配置不同的功能权限、使用界面、使用模块。</w:t>
            </w:r>
          </w:p>
          <w:p w14:paraId="16C6544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6.用户数据管理，支持用户数据的批量导入/导出，批量禁/启用，批量删除/恢复。并提供数据检索和用户注册功能。</w:t>
            </w:r>
          </w:p>
          <w:p w14:paraId="2EAA00E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7.用户角色及权限管理，系统角色支持根据实际管理需求进行自主灵活设置，给不同的角色配置不同的功能权限。</w:t>
            </w:r>
          </w:p>
          <w:p w14:paraId="510A62A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8.自定义组织架构，支持自定义组织架构，支持多级组织架构定义（院、专业、班级）。管理员可以对校区、学院、专业、班级进行增删改查、支持数据的批量操作。</w:t>
            </w:r>
          </w:p>
          <w:p w14:paraId="16D2238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9.用户数据管理，支持用户数据的批量导入/导出，批量禁/启用，批量删除/恢复，并提供数据检索和用户注册功能。</w:t>
            </w:r>
          </w:p>
          <w:p w14:paraId="6031326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10.用户角色及权限管理，系统角色支持根据实际管理需求进行自主灵活设置，给不同的角色配置不同的功能权限，满足教务管理、教师教学、学生学习等的教学需求。</w:t>
            </w:r>
          </w:p>
          <w:p w14:paraId="3D05555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11.访问ip管理，系统可以添加并记录访问ip，可以记录访问ip、访问国家、省份、城市、运营商信息。</w:t>
            </w:r>
          </w:p>
          <w:p w14:paraId="584B928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12.提供数据库监控功能：</w:t>
            </w:r>
          </w:p>
          <w:p w14:paraId="424B6DD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（1）通过系统查看系统运行情况包括：最大并发、请求次数、SessionCount、Jdbc执行数、Jdbc时间、读取行数、更新行数、操作系统访问统计（OSMacOSXCount、OSWindowsCount、OSLinuxCount）</w:t>
            </w:r>
          </w:p>
          <w:p w14:paraId="78F561D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（2）通过对访问路径统计，可详细分析系统热点功能及压力集中路径，对系统优化升级，包括详细统计有：URI（路径）、请求次数、请求时间、最大并发、Jdbc执行数、Jdbc出错数、Jdbc时间等。</w:t>
            </w:r>
          </w:p>
          <w:p w14:paraId="4E6C2DC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（3）系统可以详细跟踪系统每个会话状态，并给出统计信息：SESSIONID、Principal、创建时间、最后访问时间、访问IP地址、请求次数、最大并发等。</w:t>
            </w:r>
          </w:p>
          <w:p w14:paraId="0372F40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（四）智慧实训教学管理</w:t>
            </w:r>
          </w:p>
          <w:p w14:paraId="75762D2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仿真实训课程管理，支持与采购人教务系统对接，直接可以从教务系统中将虚拟仿真相关的课程导入，也可以根据排好的实训课程直接导入或添加。同时支持新增课程，可以对已有的课程增、删、改、查，对课程基本信息的进行维护。</w:t>
            </w:r>
          </w:p>
          <w:p w14:paraId="000AD99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▲2.支持PPT、Word、Excel、PDF、压缩包、视频、动画等格式的教辅资源。可以对教辅资源进行批量操作，支持全选、批量删除等操作，可以对课程下的教辅资源进行增、删、改、查进行维护</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
                <w:bCs w:val="0"/>
                <w:color w:val="auto"/>
                <w:kern w:val="2"/>
                <w:sz w:val="21"/>
                <w:szCs w:val="21"/>
                <w:highlight w:val="none"/>
              </w:rPr>
              <w:t>（投标时需提供软件功能截图）</w:t>
            </w:r>
          </w:p>
          <w:p w14:paraId="1CBCB08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3.支持教学资源维护与管理，可对教学资源进行增、删、改、查。</w:t>
            </w:r>
          </w:p>
          <w:p w14:paraId="63132F7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支持实训资源管理，包括对包含实训信息、资源简介等内容信息的维护；可以对教学资源的基础信息维护包含：项目图片、项目名称、所属课程、简介、操作描述、实训原理、实训要求、成绩比例及智能指导批改信息维护；实训程序的上传，支持程序形式包含：客户端、资源包、超链接、移动端及虚拟化资源类型的程序上传。</w:t>
            </w:r>
          </w:p>
          <w:p w14:paraId="2AEB79A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5.支持班级教学、自主选学双重教学模式，优质课程可跨学院共享。</w:t>
            </w:r>
          </w:p>
          <w:p w14:paraId="513BB55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6.支持的实训类型有虚拟实训三维仿真实训、链接实训，均可通过网页在线操作。通过浏览器在线打开，进行虚拟仿真实训操作。学生进行实训操作更加便利。</w:t>
            </w:r>
          </w:p>
          <w:p w14:paraId="54747B2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▲7.支持在线实训，学生能够在线进行实训操作，提供实训报告管理功能，支持学生在线提交实训报告。报告可以在线编辑，编辑内容可以暂时保存，保存内容可后期进行修改后进行提交。</w:t>
            </w:r>
            <w:r>
              <w:rPr>
                <w:rFonts w:hint="eastAsia" w:ascii="宋体" w:hAnsi="宋体" w:eastAsia="宋体" w:cs="宋体"/>
                <w:b/>
                <w:bCs w:val="0"/>
                <w:color w:val="auto"/>
                <w:kern w:val="2"/>
                <w:sz w:val="21"/>
                <w:szCs w:val="21"/>
                <w:highlight w:val="none"/>
              </w:rPr>
              <w:t>（投标时需提供软件功能截图）</w:t>
            </w:r>
          </w:p>
          <w:p w14:paraId="395E37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8.支持线下实训结果上传与维护，能够上传实训报告，提交实训过程中遇到的问题，可以查看教师对实训报告的评估、考核与反馈。</w:t>
            </w:r>
          </w:p>
          <w:p w14:paraId="7631BB7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9.提供学生实训报告上传管理。提供实训报告管理功能，支持学生在线提交实训报告，教师可对实训报告进行在线批注和批改。支持实训报告上传PDF。</w:t>
            </w:r>
          </w:p>
          <w:p w14:paraId="70D2C84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10.支持报告以PDF、Word、html三种格式导出，保存到本地，进行报告的线下查看。</w:t>
            </w:r>
          </w:p>
          <w:p w14:paraId="62334A9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11.支持维护实训项目的名称信息，实训项目的操作描述信息，实训项目的学时信息，实训项目的简介信息，实训项目的实训原理信息，实训项目的实训要求信息等。</w:t>
            </w:r>
          </w:p>
          <w:p w14:paraId="3ECC7AA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▲12.实训操作排队提醒要求：对于实训资源不足的情况，支持学生进行排队，并可以查询当前排队信息</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
                <w:bCs w:val="0"/>
                <w:color w:val="auto"/>
                <w:kern w:val="2"/>
                <w:sz w:val="21"/>
                <w:szCs w:val="21"/>
                <w:highlight w:val="none"/>
              </w:rPr>
              <w:t>（投标时需提供软件功能截图）</w:t>
            </w:r>
          </w:p>
          <w:p w14:paraId="1F4D824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13.支持上传、导入实训课程的成绩信息，支持调整和维护实训课程成绩信息。</w:t>
            </w:r>
          </w:p>
          <w:p w14:paraId="5A9CEE4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14.支持调整和维护实训课程成绩信息。</w:t>
            </w:r>
          </w:p>
          <w:p w14:paraId="5821A80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15.提供实训成绩统计结果的查询功能：可以以实训为单位统计班级成绩情况。教师发布成绩后，学生可查看成绩。实训成绩可按单个实训项目导出，也可选择多个实训导出。</w:t>
            </w:r>
          </w:p>
          <w:p w14:paraId="009285E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16.支持以项目为单位开展理论学习、实训操作、报告提交、问答讨论、项目评价教学管理。</w:t>
            </w:r>
          </w:p>
          <w:p w14:paraId="1DCF511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17.支持教师在线批改报告、成绩评定、报告导出、项目成绩、课程成绩导出。</w:t>
            </w:r>
          </w:p>
          <w:p w14:paraId="15B84BD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18.提供问答讨论功能，用户发起讨论主题，其他人员可回复。问答讨论针对实训过程中的内容进行讨论，可由教师或学生发起，参与项目的教师或学生可针对问答进行回复，供学生教师进行交流讨论。</w:t>
            </w:r>
          </w:p>
          <w:p w14:paraId="05D76F7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19.提供课程评价功能，支持评价参数自定义，满足不同课程评价需求。教师可以在后台进行评价指标的设置，可以更加清楚地了解学生在教学环节中的意见和建议。学生参与项目学习的学生可以对该项目进行综合评分评价，参与评价学生需要对评价指标进行逐一评分。</w:t>
            </w:r>
            <w:r>
              <w:rPr>
                <w:rFonts w:hint="eastAsia" w:ascii="宋体" w:hAnsi="宋体" w:eastAsia="宋体" w:cs="宋体"/>
                <w:b/>
                <w:bCs w:val="0"/>
                <w:color w:val="auto"/>
                <w:kern w:val="2"/>
                <w:sz w:val="21"/>
                <w:szCs w:val="21"/>
                <w:highlight w:val="none"/>
              </w:rPr>
              <w:t>（投标时需提供软件功能截图）</w:t>
            </w:r>
          </w:p>
          <w:p w14:paraId="34C5A2A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20.提供报告模板管理功能，教师可对于实训报告模板进行在线编辑，根据实训内容创建、编辑、完善成符合实训教学要求的模板，根据需要增加或删除实训报告包含的各部分分项。学生完成实训提交数据后，可以依次按课程，实训项目，班级为单位进行给出错误率统计分析柱状图，分析出本班学生针对此实训项目中步骤的错误概率，从而指导老师进行教学管理。最终教师可在线查看报告并用批改工具在报告上进行批注和批改，可对学生的实训报告设置的每个分项内容进行评价评语、可增加/去除批改痕迹，打“√”打“×”撤回操作；同时学生可查看老师批阅的实训报告内容。</w:t>
            </w:r>
            <w:r>
              <w:rPr>
                <w:rFonts w:hint="eastAsia" w:ascii="宋体" w:hAnsi="宋体" w:eastAsia="宋体" w:cs="宋体"/>
                <w:b/>
                <w:bCs w:val="0"/>
                <w:color w:val="auto"/>
                <w:kern w:val="2"/>
                <w:sz w:val="21"/>
                <w:szCs w:val="21"/>
                <w:highlight w:val="none"/>
              </w:rPr>
              <w:t>（投标时需提供软件功能截图）</w:t>
            </w:r>
          </w:p>
          <w:p w14:paraId="3FE7265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▲21.虚拟仿真课件编辑管理</w:t>
            </w:r>
            <w:r>
              <w:rPr>
                <w:rFonts w:hint="eastAsia" w:ascii="宋体" w:hAnsi="宋体" w:eastAsia="宋体" w:cs="宋体"/>
                <w:b/>
                <w:bCs w:val="0"/>
                <w:color w:val="auto"/>
                <w:kern w:val="2"/>
                <w:sz w:val="21"/>
                <w:szCs w:val="21"/>
                <w:highlight w:val="none"/>
              </w:rPr>
              <w:t>（投标时需提供软件功能截图）</w:t>
            </w:r>
          </w:p>
          <w:p w14:paraId="31D7B0F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（1）系统提供Office编辑器插件，支持对系统中的课件进行二次编辑备课。</w:t>
            </w:r>
          </w:p>
          <w:p w14:paraId="1777B9D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（2）系统插件提供多版本Office编辑器支持，支持在Microsoft Office 2021以上中使用。</w:t>
            </w:r>
          </w:p>
          <w:p w14:paraId="1E18C03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（3）支持教师使用系统账号直接登录插件，调用系统课程中的课件进行编辑。</w:t>
            </w:r>
          </w:p>
          <w:p w14:paraId="2F60520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（4）支持在线预览系统资源中心的素材资源，包括图片、视频、3D模型资源等等，并可直接调动资源中心的素材资源用于制作虚拟仿真教学课件，编辑完成后可同步至课程下，实现一站式体验。</w:t>
            </w:r>
          </w:p>
          <w:p w14:paraId="0D1EA5F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（5）支持教师预览的同时，提供该资源的共享连接或二维码供用户复制到制作的课件PPT、Word文档中，方便文档演示时，学生或观众预览素材资源。</w:t>
            </w:r>
          </w:p>
          <w:p w14:paraId="5AE4DE3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（6）观看者可使用手机等移动设备直接扫描文档中的素材资源二维码，自行预览素材资源。</w:t>
            </w:r>
          </w:p>
          <w:p w14:paraId="7E598EB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（7）扫码后的资源预览界面自适应移动端设备，界面美观。界面分区展示素材资源名称、属性等基本信息和素材资源内容。</w:t>
            </w:r>
          </w:p>
          <w:p w14:paraId="15A941A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（8）3D模型资源预览兼容市面上主流的及特殊行业软件制作的3D模型，兼容模型格式包括但不限于3dm, 3ds, 3mf, amf, bim, brep, dae, fbx, fcstd, gltf, ifc, iges, step, stl, obj, off, ply, wrl.等格式，支持上述3D模型在线预览，支持对模型整体自由旋转、缩放、拖拽，部件的高亮显示与隐藏等操作。</w:t>
            </w:r>
          </w:p>
          <w:p w14:paraId="577E43E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22.系统支持对实训报告进行线上批改管理。</w:t>
            </w:r>
          </w:p>
          <w:p w14:paraId="79C1533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23.国产化支持，系统需支持适配安全可靠国产操作系统及国产CPU芯片，系统至少兼容3家的国产操作系统安装部署，包括但不限于：统信（UOS）、麒麟（银河）、中科方德、普华、中科红旗、欧拉（openEuler），以确保信息安全的要求；需适配国产CPU，至少支持ARM、X86、LoongArch三种CPU架构。</w:t>
            </w:r>
            <w:r>
              <w:rPr>
                <w:rFonts w:hint="eastAsia" w:ascii="宋体" w:hAnsi="宋体" w:eastAsia="宋体" w:cs="宋体"/>
                <w:b/>
                <w:bCs w:val="0"/>
                <w:color w:val="auto"/>
                <w:kern w:val="2"/>
                <w:sz w:val="21"/>
                <w:szCs w:val="21"/>
                <w:highlight w:val="none"/>
              </w:rPr>
              <w:t>（投标时要求提供所投管理平台与国产操作系统及CPU兼容且运行稳定的认证证书扫描件）</w:t>
            </w:r>
          </w:p>
          <w:p w14:paraId="71BA638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▲24.系统框架及源代码安全性具备三级及以上等保要求。为保证系统安全，需提供第三方机构出具的三级（或以上）等保测评报告以及三级（或以上）安全等级保护备案证明，且综合得分不低于80分。</w:t>
            </w:r>
            <w:r>
              <w:rPr>
                <w:rFonts w:hint="eastAsia" w:ascii="宋体" w:hAnsi="宋体" w:eastAsia="宋体" w:cs="宋体"/>
                <w:b/>
                <w:bCs w:val="0"/>
                <w:color w:val="auto"/>
                <w:kern w:val="2"/>
                <w:sz w:val="21"/>
                <w:szCs w:val="21"/>
                <w:highlight w:val="none"/>
              </w:rPr>
              <w:t>（投标时提供第三方检测机构出具的测评报告及证书扫描件）</w:t>
            </w:r>
          </w:p>
          <w:p w14:paraId="424B6B6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25.供应商需提供虚拟仿真实训教学开放云平台服务，满足互联网在线仿真实训应用，每个仿真实训资源能够在线加载且具有操作交互步骤流程（非模型及客户端）：覆盖机械设计与制造、工业机器人技术、电气自动化技术、机电一体化技术、 建筑工程技术、绿色食品生产技术、新能源材料应用技术等专业，提供实训项目总数不低于160个。且能够与此次计划建设的将来私有化部署到学校的虚拟仿真实训教学及资源共享平台进行数据打通，以满足学院虚拟仿真实训教学应用需求。</w:t>
            </w:r>
            <w:r>
              <w:rPr>
                <w:rFonts w:hint="eastAsia" w:ascii="宋体" w:hAnsi="宋体" w:eastAsia="宋体" w:cs="宋体"/>
                <w:b/>
                <w:bCs w:val="0"/>
                <w:color w:val="auto"/>
                <w:kern w:val="2"/>
                <w:sz w:val="21"/>
                <w:szCs w:val="21"/>
                <w:highlight w:val="none"/>
              </w:rPr>
              <w:t>（投标时需提供至少50个资源截图）</w:t>
            </w:r>
          </w:p>
          <w:p w14:paraId="50A4AFC2">
            <w:pPr>
              <w:keepNext w:val="0"/>
              <w:keepLines w:val="0"/>
              <w:widowControl w:val="0"/>
              <w:suppressLineNumbers w:val="0"/>
              <w:spacing w:before="0" w:beforeAutospacing="1" w:after="0" w:afterAutospacing="1" w:line="360" w:lineRule="auto"/>
              <w:ind w:left="0" w:right="0" w:firstLine="420"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Cs/>
                <w:color w:val="auto"/>
                <w:kern w:val="2"/>
                <w:sz w:val="21"/>
                <w:szCs w:val="21"/>
                <w:highlight w:val="none"/>
              </w:rPr>
              <w:t>实验清单包括：</w:t>
            </w:r>
          </w:p>
          <w:tbl>
            <w:tblPr>
              <w:tblStyle w:val="25"/>
              <w:tblW w:w="67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360"/>
              <w:gridCol w:w="3360"/>
            </w:tblGrid>
            <w:tr w14:paraId="36FCF9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280" w:hRule="atLeast"/>
                <w:jc w:val="center"/>
              </w:trPr>
              <w:tc>
                <w:tcPr>
                  <w:tcW w:w="3360" w:type="dxa"/>
                  <w:tcBorders>
                    <w:top w:val="single" w:color="auto" w:sz="4" w:space="0"/>
                    <w:left w:val="single" w:color="auto" w:sz="4" w:space="0"/>
                    <w:bottom w:val="single" w:color="000000" w:sz="4" w:space="0"/>
                    <w:right w:val="single" w:color="000000" w:sz="4" w:space="0"/>
                  </w:tcBorders>
                  <w:shd w:val="clear" w:color="auto" w:fill="auto"/>
                  <w:vAlign w:val="center"/>
                </w:tcPr>
                <w:p w14:paraId="1BC9FC9C">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三相变压器联接组实验—极性测定</w:t>
                  </w:r>
                </w:p>
              </w:tc>
              <w:tc>
                <w:tcPr>
                  <w:tcW w:w="3360" w:type="dxa"/>
                  <w:tcBorders>
                    <w:top w:val="single" w:color="auto" w:sz="4" w:space="0"/>
                    <w:left w:val="nil"/>
                    <w:bottom w:val="single" w:color="000000" w:sz="4" w:space="0"/>
                    <w:right w:val="single" w:color="auto" w:sz="4" w:space="0"/>
                  </w:tcBorders>
                  <w:shd w:val="clear" w:color="auto" w:fill="auto"/>
                  <w:vAlign w:val="center"/>
                </w:tcPr>
                <w:p w14:paraId="683F1A71">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机构陈列柜虚拟实验</w:t>
                  </w:r>
                </w:p>
              </w:tc>
            </w:tr>
            <w:tr w14:paraId="5B5B4E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2D3A8A4">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三相变压器联接组实验—联接方式测定</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38600B4A">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转子动平衡虚拟实验</w:t>
                  </w:r>
                </w:p>
              </w:tc>
            </w:tr>
            <w:tr w14:paraId="3975E9F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2BA0D65">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直流电动机工作特性实验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5630A869">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刚性转子动平衡虚拟实验</w:t>
                  </w:r>
                </w:p>
              </w:tc>
            </w:tr>
            <w:tr w14:paraId="44AB76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9D63F65">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直流电动机人为机械特性实验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5656506F">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齿轮范成原理虚拟实验</w:t>
                  </w:r>
                </w:p>
              </w:tc>
            </w:tr>
            <w:tr w14:paraId="58CBF8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9ED5F1A">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三相异步电动机机械特性实验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30A0A86E">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四连杆机构演示实验</w:t>
                  </w:r>
                </w:p>
              </w:tc>
            </w:tr>
            <w:tr w14:paraId="034797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3BEECCE">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直流电动机制动特性实验—能耗制动</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238998B7">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齿轮传动效率虚拟实验</w:t>
                  </w:r>
                </w:p>
              </w:tc>
            </w:tr>
            <w:tr w14:paraId="356E99A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C0B4D41">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直流电动机制动特性实验—电压反接制动</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5CC3475D">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机器人构型虚拟实验</w:t>
                  </w:r>
                </w:p>
              </w:tc>
            </w:tr>
            <w:tr w14:paraId="6638E9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D814499">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异步电动机制动特性实验—自由停车</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5E78C6C3">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大尺寸工业机器人测量虚拟实验</w:t>
                  </w:r>
                </w:p>
              </w:tc>
            </w:tr>
            <w:tr w14:paraId="3EF4EA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828798B">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异步电动机制动特性实验—能耗制动</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534C8AB3">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机构运动方案创新设计实验</w:t>
                  </w:r>
                </w:p>
              </w:tc>
            </w:tr>
            <w:tr w14:paraId="4A59F1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C74D481">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异步电动机制动特性实验—电源反接制动</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3065C900">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机械运动参数测定虚拟实验</w:t>
                  </w:r>
                </w:p>
              </w:tc>
            </w:tr>
            <w:tr w14:paraId="78D1D3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389360C">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直流电动机调速特性实验—改变电枢供电电压</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44467BC3">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螺栓联接综合实验虚拟实验</w:t>
                  </w:r>
                </w:p>
              </w:tc>
            </w:tr>
            <w:tr w14:paraId="271872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62094DA">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直流电动机调速特性实验—改变主磁通调速</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225FE6E1">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带传动虚拟实验</w:t>
                  </w:r>
                </w:p>
              </w:tc>
            </w:tr>
            <w:tr w14:paraId="6CFF14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BD4F6E9">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三相异步电动机正反转仿真</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4E888EDE">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齿轮传动效率虚拟实验</w:t>
                  </w:r>
                </w:p>
              </w:tc>
            </w:tr>
            <w:tr w14:paraId="6060DE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1A17CA6">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直流电动机启动实验—直接启动</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40ECC96E">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组合式轴系结构设计与分析虚拟实验</w:t>
                  </w:r>
                </w:p>
              </w:tc>
            </w:tr>
            <w:tr w14:paraId="704F58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C07CFA2">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直流电动机启动实验—分级启动</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3888F96D">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一级减速器拆装虚拟实验</w:t>
                  </w:r>
                </w:p>
              </w:tc>
            </w:tr>
            <w:tr w14:paraId="708167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11A7D63">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10kV开关柜的局部放电测量虚拟仿真实验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4E852158">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二级减速器拆装虚拟实验</w:t>
                  </w:r>
                </w:p>
              </w:tc>
            </w:tr>
            <w:tr w14:paraId="785E75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9C2A33B">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PTFE绝缘管型母线的局部放电测量虚拟仿真实验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2496649A">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减速器结构分析设计实验</w:t>
                  </w:r>
                </w:p>
              </w:tc>
            </w:tr>
            <w:tr w14:paraId="2AC0FF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FEF5667">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XLPE电力电缆的局部放电测量虚拟仿真实验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0FCB8132">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大型风电齿轮箱虚拟装配实验</w:t>
                  </w:r>
                </w:p>
              </w:tc>
            </w:tr>
            <w:tr w14:paraId="69D6AA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1ABC90A">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变电站巡检准备实验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6C397849">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CA6140车床认知虚拟实验</w:t>
                  </w:r>
                </w:p>
              </w:tc>
            </w:tr>
            <w:tr w14:paraId="7BF200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7185ACF">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变电站巡检实验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5DB7DC50">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CA6140车床拆装及工作原理虚拟实验</w:t>
                  </w:r>
                </w:p>
              </w:tc>
            </w:tr>
            <w:tr w14:paraId="78FA5F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09F2E7E">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110KV高压场地设备认知实验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3498CA0A">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CA6140车刀认知虚拟实验</w:t>
                  </w:r>
                </w:p>
              </w:tc>
            </w:tr>
            <w:tr w14:paraId="1822B6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BAF5C80">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观察电机不同颜色的变化了解电机温度变化</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09A04A7D">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机械加工工艺规程设计虚拟实验</w:t>
                  </w:r>
                </w:p>
              </w:tc>
            </w:tr>
            <w:tr w14:paraId="3E0DD9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B3FB01A">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观察电机结构及其拆分后结构</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6EA08FA4">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钣金铆接虚拟实验</w:t>
                  </w:r>
                </w:p>
              </w:tc>
            </w:tr>
            <w:tr w14:paraId="5A9766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A257B08">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PID控制算法研究</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0B6C4FC9">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氧化处理虚拟实验</w:t>
                  </w:r>
                </w:p>
              </w:tc>
            </w:tr>
            <w:tr w14:paraId="049C8A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303EDEF">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上水箱液位单回路控制系统设计</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5D72DF59">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微弧氧化虚拟实验</w:t>
                  </w:r>
                </w:p>
              </w:tc>
            </w:tr>
            <w:tr w14:paraId="38AAEE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5EBEB65">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单回路PID控制器参数整定</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28821D6B">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钣金类产品加工虚拟仿真实验</w:t>
                  </w:r>
                </w:p>
              </w:tc>
            </w:tr>
            <w:tr w14:paraId="60C108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936F06B">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装配式建筑施工工艺虚拟仿真实验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44B1E179">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数控冲压虚拟实验</w:t>
                  </w:r>
                </w:p>
              </w:tc>
            </w:tr>
            <w:tr w14:paraId="261F05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59FE11E">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三轴压缩实验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0688C6A6">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激光切割虚拟实验</w:t>
                  </w:r>
                </w:p>
              </w:tc>
            </w:tr>
            <w:tr w14:paraId="76D5B0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01694A8">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直剪实验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3882E549">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水射流激光划片虚拟实验</w:t>
                  </w:r>
                </w:p>
              </w:tc>
            </w:tr>
            <w:tr w14:paraId="4A314E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F3A3FAD">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高温下混凝土材料力学性能虚拟仿真实验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22FDF5B2">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钣金折弯虚拟实验</w:t>
                  </w:r>
                </w:p>
              </w:tc>
            </w:tr>
            <w:tr w14:paraId="3EF6E2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F36694F">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高温下钢筋力学性能虚拟仿真实验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11AEC83D">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压力容器综合性能虚拟实验-外压容器失稳实验</w:t>
                  </w:r>
                </w:p>
              </w:tc>
            </w:tr>
            <w:tr w14:paraId="50684F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F3C6E65">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混凝土受荷破坏分析</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7E0EE4EE">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压力容器综合性能虚拟实验-内压容器应力测试实验</w:t>
                  </w:r>
                </w:p>
              </w:tc>
            </w:tr>
            <w:tr w14:paraId="0EA904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B1FBD4D">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混凝土材料水分传输虚拟实验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5027E873">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 xml:space="preserve"> 压力容器综合性能虚拟实验-高压容器爆破实验</w:t>
                  </w:r>
                </w:p>
              </w:tc>
            </w:tr>
            <w:tr w14:paraId="64C6D6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D23AD0F">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钢筋混凝土梁受弯虚拟仿真实验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0FC456BE">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往复式压缩机工作原理及应用实验</w:t>
                  </w:r>
                </w:p>
              </w:tc>
            </w:tr>
            <w:tr w14:paraId="349693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0272A7B">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钢筋混凝土柱受压虚拟仿真实验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7755FCCF">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往复式压缩机性能测定虚拟实验</w:t>
                  </w:r>
                </w:p>
              </w:tc>
            </w:tr>
            <w:tr w14:paraId="4E430F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26C48E8">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钢结构轴心受压构件失稳实验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127873B2">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离心式压缩机工作原理及应用实验</w:t>
                  </w:r>
                </w:p>
              </w:tc>
            </w:tr>
            <w:tr w14:paraId="53E6F6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4E1370E">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钢梁整体失稳实验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3227240B">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典型离心泵的工作原理及应用实验</w:t>
                  </w:r>
                </w:p>
              </w:tc>
            </w:tr>
            <w:tr w14:paraId="161F9E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3F0EDA5">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连续梁挂篮施工综合仿真实验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1F07EF92">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发动机台架虚拟实验</w:t>
                  </w:r>
                </w:p>
              </w:tc>
            </w:tr>
            <w:tr w14:paraId="186A5A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3AB0EE9">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桥梁施工、监测过程三维虚拟仿真实验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1B0B7F05">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发动机速度特性虚拟实验</w:t>
                  </w:r>
                </w:p>
              </w:tc>
            </w:tr>
            <w:tr w14:paraId="6DAF37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3135F9F">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木质楼阁建筑(保和殿)虚拟展示和结构识别实验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4F2C840F">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发动机负荷特性虚拟实验</w:t>
                  </w:r>
                </w:p>
              </w:tc>
            </w:tr>
            <w:tr w14:paraId="0BE6C7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5BA4E84">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木质楼阁建筑(祈年殿)虚拟展示和结构识别实验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5E229D59">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发动机强迫振动虚拟实验</w:t>
                  </w:r>
                </w:p>
              </w:tc>
            </w:tr>
            <w:tr w14:paraId="19E8D9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9FF87A2">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全站仪的使用实验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20CE608E">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柴油发动机工作原理及AR拆装虚拟实验</w:t>
                  </w:r>
                </w:p>
              </w:tc>
            </w:tr>
            <w:tr w14:paraId="52D998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E1C7882">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立井两井定向实验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3682B399">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汽油发动机工作原理及AR拆装虚拟实验</w:t>
                  </w:r>
                </w:p>
              </w:tc>
            </w:tr>
            <w:tr w14:paraId="4ABA2D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4B1DF8A">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苯并芘检测虚拟仿真实验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788C7F4D">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发动机组成原理虚拟实验</w:t>
                  </w:r>
                </w:p>
              </w:tc>
            </w:tr>
            <w:tr w14:paraId="4C268D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485101F">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呕吐毒素检测虚拟仿真实验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1D79F0A5">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汽车安全环保检测线虚拟实验</w:t>
                  </w:r>
                </w:p>
              </w:tc>
            </w:tr>
            <w:tr w14:paraId="1C1B96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C0ECCB5">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沙门氏菌检测虚拟仿真实验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18A1DC18">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汽车尾气双怠速测量实验</w:t>
                  </w:r>
                </w:p>
              </w:tc>
            </w:tr>
            <w:tr w14:paraId="421220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C2F3B92">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啤酒发酵工艺流程虚拟仿真实验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44FC5E89">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插电式混合动力汽车多能源工作流虚拟实验</w:t>
                  </w:r>
                </w:p>
              </w:tc>
            </w:tr>
            <w:tr w14:paraId="242DDF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E773D7A">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食品生产及质量管理认证实验虚拟仿真实验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0DCD15F7">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插电式混合动力汽车动力系统参数虚拟匹配设计实验</w:t>
                  </w:r>
                </w:p>
              </w:tc>
            </w:tr>
            <w:tr w14:paraId="54E17A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00BF17D">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食用菌功能性饮料生产工艺虚拟仿真实验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7526053E">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混合动力虚拟实验</w:t>
                  </w:r>
                </w:p>
              </w:tc>
            </w:tr>
            <w:tr w14:paraId="03DD86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6FCA2AB">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鱼油提取与精制虚拟仿真实验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39596DB4">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永磁同步电机加载实验</w:t>
                  </w:r>
                </w:p>
              </w:tc>
            </w:tr>
            <w:tr w14:paraId="6E8BE7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53F1A33">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晶体结晶与位错虚拟仿真实验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5ACCB104">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永磁同步电机原理实验</w:t>
                  </w:r>
                </w:p>
              </w:tc>
            </w:tr>
            <w:tr w14:paraId="18F668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EEEBD3D">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结构钢的热处理工艺流程及性能测试虚拟仿真实验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03CD6D8E">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直流电机机械特性实验</w:t>
                  </w:r>
                </w:p>
              </w:tc>
            </w:tr>
            <w:tr w14:paraId="2131DA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6F32E53">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综合热处理实验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3DEE3108">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直流电机原理及调速实验</w:t>
                  </w:r>
                </w:p>
              </w:tc>
            </w:tr>
            <w:tr w14:paraId="6F24FF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8BDA1F5">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金相制备虚拟仿真实验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6E867CA9">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单体锂电池充放电实验</w:t>
                  </w:r>
                </w:p>
              </w:tc>
            </w:tr>
            <w:tr w14:paraId="53952F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D8DD3B8">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Fe-Fe3C相图及显微组织观察虚拟仿真实验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03190144">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单体铅酸电池充放电实验</w:t>
                  </w:r>
                </w:p>
              </w:tc>
            </w:tr>
            <w:tr w14:paraId="35D287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F64B2E4">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金相显微镜的构造及使用虚拟仿真实验（正置）</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5D49F9F4">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锂电池组充电实验</w:t>
                  </w:r>
                </w:p>
              </w:tc>
            </w:tr>
            <w:tr w14:paraId="143E42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E084B82">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金相显微镜的构造及使用虚拟仿真实验（倒置）</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1D90EFDA">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自动变速器结构与工作原理虚拟实验</w:t>
                  </w:r>
                </w:p>
              </w:tc>
            </w:tr>
            <w:tr w14:paraId="16D6E4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DBC4DA8">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金属激光熔化3D打印虚拟实验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7FE40413">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基于虚拟样机技术的汽车蛇行行驶虚拟实验</w:t>
                  </w:r>
                </w:p>
              </w:tc>
            </w:tr>
            <w:tr w14:paraId="79AF77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9F6AD4E">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电阻点焊原理展示虚拟仿真实验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628125E6">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汽车瞬态转向特性虚拟实验</w:t>
                  </w:r>
                </w:p>
              </w:tc>
            </w:tr>
            <w:tr w14:paraId="65E350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F7ABA70">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氧乙炔烧蚀虚拟仿真实验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7C5B18E1">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汽车碰撞测试虚拟实验</w:t>
                  </w:r>
                </w:p>
              </w:tc>
            </w:tr>
            <w:tr w14:paraId="2CC89C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148B083">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复合材料水氧虚拟仿真实验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1F3BE670">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承载式轿车白车身结构与装配虚拟实验</w:t>
                  </w:r>
                </w:p>
              </w:tc>
            </w:tr>
            <w:tr w14:paraId="79ACB0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960C188">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固溶时效虚拟仿真实验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375F264D">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汽车结构展示与拆装虚拟实验</w:t>
                  </w:r>
                </w:p>
              </w:tc>
            </w:tr>
            <w:tr w14:paraId="135C0E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9EEECA3">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金属热膨胀虚拟实验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3A5ADEDA">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汽车构造与原理虚拟实验</w:t>
                  </w:r>
                </w:p>
              </w:tc>
            </w:tr>
            <w:tr w14:paraId="7259F0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EA8BCE4">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铸造虚拟实验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30868A73">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卡车装配流水线虚拟实验</w:t>
                  </w:r>
                </w:p>
              </w:tc>
            </w:tr>
            <w:tr w14:paraId="351F3B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051A57C">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铸造自动化生产线虚拟实验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5E5F98C0">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大型客车生产流程模拟虚拟实验</w:t>
                  </w:r>
                </w:p>
              </w:tc>
            </w:tr>
            <w:tr w14:paraId="50A0BE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9BB9AD7">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压力铸造虚拟仿真实验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5C6A372B">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汽车底盘测功虚拟实验</w:t>
                  </w:r>
                </w:p>
              </w:tc>
            </w:tr>
            <w:tr w14:paraId="0774EB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38FD6D0">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低压铸造虚拟实验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1118DDCA">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汽车悬架系统的振动及仿真及优化虚拟实验</w:t>
                  </w:r>
                </w:p>
              </w:tc>
            </w:tr>
            <w:tr w14:paraId="740DCDF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3B69D37">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注塑成型自动化生产线虚拟实验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4C347EE7">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汽车电动转向助力虚拟实验</w:t>
                  </w:r>
                </w:p>
              </w:tc>
            </w:tr>
            <w:tr w14:paraId="4FFD71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B7689D3">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冲压成型自动化生产线虚拟实验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2ECDCAAF">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基于虚拟样机技术的汽车制动性能虚拟实验</w:t>
                  </w:r>
                </w:p>
              </w:tc>
            </w:tr>
            <w:tr w14:paraId="643F17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72189E4">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金属板材轧制虚拟实验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0070591E">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制动系设计虚拟实验</w:t>
                  </w:r>
                </w:p>
              </w:tc>
            </w:tr>
            <w:tr w14:paraId="289F3D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A76BC9D">
                  <w:pPr>
                    <w:keepNext w:val="0"/>
                    <w:keepLines w:val="0"/>
                    <w:widowControl/>
                    <w:suppressLineNumbers w:val="0"/>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挤压虚拟实验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74D3D8BA">
                  <w:pPr>
                    <w:keepNext w:val="0"/>
                    <w:keepLines w:val="0"/>
                    <w:widowControl/>
                    <w:suppressLineNumbers w:val="0"/>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汽车制动系统的参数设计及运用虚拟实验</w:t>
                  </w:r>
                </w:p>
              </w:tc>
            </w:tr>
            <w:tr w14:paraId="3CA469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6FE489E">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旋压虚拟实验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1A2444CE">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ABS/ESC结构虚拟实验</w:t>
                  </w:r>
                </w:p>
              </w:tc>
            </w:tr>
            <w:tr w14:paraId="507508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8DDB517">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齿轮坯锻造缺陷分析及模锻工艺虚拟仿真实验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2D6CEAAC">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基于虚拟样机的ABS整车控制虚拟实验</w:t>
                  </w:r>
                </w:p>
              </w:tc>
            </w:tr>
            <w:tr w14:paraId="5E6506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5FE4286">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电阻点焊原理展示虚拟仿真实验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60F85DE0">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汽车人机系统性能静态虚拟实验</w:t>
                  </w:r>
                </w:p>
              </w:tc>
            </w:tr>
            <w:tr w14:paraId="46E482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6A8E572">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注塑模具的拆装及结构认知虚拟实验</w:t>
                  </w:r>
                </w:p>
              </w:tc>
              <w:tc>
                <w:tcPr>
                  <w:tcW w:w="3360" w:type="dxa"/>
                  <w:tcBorders>
                    <w:top w:val="single" w:color="000000" w:sz="4" w:space="0"/>
                    <w:left w:val="nil"/>
                    <w:bottom w:val="single" w:color="000000" w:sz="4" w:space="0"/>
                    <w:right w:val="single" w:color="auto" w:sz="4" w:space="0"/>
                  </w:tcBorders>
                  <w:shd w:val="clear" w:color="auto" w:fill="auto"/>
                  <w:vAlign w:val="center"/>
                </w:tcPr>
                <w:p w14:paraId="52C6DEA1">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汽车人机工程设计校核虚拟实验</w:t>
                  </w:r>
                </w:p>
              </w:tc>
            </w:tr>
            <w:tr w14:paraId="29E983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BAEF2A8">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数字化制造虚拟实验</w:t>
                  </w:r>
                </w:p>
              </w:tc>
              <w:tc>
                <w:tcPr>
                  <w:tcW w:w="3360" w:type="dxa"/>
                  <w:tcBorders>
                    <w:top w:val="single" w:color="000000" w:sz="4" w:space="0"/>
                    <w:left w:val="nil"/>
                    <w:bottom w:val="single" w:color="auto" w:sz="4" w:space="0"/>
                    <w:right w:val="single" w:color="auto" w:sz="4" w:space="0"/>
                  </w:tcBorders>
                  <w:shd w:val="clear" w:color="auto" w:fill="auto"/>
                  <w:vAlign w:val="center"/>
                </w:tcPr>
                <w:p w14:paraId="4CAB2F23">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H点装置及其应用虚拟实验</w:t>
                  </w:r>
                </w:p>
              </w:tc>
            </w:tr>
            <w:tr w14:paraId="133E7D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auto" w:sz="4" w:space="0"/>
                  </w:tcBorders>
                  <w:shd w:val="clear" w:color="auto" w:fill="auto"/>
                  <w:vAlign w:val="center"/>
                </w:tcPr>
                <w:p w14:paraId="1C78CFB0">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紫外分光光度计虚拟实验(PerkinElmer Lambda 25)</w:t>
                  </w:r>
                </w:p>
              </w:tc>
              <w:tc>
                <w:tcPr>
                  <w:tcW w:w="3360" w:type="dxa"/>
                  <w:tcBorders>
                    <w:top w:val="single" w:color="auto" w:sz="4" w:space="0"/>
                    <w:left w:val="nil"/>
                    <w:bottom w:val="single" w:color="auto" w:sz="4" w:space="0"/>
                    <w:right w:val="single" w:color="auto" w:sz="4" w:space="0"/>
                  </w:tcBorders>
                  <w:shd w:val="clear" w:color="auto" w:fill="auto"/>
                  <w:noWrap/>
                  <w:vAlign w:val="center"/>
                </w:tcPr>
                <w:p w14:paraId="184EB1FA">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材料X射线衍射及物相分析虚拟仿真实验（UltimaⅣ）</w:t>
                  </w:r>
                </w:p>
              </w:tc>
            </w:tr>
            <w:tr w14:paraId="497279A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auto" w:sz="4" w:space="0"/>
                  </w:tcBorders>
                  <w:shd w:val="clear" w:color="auto" w:fill="auto"/>
                  <w:vAlign w:val="center"/>
                </w:tcPr>
                <w:p w14:paraId="6E0BF1F4">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紫外-可见分光光度计测定未知液虚拟仿真实验（CARY50）</w:t>
                  </w:r>
                </w:p>
              </w:tc>
              <w:tc>
                <w:tcPr>
                  <w:tcW w:w="3360" w:type="dxa"/>
                  <w:tcBorders>
                    <w:top w:val="single" w:color="auto" w:sz="4" w:space="0"/>
                    <w:left w:val="nil"/>
                    <w:bottom w:val="single" w:color="auto" w:sz="4" w:space="0"/>
                    <w:right w:val="single" w:color="auto" w:sz="4" w:space="0"/>
                  </w:tcBorders>
                  <w:shd w:val="clear" w:color="auto" w:fill="auto"/>
                  <w:noWrap/>
                  <w:vAlign w:val="center"/>
                </w:tcPr>
                <w:p w14:paraId="0311A0F2">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X射线衍射虚拟仿真实验（Miniflex600）</w:t>
                  </w:r>
                </w:p>
              </w:tc>
            </w:tr>
            <w:tr w14:paraId="4709A9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auto" w:sz="4" w:space="0"/>
                  </w:tcBorders>
                  <w:shd w:val="clear" w:color="auto" w:fill="auto"/>
                  <w:vAlign w:val="center"/>
                </w:tcPr>
                <w:p w14:paraId="735FF032">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场发射扫描电子显微镜虚拟仿真实验（35kv p09058.10）</w:t>
                  </w:r>
                </w:p>
              </w:tc>
              <w:tc>
                <w:tcPr>
                  <w:tcW w:w="3360" w:type="dxa"/>
                  <w:tcBorders>
                    <w:top w:val="single" w:color="auto" w:sz="4" w:space="0"/>
                    <w:left w:val="nil"/>
                    <w:bottom w:val="single" w:color="auto" w:sz="4" w:space="0"/>
                    <w:right w:val="single" w:color="auto" w:sz="4" w:space="0"/>
                  </w:tcBorders>
                  <w:shd w:val="clear" w:color="auto" w:fill="auto"/>
                  <w:noWrap/>
                  <w:vAlign w:val="center"/>
                </w:tcPr>
                <w:p w14:paraId="3C9C8FED">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X射线衍射虚拟仿真实验（smartLab 2080A211）</w:t>
                  </w:r>
                </w:p>
              </w:tc>
            </w:tr>
            <w:tr w14:paraId="0ADBF4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auto" w:sz="4" w:space="0"/>
                  </w:tcBorders>
                  <w:shd w:val="clear" w:color="auto" w:fill="auto"/>
                  <w:vAlign w:val="center"/>
                </w:tcPr>
                <w:p w14:paraId="1244BC87">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场发射扫描电子显微镜虚拟仿真实验（SUPRA55）</w:t>
                  </w:r>
                </w:p>
              </w:tc>
              <w:tc>
                <w:tcPr>
                  <w:tcW w:w="3360" w:type="dxa"/>
                  <w:tcBorders>
                    <w:top w:val="single" w:color="auto" w:sz="4" w:space="0"/>
                    <w:left w:val="nil"/>
                    <w:bottom w:val="single" w:color="auto" w:sz="4" w:space="0"/>
                    <w:right w:val="single" w:color="auto" w:sz="4" w:space="0"/>
                  </w:tcBorders>
                  <w:shd w:val="clear" w:color="auto" w:fill="auto"/>
                  <w:noWrap/>
                  <w:vAlign w:val="center"/>
                </w:tcPr>
                <w:p w14:paraId="6E680750">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傅里叶红外表征聚合物结构虚拟仿真实验（Nicolet-5700）</w:t>
                  </w:r>
                </w:p>
              </w:tc>
            </w:tr>
            <w:tr w14:paraId="37C498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000000" w:sz="4" w:space="0"/>
                    <w:right w:val="single" w:color="auto" w:sz="4" w:space="0"/>
                  </w:tcBorders>
                  <w:shd w:val="clear" w:color="auto" w:fill="auto"/>
                  <w:vAlign w:val="center"/>
                </w:tcPr>
                <w:p w14:paraId="3EA33136">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扫描电镜虚拟实验(TESCAN VEGA3)</w:t>
                  </w:r>
                </w:p>
              </w:tc>
              <w:tc>
                <w:tcPr>
                  <w:tcW w:w="3360" w:type="dxa"/>
                  <w:tcBorders>
                    <w:top w:val="single" w:color="auto" w:sz="4" w:space="0"/>
                    <w:left w:val="nil"/>
                    <w:bottom w:val="single" w:color="auto" w:sz="4" w:space="0"/>
                    <w:right w:val="single" w:color="auto" w:sz="4" w:space="0"/>
                  </w:tcBorders>
                  <w:shd w:val="clear" w:color="auto" w:fill="auto"/>
                  <w:noWrap/>
                  <w:vAlign w:val="center"/>
                </w:tcPr>
                <w:p w14:paraId="0A632C5E">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傅里叶红外光谱仪虚拟实验（Nicolet-6700）</w:t>
                  </w:r>
                </w:p>
              </w:tc>
            </w:tr>
            <w:tr w14:paraId="7E1061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jc w:val="center"/>
              </w:trPr>
              <w:tc>
                <w:tcPr>
                  <w:tcW w:w="3360" w:type="dxa"/>
                  <w:tcBorders>
                    <w:top w:val="single" w:color="000000" w:sz="4" w:space="0"/>
                    <w:left w:val="single" w:color="auto" w:sz="4" w:space="0"/>
                    <w:bottom w:val="single" w:color="auto" w:sz="4" w:space="0"/>
                    <w:right w:val="single" w:color="auto" w:sz="4" w:space="0"/>
                  </w:tcBorders>
                  <w:shd w:val="clear" w:color="auto" w:fill="auto"/>
                  <w:vAlign w:val="center"/>
                </w:tcPr>
                <w:p w14:paraId="75E9A506">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1478" w:leftChars="704" w:right="0" w:firstLine="0" w:firstLineChars="0"/>
                    <w:jc w:val="both"/>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高效液相色谱仪虚拟实验（SHIMADZU LC20-A）</w:t>
                  </w:r>
                </w:p>
              </w:tc>
              <w:tc>
                <w:tcPr>
                  <w:tcW w:w="3360" w:type="dxa"/>
                  <w:tcBorders>
                    <w:top w:val="single" w:color="auto" w:sz="4" w:space="0"/>
                    <w:left w:val="nil"/>
                    <w:bottom w:val="single" w:color="auto" w:sz="4" w:space="0"/>
                    <w:right w:val="single" w:color="auto" w:sz="4" w:space="0"/>
                  </w:tcBorders>
                  <w:shd w:val="clear" w:color="auto" w:fill="auto"/>
                  <w:noWrap/>
                  <w:vAlign w:val="center"/>
                </w:tcPr>
                <w:p w14:paraId="32193A57">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360" w:lineRule="auto"/>
                    <w:ind w:left="0" w:right="1348" w:rightChars="642"/>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红外光谱仪虚拟实验(PerkinElmer Frontier)</w:t>
                  </w:r>
                </w:p>
              </w:tc>
            </w:tr>
          </w:tbl>
          <w:p w14:paraId="0788AE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1"/>
                <w:szCs w:val="21"/>
                <w:highlight w:val="none"/>
              </w:rPr>
            </w:pPr>
          </w:p>
          <w:p w14:paraId="03F676A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（五）智慧实训场所及设备管理</w:t>
            </w:r>
          </w:p>
          <w:p w14:paraId="714684F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系统中能够体现专业虚拟仿真实训中心、公共虚拟仿真实训中心、虚拟仿真体验中心和虚拟仿真研创中心。每个专业虚拟仿真实训中心下可设若干按一定逻辑组合的虚拟仿真实训室，每个实训室里可以管理相关的虚拟仿真实训设备</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
                <w:bCs w:val="0"/>
                <w:color w:val="auto"/>
                <w:kern w:val="2"/>
                <w:sz w:val="21"/>
                <w:szCs w:val="21"/>
                <w:highlight w:val="none"/>
              </w:rPr>
              <w:t>（投标时需提供软件功能截图）</w:t>
            </w:r>
          </w:p>
          <w:p w14:paraId="53F1328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ascii="宋体" w:hAnsi="宋体" w:eastAsia="宋体" w:cs="宋体"/>
                <w:bCs/>
                <w:color w:val="auto"/>
                <w:kern w:val="2"/>
                <w:sz w:val="21"/>
                <w:szCs w:val="21"/>
                <w:highlight w:val="none"/>
                <w:lang w:val="en-US" w:eastAsia="zh-CN"/>
              </w:rPr>
              <w:t>支持</w:t>
            </w:r>
            <w:r>
              <w:rPr>
                <w:rFonts w:hint="eastAsia" w:ascii="宋体" w:hAnsi="宋体" w:eastAsia="宋体" w:cs="宋体"/>
                <w:bCs/>
                <w:color w:val="auto"/>
                <w:kern w:val="2"/>
                <w:sz w:val="21"/>
                <w:szCs w:val="21"/>
                <w:highlight w:val="none"/>
              </w:rPr>
              <w:t>对基地虚拟仿真实训中心、实训室基本数据的管理。</w:t>
            </w:r>
          </w:p>
          <w:p w14:paraId="528794F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3.实训室基础信息属性的管理。实训室的名称、编号、地点、面积、工位情况、建立年份、使用性质等实训室基础信息属性的管理。</w:t>
            </w:r>
          </w:p>
          <w:p w14:paraId="44B3A74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4.支持对虚拟仿真实训教学场所及实训设备管理。</w:t>
            </w:r>
          </w:p>
          <w:p w14:paraId="7B3D572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5.系统具有开放预约管理功能，对实训室进行开放设置管理，提高实训室利用率。用户可以通过在线完成实训室的空闲及可预约时段的查看，并进行预约操作。也可以通过搜索具体的实训室，进行查看。</w:t>
            </w:r>
          </w:p>
          <w:p w14:paraId="0F8B09F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6.预约信息的详细记录，包括预约时间、预约人数、申请说明等信息。</w:t>
            </w:r>
          </w:p>
          <w:p w14:paraId="1EBB531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7.审批管理，对于需要进行审核的实训室预约，通过实训室管理员进行审核后才可以生效。对于无需审核的实训室，用户直接预约完即可完成使用。</w:t>
            </w:r>
          </w:p>
          <w:p w14:paraId="782493D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（六）数据挖掘与分析系统</w:t>
            </w:r>
          </w:p>
          <w:p w14:paraId="129D9D9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1.班级、专业、学院等学生成绩、学习时间汇总，以图形等形式反馈，根据学生成绩进行对比并且进行成绩分段统计展示。</w:t>
            </w:r>
          </w:p>
          <w:p w14:paraId="64EAF73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2.系统可以对各学院对于虚拟仿真实训教学资源使用情况分析，提供各学院开课统计、各学院课程总数以及各学院课程下资源数量等统计分析。</w:t>
            </w:r>
          </w:p>
          <w:p w14:paraId="0809C50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3.系统可以对实训课程数据分析，包括课程下班级数量、学生人数、课程下项目数、教学资源数、试题数量、课程讨论数量及课程评价统计。</w:t>
            </w:r>
          </w:p>
          <w:p w14:paraId="5799F4C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4.系统可以对教师资源维护、实训安排、批改结果、课程评价管理等统计分析。</w:t>
            </w:r>
          </w:p>
          <w:p w14:paraId="60DB054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5.系统可以对仿真资源数量、共享量、访问量、每年更新量信息进行综合统计。</w:t>
            </w:r>
          </w:p>
          <w:p w14:paraId="293968F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6.同时对学生个人学习情况也可以统计并对学情进行分析，提供个人课程综合得分、当前排名和超过的学员排名率，累计学习时间和学习进度等统计。</w:t>
            </w:r>
          </w:p>
          <w:p w14:paraId="471955B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7.系统可以</w:t>
            </w:r>
            <w:r>
              <w:rPr>
                <w:rFonts w:hint="eastAsia" w:ascii="宋体" w:hAnsi="宋体" w:eastAsia="宋体" w:cs="宋体"/>
                <w:bCs/>
                <w:color w:val="auto"/>
                <w:kern w:val="2"/>
                <w:sz w:val="21"/>
                <w:szCs w:val="21"/>
                <w:highlight w:val="none"/>
                <w:lang w:val="en-US" w:eastAsia="zh-CN"/>
              </w:rPr>
              <w:t>统计</w:t>
            </w:r>
            <w:r>
              <w:rPr>
                <w:rFonts w:hint="eastAsia" w:ascii="宋体" w:hAnsi="宋体" w:eastAsia="宋体" w:cs="宋体"/>
                <w:bCs/>
                <w:color w:val="auto"/>
                <w:kern w:val="2"/>
                <w:sz w:val="21"/>
                <w:szCs w:val="21"/>
                <w:highlight w:val="none"/>
              </w:rPr>
              <w:t>平台运行访问、用户活跃度情况统计及资源日访问量。</w:t>
            </w:r>
          </w:p>
          <w:p w14:paraId="2DCDDED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8.系统可以对课程评价，学生问答数统计，学生活跃度排名统计，课程成绩分析及资源统计，项目成绩分析。</w:t>
            </w:r>
          </w:p>
          <w:p w14:paraId="270657C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9.根据学生完成考试情况进行试题数统计。</w:t>
            </w:r>
          </w:p>
          <w:p w14:paraId="2C3C526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w:t>
            </w:r>
            <w:r>
              <w:rPr>
                <w:rFonts w:hint="eastAsia" w:ascii="宋体" w:hAnsi="宋体" w:eastAsia="宋体" w:cs="宋体"/>
                <w:bCs/>
                <w:color w:val="auto"/>
                <w:kern w:val="2"/>
                <w:sz w:val="21"/>
                <w:szCs w:val="21"/>
                <w:highlight w:val="none"/>
                <w:lang w:val="en-US" w:eastAsia="zh-CN"/>
              </w:rPr>
              <w:t>系统支持汇总并展示</w:t>
            </w:r>
            <w:r>
              <w:rPr>
                <w:rFonts w:hint="eastAsia" w:ascii="宋体" w:hAnsi="宋体" w:eastAsia="宋体" w:cs="宋体"/>
                <w:bCs/>
                <w:color w:val="auto"/>
                <w:kern w:val="2"/>
                <w:sz w:val="21"/>
                <w:szCs w:val="21"/>
                <w:highlight w:val="none"/>
              </w:rPr>
              <w:t>虚拟仿真资源建设增长率统计、虚实结合实训资源课程占比统计、虚拟仿真实训课程开放共享率统计等。</w:t>
            </w:r>
          </w:p>
          <w:p w14:paraId="62E4BC3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11.系统可以对实训课程数据分析，包括该课程访问总量分析及实训总次数分析等。</w:t>
            </w:r>
          </w:p>
          <w:p w14:paraId="1BC8C02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12.系统</w:t>
            </w:r>
            <w:r>
              <w:rPr>
                <w:rFonts w:hint="eastAsia" w:ascii="宋体" w:hAnsi="宋体" w:eastAsia="宋体" w:cs="宋体"/>
                <w:bCs/>
                <w:color w:val="auto"/>
                <w:kern w:val="2"/>
                <w:sz w:val="21"/>
                <w:szCs w:val="21"/>
                <w:highlight w:val="none"/>
                <w:lang w:val="en-US" w:eastAsia="zh-CN"/>
              </w:rPr>
              <w:t>支持</w:t>
            </w:r>
            <w:r>
              <w:rPr>
                <w:rFonts w:hint="eastAsia" w:ascii="宋体" w:hAnsi="宋体" w:eastAsia="宋体" w:cs="宋体"/>
                <w:bCs/>
                <w:color w:val="auto"/>
                <w:kern w:val="2"/>
                <w:sz w:val="21"/>
                <w:szCs w:val="21"/>
                <w:highlight w:val="none"/>
              </w:rPr>
              <w:t>对仿真资源数量、共享量、访问量、每年更新量信息进行综合统计。</w:t>
            </w:r>
          </w:p>
          <w:p w14:paraId="4100C1A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13.系统支持对学院数量、专业数量统计、课程总数统计、资源数、开课总数统计、平台在线人数、校内用户数、校外临时用户数及仿真实训课程使用总人数的分析统计等。</w:t>
            </w:r>
          </w:p>
          <w:p w14:paraId="24499BE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▲14.可视化大屏展示</w:t>
            </w:r>
            <w:r>
              <w:rPr>
                <w:rFonts w:hint="eastAsia" w:ascii="宋体" w:hAnsi="宋体" w:eastAsia="宋体" w:cs="宋体"/>
                <w:b/>
                <w:bCs w:val="0"/>
                <w:color w:val="auto"/>
                <w:kern w:val="2"/>
                <w:sz w:val="21"/>
                <w:szCs w:val="21"/>
                <w:highlight w:val="none"/>
              </w:rPr>
              <w:t>（投标时需提供软件功能截图）</w:t>
            </w:r>
          </w:p>
          <w:p w14:paraId="20087BD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（1）动态大屏设计功能，系统支持自定义大屏样式和数据展示。添加一个新的大屏，设定报表编码和报表类型。</w:t>
            </w:r>
          </w:p>
          <w:p w14:paraId="74F2D08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（2）系统支持自定义大屏样式和数据展示，提供不少于20种的图形设计，可任意位置和样式拖拽，支持不限个数的图层展示和编辑可以布局3模块，可以布局7模块。</w:t>
            </w:r>
          </w:p>
          <w:p w14:paraId="37EAA20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（3）可灵活布置大屏内任意个数的模块，各模块的样式，如字体、内容、背景、key值、动画等。</w:t>
            </w:r>
          </w:p>
          <w:p w14:paraId="138003B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（4）支持大屏实时预览和编辑。分别预览3模块、7模块的大屏；大屏中的展示数据可以管理平台中找到数据根源。</w:t>
            </w:r>
          </w:p>
          <w:p w14:paraId="4452039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（5）提供至少2所用动态大屏设计出的实际案例展示。</w:t>
            </w:r>
          </w:p>
          <w:p w14:paraId="6BE5E27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（七）开放接口管理</w:t>
            </w:r>
          </w:p>
          <w:p w14:paraId="010BDAF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1.与采购人基本信息管理系统对接：平台需与采购人管理基本信息的系统做到同步，包括用户姓名、学/工号、隶属的角色、班级、专业、院系等信息。</w:t>
            </w:r>
          </w:p>
          <w:p w14:paraId="27D1827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2.支持将采购人采购或自建的仿真实训接入平台，通过实训平台进入实训环境。</w:t>
            </w:r>
          </w:p>
          <w:p w14:paraId="563E44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3.对接接口包括从平台进入虚拟实训时用户认证接口、实训任务接口、实训结果数据接口、实训成绩接口。</w:t>
            </w:r>
          </w:p>
          <w:p w14:paraId="4854A2E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4.提供数据集成服务，通过基于HTTP接口协议，可以将实训数据与第三方系统平台进行对接。</w:t>
            </w:r>
          </w:p>
          <w:p w14:paraId="07FB109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5.协助采购人填写申报对接相关信息：</w:t>
            </w:r>
          </w:p>
          <w:p w14:paraId="2239A80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（1）填写课程申请信息。</w:t>
            </w:r>
          </w:p>
          <w:p w14:paraId="2557B3B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教师在国家智慧教育公共服务平台－虚拟仿真实训中心添加课程，包括课程名称、教育阶段、专业代码、通过年份等信息。</w:t>
            </w:r>
          </w:p>
          <w:p w14:paraId="52520DF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（2）填写资源编码相关信息。</w:t>
            </w:r>
          </w:p>
          <w:p w14:paraId="04C4772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教师在国家智慧教育公共服务平台－虚拟仿真实训中心添加资源编码，包括归属课程、资源名称、资源编码等信息。</w:t>
            </w:r>
          </w:p>
          <w:p w14:paraId="5CB5C74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（3）填写资源相关信息。</w:t>
            </w:r>
          </w:p>
          <w:p w14:paraId="7416CEB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教师在国家智慧教育公共服务平台－虚拟仿真实训中心添加资源相关信息，包括资源名称、资源类型、语言类型、链接地址、适配终端、封面图、资源截图/视频、实训介绍、实训目标、实训成绩与构成、实训步骤、硬件及网络说明、对接配置、版权属性、应用属性等信息。</w:t>
            </w:r>
          </w:p>
          <w:p w14:paraId="3F50F2E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（4）教师联系国家智慧教育公共服务平台－虚拟仿真实训中心审核人，加快审核进度。</w:t>
            </w:r>
          </w:p>
          <w:p w14:paraId="602EFF5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（5）教师提取课程编码、资源编码、秘钥等信息。</w:t>
            </w:r>
          </w:p>
          <w:p w14:paraId="5411CAB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▲6.支持与国家智慧教育公共服务平台－虚拟仿真实训中心https://vocational.smartedu.cn/xnfz/portal/home进行对接。</w:t>
            </w:r>
            <w:r>
              <w:rPr>
                <w:rFonts w:hint="eastAsia" w:ascii="宋体" w:hAnsi="宋体" w:eastAsia="宋体" w:cs="宋体"/>
                <w:b/>
                <w:bCs w:val="0"/>
                <w:color w:val="auto"/>
                <w:kern w:val="2"/>
                <w:sz w:val="21"/>
                <w:szCs w:val="21"/>
                <w:highlight w:val="none"/>
              </w:rPr>
              <w:t>（投标时提供对接成功案例数据展示截图）</w:t>
            </w:r>
          </w:p>
          <w:p w14:paraId="09F0BD5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7.平台具有登录态同步接口</w:t>
            </w:r>
          </w:p>
          <w:p w14:paraId="0899487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该接口为从国家智慧教育公共服务平台－虚拟仿真实训中心进入校级平台实现用户自动登录学习。用户在“虚拟仿真实训中心”注册或登录后，点击虚仿实训资源的“在线实训”时，虚拟仿真实训中心会将已登录用户的部分非敏感信息加密，生成参数sign附在软件的实训URL后面，校级平台接收到请求后，先对sign进行url解码（"UTF-8"），解码后使用解密密钥对sign进行解密，获取用户信息实现自动登录并进入软件学习场景。</w:t>
            </w:r>
          </w:p>
          <w:p w14:paraId="49C41B5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8.平台具有实训启动程序接口</w:t>
            </w:r>
          </w:p>
          <w:p w14:paraId="7EC9DF2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该接口是指校级平台启动虚拟仿真资源后，校级平台向国家智慧教育公共服务平台－虚拟仿真实训中心发起资源认证、用户认证等信息，虚拟仿真实训中心返回调用凭证、实习ID、accessToken等信息，供后续接口调用。</w:t>
            </w:r>
          </w:p>
          <w:p w14:paraId="03C6E87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9.平台具有实训过程数据接口</w:t>
            </w:r>
            <w:r>
              <w:rPr>
                <w:rFonts w:hint="eastAsia" w:ascii="宋体" w:hAnsi="宋体" w:eastAsia="宋体" w:cs="宋体"/>
                <w:bCs/>
                <w:color w:val="auto"/>
                <w:kern w:val="2"/>
                <w:sz w:val="21"/>
                <w:szCs w:val="21"/>
                <w:highlight w:val="none"/>
                <w:lang w:eastAsia="zh-CN"/>
              </w:rPr>
              <w:t>，并实现数据对接</w:t>
            </w:r>
          </w:p>
          <w:p w14:paraId="39F90B0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该接口是指校级平台将用户做实训过程中的操作步骤数据上传到国家智慧教育公共服务平台－虚拟仿真实训中心。主要包括：操作时间、步骤序号、步骤名称、实训位置、步骤描述、步骤满分值、是否是第一步、是否是最后一步、操作用时、当前步骤得分、累计分数、操作描述、操作评价、实验进度、开始时间、结束时间等内容。</w:t>
            </w:r>
          </w:p>
          <w:p w14:paraId="736BBDF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▲10.提供数据读取接口，实现职业院校数字基座的数据对接。若项目完成后，职业院校数字基座有更新，须免费提供更新升级服务。（需提供承诺函及成功对接案例的证明截图）</w:t>
            </w:r>
          </w:p>
          <w:p w14:paraId="0A7C4B4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.投标人应有虚拟仿真资源开放集成接口测试系统，提供在线联调功能；提供客户端、web等类型资源接入的标准化SDK；并开放使用（不额外收费）：</w:t>
            </w:r>
            <w:r>
              <w:rPr>
                <w:rFonts w:hint="eastAsia" w:ascii="宋体" w:hAnsi="宋体" w:eastAsia="宋体" w:cs="宋体"/>
                <w:b/>
                <w:bCs w:val="0"/>
                <w:color w:val="auto"/>
                <w:kern w:val="2"/>
                <w:sz w:val="21"/>
                <w:szCs w:val="21"/>
                <w:highlight w:val="none"/>
              </w:rPr>
              <w:t>（投标时需提供软件功能截图）</w:t>
            </w:r>
          </w:p>
          <w:p w14:paraId="56253F7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（1）可用浏览器打开在线联调平台，可看到开放的接口说明、SDK说明以及对接可视化流程；</w:t>
            </w:r>
          </w:p>
          <w:p w14:paraId="0105C5B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（2）在在线联调平台中接入任一实验，演示整个实验的调试过程：A：当调试过程中如调试失败，在调试界面及时获取系统给出的错误提示并指出错误原因；</w:t>
            </w:r>
          </w:p>
          <w:p w14:paraId="263FB8E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B：当调试成功，在调试界面及时给出调试成功说明；</w:t>
            </w:r>
          </w:p>
          <w:p w14:paraId="2427112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C：对接成功的实验，可以进一步集成到控制系统和教学软件中，可以对实验进行开课排课等，以满足各类虚拟仿真实验资源方便快捷接入学校虚拟仿真平台。</w:t>
            </w:r>
          </w:p>
          <w:p w14:paraId="43065A4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（八）功能模块定制开发</w:t>
            </w:r>
          </w:p>
          <w:p w14:paraId="29AAE6F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系统提供功能模块定制开发服务，承诺针对所采购产品现有模块（智慧共享门户、公共基础数据支撑管理、智慧实训教学管理、智慧实训场所及设备管理、数据挖掘与分析、开放接口管理六大模块, 后面简称“现有功能模块”）可采购方使用过程中的使用习惯及界面优化等内容提供免费的定制开发服务，以满足老师们的使用需求。具体如下：</w:t>
            </w:r>
          </w:p>
          <w:p w14:paraId="2568A9F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1.用户习惯适配：承诺针对教师的日常使用习惯及需求，提供包括但不限于操作流程简化、常用功能快捷入口设置等，确保教师能够快速使用平台。</w:t>
            </w:r>
          </w:p>
          <w:p w14:paraId="79AA87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2.界面交互优化：承诺基于采购方反馈，提供免费的界面视觉升级与交互逻辑优化服务。涵盖界面布局调整、色彩主题切换、字体字号适配等维度，确保界面设计符合教师的视觉审美与操作习惯。</w:t>
            </w:r>
          </w:p>
          <w:p w14:paraId="7B9CD97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3.功能模块升级：承诺针对所采购产品现有功能模块及版本的升级，为学校提供免费更新服务，确保系统兼容性。</w:t>
            </w:r>
          </w:p>
          <w:p w14:paraId="449AEFA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4.多角色权限动态配置：针对教师、学生、管理员等不同角色，承诺免费提供精细化权限，支持根据需求自定义角色权限。</w:t>
            </w:r>
          </w:p>
          <w:p w14:paraId="1AE1C23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（九）对接AI服务</w:t>
            </w:r>
          </w:p>
          <w:p w14:paraId="29D27DB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系统提供实验过程智能指导和智能批改功能。教师端可以在实验台中搭建实验并灵活设置实验参数，实验台可根据教师搭建的实验和设置的参数给出正确的运行结果，平台根据不同实验搭建过程和参数设置智能自动生成匹配的标准答案和技能指导规则，进而生成批改规则学生可以教师搭建的实验为标准做实验并可随时请求智能指导，根据学生当前实验状态和进度平台给出匹配的指导信息，实验结束后可根据批改规则实现自动批改并智能给出得分细节。</w:t>
            </w:r>
          </w:p>
        </w:tc>
        <w:tc>
          <w:tcPr>
            <w:tcW w:w="1080" w:type="dxa"/>
            <w:tcBorders>
              <w:top w:val="single" w:color="auto" w:sz="4" w:space="0"/>
              <w:left w:val="nil"/>
              <w:bottom w:val="single" w:color="auto" w:sz="4" w:space="0"/>
              <w:right w:val="single" w:color="auto" w:sz="4" w:space="0"/>
            </w:tcBorders>
            <w:shd w:val="clear" w:color="auto" w:fill="auto"/>
            <w:vAlign w:val="center"/>
          </w:tcPr>
          <w:p w14:paraId="1B7B033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39DB925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软件和信息技术服务业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09BBD0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是</w:t>
            </w:r>
          </w:p>
        </w:tc>
        <w:tc>
          <w:tcPr>
            <w:tcW w:w="1088" w:type="dxa"/>
            <w:tcBorders>
              <w:top w:val="single" w:color="auto" w:sz="4" w:space="0"/>
              <w:left w:val="nil"/>
              <w:bottom w:val="single" w:color="auto" w:sz="4" w:space="0"/>
              <w:right w:val="single" w:color="auto" w:sz="4" w:space="0"/>
            </w:tcBorders>
            <w:shd w:val="clear" w:color="auto" w:fill="auto"/>
            <w:vAlign w:val="center"/>
          </w:tcPr>
          <w:p w14:paraId="43004A2B">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625000元</w:t>
            </w:r>
          </w:p>
        </w:tc>
      </w:tr>
      <w:tr w14:paraId="3994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75A77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072" w:type="dxa"/>
            <w:tcBorders>
              <w:top w:val="single" w:color="auto" w:sz="4" w:space="0"/>
              <w:left w:val="nil"/>
              <w:bottom w:val="single" w:color="auto" w:sz="4" w:space="0"/>
              <w:right w:val="single" w:color="auto" w:sz="4" w:space="0"/>
            </w:tcBorders>
            <w:shd w:val="clear" w:color="auto" w:fill="auto"/>
            <w:vAlign w:val="center"/>
          </w:tcPr>
          <w:p w14:paraId="2C5C026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仿真资源开发工具</w:t>
            </w:r>
          </w:p>
        </w:tc>
        <w:tc>
          <w:tcPr>
            <w:tcW w:w="3923" w:type="dxa"/>
            <w:tcBorders>
              <w:top w:val="single" w:color="auto" w:sz="4" w:space="0"/>
              <w:left w:val="nil"/>
              <w:bottom w:val="single" w:color="auto" w:sz="4" w:space="0"/>
              <w:right w:val="single" w:color="auto" w:sz="4" w:space="0"/>
            </w:tcBorders>
            <w:shd w:val="clear" w:color="auto" w:fill="auto"/>
            <w:vAlign w:val="center"/>
          </w:tcPr>
          <w:p w14:paraId="3BB9850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▲1.支持在多平台环境下进行场景编辑及交互，主要包含Windows、Linux、国产麒麟系统</w:t>
            </w:r>
            <w:r>
              <w:rPr>
                <w:rFonts w:hint="eastAsia" w:ascii="宋体" w:hAnsi="宋体" w:eastAsia="宋体" w:cs="宋体"/>
                <w:bCs/>
                <w:color w:val="auto"/>
                <w:kern w:val="2"/>
                <w:sz w:val="21"/>
                <w:szCs w:val="21"/>
                <w:highlight w:val="none"/>
                <w:lang w:val="en-US" w:eastAsia="zh-CN"/>
              </w:rPr>
              <w:t>等</w:t>
            </w:r>
            <w:r>
              <w:rPr>
                <w:rFonts w:hint="eastAsia" w:ascii="宋体" w:hAnsi="宋体" w:eastAsia="宋体" w:cs="宋体"/>
                <w:bCs/>
                <w:color w:val="auto"/>
                <w:kern w:val="2"/>
                <w:sz w:val="21"/>
                <w:szCs w:val="21"/>
                <w:highlight w:val="none"/>
              </w:rPr>
              <w:t>；</w:t>
            </w:r>
            <w:r>
              <w:rPr>
                <w:rFonts w:hint="eastAsia" w:ascii="宋体" w:hAnsi="宋体" w:eastAsia="宋体" w:cs="宋体"/>
                <w:b/>
                <w:bCs w:val="0"/>
                <w:color w:val="auto"/>
                <w:kern w:val="2"/>
                <w:sz w:val="21"/>
                <w:szCs w:val="21"/>
                <w:highlight w:val="none"/>
              </w:rPr>
              <w:t>（投标时需提供软件功能截图）</w:t>
            </w:r>
          </w:p>
          <w:p w14:paraId="2967CFE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2.支持在WEB环境下运行，同样能够实现模型导入、材质编辑、脚本编辑等，且与CS架构下操作逻辑一致</w:t>
            </w:r>
            <w:r>
              <w:rPr>
                <w:rFonts w:hint="eastAsia" w:ascii="宋体" w:hAnsi="宋体" w:eastAsia="宋体" w:cs="宋体"/>
                <w:bCs/>
                <w:color w:val="auto"/>
                <w:kern w:val="2"/>
                <w:sz w:val="21"/>
                <w:szCs w:val="21"/>
                <w:highlight w:val="none"/>
                <w:lang w:eastAsia="zh-CN"/>
              </w:rPr>
              <w:t>。</w:t>
            </w:r>
          </w:p>
          <w:p w14:paraId="15F4E75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引擎支持独立的管理端云平台，云平台可以通过，账号、二维码、微信等多种方式注册登录；可以进行引擎的授权、安装部署、更新，以及资源的下载、管理等功能，软件支持云存储空间，支持从本地添加到云端、云端新建等方式，同时直接可以从管理端云平台下，点击工程文件关联启动引擎打开文件；</w:t>
            </w:r>
          </w:p>
          <w:p w14:paraId="07DDAC6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4.支持多种模型、媒体文件格式导入，主要包括：</w:t>
            </w:r>
          </w:p>
          <w:p w14:paraId="0F841B2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常规三维模型格式导入：fbx、obj 、gltf、3sddsds、dae、xml、bvh</w:t>
            </w:r>
          </w:p>
          <w:p w14:paraId="2B932A5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工业三维模型格式导入：step、iges、stl</w:t>
            </w:r>
          </w:p>
          <w:p w14:paraId="39CE247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纹理图片格式导入：jpg、png、tga、dds、hdr、bmp</w:t>
            </w:r>
          </w:p>
          <w:p w14:paraId="764CB19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音、视频格式导入：mp3、wav、mp4、avi</w:t>
            </w:r>
          </w:p>
          <w:p w14:paraId="607BE2F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5.支持DEM格式的GIS地形数据导入，并可以进行轻量化调整，实现超大场景地形LOD实时渲染；</w:t>
            </w:r>
          </w:p>
          <w:p w14:paraId="5986816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▲6.支持Ansys有限元仿真软件输出的，RST格式仿真数据，并可以进行多种形态的可视化展示；</w:t>
            </w:r>
            <w:r>
              <w:rPr>
                <w:rFonts w:hint="eastAsia" w:ascii="宋体" w:hAnsi="宋体" w:eastAsia="宋体" w:cs="宋体"/>
                <w:b/>
                <w:bCs w:val="0"/>
                <w:color w:val="auto"/>
                <w:kern w:val="2"/>
                <w:sz w:val="21"/>
                <w:szCs w:val="21"/>
                <w:highlight w:val="none"/>
              </w:rPr>
              <w:t>（投标时需提供软件功能截图）</w:t>
            </w:r>
          </w:p>
          <w:p w14:paraId="20EC8B3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7.引擎支持中文、英文双语言界面切换；</w:t>
            </w:r>
          </w:p>
          <w:p w14:paraId="088D982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引擎具备所见即所得的UI用户界面编辑器，可以进行窗口分辨设定，控件对齐、自适应约束，屏幕比例缩放等功能，满足用户在搭建界面时的专业性需求。内置多种UI控制类型，包含普通按钮、图片按钮、提示标签、文本编辑框、图片面板、视频面板、列表框、下栏框、复选框等高级平面控件。同时，控件的颜色、效果、标题、文本间距等属性都可以进行自定义，以及通过外部图片导入的形式进行样式修改；</w:t>
            </w:r>
          </w:p>
          <w:p w14:paraId="2ECB5CC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9.支持创建UI控件容器功能，根据需要对创建的UI控件进行群组管理，便于操作编辑；</w:t>
            </w:r>
          </w:p>
          <w:p w14:paraId="4A8951E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10.三维场景支持外链嵌套页面功能，可将动态网页及本地VRP文件，绘制到三维面片上，并可对页面上的控件内容进行交互；</w:t>
            </w:r>
          </w:p>
          <w:p w14:paraId="1D59D0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11.所见即所得的三维场景及交互编辑，支持对象及资源列表，可实时在属性面板进行修改；</w:t>
            </w:r>
          </w:p>
          <w:p w14:paraId="6D3CAD2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12.支持视觉锁定功能，即用户在转换视角范围时，视角准心始终锁定在特定对象上；</w:t>
            </w:r>
          </w:p>
          <w:p w14:paraId="261D6F6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13.支持画质模式、性能模式两种模式。画质模式提供高品质渲染效果，性能模式提供高效流畅的运行，两种模式可快速切换；</w:t>
            </w:r>
          </w:p>
          <w:p w14:paraId="4107ED7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14.引擎材质渲染系统，支持次世代材质标准，支持Normal Map、Lighting Map、Specular、Metallic、Emissive、Roughness等属性的贴图渲染及调节；</w:t>
            </w:r>
          </w:p>
          <w:p w14:paraId="1563467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15.本地预设资源库。系统自带多种资源，包含几何库、标识库、动作库、材质库、粒子库、天空盒等；支持通过选择中拖拽的操作方式，直接加载到三维场景中，无需关闭引擎或从文件导入的形式调用；</w:t>
            </w:r>
          </w:p>
          <w:p w14:paraId="08BA7AC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16.几何库：包含面片、圆柱、立方体、球体、空物体、VR地面等基础几何体，并支持参数化属性调节，来改变形状。便于用户在引擎中进行简单场景搭建；</w:t>
            </w:r>
          </w:p>
          <w:p w14:paraId="0D4C3BB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17.标识库：包含方向指示、转向指示、旋转指示、供用户快速调用，进行相关三维指示说明使用；</w:t>
            </w:r>
          </w:p>
          <w:p w14:paraId="7C765D8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18.动作库：预设步行、游泳、跳舞、站立、跳跃等角色动作，并支持通过时间轴进行动作二次编辑加工；</w:t>
            </w:r>
          </w:p>
          <w:p w14:paraId="5918B82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19.材质库：系统内置多种预设材质，供用户快速调用。包含木头、金属、贵金属、皮革、塑料等多种类型，预设材质种类不低于10种，预设材质总个数不低于60个；</w:t>
            </w:r>
          </w:p>
          <w:p w14:paraId="5AA4EE9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20.天空盒库：系统内置多种不同类型的天空盒，供用户快速调用。包括：晴天、多云、傍晚、星空、黑夜、市区、仓库、商场、厂房、摄影棚等不同的环境效果，并支持加载外部贴图资源进行效果更改；</w:t>
            </w:r>
          </w:p>
          <w:p w14:paraId="05EAD45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21.粒子库：预置烟雾、蒸汽、火焰、烟花、沙尘及爆炸等粒子特效，并支持粒子自定义编辑；</w:t>
            </w:r>
          </w:p>
          <w:p w14:paraId="67BA3F5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22.天气系统，支持晴天、阴天、雨天、闪电、雪天、雾天等多种天气特效；</w:t>
            </w:r>
          </w:p>
          <w:p w14:paraId="1B1EBB8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23.支持菲涅尔水面，支持水面颜色、水流速度、波纹大小、反射折射等参数调节；</w:t>
            </w:r>
          </w:p>
          <w:p w14:paraId="591EB74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24.内建时间轴动画系统，可以进行UI控制、模型物体、人物角色等对象进行动画制作，支持关键帧拖动，平滑及曲线编辑操作。动画类型包括：刚体、柔体、骨骼等。同时也可以支持外部三维三维建模软件的动画导入，预览，以及脚本、事件系统的调用；</w:t>
            </w:r>
          </w:p>
          <w:p w14:paraId="72B057E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25.支持物理引擎系统，提供刚体及柔体重力模拟、车辆物理、多种物体的运动约束连接等物理特性支持；</w:t>
            </w:r>
          </w:p>
          <w:p w14:paraId="7C3F3D9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26.支持角色控制器，可控制角色漫游、碰撞体交互，可进行基础碰撞检测；</w:t>
            </w:r>
          </w:p>
          <w:p w14:paraId="624E864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27.支持硬件外设控制器与三维场景进行交互，包括：方向盘、飞行摇杆，串口控制器等；</w:t>
            </w:r>
          </w:p>
          <w:p w14:paraId="0A9CA9A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▲28.支持适配各类VRPN协议VR交互设备，包含光学动捕、全身动捕等设备。</w:t>
            </w:r>
            <w:r>
              <w:rPr>
                <w:rFonts w:hint="eastAsia" w:ascii="宋体" w:hAnsi="宋体" w:eastAsia="宋体" w:cs="宋体"/>
                <w:b/>
                <w:bCs w:val="0"/>
                <w:color w:val="auto"/>
                <w:kern w:val="2"/>
                <w:sz w:val="21"/>
                <w:szCs w:val="21"/>
                <w:highlight w:val="none"/>
              </w:rPr>
              <w:t>（投标时需提供软件功能截图）</w:t>
            </w:r>
          </w:p>
          <w:p w14:paraId="035639C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29.支持多种全屏渲染后处特效，包括Fog、Bloom、Gamma、AO、MotionBlur等</w:t>
            </w:r>
          </w:p>
          <w:p w14:paraId="252BF6E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30.硬件加速光线追踪光影模块，支持NVIDIA RTX硬件加速，支持基于光线追踪的路径追踪(PathTracing)、反射(Reflection)、环境光遮蔽(AO)及阴影(Shadow)等真实光感光影效果，并提供基于人工智能深度学习的阴影降噪（AI Denoiser）特效；</w:t>
            </w:r>
          </w:p>
          <w:p w14:paraId="12CE383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31.支持相机系统。具有定点、跟随、旋转等多种相机模式，支持相机交互及程序调用相机；</w:t>
            </w:r>
          </w:p>
          <w:p w14:paraId="48F02B8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32.支持视频录制及屏幕截图功能。在预览模式下对三维视窗中的画面内容进行一键录制和截图操作，并输出成通用的MP4\JPG等文件格式；</w:t>
            </w:r>
          </w:p>
          <w:p w14:paraId="58BA43D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33.支持光照系统。具有平行光、点光源和聚光灯等多种灯光模式，支持各种模式灯光的参数调节；</w:t>
            </w:r>
          </w:p>
          <w:p w14:paraId="72740F4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34.支持地形系统。支持多种地形笔刷的调节和应用，支持多种地表贴图，支持地面植被系统编辑，内置地表贴图和植被库；</w:t>
            </w:r>
          </w:p>
          <w:p w14:paraId="0ACE65A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35.支持组件框架系统，面向对象，快速添加组件功能；</w:t>
            </w:r>
          </w:p>
          <w:p w14:paraId="790FD21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36.</w:t>
            </w:r>
            <w:r>
              <w:rPr>
                <w:rFonts w:hint="eastAsia" w:ascii="宋体" w:hAnsi="宋体" w:eastAsia="宋体" w:cs="宋体"/>
                <w:bCs/>
                <w:color w:val="auto"/>
                <w:kern w:val="2"/>
                <w:sz w:val="21"/>
                <w:szCs w:val="21"/>
                <w:highlight w:val="none"/>
                <w:lang w:val="en-US" w:eastAsia="zh-CN"/>
              </w:rPr>
              <w:t>具有</w:t>
            </w:r>
            <w:r>
              <w:rPr>
                <w:rFonts w:hint="eastAsia" w:ascii="宋体" w:hAnsi="宋体" w:eastAsia="宋体" w:cs="宋体"/>
                <w:bCs/>
                <w:color w:val="auto"/>
                <w:kern w:val="2"/>
                <w:sz w:val="21"/>
                <w:szCs w:val="21"/>
                <w:highlight w:val="none"/>
              </w:rPr>
              <w:t>无需编程的可视化图形编辑工具，支持拖拽式操作，可快速、自由地制作复杂的场景交互逻辑。</w:t>
            </w:r>
          </w:p>
          <w:p w14:paraId="7A1FC1C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37.支持从资源目录树上，将节点物体直接拖入图形编辑窗口后，自动生成“物体名称”的逻辑单元模块</w:t>
            </w:r>
            <w:r>
              <w:rPr>
                <w:rFonts w:hint="eastAsia" w:ascii="宋体" w:hAnsi="宋体" w:eastAsia="宋体" w:cs="宋体"/>
                <w:bCs/>
                <w:color w:val="auto"/>
                <w:kern w:val="2"/>
                <w:sz w:val="21"/>
                <w:szCs w:val="21"/>
                <w:highlight w:val="none"/>
                <w:lang w:eastAsia="zh-CN"/>
              </w:rPr>
              <w:t>。</w:t>
            </w:r>
          </w:p>
          <w:p w14:paraId="7400B3C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38.预设丰富的逻辑单元模块，供用户进行选择调用，包含：逻辑执行模块、文本模块、变量模块、UI模块、动画模块、模型模块、相机模块、角色模块、拆装模块、运行状态模块</w:t>
            </w:r>
            <w:r>
              <w:rPr>
                <w:rFonts w:hint="eastAsia" w:ascii="宋体" w:hAnsi="宋体" w:eastAsia="宋体" w:cs="宋体"/>
                <w:bCs/>
                <w:color w:val="auto"/>
                <w:kern w:val="2"/>
                <w:sz w:val="21"/>
                <w:szCs w:val="21"/>
                <w:highlight w:val="none"/>
                <w:lang w:eastAsia="zh-CN"/>
              </w:rPr>
              <w:t>。</w:t>
            </w:r>
          </w:p>
          <w:p w14:paraId="20015CF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39.图形编辑工具支持多套剧本模式，可以满足多套脚本逻辑的共存，可以随时切换需要执行的剧本。</w:t>
            </w:r>
          </w:p>
          <w:p w14:paraId="15A59ED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40.图形编辑工具支持线性/非线性状态机脚本编程模式。</w:t>
            </w:r>
          </w:p>
          <w:p w14:paraId="7CB080F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41.支持场景快照功能，快照能能够记录位置、颜色、状态等多种信息，并可以直接关联UI控件，控制快照视图的切换。</w:t>
            </w:r>
          </w:p>
          <w:p w14:paraId="767EFAF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42.支持平移剖切功能，可切换XY/XZ/YZ等不同的剖切面、反向剖切，也可以将剖切面旋转一定的角度。可通过绕X/Y/Z轴的形式实现不同的剖切面的旋转剖切。提供剖切面填充技术，可将剖切面以实体面的形式进行填充</w:t>
            </w:r>
            <w:r>
              <w:rPr>
                <w:rFonts w:hint="eastAsia" w:ascii="宋体" w:hAnsi="宋体" w:eastAsia="宋体" w:cs="宋体"/>
                <w:bCs/>
                <w:color w:val="auto"/>
                <w:kern w:val="2"/>
                <w:sz w:val="21"/>
                <w:szCs w:val="21"/>
                <w:highlight w:val="none"/>
                <w:lang w:eastAsia="zh-CN"/>
              </w:rPr>
              <w:t>。</w:t>
            </w:r>
          </w:p>
          <w:p w14:paraId="2D40800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43.支持点、线、面、物体等尺寸信息的测量，包括对模型长度、直径、半径、角度、距离、面积、体积等的测量，提供多种测量方式。</w:t>
            </w:r>
          </w:p>
          <w:p w14:paraId="336CC04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44.支持打包成EXE运行文件格式发布，可以在任意一台PC上运行，无需其他插件支持。文件包含压缩封装及数据文件两种形式。并具有多种加密功能，包含：时间限制、使用次数显示、密码验证；</w:t>
            </w:r>
          </w:p>
          <w:p w14:paraId="222B76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45.支持打包成Html格式文件发布，可以部署在任意网页端，使用WEB浏览器进行打开运行，无需其他插件支持。同时配备本地服务启动器，便于在无部署情况下打开浏览；</w:t>
            </w:r>
          </w:p>
          <w:p w14:paraId="6341894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46.支持云端分享功能，发布文件直接上云，并生成链接地址，其他用户只需要进行访问地址就可以进行浏览场景，无需下载任何插件；</w:t>
            </w:r>
          </w:p>
          <w:p w14:paraId="69B9530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47.支持HTC VIVE、PICO、Oculus、HP VR等Steam VR工作模式头盔；</w:t>
            </w:r>
          </w:p>
          <w:p w14:paraId="37422F7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48.支持PICO、Oculus Quest等Web XR工作模式头盔</w:t>
            </w:r>
            <w:r>
              <w:rPr>
                <w:rFonts w:hint="eastAsia" w:ascii="宋体" w:hAnsi="宋体" w:eastAsia="宋体" w:cs="宋体"/>
                <w:bCs/>
                <w:color w:val="auto"/>
                <w:kern w:val="2"/>
                <w:sz w:val="21"/>
                <w:szCs w:val="21"/>
                <w:highlight w:val="none"/>
                <w:lang w:eastAsia="zh-CN"/>
              </w:rPr>
              <w:t>。</w:t>
            </w:r>
          </w:p>
          <w:p w14:paraId="52956CF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49.引擎具有SDK二次开发功能，支持C++、C#、JS、LUA及Python等语言进行二次开发；</w:t>
            </w:r>
          </w:p>
          <w:p w14:paraId="41695E3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▲50.为保证软件具有完全自主知识产权供应商需提供计算机软件著作权登记证书及第三方检测机构出具的软件检测报告；</w:t>
            </w:r>
            <w:r>
              <w:rPr>
                <w:rFonts w:hint="eastAsia" w:ascii="宋体" w:hAnsi="宋体" w:eastAsia="宋体" w:cs="宋体"/>
                <w:b/>
                <w:bCs w:val="0"/>
                <w:color w:val="auto"/>
                <w:kern w:val="2"/>
                <w:sz w:val="21"/>
                <w:szCs w:val="21"/>
                <w:highlight w:val="none"/>
              </w:rPr>
              <w:t>（投标时提供软著证书复印件及检测报告扫描件）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3C58F7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6F14714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软件和信息技术服务业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AA54A6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8D24AAD">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15000元</w:t>
            </w:r>
          </w:p>
        </w:tc>
      </w:tr>
      <w:tr w14:paraId="375F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A20D9E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072" w:type="dxa"/>
            <w:tcBorders>
              <w:top w:val="single" w:color="auto" w:sz="4" w:space="0"/>
              <w:left w:val="nil"/>
              <w:bottom w:val="single" w:color="auto" w:sz="4" w:space="0"/>
              <w:right w:val="single" w:color="auto" w:sz="4" w:space="0"/>
            </w:tcBorders>
            <w:shd w:val="clear" w:color="auto" w:fill="auto"/>
            <w:vAlign w:val="center"/>
          </w:tcPr>
          <w:p w14:paraId="3BA2038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虚拟仿真教学资源定制开发</w:t>
            </w:r>
          </w:p>
        </w:tc>
        <w:tc>
          <w:tcPr>
            <w:tcW w:w="3923" w:type="dxa"/>
            <w:tcBorders>
              <w:top w:val="single" w:color="auto" w:sz="4" w:space="0"/>
              <w:left w:val="nil"/>
              <w:bottom w:val="single" w:color="auto" w:sz="4" w:space="0"/>
              <w:right w:val="single" w:color="auto" w:sz="4" w:space="0"/>
            </w:tcBorders>
            <w:shd w:val="clear" w:color="auto" w:fill="auto"/>
            <w:vAlign w:val="center"/>
          </w:tcPr>
          <w:p w14:paraId="249901F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根据我校课程要求，定制开发2门</w:t>
            </w:r>
            <w:r>
              <w:rPr>
                <w:rFonts w:hint="eastAsia" w:ascii="宋体" w:hAnsi="宋体" w:eastAsia="宋体" w:cs="宋体"/>
                <w:bCs/>
                <w:color w:val="auto"/>
                <w:kern w:val="2"/>
                <w:sz w:val="21"/>
                <w:szCs w:val="21"/>
                <w:highlight w:val="none"/>
                <w:lang w:val="en-US" w:eastAsia="zh-CN"/>
              </w:rPr>
              <w:t>课程</w:t>
            </w:r>
            <w:r>
              <w:rPr>
                <w:rFonts w:hint="eastAsia" w:ascii="宋体" w:hAnsi="宋体" w:eastAsia="宋体" w:cs="宋体"/>
                <w:bCs/>
                <w:color w:val="auto"/>
                <w:kern w:val="2"/>
                <w:sz w:val="21"/>
                <w:szCs w:val="21"/>
                <w:highlight w:val="none"/>
              </w:rPr>
              <w:t>虚拟仿真实训资源。</w:t>
            </w:r>
          </w:p>
          <w:p w14:paraId="179D4EA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一、系统要求</w:t>
            </w:r>
          </w:p>
          <w:p w14:paraId="5BBA68B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1.系统采用B/S系统架构，满足校园网、互联网远程开放实验教学需要。支持Windows 7及以上操作系统。</w:t>
            </w:r>
          </w:p>
          <w:p w14:paraId="5973759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2.采用分步骤的展示实验操作过程，支持视角任意角度的旋转、移动、缩放操作。</w:t>
            </w:r>
          </w:p>
          <w:p w14:paraId="69E85C7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3.通过键盘+鼠标的方式来进行操作，较好的体现实验资源教学过程中的人机交互功能。</w:t>
            </w:r>
          </w:p>
          <w:p w14:paraId="4645AE2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4.系统界面设计应简洁、直观、易于理解，符合常规操作习惯。操作应自由灵活，符合实际情况；系统运行时不能出现卡顿，崩溃或丢失数据等情况，系统画面不能出现颠簸、抖动和黑色拖尾效应。</w:t>
            </w:r>
          </w:p>
          <w:p w14:paraId="10FC87B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系统界面应与学科内容相结合，符合课程特色。系统实验环境应通过主流的、先进的三维仿真技术进行研发，建立真实三维模型和功能需求开发，具备高仿真度。3D 模型设计需具有典型性、还原逼真、比例适当，具有光源影响和阴影效果。</w:t>
            </w:r>
          </w:p>
          <w:p w14:paraId="24A75FF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（二）模型制作要求</w:t>
            </w:r>
          </w:p>
          <w:p w14:paraId="3B5B9DF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系统中模型、材质、纹理等文件规范命名及分层、分类管理，命名中不可有中文名称，不能重名，易于识别，模型格式至少是.fbx或.3ds；均为3D效果，构建与真实物种1:1比例非拟人化、非漫画形象，仿真度高；单个max文件里如有多个物体，需将多个物体打组（单个物体无需打组），静态辅助物体需要结组成一个物体；材质球命名与物体名称一致，材质球的ID号和物体的ID号必须一致；模型制作既要保证逼真的质量又要控制好三角面的数量，单个模型的面数控制5000三角面以内，不能有多余面；模型的中心点在模型的中心位置。</w:t>
            </w:r>
          </w:p>
          <w:p w14:paraId="2DA00F4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2.贴图材质要求</w:t>
            </w:r>
          </w:p>
          <w:p w14:paraId="7D77731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模型要进行烘焙处理，以生成带有纹理、阴影、高光、反射等效果的贴图；所有模型采用实物贴图，并做优化处理，要色彩协调，明暗和冷暖统一，贴图格式为.jpg/.png/.tif/.tga，进行法线贴图处理来达到最佳的视觉效果；一个物件给一张贴图，纹理贴图不要放在凹凸通道里，一张贴图要占满整个画布，不能出现浪费贴图空间的情况，场景中连续贴图不能看到有明显的缝隙；UV展开要均匀舒展，避免拉伸，最大化提高UV的利用率；材质大小长宽像素为2的次方倍数，贴图大小最大不超过2048*2048；同种贴图必须使用一个材质球。</w:t>
            </w:r>
          </w:p>
          <w:p w14:paraId="31FAE77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（三）场景要求</w:t>
            </w:r>
          </w:p>
          <w:p w14:paraId="3A90B54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1.场景制作：1:1实物大小显示，可对场景模型进行实时顶点优化和动态加载LOD设置调整，根据视觉效果调整优化比例，减少数据量，提高运行效率，帧速率25帧以上。</w:t>
            </w:r>
          </w:p>
          <w:p w14:paraId="7A0948E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场景布置：基本物件在制作过程中严禁有缩放，有旋转的物体应保留旋转信息，不要镜像物体。</w:t>
            </w:r>
          </w:p>
          <w:p w14:paraId="0B9BF4D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2.整体场景及效果：紧紧围绕现实中的真实环境进行场景建设，真实的反应环境、设施状态，主相机内视野场景由近到远有自然过渡的效果。</w:t>
            </w:r>
          </w:p>
          <w:p w14:paraId="4CD59B7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3.系统内嵌提醒帮助机制，设制文本提示框等信息。</w:t>
            </w:r>
          </w:p>
          <w:p w14:paraId="1EC21D6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4.系统需采用主流虚拟引擎工具制作，如Unity3d等，支持B/S结构网络技术，支持TCP/IP协议，支持网络实时渲染。</w:t>
            </w:r>
          </w:p>
          <w:p w14:paraId="4049B19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5.提供第一人称控制方式，采用键盘、鼠标来控制，移动、旋转要符合逻辑且运行流畅。</w:t>
            </w:r>
          </w:p>
          <w:p w14:paraId="4F0C444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6.具体软件功能与流程应以我校脚本规划为准。每个仿真实训项目交互流程不少于20步。</w:t>
            </w:r>
          </w:p>
          <w:p w14:paraId="2C73FB8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软件支持与我校虚拟仿真实训平台的数据对接功能，能提供实训数据回传功能，对于实训步骤有具体数据，具体数据要求包含以下内容:a.操作步骤名称(20字以内)b.实训步骤开始时间,结束时间,实训用时,合理用时c.实训步骤满分,操作得分d.实训步骤次数e.实训步骤评价f. 实训步骤考察点。</w:t>
            </w:r>
          </w:p>
        </w:tc>
        <w:tc>
          <w:tcPr>
            <w:tcW w:w="1080" w:type="dxa"/>
            <w:tcBorders>
              <w:top w:val="single" w:color="auto" w:sz="4" w:space="0"/>
              <w:left w:val="nil"/>
              <w:bottom w:val="single" w:color="auto" w:sz="4" w:space="0"/>
              <w:right w:val="single" w:color="auto" w:sz="4" w:space="0"/>
            </w:tcBorders>
            <w:shd w:val="clear" w:color="auto" w:fill="auto"/>
            <w:vAlign w:val="center"/>
          </w:tcPr>
          <w:p w14:paraId="6C3CC78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2门</w:t>
            </w:r>
          </w:p>
        </w:tc>
        <w:tc>
          <w:tcPr>
            <w:tcW w:w="854" w:type="dxa"/>
            <w:tcBorders>
              <w:top w:val="single" w:color="auto" w:sz="4" w:space="0"/>
              <w:left w:val="nil"/>
              <w:bottom w:val="single" w:color="auto" w:sz="4" w:space="0"/>
              <w:right w:val="single" w:color="auto" w:sz="4" w:space="0"/>
            </w:tcBorders>
            <w:shd w:val="clear" w:color="auto" w:fill="auto"/>
            <w:vAlign w:val="center"/>
          </w:tcPr>
          <w:p w14:paraId="0A17809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软件和信息技术服务业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EEB4B5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DF5974C">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172500元</w:t>
            </w:r>
          </w:p>
        </w:tc>
      </w:tr>
      <w:tr w14:paraId="45A2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CB97BF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072" w:type="dxa"/>
            <w:tcBorders>
              <w:top w:val="single" w:color="auto" w:sz="4" w:space="0"/>
              <w:left w:val="nil"/>
              <w:bottom w:val="single" w:color="auto" w:sz="4" w:space="0"/>
              <w:right w:val="single" w:color="auto" w:sz="4" w:space="0"/>
            </w:tcBorders>
            <w:shd w:val="clear" w:color="auto" w:fill="auto"/>
            <w:vAlign w:val="center"/>
          </w:tcPr>
          <w:p w14:paraId="154CDD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应用服务器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1B5F554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1、总体要求：2U机架服务器，非OEM贴牌；</w:t>
            </w:r>
          </w:p>
          <w:p w14:paraId="7286EF6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2、处理器要求：配置≥2颗 X86架构处理器，单颗处理器基本频率≥2.8GHz，核心数≥32；</w:t>
            </w:r>
          </w:p>
          <w:p w14:paraId="05626F5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3、内存要求：配置≥64GB 内存，配置≥32个内存插槽；</w:t>
            </w:r>
          </w:p>
          <w:p w14:paraId="4E3AD05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4、硬盘：本次配置≥2块 480G SSD硬盘，配置≥6块 8T SATA HDD硬盘；</w:t>
            </w:r>
          </w:p>
          <w:p w14:paraId="6991A35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5、RAID：配置1块独立RAID卡（≥2G缓存）；</w:t>
            </w:r>
          </w:p>
          <w:p w14:paraId="6FC559E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6、网络接口：配置≥4个千兆以太网电口；</w:t>
            </w:r>
          </w:p>
          <w:p w14:paraId="492AFB2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7、电源及散热：配置热插拔冗余电源，满配冗余风扇；</w:t>
            </w:r>
          </w:p>
          <w:p w14:paraId="28256C5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监控：支持服务器全方位性能监控，包括CPU温度、内存利用率、SWAP使用率，内存及SWAP使用明细；TCP重传率及套接字个数；UDP连接数；文件句柄使用率及文件句柄数；硬盘读写次数及读写时速率；出入风口温度；风扇转速；分区使用率；网络发送速率、接收速率等，运行时长、系统进程数等；</w:t>
            </w:r>
          </w:p>
          <w:p w14:paraId="28B5CE9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9、▲管理：提供服务器管理软件，该软件信息安全性检测通过安全功能、身份鉴别安全、访问控制安全、入侵防范安全、数据完整性安全、剩余信息保护等安全性测试，结果均满足国家标准 GB/T 25000.51-2016 规定的保密性、完整性、可核查性、真实性、信息安全性依从性相关要求，</w:t>
            </w:r>
            <w:r>
              <w:rPr>
                <w:rFonts w:hint="eastAsia" w:ascii="宋体" w:hAnsi="宋体" w:eastAsia="宋体" w:cs="宋体"/>
                <w:b/>
                <w:bCs w:val="0"/>
                <w:color w:val="auto"/>
                <w:kern w:val="2"/>
                <w:sz w:val="21"/>
                <w:szCs w:val="21"/>
                <w:highlight w:val="none"/>
              </w:rPr>
              <w:t>（投标时提供第三方检测机构出具的安全评估报告）</w:t>
            </w:r>
            <w:r>
              <w:rPr>
                <w:rFonts w:hint="eastAsia" w:ascii="宋体" w:hAnsi="宋体" w:eastAsia="宋体" w:cs="宋体"/>
                <w:bCs/>
                <w:color w:val="auto"/>
                <w:kern w:val="2"/>
                <w:sz w:val="21"/>
                <w:szCs w:val="21"/>
                <w:highlight w:val="none"/>
              </w:rPr>
              <w:t>；</w:t>
            </w:r>
          </w:p>
          <w:p w14:paraId="1606EC3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10、操作系统：出厂预装同厂商正版国产服务器操作系统并永久激活，且为了保证安全性，操作系统需通过安全操作系统（第三级或第四级）检测；</w:t>
            </w:r>
          </w:p>
          <w:p w14:paraId="7AAAEA0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11、服务：三年免费整机硬件保修，原厂工程师上门服务，中标后签订合同前提供原厂售后服务承诺函。</w:t>
            </w:r>
          </w:p>
        </w:tc>
        <w:tc>
          <w:tcPr>
            <w:tcW w:w="1080" w:type="dxa"/>
            <w:tcBorders>
              <w:top w:val="single" w:color="auto" w:sz="4" w:space="0"/>
              <w:left w:val="nil"/>
              <w:bottom w:val="single" w:color="auto" w:sz="4" w:space="0"/>
              <w:right w:val="single" w:color="auto" w:sz="4" w:space="0"/>
            </w:tcBorders>
            <w:shd w:val="clear" w:color="auto" w:fill="auto"/>
            <w:vAlign w:val="center"/>
          </w:tcPr>
          <w:p w14:paraId="7E05E5E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7B091D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CAB649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3E5891E6">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59800元</w:t>
            </w:r>
          </w:p>
        </w:tc>
      </w:tr>
      <w:tr w14:paraId="62F0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73B90F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072" w:type="dxa"/>
            <w:tcBorders>
              <w:top w:val="single" w:color="auto" w:sz="4" w:space="0"/>
              <w:left w:val="nil"/>
              <w:bottom w:val="single" w:color="auto" w:sz="4" w:space="0"/>
              <w:right w:val="single" w:color="auto" w:sz="4" w:space="0"/>
            </w:tcBorders>
            <w:shd w:val="clear" w:color="auto" w:fill="auto"/>
            <w:vAlign w:val="center"/>
          </w:tcPr>
          <w:p w14:paraId="7273E25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文件服务器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0B0A49F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1、总体要求：2U机架服务器，非OEM贴牌；</w:t>
            </w:r>
          </w:p>
          <w:p w14:paraId="69777F3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2、处理器要求：配置≥2颗 X86架构处理器，单颗处理器基本频率≥2.8GHz，核心数≥32；</w:t>
            </w:r>
          </w:p>
          <w:p w14:paraId="09CDFFF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3、内存要求：配置≥64GB 内存，配置≥32个内存插槽；</w:t>
            </w:r>
          </w:p>
          <w:p w14:paraId="09BDED5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4、硬盘：本次配置≥2块 480G SSD硬盘，配置≥140T SATA HDD硬盘；</w:t>
            </w:r>
          </w:p>
          <w:p w14:paraId="56C6365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5、RAID：配置1块独立RAID卡（≥2G缓存）；</w:t>
            </w:r>
          </w:p>
          <w:p w14:paraId="7907BA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6、网络接口：配置≥4个千兆以太网电口；</w:t>
            </w:r>
          </w:p>
          <w:p w14:paraId="7659920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7、电源及散热：配置热插拔冗余电源，满配冗余风扇；</w:t>
            </w:r>
          </w:p>
          <w:p w14:paraId="04F1C77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监控：支持服务器全方位性能监控，包括CPU温度、内存利用率、SWAP使用率，内存及SWAP使用明细；TCP重传率及套接字个数；UDP连接数；文件句柄使用率及文件句柄数；硬盘读写次数及读写时速率；出入风口温度；风扇转速；分区使用率；网络发送速率、接收速率等，运行时长、系统进程数等；</w:t>
            </w:r>
          </w:p>
          <w:p w14:paraId="170132A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▲9、管理：提供服务器管理软件，该软件信息安全性检测通过安全功能、身份鉴别安全、访问控制安全、入侵防范安全、数据完整性安全、剩余信息保护等安全性测试，结果均满足国家标准 GB/T 25000.51-2016 规定的保密性、完整性、可核查性、真实性、信息安全性依从性相关要求，</w:t>
            </w:r>
            <w:r>
              <w:rPr>
                <w:rFonts w:hint="eastAsia" w:ascii="宋体" w:hAnsi="宋体" w:eastAsia="宋体" w:cs="宋体"/>
                <w:b/>
                <w:bCs w:val="0"/>
                <w:color w:val="auto"/>
                <w:kern w:val="2"/>
                <w:sz w:val="21"/>
                <w:szCs w:val="21"/>
                <w:highlight w:val="none"/>
              </w:rPr>
              <w:t>（投标时提供第三方检测机构出具的安全评估报告）</w:t>
            </w:r>
            <w:r>
              <w:rPr>
                <w:rFonts w:hint="eastAsia" w:ascii="宋体" w:hAnsi="宋体" w:eastAsia="宋体" w:cs="宋体"/>
                <w:bCs/>
                <w:color w:val="auto"/>
                <w:kern w:val="2"/>
                <w:sz w:val="21"/>
                <w:szCs w:val="21"/>
                <w:highlight w:val="none"/>
              </w:rPr>
              <w:t>；</w:t>
            </w:r>
          </w:p>
          <w:p w14:paraId="2C80B89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10、操作系统：出厂预装同厂商正版国产服务器操作系统并永久激活，且为了保证安全性，操作系统需通过安全操作系统（第三级或第四级）检测；</w:t>
            </w:r>
          </w:p>
          <w:p w14:paraId="1EEF0A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11、服务：三年免费整机硬件保修，原厂工程师上门服务，中标后签订合同前提供原厂售后服务承诺函。</w:t>
            </w:r>
          </w:p>
        </w:tc>
        <w:tc>
          <w:tcPr>
            <w:tcW w:w="1080" w:type="dxa"/>
            <w:tcBorders>
              <w:top w:val="single" w:color="auto" w:sz="4" w:space="0"/>
              <w:left w:val="nil"/>
              <w:bottom w:val="single" w:color="auto" w:sz="4" w:space="0"/>
              <w:right w:val="single" w:color="auto" w:sz="4" w:space="0"/>
            </w:tcBorders>
            <w:shd w:val="clear" w:color="auto" w:fill="auto"/>
            <w:vAlign w:val="center"/>
          </w:tcPr>
          <w:p w14:paraId="7D4192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1C95D77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20E8B2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0840ACD">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65873元</w:t>
            </w:r>
          </w:p>
        </w:tc>
      </w:tr>
      <w:tr w14:paraId="5BBB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A84B0D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072" w:type="dxa"/>
            <w:tcBorders>
              <w:top w:val="single" w:color="auto" w:sz="4" w:space="0"/>
              <w:left w:val="nil"/>
              <w:bottom w:val="single" w:color="auto" w:sz="4" w:space="0"/>
              <w:right w:val="single" w:color="auto" w:sz="4" w:space="0"/>
            </w:tcBorders>
            <w:shd w:val="clear" w:color="auto" w:fill="auto"/>
            <w:vAlign w:val="center"/>
          </w:tcPr>
          <w:p w14:paraId="7683E0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机架</w:t>
            </w:r>
          </w:p>
        </w:tc>
        <w:tc>
          <w:tcPr>
            <w:tcW w:w="3923" w:type="dxa"/>
            <w:tcBorders>
              <w:top w:val="single" w:color="auto" w:sz="4" w:space="0"/>
              <w:left w:val="nil"/>
              <w:bottom w:val="single" w:color="auto" w:sz="4" w:space="0"/>
              <w:right w:val="single" w:color="auto" w:sz="4" w:space="0"/>
            </w:tcBorders>
            <w:shd w:val="clear" w:color="auto" w:fill="auto"/>
            <w:vAlign w:val="center"/>
          </w:tcPr>
          <w:p w14:paraId="0CC7729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用于存放服务器（尺寸：宽600mm，深1000mm，高2000mm）</w:t>
            </w:r>
          </w:p>
        </w:tc>
        <w:tc>
          <w:tcPr>
            <w:tcW w:w="1080" w:type="dxa"/>
            <w:tcBorders>
              <w:top w:val="single" w:color="auto" w:sz="4" w:space="0"/>
              <w:left w:val="nil"/>
              <w:bottom w:val="single" w:color="auto" w:sz="4" w:space="0"/>
              <w:right w:val="single" w:color="auto" w:sz="4" w:space="0"/>
            </w:tcBorders>
            <w:shd w:val="clear" w:color="auto" w:fill="auto"/>
            <w:vAlign w:val="center"/>
          </w:tcPr>
          <w:p w14:paraId="57A2987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1519C9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D2CE31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E317C7C">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2900元</w:t>
            </w:r>
          </w:p>
        </w:tc>
      </w:tr>
      <w:tr w14:paraId="250D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32BB5D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1072" w:type="dxa"/>
            <w:tcBorders>
              <w:top w:val="single" w:color="auto" w:sz="4" w:space="0"/>
              <w:left w:val="nil"/>
              <w:bottom w:val="single" w:color="auto" w:sz="4" w:space="0"/>
              <w:right w:val="single" w:color="auto" w:sz="4" w:space="0"/>
            </w:tcBorders>
            <w:shd w:val="clear" w:color="auto" w:fill="auto"/>
            <w:vAlign w:val="center"/>
          </w:tcPr>
          <w:p w14:paraId="754219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交换机</w:t>
            </w:r>
          </w:p>
        </w:tc>
        <w:tc>
          <w:tcPr>
            <w:tcW w:w="3923" w:type="dxa"/>
            <w:tcBorders>
              <w:top w:val="single" w:color="auto" w:sz="4" w:space="0"/>
              <w:left w:val="nil"/>
              <w:bottom w:val="single" w:color="auto" w:sz="4" w:space="0"/>
              <w:right w:val="single" w:color="auto" w:sz="4" w:space="0"/>
            </w:tcBorders>
            <w:shd w:val="clear" w:color="auto" w:fill="auto"/>
            <w:vAlign w:val="center"/>
          </w:tcPr>
          <w:p w14:paraId="679F379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1.固化千兆以太网电接口≥24，固化非复用SFP千兆光接口≥4个</w:t>
            </w:r>
          </w:p>
          <w:p w14:paraId="3147156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2.交换容量≥336Gbps；包转发≥42Mpps</w:t>
            </w:r>
          </w:p>
          <w:p w14:paraId="01F87BF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3.前置交流电源接口，非外置电源</w:t>
            </w:r>
          </w:p>
          <w:p w14:paraId="056DE05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4.支持Console口和本地命令行配置</w:t>
            </w:r>
          </w:p>
          <w:p w14:paraId="30F118F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5.所投产品采用静音设计，要求无风扇</w:t>
            </w:r>
          </w:p>
          <w:p w14:paraId="4BF90AB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6.最大功耗≤20W</w:t>
            </w:r>
          </w:p>
          <w:p w14:paraId="1F6E976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7.支持云管理，支持小程序或app管理</w:t>
            </w:r>
          </w:p>
          <w:p w14:paraId="764D4C6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8.MAC地址表≥8K</w:t>
            </w:r>
          </w:p>
          <w:p w14:paraId="4E95935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9.支持snmp（简单网络管理）协议，接受NMS（网络管理系统）管理</w:t>
            </w:r>
          </w:p>
          <w:p w14:paraId="04D6C7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10.支持IPv4/IPv6DHCPRelay，支持IPv4/IPv6DHCPSnooping、IPv4/IPv6DHCPServer</w:t>
            </w:r>
          </w:p>
          <w:p w14:paraId="552D798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11.支持防Dos攻击、CPU安全防护、CPU镜像，多session镜像、动态ARP检测、DHCPSnoopingpervlan等安全特性</w:t>
            </w:r>
          </w:p>
          <w:p w14:paraId="66938B9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12.支持IPv6ACL，支持根据时间段生效ACL，支持根据ACL匹配情况执行流量统计分析功能，支持自定义ACL。</w:t>
            </w:r>
          </w:p>
        </w:tc>
        <w:tc>
          <w:tcPr>
            <w:tcW w:w="1080" w:type="dxa"/>
            <w:tcBorders>
              <w:top w:val="single" w:color="auto" w:sz="4" w:space="0"/>
              <w:left w:val="nil"/>
              <w:bottom w:val="single" w:color="auto" w:sz="4" w:space="0"/>
              <w:right w:val="single" w:color="auto" w:sz="4" w:space="0"/>
            </w:tcBorders>
            <w:shd w:val="clear" w:color="auto" w:fill="auto"/>
            <w:vAlign w:val="center"/>
          </w:tcPr>
          <w:p w14:paraId="5B1B217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03A58E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A75348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CC895D5">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4500元</w:t>
            </w:r>
          </w:p>
        </w:tc>
      </w:tr>
      <w:tr w14:paraId="4BAD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667C95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072" w:type="dxa"/>
            <w:tcBorders>
              <w:top w:val="single" w:color="auto" w:sz="4" w:space="0"/>
              <w:left w:val="nil"/>
              <w:bottom w:val="single" w:color="auto" w:sz="4" w:space="0"/>
              <w:right w:val="single" w:color="auto" w:sz="4" w:space="0"/>
            </w:tcBorders>
            <w:shd w:val="clear" w:color="auto" w:fill="auto"/>
            <w:vAlign w:val="center"/>
          </w:tcPr>
          <w:p w14:paraId="212CB0D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400万定焦全光谱音频半球</w:t>
            </w:r>
          </w:p>
        </w:tc>
        <w:tc>
          <w:tcPr>
            <w:tcW w:w="3923" w:type="dxa"/>
            <w:tcBorders>
              <w:top w:val="single" w:color="auto" w:sz="4" w:space="0"/>
              <w:left w:val="nil"/>
              <w:bottom w:val="single" w:color="auto" w:sz="4" w:space="0"/>
              <w:right w:val="single" w:color="auto" w:sz="4" w:space="0"/>
            </w:tcBorders>
            <w:shd w:val="clear" w:color="auto" w:fill="auto"/>
            <w:vAlign w:val="center"/>
          </w:tcPr>
          <w:p w14:paraId="0DD155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1、1/3"CMOS传感器；</w:t>
            </w:r>
          </w:p>
          <w:p w14:paraId="2A93339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2、2.8mm/4mm/6mm定焦镜头可选，F1.6定光圈；</w:t>
            </w:r>
          </w:p>
          <w:p w14:paraId="396B3A2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3、支持2颗红外灯2颗白光灯，红外补光30米白光补光30米；</w:t>
            </w:r>
          </w:p>
          <w:p w14:paraId="77D425D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4、最低照度 彩色：0.002Lux（AGC ON @F1.6）,黑白：0.001Lux（AGC ON @F1.6）；</w:t>
            </w:r>
          </w:p>
          <w:p w14:paraId="25AC6ED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5、支持主副码流、主码流默认分辨率2560x1440，25fps，默认码率4Mbps；</w:t>
            </w:r>
          </w:p>
          <w:p w14:paraId="31CAAD1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6支持onvif Profile S/T、SDK、注册中心（主动模式）、GB/T28181-2022、CGI；</w:t>
            </w:r>
          </w:p>
          <w:p w14:paraId="2D8A410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7、支持HTTP、HTTPS、TCP/IP、UDP、UPnP、ICMP、IGMP、DHCP、DNS、DDNS、Easy DDNS、NTP、IPv4、IPv6、FTP、RTSP、SIP网络协议；</w:t>
            </w:r>
          </w:p>
          <w:p w14:paraId="30B091B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8、支持绊线、周界；</w:t>
            </w:r>
          </w:p>
          <w:p w14:paraId="1E4191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9、支持移动报警、遮挡报警、电压报警、录像异常、IP冲突、网线断（日志）；</w:t>
            </w:r>
          </w:p>
          <w:p w14:paraId="729D859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10、支持报警联动FTP抓拍；</w:t>
            </w:r>
          </w:p>
          <w:p w14:paraId="749246D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11、支持1个内置mic、1个RJ45,10M/100M自适应；</w:t>
            </w:r>
          </w:p>
          <w:p w14:paraId="17D8EF8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12、电源供电：DC 12（1±25）%、POE 802.3af，最大运行功耗6W，无补光运行功耗1.5W；</w:t>
            </w:r>
          </w:p>
          <w:p w14:paraId="3A806A6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13防护等级：4级防雷、防浪涌、3级B静电防护、IP66；</w:t>
            </w:r>
          </w:p>
          <w:p w14:paraId="3299569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14、工作温度-35℃～65℃（不开灯）工作湿度0～95%（无凝结）。</w:t>
            </w:r>
          </w:p>
        </w:tc>
        <w:tc>
          <w:tcPr>
            <w:tcW w:w="1080" w:type="dxa"/>
            <w:tcBorders>
              <w:top w:val="single" w:color="auto" w:sz="4" w:space="0"/>
              <w:left w:val="nil"/>
              <w:bottom w:val="single" w:color="auto" w:sz="4" w:space="0"/>
              <w:right w:val="single" w:color="auto" w:sz="4" w:space="0"/>
            </w:tcBorders>
            <w:shd w:val="clear" w:color="auto" w:fill="auto"/>
            <w:vAlign w:val="center"/>
          </w:tcPr>
          <w:p w14:paraId="6DC1874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12个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1DE64CE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DEDE93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5180B1A">
            <w:pPr>
              <w:keepNext w:val="0"/>
              <w:keepLines w:val="0"/>
              <w:widowControl w:val="0"/>
              <w:suppressLineNumbers w:val="0"/>
              <w:spacing w:before="0" w:beforeAutospacing="0" w:after="0" w:afterAutospacing="0" w:line="360" w:lineRule="auto"/>
              <w:ind w:left="0" w:right="0"/>
              <w:jc w:val="center"/>
              <w:rPr>
                <w:rFonts w:hint="default" w:ascii="Calibri" w:hAnsi="Calibri" w:eastAsia="宋体" w:cs="Times New Roman"/>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bidi="ar"/>
              </w:rPr>
              <w:t>267元</w:t>
            </w:r>
          </w:p>
        </w:tc>
      </w:tr>
      <w:tr w14:paraId="7ACF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7EBF35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1072" w:type="dxa"/>
            <w:tcBorders>
              <w:top w:val="single" w:color="auto" w:sz="4" w:space="0"/>
              <w:left w:val="nil"/>
              <w:bottom w:val="single" w:color="auto" w:sz="4" w:space="0"/>
              <w:right w:val="single" w:color="auto" w:sz="4" w:space="0"/>
            </w:tcBorders>
            <w:shd w:val="clear" w:color="auto" w:fill="auto"/>
            <w:vAlign w:val="center"/>
          </w:tcPr>
          <w:p w14:paraId="41F104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20路2盘位NVR</w:t>
            </w:r>
          </w:p>
        </w:tc>
        <w:tc>
          <w:tcPr>
            <w:tcW w:w="3923" w:type="dxa"/>
            <w:tcBorders>
              <w:top w:val="single" w:color="auto" w:sz="4" w:space="0"/>
              <w:left w:val="nil"/>
              <w:bottom w:val="single" w:color="auto" w:sz="4" w:space="0"/>
              <w:right w:val="single" w:color="auto" w:sz="4" w:space="0"/>
            </w:tcBorders>
            <w:shd w:val="clear" w:color="auto" w:fill="auto"/>
            <w:vAlign w:val="center"/>
          </w:tcPr>
          <w:p w14:paraId="7D9E6D0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1、支持IPC分辨率18MP/6MP/5MP/4MP/3MP/1080P/UXGA/720P/VGA/4CIF/DCIF/2CIF/CIF/QCIF；</w:t>
            </w:r>
          </w:p>
          <w:p w14:paraId="61CE1E9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2、支持最大20路高清IPC网络视频接入；</w:t>
            </w:r>
          </w:p>
          <w:p w14:paraId="4B121C1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3、支持最大1路4K/1路6MP/1路5MP/2路4MP/2路3MP/4路1080P/8路720P/16路4CIF同时预览；</w:t>
            </w:r>
          </w:p>
          <w:p w14:paraId="3769894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4、支持最大1路4K/1路6MP/1路5MP/2路4MP/2路3MP/4路1080P/8路720P，1/16到512倍速；</w:t>
            </w:r>
          </w:p>
          <w:p w14:paraId="7BA9EBE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5、支持1/2/3/4/5/6/7/8/9/10/12/13/16/20A/20B画面预览；</w:t>
            </w:r>
          </w:p>
          <w:p w14:paraId="20DAAF0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6、支持2个硬盘接口，单块最大10TB；</w:t>
            </w:r>
          </w:p>
          <w:p w14:paraId="112D65C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7、支持3个100M以太网接口；</w:t>
            </w:r>
          </w:p>
          <w:p w14:paraId="22FF85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8、支持1个HDMI/1个VGA视频输出（同源），HDMI最高分辨率可达4K；</w:t>
            </w:r>
          </w:p>
          <w:p w14:paraId="61A816E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9、支持S+265、H.265、H.264压缩标准；</w:t>
            </w:r>
          </w:p>
          <w:p w14:paraId="37E3CC9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10、带宽：接入带宽100Mbps；转发带宽60Mbps；</w:t>
            </w:r>
          </w:p>
          <w:p w14:paraId="6C65504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11、支持接入热像测温枪进行测温管理，支持测温报表导出；</w:t>
            </w:r>
          </w:p>
          <w:p w14:paraId="065D5E6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12、支持客流量统计，支持多台客流量相机组成区域内统计；</w:t>
            </w:r>
          </w:p>
          <w:p w14:paraId="6C1A1AD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13、支持驳接Onvif、RTSP协议网络前端、GB/T 28181-2022标准对接平台、GA/T1400对接平台；</w:t>
            </w:r>
          </w:p>
          <w:p w14:paraId="1F4A020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14、功率≤10W（不含硬盘）。</w:t>
            </w:r>
          </w:p>
        </w:tc>
        <w:tc>
          <w:tcPr>
            <w:tcW w:w="1080" w:type="dxa"/>
            <w:tcBorders>
              <w:top w:val="single" w:color="auto" w:sz="4" w:space="0"/>
              <w:left w:val="nil"/>
              <w:bottom w:val="single" w:color="auto" w:sz="4" w:space="0"/>
              <w:right w:val="single" w:color="auto" w:sz="4" w:space="0"/>
            </w:tcBorders>
            <w:shd w:val="clear" w:color="auto" w:fill="auto"/>
            <w:vAlign w:val="center"/>
          </w:tcPr>
          <w:p w14:paraId="1466031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27D7CC4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F8826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B68E604">
            <w:pPr>
              <w:keepNext w:val="0"/>
              <w:keepLines w:val="0"/>
              <w:widowControl w:val="0"/>
              <w:suppressLineNumbers w:val="0"/>
              <w:spacing w:before="0" w:beforeAutospacing="0" w:after="0" w:afterAutospacing="0" w:line="360" w:lineRule="auto"/>
              <w:ind w:left="0" w:right="0"/>
              <w:jc w:val="center"/>
              <w:rPr>
                <w:rFonts w:hint="default" w:ascii="Calibri" w:hAnsi="Calibri" w:eastAsia="宋体" w:cs="Times New Roman"/>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bidi="ar"/>
              </w:rPr>
              <w:t>557元</w:t>
            </w:r>
          </w:p>
        </w:tc>
      </w:tr>
      <w:tr w14:paraId="4414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2A52F8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072" w:type="dxa"/>
            <w:tcBorders>
              <w:top w:val="single" w:color="auto" w:sz="4" w:space="0"/>
              <w:left w:val="nil"/>
              <w:bottom w:val="single" w:color="auto" w:sz="4" w:space="0"/>
              <w:right w:val="single" w:color="auto" w:sz="4" w:space="0"/>
            </w:tcBorders>
            <w:shd w:val="clear" w:color="auto" w:fill="auto"/>
            <w:vAlign w:val="center"/>
          </w:tcPr>
          <w:p w14:paraId="3977066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硬盘-监控级（8T）</w:t>
            </w:r>
          </w:p>
        </w:tc>
        <w:tc>
          <w:tcPr>
            <w:tcW w:w="3923" w:type="dxa"/>
            <w:tcBorders>
              <w:top w:val="single" w:color="auto" w:sz="4" w:space="0"/>
              <w:left w:val="nil"/>
              <w:bottom w:val="single" w:color="auto" w:sz="4" w:space="0"/>
              <w:right w:val="single" w:color="auto" w:sz="4" w:space="0"/>
            </w:tcBorders>
            <w:shd w:val="clear" w:color="auto" w:fill="auto"/>
            <w:vAlign w:val="center"/>
          </w:tcPr>
          <w:p w14:paraId="053EAF6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1、空气填充；</w:t>
            </w:r>
          </w:p>
          <w:p w14:paraId="321FC8E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2、接口：SATA 6Gb/s；</w:t>
            </w:r>
          </w:p>
          <w:p w14:paraId="3A61F4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3、转速5400rpm；</w:t>
            </w:r>
          </w:p>
          <w:p w14:paraId="11373A1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4、256MB缓存；</w:t>
            </w:r>
          </w:p>
          <w:p w14:paraId="30E4CD6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5、最大持续传输速率180MB/s；</w:t>
            </w:r>
          </w:p>
          <w:p w14:paraId="40F0534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6、开机小时数8760；</w:t>
            </w:r>
          </w:p>
          <w:p w14:paraId="53AD07B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7、平均故障间隔时间1,000,000小时；</w:t>
            </w:r>
          </w:p>
          <w:p w14:paraId="6D5BE15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8、启动电流（12V）:1.8；</w:t>
            </w:r>
          </w:p>
          <w:p w14:paraId="039804A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9、平均工作功率5.3W；</w:t>
            </w:r>
          </w:p>
          <w:p w14:paraId="2C0589C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10、电压公差：5V±5%，12V±10%；</w:t>
            </w:r>
          </w:p>
          <w:p w14:paraId="7EF3AB2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11、工作温度0~65℃。</w:t>
            </w:r>
          </w:p>
        </w:tc>
        <w:tc>
          <w:tcPr>
            <w:tcW w:w="1080" w:type="dxa"/>
            <w:tcBorders>
              <w:top w:val="single" w:color="auto" w:sz="4" w:space="0"/>
              <w:left w:val="nil"/>
              <w:bottom w:val="single" w:color="auto" w:sz="4" w:space="0"/>
              <w:right w:val="single" w:color="auto" w:sz="4" w:space="0"/>
            </w:tcBorders>
            <w:shd w:val="clear" w:color="auto" w:fill="auto"/>
            <w:vAlign w:val="center"/>
          </w:tcPr>
          <w:p w14:paraId="77E6B6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35566FA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1092A1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E6139A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1383元</w:t>
            </w:r>
          </w:p>
        </w:tc>
      </w:tr>
      <w:tr w14:paraId="5FA2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9E7320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w:t>
            </w:r>
          </w:p>
        </w:tc>
        <w:tc>
          <w:tcPr>
            <w:tcW w:w="1072" w:type="dxa"/>
            <w:tcBorders>
              <w:top w:val="single" w:color="auto" w:sz="4" w:space="0"/>
              <w:left w:val="nil"/>
              <w:bottom w:val="single" w:color="auto" w:sz="4" w:space="0"/>
              <w:right w:val="single" w:color="auto" w:sz="4" w:space="0"/>
            </w:tcBorders>
            <w:shd w:val="clear" w:color="auto" w:fill="auto"/>
            <w:vAlign w:val="center"/>
          </w:tcPr>
          <w:p w14:paraId="1CC1D29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辅材</w:t>
            </w:r>
          </w:p>
        </w:tc>
        <w:tc>
          <w:tcPr>
            <w:tcW w:w="3923" w:type="dxa"/>
            <w:tcBorders>
              <w:top w:val="single" w:color="auto" w:sz="4" w:space="0"/>
              <w:left w:val="nil"/>
              <w:bottom w:val="single" w:color="auto" w:sz="4" w:space="0"/>
              <w:right w:val="single" w:color="auto" w:sz="4" w:space="0"/>
            </w:tcBorders>
            <w:shd w:val="clear" w:color="auto" w:fill="auto"/>
            <w:vAlign w:val="center"/>
          </w:tcPr>
          <w:p w14:paraId="59786EE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光纤、网线、电源线等辅助安装材料。</w:t>
            </w:r>
          </w:p>
        </w:tc>
        <w:tc>
          <w:tcPr>
            <w:tcW w:w="1080" w:type="dxa"/>
            <w:tcBorders>
              <w:top w:val="single" w:color="auto" w:sz="4" w:space="0"/>
              <w:left w:val="nil"/>
              <w:bottom w:val="single" w:color="auto" w:sz="4" w:space="0"/>
              <w:right w:val="single" w:color="auto" w:sz="4" w:space="0"/>
            </w:tcBorders>
            <w:shd w:val="clear" w:color="auto" w:fill="auto"/>
            <w:vAlign w:val="center"/>
          </w:tcPr>
          <w:p w14:paraId="4619FA6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1批</w:t>
            </w:r>
          </w:p>
        </w:tc>
        <w:tc>
          <w:tcPr>
            <w:tcW w:w="854" w:type="dxa"/>
            <w:tcBorders>
              <w:top w:val="single" w:color="auto" w:sz="4" w:space="0"/>
              <w:left w:val="nil"/>
              <w:bottom w:val="single" w:color="auto" w:sz="4" w:space="0"/>
              <w:right w:val="single" w:color="auto" w:sz="4" w:space="0"/>
            </w:tcBorders>
            <w:shd w:val="clear" w:color="auto" w:fill="auto"/>
            <w:vAlign w:val="center"/>
          </w:tcPr>
          <w:p w14:paraId="72EA783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871876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DEEEE4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5400元</w:t>
            </w:r>
          </w:p>
        </w:tc>
      </w:tr>
      <w:tr w14:paraId="6EDC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72F128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12</w:t>
            </w:r>
          </w:p>
        </w:tc>
        <w:tc>
          <w:tcPr>
            <w:tcW w:w="1072" w:type="dxa"/>
            <w:tcBorders>
              <w:top w:val="single" w:color="auto" w:sz="4" w:space="0"/>
              <w:left w:val="nil"/>
              <w:bottom w:val="single" w:color="auto" w:sz="4" w:space="0"/>
              <w:right w:val="single" w:color="auto" w:sz="4" w:space="0"/>
            </w:tcBorders>
            <w:shd w:val="clear" w:color="auto" w:fill="auto"/>
            <w:vAlign w:val="center"/>
          </w:tcPr>
          <w:p w14:paraId="5085E3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系统集成</w:t>
            </w:r>
          </w:p>
        </w:tc>
        <w:tc>
          <w:tcPr>
            <w:tcW w:w="3923" w:type="dxa"/>
            <w:tcBorders>
              <w:top w:val="single" w:color="auto" w:sz="4" w:space="0"/>
              <w:left w:val="nil"/>
              <w:bottom w:val="single" w:color="auto" w:sz="4" w:space="0"/>
              <w:right w:val="single" w:color="auto" w:sz="4" w:space="0"/>
            </w:tcBorders>
            <w:shd w:val="clear" w:color="auto" w:fill="auto"/>
            <w:vAlign w:val="center"/>
          </w:tcPr>
          <w:p w14:paraId="38C5E98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1、对接学校现有资产管理平台； </w:t>
            </w:r>
          </w:p>
          <w:p w14:paraId="05C7407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▲2、提供一年驻场服务</w:t>
            </w:r>
            <w:r>
              <w:rPr>
                <w:rFonts w:hint="eastAsia" w:ascii="宋体" w:hAnsi="宋体" w:eastAsia="宋体" w:cs="宋体"/>
                <w:b/>
                <w:bCs w:val="0"/>
                <w:color w:val="auto"/>
                <w:kern w:val="2"/>
                <w:sz w:val="21"/>
                <w:szCs w:val="21"/>
                <w:highlight w:val="none"/>
              </w:rPr>
              <w:t>（提供承诺函加盖公章）</w:t>
            </w:r>
            <w:r>
              <w:rPr>
                <w:rFonts w:hint="eastAsia" w:ascii="宋体" w:hAnsi="宋体" w:eastAsia="宋体" w:cs="宋体"/>
                <w:bCs/>
                <w:color w:val="auto"/>
                <w:kern w:val="2"/>
                <w:sz w:val="21"/>
                <w:szCs w:val="21"/>
                <w:highlight w:val="none"/>
              </w:rPr>
              <w:t xml:space="preserve">；  </w:t>
            </w:r>
          </w:p>
          <w:p w14:paraId="0561D20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3、提供开放仿真平台接口，提供接入服务；</w:t>
            </w:r>
          </w:p>
          <w:p w14:paraId="038E55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4、提供上门培训服务、远程培训服务； </w:t>
            </w:r>
          </w:p>
          <w:p w14:paraId="1DCEDA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5、系统安装、集成网络。</w:t>
            </w:r>
          </w:p>
        </w:tc>
        <w:tc>
          <w:tcPr>
            <w:tcW w:w="1080" w:type="dxa"/>
            <w:tcBorders>
              <w:top w:val="single" w:color="auto" w:sz="4" w:space="0"/>
              <w:left w:val="nil"/>
              <w:bottom w:val="single" w:color="auto" w:sz="4" w:space="0"/>
              <w:right w:val="single" w:color="auto" w:sz="4" w:space="0"/>
            </w:tcBorders>
            <w:shd w:val="clear" w:color="auto" w:fill="auto"/>
            <w:vAlign w:val="center"/>
          </w:tcPr>
          <w:p w14:paraId="634E780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1项</w:t>
            </w:r>
          </w:p>
        </w:tc>
        <w:tc>
          <w:tcPr>
            <w:tcW w:w="854" w:type="dxa"/>
            <w:tcBorders>
              <w:top w:val="single" w:color="auto" w:sz="4" w:space="0"/>
              <w:left w:val="nil"/>
              <w:bottom w:val="single" w:color="auto" w:sz="4" w:space="0"/>
              <w:right w:val="single" w:color="auto" w:sz="4" w:space="0"/>
            </w:tcBorders>
            <w:shd w:val="clear" w:color="auto" w:fill="auto"/>
            <w:vAlign w:val="center"/>
          </w:tcPr>
          <w:p w14:paraId="3F11186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软件和信息技术服务业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B7270B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79D704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50000元</w:t>
            </w:r>
          </w:p>
        </w:tc>
      </w:tr>
    </w:tbl>
    <w:p w14:paraId="5A89979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注：1.以上技术参数及要求中的所有规格尺寸长度、宽度允许有细微偏差。投标人自行勘察本项目实施现场，核对现场可能影响货物后期安装的全部因素，确保所投货物满足现场实际安装要求；因未勘察现场而引起的一切责任由投标人自行承担。</w:t>
      </w:r>
    </w:p>
    <w:p w14:paraId="3FFF9718">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2.清单中非定制货物、设备尺寸允许有细微偏差，但如果在后期安装过程中出现不符合现场实际安装情况，中标人则需无条件更换货物、设备。</w:t>
      </w:r>
    </w:p>
    <w:p w14:paraId="03013016">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3.产品验收前必须保证合格；按甲方要求送检，甲方有权委托第三方进行产品质量、规格要求等检测，检测不合格的更换所有产品并承担违约责任及损失。</w:t>
      </w:r>
    </w:p>
    <w:p w14:paraId="1CCE501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4.本项目涉及安全、消防、环保问题，中标人须确保通过相关行业主管部门验收。</w:t>
      </w:r>
    </w:p>
    <w:p w14:paraId="2C48E6A2">
      <w:pPr>
        <w:spacing w:line="360" w:lineRule="auto"/>
        <w:ind w:firstLine="437"/>
        <w:outlineLvl w:val="1"/>
        <w:rPr>
          <w:rFonts w:hint="eastAsia" w:ascii="宋体" w:hAnsi="宋体" w:eastAsia="宋体"/>
          <w:b/>
          <w:bCs/>
          <w:color w:val="auto"/>
          <w:sz w:val="24"/>
          <w:szCs w:val="18"/>
          <w:highlight w:val="none"/>
        </w:rPr>
      </w:pPr>
    </w:p>
    <w:p w14:paraId="25941F2C">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bookmarkEnd w:id="24"/>
      <w:bookmarkEnd w:id="25"/>
    </w:p>
    <w:p w14:paraId="7A270992">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投标报价包括对应本项目需求的全部货物及所需附件购置费、包装费、运输费、人工费、保险费、安装调试费、各种税费、资料费、售后服务费及完成项目应有的全部费用。采购人后期不予追加任何费用，请投标人综合考虑各种风险，谨慎报价。</w:t>
      </w:r>
    </w:p>
    <w:p w14:paraId="2EC79808">
      <w:pPr>
        <w:spacing w:line="360" w:lineRule="auto"/>
        <w:ind w:firstLine="437"/>
        <w:outlineLvl w:val="1"/>
        <w:rPr>
          <w:rFonts w:hint="eastAsia" w:ascii="宋体" w:hAnsi="宋体" w:eastAsia="宋体"/>
          <w:b/>
          <w:bCs/>
          <w:color w:val="auto"/>
          <w:sz w:val="24"/>
          <w:szCs w:val="18"/>
          <w:highlight w:val="none"/>
        </w:rPr>
      </w:pPr>
      <w:bookmarkStart w:id="26" w:name="_Toc15293"/>
      <w:bookmarkStart w:id="27" w:name="_Toc14698"/>
      <w:r>
        <w:rPr>
          <w:rFonts w:hint="eastAsia" w:ascii="宋体" w:hAnsi="宋体" w:eastAsia="宋体"/>
          <w:b/>
          <w:bCs/>
          <w:color w:val="auto"/>
          <w:sz w:val="24"/>
          <w:szCs w:val="18"/>
          <w:highlight w:val="none"/>
        </w:rPr>
        <w:t>四、其他要求</w:t>
      </w:r>
      <w:bookmarkEnd w:id="26"/>
      <w:bookmarkEnd w:id="27"/>
    </w:p>
    <w:p w14:paraId="2411BDC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（一）货物的生产、安装、维修、检验、验收等按照以下原则执行：有国家标准的执行国家标准；无国家标准的执行行业标准；无行业标准的执行地方标准；无地方标准的执行企业标准。</w:t>
      </w:r>
    </w:p>
    <w:p w14:paraId="656537E5">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二）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191C66E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 (厂家出具的合格证书供货时提供)</w:t>
      </w:r>
    </w:p>
    <w:p w14:paraId="1214AEDD">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（四）技术支持</w:t>
      </w:r>
    </w:p>
    <w:p w14:paraId="7B101241">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1.中标人应向采购人提供全方位、及时而有效的技术支持和服务。</w:t>
      </w:r>
    </w:p>
    <w:p w14:paraId="6CBF8B7F">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2.中标人负责供货、安装、调试。</w:t>
      </w:r>
    </w:p>
    <w:p w14:paraId="6860D053">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中标人负责将货物的全部有关技术文件（外文应提供中文翻译资料，下同）、施工图纸、资料、测试、验收报告等汇集成册交付采购人，涉及进口的产品或部件配件软件等须提供中国海关进口货物报关单、完税证明及商检证明等材料。</w:t>
      </w:r>
    </w:p>
    <w:p w14:paraId="7363211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（五）质保及售后服务：</w:t>
      </w:r>
    </w:p>
    <w:p w14:paraId="334EC8B2">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1.中标人</w:t>
      </w:r>
      <w:r>
        <w:rPr>
          <w:rFonts w:hint="eastAsia" w:ascii="宋体" w:hAnsi="宋体" w:eastAsia="宋体"/>
          <w:bCs/>
          <w:color w:val="auto"/>
          <w:sz w:val="24"/>
          <w:szCs w:val="18"/>
          <w:highlight w:val="none"/>
          <w:lang w:val="en-US" w:eastAsia="zh-CN"/>
        </w:rPr>
        <w:t>所投产品</w:t>
      </w:r>
      <w:r>
        <w:rPr>
          <w:rFonts w:hint="eastAsia" w:ascii="宋体" w:hAnsi="宋体" w:eastAsia="宋体"/>
          <w:bCs/>
          <w:color w:val="auto"/>
          <w:sz w:val="24"/>
          <w:szCs w:val="18"/>
          <w:highlight w:val="none"/>
        </w:rPr>
        <w:t>须提供至少</w:t>
      </w:r>
      <w:r>
        <w:rPr>
          <w:rFonts w:hint="eastAsia" w:ascii="宋体" w:hAnsi="宋体" w:eastAsia="宋体"/>
          <w:bCs/>
          <w:color w:val="auto"/>
          <w:sz w:val="24"/>
          <w:szCs w:val="18"/>
          <w:highlight w:val="none"/>
          <w:u w:val="single"/>
        </w:rPr>
        <w:t xml:space="preserve"> 3 </w:t>
      </w:r>
      <w:r>
        <w:rPr>
          <w:rFonts w:hint="eastAsia" w:ascii="宋体" w:hAnsi="宋体" w:eastAsia="宋体"/>
          <w:bCs/>
          <w:color w:val="auto"/>
          <w:sz w:val="24"/>
          <w:szCs w:val="18"/>
          <w:highlight w:val="none"/>
        </w:rPr>
        <w:t>年的免费质保服务</w:t>
      </w:r>
      <w:r>
        <w:rPr>
          <w:rFonts w:hint="eastAsia" w:ascii="宋体" w:hAnsi="宋体" w:eastAsia="宋体"/>
          <w:bCs/>
          <w:color w:val="auto"/>
          <w:sz w:val="24"/>
          <w:szCs w:val="18"/>
          <w:highlight w:val="none"/>
          <w:lang w:eastAsia="zh-CN"/>
        </w:rPr>
        <w:t>（具体以投标承诺的期限为准）</w:t>
      </w:r>
      <w:r>
        <w:rPr>
          <w:rFonts w:hint="eastAsia" w:ascii="宋体" w:hAnsi="宋体" w:eastAsia="宋体"/>
          <w:bCs/>
          <w:color w:val="auto"/>
          <w:sz w:val="24"/>
          <w:szCs w:val="18"/>
          <w:highlight w:val="none"/>
        </w:rPr>
        <w:t>，所有质保费用均已包含在投标报价中，质保期满后，应提供优先的有偿售后服务及按不高于投标文件中主要配件、易损件清单所报价格供应原厂零配件等。软件终身免费升级服务。</w:t>
      </w:r>
    </w:p>
    <w:p w14:paraId="02F77005">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2.中标人须设有维修服务电话，负责解答用户在货物使用中遇到的问题，及时提出解决问题的建议和操作方法。</w:t>
      </w:r>
    </w:p>
    <w:p w14:paraId="6E17D33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3.售后服务响应时间：如货物出现故障，电话响应无法解决，中标人必须在接报修电话 24 小时内到现场并解决问题。</w:t>
      </w:r>
    </w:p>
    <w:p w14:paraId="3E423B5A">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（六）培训：中标人负责为采购人操作人员提供操作及维护培训，直至其能熟练独立操作及日常维护与保养，简单故障诊断与排除。</w:t>
      </w:r>
    </w:p>
    <w:p w14:paraId="58F707F7">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（七）交货地点：采购人指定地点。</w:t>
      </w:r>
    </w:p>
    <w:p w14:paraId="0CD003F9">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（八）验收：</w:t>
      </w:r>
    </w:p>
    <w:p w14:paraId="11E74CBB">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14:paraId="20A5EBD3">
      <w:pPr>
        <w:spacing w:line="360" w:lineRule="auto"/>
        <w:ind w:firstLine="437"/>
        <w:rPr>
          <w:rFonts w:hint="eastAsia" w:ascii="宋体" w:hAnsi="宋体" w:eastAsia="宋体"/>
          <w:b/>
          <w:bCs/>
          <w:color w:val="auto"/>
          <w:sz w:val="24"/>
          <w:szCs w:val="18"/>
          <w:highlight w:val="none"/>
        </w:rPr>
      </w:pPr>
      <w:r>
        <w:rPr>
          <w:rFonts w:hint="eastAsia" w:ascii="宋体" w:hAnsi="宋体" w:eastAsia="宋体"/>
          <w:bCs/>
          <w:color w:val="auto"/>
          <w:sz w:val="24"/>
          <w:szCs w:val="18"/>
          <w:highlight w:val="none"/>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2AE7F939">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607CB80">
      <w:pPr>
        <w:spacing w:line="360" w:lineRule="auto"/>
        <w:jc w:val="center"/>
        <w:outlineLvl w:val="0"/>
        <w:rPr>
          <w:rFonts w:hint="eastAsia" w:asciiTheme="minorEastAsia" w:hAnsiTheme="minorEastAsia" w:eastAsiaTheme="minorEastAsia"/>
          <w:b/>
          <w:color w:val="auto"/>
          <w:sz w:val="28"/>
          <w:highlight w:val="none"/>
        </w:rPr>
      </w:pPr>
      <w:bookmarkStart w:id="28" w:name="_Toc16417"/>
      <w:r>
        <w:rPr>
          <w:rFonts w:hint="eastAsia" w:asciiTheme="minorEastAsia" w:hAnsiTheme="minorEastAsia" w:eastAsiaTheme="minorEastAsia"/>
          <w:b/>
          <w:color w:val="auto"/>
          <w:sz w:val="28"/>
          <w:highlight w:val="none"/>
        </w:rPr>
        <w:t>第四章  评标方法和标准（综合评分法）</w:t>
      </w:r>
      <w:bookmarkEnd w:id="28"/>
    </w:p>
    <w:p w14:paraId="5F3AB36B">
      <w:pPr>
        <w:spacing w:line="360" w:lineRule="auto"/>
        <w:ind w:firstLine="437"/>
        <w:outlineLvl w:val="1"/>
        <w:rPr>
          <w:rFonts w:hint="eastAsia" w:asciiTheme="minorEastAsia" w:hAnsiTheme="minorEastAsia" w:eastAsiaTheme="minorEastAsia"/>
          <w:b/>
          <w:color w:val="auto"/>
          <w:sz w:val="24"/>
          <w:highlight w:val="none"/>
        </w:rPr>
      </w:pPr>
      <w:bookmarkStart w:id="29" w:name="_Toc11823"/>
      <w:bookmarkStart w:id="30" w:name="_Toc1246"/>
      <w:r>
        <w:rPr>
          <w:rFonts w:hint="eastAsia" w:asciiTheme="minorEastAsia" w:hAnsiTheme="minorEastAsia" w:eastAsiaTheme="minorEastAsia"/>
          <w:b/>
          <w:color w:val="auto"/>
          <w:sz w:val="24"/>
          <w:highlight w:val="none"/>
        </w:rPr>
        <w:t>一、总则</w:t>
      </w:r>
      <w:bookmarkEnd w:id="29"/>
      <w:bookmarkEnd w:id="30"/>
    </w:p>
    <w:p w14:paraId="3DC5A57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201C190C">
      <w:pPr>
        <w:spacing w:line="360" w:lineRule="auto"/>
        <w:ind w:firstLine="437"/>
        <w:outlineLvl w:val="1"/>
        <w:rPr>
          <w:rFonts w:hint="eastAsia" w:asciiTheme="minorEastAsia" w:hAnsiTheme="minorEastAsia" w:eastAsiaTheme="minorEastAsia"/>
          <w:b/>
          <w:color w:val="auto"/>
          <w:sz w:val="24"/>
          <w:highlight w:val="none"/>
        </w:rPr>
      </w:pPr>
      <w:bookmarkStart w:id="31" w:name="_Toc13117"/>
      <w:bookmarkStart w:id="32" w:name="_Toc31871"/>
      <w:r>
        <w:rPr>
          <w:rFonts w:hint="eastAsia" w:asciiTheme="minorEastAsia" w:hAnsiTheme="minorEastAsia" w:eastAsiaTheme="minorEastAsia"/>
          <w:b/>
          <w:color w:val="auto"/>
          <w:sz w:val="24"/>
          <w:highlight w:val="none"/>
        </w:rPr>
        <w:t>二、评标方法</w:t>
      </w:r>
      <w:bookmarkEnd w:id="31"/>
      <w:bookmarkEnd w:id="32"/>
    </w:p>
    <w:p w14:paraId="5CAC28AB">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651"/>
        <w:gridCol w:w="4561"/>
        <w:gridCol w:w="1903"/>
      </w:tblGrid>
      <w:tr w14:paraId="7382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901D21D">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b/>
                <w:color w:val="auto"/>
                <w:sz w:val="24"/>
                <w:szCs w:val="22"/>
                <w:highlight w:val="none"/>
              </w:rPr>
              <w:t>资格审查表</w:t>
            </w:r>
          </w:p>
        </w:tc>
      </w:tr>
      <w:tr w14:paraId="6ECD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vAlign w:val="center"/>
          </w:tcPr>
          <w:p w14:paraId="18615B6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942" w:type="pct"/>
            <w:tcBorders>
              <w:bottom w:val="single" w:color="auto" w:sz="4" w:space="0"/>
            </w:tcBorders>
            <w:vAlign w:val="center"/>
          </w:tcPr>
          <w:p w14:paraId="72EAE77A">
            <w:pPr>
              <w:pStyle w:val="44"/>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审查因素</w:t>
            </w:r>
          </w:p>
        </w:tc>
        <w:tc>
          <w:tcPr>
            <w:tcW w:w="2603" w:type="pct"/>
            <w:tcBorders>
              <w:bottom w:val="single" w:color="auto" w:sz="4" w:space="0"/>
            </w:tcBorders>
            <w:vAlign w:val="center"/>
          </w:tcPr>
          <w:p w14:paraId="7053D06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审查内容</w:t>
            </w:r>
          </w:p>
        </w:tc>
        <w:tc>
          <w:tcPr>
            <w:tcW w:w="1084" w:type="pct"/>
            <w:tcBorders>
              <w:bottom w:val="single" w:color="auto" w:sz="4" w:space="0"/>
            </w:tcBorders>
            <w:vAlign w:val="center"/>
          </w:tcPr>
          <w:p w14:paraId="510B77AC">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1CCE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9" w:type="pct"/>
            <w:tcBorders>
              <w:bottom w:val="single" w:color="auto" w:sz="4" w:space="0"/>
            </w:tcBorders>
            <w:vAlign w:val="center"/>
          </w:tcPr>
          <w:p w14:paraId="5C4592A5">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1</w:t>
            </w:r>
          </w:p>
        </w:tc>
        <w:tc>
          <w:tcPr>
            <w:tcW w:w="942" w:type="pct"/>
            <w:tcBorders>
              <w:bottom w:val="single" w:color="auto" w:sz="4" w:space="0"/>
            </w:tcBorders>
            <w:vAlign w:val="center"/>
          </w:tcPr>
          <w:p w14:paraId="6D4E5860">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default" w:ascii="宋体" w:hAnsi="宋体" w:eastAsia="宋体" w:cs="宋体"/>
                <w:color w:val="auto"/>
                <w:spacing w:val="9"/>
                <w:sz w:val="24"/>
                <w:szCs w:val="24"/>
                <w:highlight w:val="none"/>
              </w:rPr>
              <w:t>营业执照等证明</w:t>
            </w:r>
            <w:r>
              <w:rPr>
                <w:rFonts w:hint="default" w:ascii="宋体" w:hAnsi="宋体" w:eastAsia="宋体" w:cs="宋体"/>
                <w:color w:val="auto"/>
                <w:spacing w:val="-3"/>
                <w:sz w:val="24"/>
                <w:szCs w:val="24"/>
                <w:highlight w:val="none"/>
              </w:rPr>
              <w:t>文件</w:t>
            </w:r>
          </w:p>
        </w:tc>
        <w:tc>
          <w:tcPr>
            <w:tcW w:w="2603" w:type="pct"/>
            <w:tcBorders>
              <w:bottom w:val="single" w:color="auto" w:sz="4" w:space="0"/>
            </w:tcBorders>
            <w:vAlign w:val="center"/>
          </w:tcPr>
          <w:p w14:paraId="44451B3B">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default"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供有效的营业执照；</w:t>
            </w:r>
          </w:p>
          <w:p w14:paraId="248A970F">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default"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供有效的事业单位法人证书；</w:t>
            </w:r>
          </w:p>
          <w:p w14:paraId="2084D86E">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default"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rPr>
              <w:t>或</w:t>
            </w:r>
            <w:r>
              <w:rPr>
                <w:rFonts w:hint="default" w:ascii="宋体" w:hAnsi="宋体" w:eastAsia="宋体" w:cs="宋体"/>
                <w:color w:val="auto"/>
                <w:sz w:val="24"/>
                <w:szCs w:val="24"/>
                <w:highlight w:val="none"/>
              </w:rPr>
              <w:t>登记证书等证明文件；</w:t>
            </w:r>
          </w:p>
          <w:p w14:paraId="558E4A3F">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default"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供有效的个体工商户营业执照；</w:t>
            </w:r>
          </w:p>
          <w:p w14:paraId="06898819">
            <w:pPr>
              <w:keepNext w:val="0"/>
              <w:keepLines w:val="0"/>
              <w:suppressLineNumbers w:val="0"/>
              <w:spacing w:before="0" w:beforeAutospacing="0" w:after="50" w:afterAutospacing="0" w:line="360" w:lineRule="auto"/>
              <w:ind w:left="0"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（5）</w:t>
            </w:r>
            <w:r>
              <w:rPr>
                <w:rFonts w:hint="default"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供有效的自然人身份证明。</w:t>
            </w:r>
          </w:p>
        </w:tc>
        <w:tc>
          <w:tcPr>
            <w:tcW w:w="1084" w:type="pct"/>
            <w:vAlign w:val="center"/>
          </w:tcPr>
          <w:p w14:paraId="2C94E816">
            <w:pPr>
              <w:keepNext w:val="0"/>
              <w:keepLines w:val="0"/>
              <w:suppressLineNumbers w:val="0"/>
              <w:spacing w:before="0" w:beforeAutospacing="0" w:after="0" w:afterAutospacing="0" w:line="360" w:lineRule="auto"/>
              <w:ind w:left="0" w:right="0"/>
              <w:jc w:val="left"/>
              <w:rPr>
                <w:rFonts w:hint="eastAsia" w:ascii="宋体" w:hAnsi="宋体" w:eastAsia="宋体"/>
                <w:color w:val="auto"/>
                <w:sz w:val="24"/>
                <w:szCs w:val="20"/>
                <w:highlight w:val="none"/>
              </w:rPr>
            </w:pPr>
            <w:r>
              <w:rPr>
                <w:rFonts w:hint="eastAsia" w:ascii="宋体" w:hAnsi="宋体" w:eastAsia="宋体" w:cs="宋体"/>
                <w:color w:val="auto"/>
                <w:sz w:val="24"/>
                <w:szCs w:val="24"/>
                <w:highlight w:val="none"/>
              </w:rPr>
              <w:t>提供材料扫描件或电子证照，应完整的体现出材料或电子证照全部内容。联合体投标的联合体各方均须提供。</w:t>
            </w:r>
          </w:p>
        </w:tc>
      </w:tr>
      <w:tr w14:paraId="7EEE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69" w:type="pct"/>
            <w:tcBorders>
              <w:bottom w:val="single" w:color="auto" w:sz="4" w:space="0"/>
            </w:tcBorders>
            <w:vAlign w:val="center"/>
          </w:tcPr>
          <w:p w14:paraId="41B88E0F">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942" w:type="pct"/>
            <w:tcBorders>
              <w:bottom w:val="single" w:color="auto" w:sz="4" w:space="0"/>
            </w:tcBorders>
            <w:vAlign w:val="center"/>
          </w:tcPr>
          <w:p w14:paraId="6DD14CA8">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18"/>
                <w:highlight w:val="none"/>
              </w:rPr>
              <w:t>投标人资格声明书</w:t>
            </w:r>
          </w:p>
        </w:tc>
        <w:tc>
          <w:tcPr>
            <w:tcW w:w="2603" w:type="pct"/>
            <w:tcBorders>
              <w:bottom w:val="single" w:color="auto" w:sz="4" w:space="0"/>
            </w:tcBorders>
            <w:vAlign w:val="center"/>
          </w:tcPr>
          <w:p w14:paraId="2028E516">
            <w:pPr>
              <w:keepNext w:val="0"/>
              <w:keepLines w:val="0"/>
              <w:suppressLineNumbers w:val="0"/>
              <w:spacing w:before="0" w:beforeAutospacing="0" w:after="50" w:afterAutospacing="0" w:line="360" w:lineRule="auto"/>
              <w:ind w:left="0"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rPr>
              <w:t>。</w:t>
            </w:r>
          </w:p>
        </w:tc>
        <w:tc>
          <w:tcPr>
            <w:tcW w:w="1084" w:type="pct"/>
            <w:vAlign w:val="center"/>
          </w:tcPr>
          <w:p w14:paraId="740DDFA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olor w:val="auto"/>
                <w:sz w:val="24"/>
                <w:szCs w:val="20"/>
                <w:highlight w:val="none"/>
              </w:rPr>
              <w:t>详见第六章投标文件格式。</w:t>
            </w:r>
          </w:p>
        </w:tc>
      </w:tr>
      <w:tr w14:paraId="0EA7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vAlign w:val="center"/>
          </w:tcPr>
          <w:p w14:paraId="7F4596C9">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3</w:t>
            </w:r>
          </w:p>
        </w:tc>
        <w:tc>
          <w:tcPr>
            <w:tcW w:w="942" w:type="pct"/>
            <w:tcBorders>
              <w:bottom w:val="single" w:color="auto" w:sz="4" w:space="0"/>
            </w:tcBorders>
            <w:vAlign w:val="center"/>
          </w:tcPr>
          <w:p w14:paraId="32B83A96">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tcBorders>
              <w:bottom w:val="single" w:color="auto" w:sz="4" w:space="0"/>
            </w:tcBorders>
            <w:vAlign w:val="center"/>
          </w:tcPr>
          <w:p w14:paraId="2D6CE2CB">
            <w:pPr>
              <w:keepNext w:val="0"/>
              <w:keepLines w:val="0"/>
              <w:suppressLineNumbers w:val="0"/>
              <w:spacing w:before="0" w:beforeAutospacing="0" w:after="50" w:afterAutospacing="0" w:line="360" w:lineRule="auto"/>
              <w:ind w:left="0" w:right="-10"/>
              <w:jc w:val="left"/>
              <w:rPr>
                <w:rFonts w:hint="eastAsia"/>
                <w:color w:val="auto"/>
                <w:szCs w:val="20"/>
                <w:highlight w:val="none"/>
              </w:rPr>
            </w:pPr>
            <w:r>
              <w:rPr>
                <w:rFonts w:hint="eastAsia" w:ascii="宋体" w:hAnsi="宋体" w:eastAsia="宋体" w:cs="宋体"/>
                <w:color w:val="auto"/>
                <w:sz w:val="24"/>
                <w:szCs w:val="24"/>
                <w:highlight w:val="none"/>
                <w:lang w:val="zh-CN"/>
              </w:rPr>
              <w:t>投标人不得存在</w:t>
            </w:r>
            <w:r>
              <w:rPr>
                <w:rFonts w:hint="eastAsia" w:ascii="宋体" w:hAnsi="宋体" w:eastAsia="宋体" w:cs="宋体"/>
                <w:color w:val="auto"/>
                <w:sz w:val="24"/>
                <w:szCs w:val="24"/>
                <w:highlight w:val="none"/>
              </w:rPr>
              <w:t>投标邀请第4条信誉要求和</w:t>
            </w:r>
            <w:r>
              <w:rPr>
                <w:rFonts w:hint="eastAsia" w:ascii="宋体" w:hAnsi="宋体" w:eastAsia="宋体" w:cs="宋体"/>
                <w:color w:val="auto"/>
                <w:sz w:val="24"/>
                <w:szCs w:val="24"/>
                <w:highlight w:val="none"/>
                <w:lang w:val="zh-CN"/>
              </w:rPr>
              <w:t>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4" w:type="pct"/>
            <w:tcBorders>
              <w:bottom w:val="single" w:color="auto" w:sz="4" w:space="0"/>
            </w:tcBorders>
            <w:vAlign w:val="center"/>
          </w:tcPr>
          <w:p w14:paraId="6A431E43">
            <w:pPr>
              <w:keepNext w:val="0"/>
              <w:keepLines w:val="0"/>
              <w:suppressLineNumbers w:val="0"/>
              <w:spacing w:before="0" w:beforeAutospacing="0" w:after="0" w:afterAutospacing="0" w:line="360" w:lineRule="auto"/>
              <w:ind w:left="0" w:right="0"/>
              <w:jc w:val="left"/>
              <w:rPr>
                <w:rFonts w:hint="eastAsia"/>
                <w:color w:val="auto"/>
                <w:szCs w:val="20"/>
                <w:highlight w:val="none"/>
              </w:rPr>
            </w:pPr>
            <w:r>
              <w:rPr>
                <w:rFonts w:hint="eastAsia" w:ascii="宋体" w:hAnsi="宋体" w:eastAsia="宋体" w:cs="宋体"/>
                <w:color w:val="auto"/>
                <w:sz w:val="24"/>
                <w:szCs w:val="24"/>
                <w:highlight w:val="none"/>
              </w:rPr>
              <w:t>无须投标人提供，由采购人或采购代理机构查询。</w:t>
            </w:r>
          </w:p>
        </w:tc>
      </w:tr>
      <w:tr w14:paraId="5729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vAlign w:val="center"/>
          </w:tcPr>
          <w:p w14:paraId="7BC5D474">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942" w:type="pct"/>
            <w:tcBorders>
              <w:bottom w:val="single" w:color="auto" w:sz="4" w:space="0"/>
            </w:tcBorders>
            <w:shd w:val="clear" w:color="auto" w:fill="auto"/>
            <w:vAlign w:val="top"/>
          </w:tcPr>
          <w:p w14:paraId="339CB95F">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诚信投标承诺书</w:t>
            </w:r>
          </w:p>
        </w:tc>
        <w:tc>
          <w:tcPr>
            <w:tcW w:w="2603" w:type="pct"/>
            <w:tcBorders>
              <w:bottom w:val="single" w:color="auto" w:sz="4" w:space="0"/>
            </w:tcBorders>
            <w:shd w:val="clear" w:color="auto" w:fill="auto"/>
            <w:vAlign w:val="center"/>
          </w:tcPr>
          <w:p w14:paraId="36E41780">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格式、填写要求符合招标文件规定并加盖投标人电子签章</w:t>
            </w:r>
          </w:p>
        </w:tc>
        <w:tc>
          <w:tcPr>
            <w:tcW w:w="1084" w:type="pct"/>
            <w:tcBorders>
              <w:bottom w:val="single" w:color="auto" w:sz="4" w:space="0"/>
            </w:tcBorders>
            <w:shd w:val="clear" w:color="auto" w:fill="auto"/>
            <w:vAlign w:val="center"/>
          </w:tcPr>
          <w:p w14:paraId="6ED15F6C">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olor w:val="auto"/>
                <w:sz w:val="24"/>
                <w:szCs w:val="20"/>
                <w:highlight w:val="none"/>
              </w:rPr>
              <w:t>详见第六章投标文件格式。</w:t>
            </w:r>
          </w:p>
        </w:tc>
      </w:tr>
    </w:tbl>
    <w:p w14:paraId="5EBA02D5">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36781231">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670C378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76B8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9A2316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b/>
                <w:bCs/>
                <w:color w:val="auto"/>
                <w:sz w:val="24"/>
                <w:szCs w:val="20"/>
                <w:highlight w:val="none"/>
              </w:rPr>
            </w:pPr>
            <w:r>
              <w:rPr>
                <w:rFonts w:hint="eastAsia" w:ascii="宋体" w:hAnsi="宋体" w:eastAsia="宋体"/>
                <w:b/>
                <w:bCs/>
                <w:color w:val="auto"/>
                <w:sz w:val="24"/>
                <w:szCs w:val="20"/>
                <w:highlight w:val="none"/>
              </w:rPr>
              <w:t>符合性审查表</w:t>
            </w:r>
          </w:p>
        </w:tc>
      </w:tr>
      <w:tr w14:paraId="1D6C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2D333EEF">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1242" w:type="pct"/>
            <w:tcBorders>
              <w:bottom w:val="single" w:color="auto" w:sz="4" w:space="0"/>
            </w:tcBorders>
            <w:vAlign w:val="center"/>
          </w:tcPr>
          <w:p w14:paraId="5D07FAF7">
            <w:pPr>
              <w:pStyle w:val="44"/>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olor w:val="auto"/>
                <w:kern w:val="2"/>
                <w:highlight w:val="none"/>
              </w:rPr>
            </w:pPr>
            <w:r>
              <w:rPr>
                <w:rFonts w:hint="eastAsia" w:ascii="宋体" w:hAnsi="宋体" w:eastAsia="宋体"/>
                <w:color w:val="auto"/>
                <w:kern w:val="2"/>
                <w:highlight w:val="none"/>
              </w:rPr>
              <w:t>审查指标</w:t>
            </w:r>
          </w:p>
        </w:tc>
        <w:tc>
          <w:tcPr>
            <w:tcW w:w="1835" w:type="pct"/>
            <w:tcBorders>
              <w:bottom w:val="single" w:color="auto" w:sz="4" w:space="0"/>
            </w:tcBorders>
            <w:vAlign w:val="center"/>
          </w:tcPr>
          <w:p w14:paraId="2797287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审查标准</w:t>
            </w:r>
          </w:p>
        </w:tc>
        <w:tc>
          <w:tcPr>
            <w:tcW w:w="1472" w:type="pct"/>
            <w:tcBorders>
              <w:bottom w:val="single" w:color="auto" w:sz="4" w:space="0"/>
            </w:tcBorders>
            <w:vAlign w:val="center"/>
          </w:tcPr>
          <w:p w14:paraId="7601419E">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7564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4848733">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w:t>
            </w:r>
          </w:p>
        </w:tc>
        <w:tc>
          <w:tcPr>
            <w:tcW w:w="1242" w:type="pct"/>
            <w:vAlign w:val="center"/>
          </w:tcPr>
          <w:p w14:paraId="06887347">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0"/>
                <w:highlight w:val="none"/>
              </w:rPr>
              <w:t>开标一览表</w:t>
            </w:r>
          </w:p>
        </w:tc>
        <w:tc>
          <w:tcPr>
            <w:tcW w:w="1835" w:type="pct"/>
            <w:vAlign w:val="center"/>
          </w:tcPr>
          <w:p w14:paraId="5E3154F7">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0606F236">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34FE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1C38D14">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2</w:t>
            </w:r>
          </w:p>
        </w:tc>
        <w:tc>
          <w:tcPr>
            <w:tcW w:w="1242" w:type="pct"/>
            <w:vAlign w:val="center"/>
          </w:tcPr>
          <w:p w14:paraId="46D81A20">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03224C56">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151BD8B1">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321B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A1D015F">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default" w:asciiTheme="minorEastAsia" w:hAnsiTheme="minorEastAsia" w:eastAsiaTheme="minorEastAsia"/>
                <w:color w:val="auto"/>
                <w:sz w:val="24"/>
                <w:szCs w:val="20"/>
                <w:highlight w:val="none"/>
              </w:rPr>
              <w:t>3</w:t>
            </w:r>
          </w:p>
        </w:tc>
        <w:tc>
          <w:tcPr>
            <w:tcW w:w="1242" w:type="pct"/>
            <w:vAlign w:val="center"/>
          </w:tcPr>
          <w:p w14:paraId="4239D3EE">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7505EDF8">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6DC4BA55">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法定代表人参加投标的无需此件，提供身份证明即可。详见第六章投标文件格式。</w:t>
            </w:r>
          </w:p>
        </w:tc>
      </w:tr>
      <w:tr w14:paraId="3206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21BDEDD">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p>
        </w:tc>
        <w:tc>
          <w:tcPr>
            <w:tcW w:w="1242" w:type="pct"/>
            <w:vAlign w:val="center"/>
          </w:tcPr>
          <w:p w14:paraId="24D1CB34">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0B0FD143">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szCs w:val="20"/>
                <w:highlight w:val="none"/>
              </w:rPr>
              <w:t>招标文件投标人须知正文第9条要求</w:t>
            </w:r>
          </w:p>
        </w:tc>
        <w:tc>
          <w:tcPr>
            <w:tcW w:w="1472" w:type="pct"/>
            <w:vAlign w:val="center"/>
          </w:tcPr>
          <w:p w14:paraId="0C117B2A">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361E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93678D0">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5</w:t>
            </w:r>
          </w:p>
        </w:tc>
        <w:tc>
          <w:tcPr>
            <w:tcW w:w="1242" w:type="pct"/>
            <w:vAlign w:val="center"/>
          </w:tcPr>
          <w:p w14:paraId="21D59CD2">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3430" w:type="dxa"/>
            <w:vAlign w:val="center"/>
          </w:tcPr>
          <w:p w14:paraId="453F0C30">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符合招标文件采购需求中对付款方式、供货及安装期限、供货及安装地点、免费质保期等实质性要求</w:t>
            </w:r>
          </w:p>
        </w:tc>
        <w:tc>
          <w:tcPr>
            <w:tcW w:w="1472" w:type="pct"/>
            <w:vAlign w:val="center"/>
          </w:tcPr>
          <w:p w14:paraId="49D5DC9A">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2237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7F6D382">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6</w:t>
            </w:r>
          </w:p>
        </w:tc>
        <w:tc>
          <w:tcPr>
            <w:tcW w:w="1242" w:type="pct"/>
            <w:vAlign w:val="center"/>
          </w:tcPr>
          <w:p w14:paraId="6FD2D01D">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3430" w:type="dxa"/>
            <w:vAlign w:val="center"/>
          </w:tcPr>
          <w:p w14:paraId="260C9FAA">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符合招标文件采购需求中货物技术参数等实质性要求</w:t>
            </w:r>
          </w:p>
        </w:tc>
        <w:tc>
          <w:tcPr>
            <w:tcW w:w="1472" w:type="pct"/>
            <w:vAlign w:val="center"/>
          </w:tcPr>
          <w:p w14:paraId="3F0C753D">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3685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117C5D6">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7</w:t>
            </w:r>
          </w:p>
        </w:tc>
        <w:tc>
          <w:tcPr>
            <w:tcW w:w="1242" w:type="pct"/>
            <w:vAlign w:val="center"/>
          </w:tcPr>
          <w:p w14:paraId="33FE6C55">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3430" w:type="dxa"/>
            <w:vAlign w:val="center"/>
          </w:tcPr>
          <w:p w14:paraId="31BDFEAC">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符合法律、行政法规规定的其他条件或招标文件列明的其他实质性要求</w:t>
            </w:r>
          </w:p>
        </w:tc>
        <w:tc>
          <w:tcPr>
            <w:tcW w:w="1472" w:type="pct"/>
            <w:vAlign w:val="center"/>
          </w:tcPr>
          <w:p w14:paraId="1894718E">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p>
        </w:tc>
      </w:tr>
    </w:tbl>
    <w:p w14:paraId="2A60785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45A584C6">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5A21082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2089738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71"/>
        <w:gridCol w:w="1710"/>
        <w:gridCol w:w="3754"/>
        <w:gridCol w:w="1587"/>
      </w:tblGrid>
      <w:tr w14:paraId="64D6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0F14BD1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类别</w:t>
            </w:r>
          </w:p>
        </w:tc>
        <w:tc>
          <w:tcPr>
            <w:tcW w:w="1003" w:type="pct"/>
            <w:tcBorders>
              <w:top w:val="single" w:color="auto" w:sz="4" w:space="0"/>
              <w:left w:val="nil"/>
              <w:bottom w:val="single" w:color="auto" w:sz="4" w:space="0"/>
              <w:right w:val="single" w:color="auto" w:sz="4" w:space="0"/>
            </w:tcBorders>
            <w:shd w:val="clear" w:color="auto" w:fill="auto"/>
            <w:vAlign w:val="center"/>
          </w:tcPr>
          <w:p w14:paraId="484C6F6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评分内容</w:t>
            </w:r>
          </w:p>
        </w:tc>
        <w:tc>
          <w:tcPr>
            <w:tcW w:w="2202" w:type="pct"/>
            <w:tcBorders>
              <w:top w:val="single" w:color="auto" w:sz="4" w:space="0"/>
              <w:left w:val="nil"/>
              <w:bottom w:val="single" w:color="auto" w:sz="4" w:space="0"/>
              <w:right w:val="single" w:color="auto" w:sz="4" w:space="0"/>
            </w:tcBorders>
            <w:shd w:val="clear" w:color="auto" w:fill="auto"/>
            <w:vAlign w:val="center"/>
          </w:tcPr>
          <w:p w14:paraId="288C1DF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评分标准</w:t>
            </w:r>
          </w:p>
        </w:tc>
        <w:tc>
          <w:tcPr>
            <w:tcW w:w="931" w:type="pct"/>
            <w:tcBorders>
              <w:top w:val="single" w:color="auto" w:sz="4" w:space="0"/>
              <w:left w:val="nil"/>
              <w:bottom w:val="single" w:color="auto" w:sz="4" w:space="0"/>
              <w:right w:val="single" w:color="auto" w:sz="4" w:space="0"/>
            </w:tcBorders>
            <w:shd w:val="clear" w:color="auto" w:fill="auto"/>
            <w:vAlign w:val="center"/>
          </w:tcPr>
          <w:p w14:paraId="42EDEDC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分值范围</w:t>
            </w:r>
          </w:p>
        </w:tc>
      </w:tr>
      <w:tr w14:paraId="5B02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restart"/>
            <w:tcBorders>
              <w:top w:val="nil"/>
              <w:left w:val="single" w:color="auto" w:sz="4" w:space="0"/>
              <w:bottom w:val="single" w:color="auto" w:sz="4" w:space="0"/>
              <w:right w:val="single" w:color="auto" w:sz="4" w:space="0"/>
            </w:tcBorders>
            <w:shd w:val="clear" w:color="auto" w:fill="auto"/>
            <w:vAlign w:val="center"/>
          </w:tcPr>
          <w:p w14:paraId="0CBA17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技术资信分</w:t>
            </w:r>
          </w:p>
          <w:p w14:paraId="0E37573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70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1628459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资信部分</w:t>
            </w:r>
          </w:p>
        </w:tc>
      </w:tr>
      <w:tr w14:paraId="2B5E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3225836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1A43CE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投标人业绩</w:t>
            </w:r>
          </w:p>
        </w:tc>
        <w:tc>
          <w:tcPr>
            <w:tcW w:w="2202" w:type="pct"/>
            <w:tcBorders>
              <w:top w:val="single" w:color="auto" w:sz="4" w:space="0"/>
              <w:left w:val="nil"/>
              <w:bottom w:val="single" w:color="auto" w:sz="4" w:space="0"/>
              <w:right w:val="single" w:color="auto" w:sz="4" w:space="0"/>
            </w:tcBorders>
            <w:shd w:val="clear" w:color="auto" w:fill="auto"/>
            <w:vAlign w:val="center"/>
          </w:tcPr>
          <w:p w14:paraId="3777F8F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自2022年1月1日以来（以合同签订时间为准），投标人具有虚拟仿真类项目业绩（业绩内容需至少包含虚拟仿真实训室、虚拟仿真实训教学平台中其中一项），每提供1个业绩得2分，满分4分。</w:t>
            </w:r>
          </w:p>
          <w:p w14:paraId="4CDEA15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注：（1）投标文件中提供业绩合同扫描件，时间以合同签订时间为准；若合同材料中无法体现签订时间、业绩内容等关键评审因素的，须另外提供业主（合同甲方）出具的盖章证明材料扫描件。投标供应商与其关联公司（单位负责人为同一人或者存在直接控股、管理关系的不同供应商）之间签订的合同，均不予认可。</w:t>
            </w:r>
          </w:p>
          <w:p w14:paraId="56ADF19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投标人投标时只须提供2个评审业绩，若投标人提供业绩个数超过2个，则按照排列顺序从首个业绩开始评审至对应数量（2个），超出部分业绩不进行评审。对应数量（2个）内业绩不符合招标文件要求不得分的，不再补充评审超出部分业绩。如：提供2个业绩即得满分的，按照投标文件排序评审第一、二项业绩，其余超出部分不再评审。</w:t>
            </w:r>
          </w:p>
        </w:tc>
        <w:tc>
          <w:tcPr>
            <w:tcW w:w="931" w:type="pct"/>
            <w:tcBorders>
              <w:top w:val="single" w:color="auto" w:sz="4" w:space="0"/>
              <w:left w:val="nil"/>
              <w:bottom w:val="single" w:color="auto" w:sz="4" w:space="0"/>
              <w:right w:val="single" w:color="auto" w:sz="4" w:space="0"/>
            </w:tcBorders>
            <w:shd w:val="clear" w:color="auto" w:fill="auto"/>
            <w:vAlign w:val="center"/>
          </w:tcPr>
          <w:p w14:paraId="776EF2D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0-4分</w:t>
            </w:r>
          </w:p>
        </w:tc>
      </w:tr>
      <w:tr w14:paraId="5C16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0C416C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607A12F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人员配备</w:t>
            </w:r>
          </w:p>
        </w:tc>
        <w:tc>
          <w:tcPr>
            <w:tcW w:w="2202" w:type="pct"/>
            <w:tcBorders>
              <w:top w:val="single" w:color="auto" w:sz="4" w:space="0"/>
              <w:left w:val="nil"/>
              <w:bottom w:val="single" w:color="auto" w:sz="4" w:space="0"/>
              <w:right w:val="single" w:color="auto" w:sz="4" w:space="0"/>
            </w:tcBorders>
            <w:shd w:val="clear" w:color="auto" w:fill="auto"/>
            <w:vAlign w:val="center"/>
          </w:tcPr>
          <w:p w14:paraId="5CBFE68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1、拟派本项目负责人：</w:t>
            </w:r>
          </w:p>
          <w:p w14:paraId="5357DC3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（1）具有人社部门、工业和信息化部门颁发的信息系统项目管理师证书；（2）具有人社部门、工业和信息化部门颁发的系统分析师证书。每提供一个得1分，最高得2分；</w:t>
            </w:r>
          </w:p>
          <w:p w14:paraId="075DE23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2、拟派本项目安全技术负责人：</w:t>
            </w:r>
          </w:p>
          <w:p w14:paraId="3CA2D2B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（1）具有人社部门、工业和信息化部门颁发的信息安全工程师证书；（2）具有人社部门、工业和信息化部门颁发的网络工程师证书。每提供一个得1分，最高得2分；</w:t>
            </w:r>
          </w:p>
          <w:p w14:paraId="2173953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3、拟派本项目团队成员（项目负责人、安全技术负责人除外）：</w:t>
            </w:r>
          </w:p>
          <w:p w14:paraId="33D69CD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具有人社部门、工业和信息化部门颁发的系统架构设计师或软件设计师或数据库系统工程师证书。每提供一个得0.5分，最高得2分（1人多证的只计1项得分）；</w:t>
            </w:r>
          </w:p>
          <w:p w14:paraId="425D4E3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注：拟派人员须为投标单位自有人员，且人员互相不得兼任。投标文件中须提供上述人员证书扫描件及社保部门出具的投标人为其缴纳的投标前近三个月内任意一个月的社保证明（含官网在线打印件，证明文件两个月内有效）【或投标人提供已为上述人员缴纳养老保险证明的承诺书（格式自拟）】，否则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0C57CB0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0-6分</w:t>
            </w:r>
          </w:p>
        </w:tc>
      </w:tr>
      <w:tr w14:paraId="181F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61D1F84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64D7271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技术部分</w:t>
            </w:r>
          </w:p>
        </w:tc>
      </w:tr>
      <w:tr w14:paraId="2252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6938438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61D2F27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技术参数及要求响应情况 </w:t>
            </w:r>
          </w:p>
        </w:tc>
        <w:tc>
          <w:tcPr>
            <w:tcW w:w="2202" w:type="pct"/>
            <w:tcBorders>
              <w:top w:val="single" w:color="auto" w:sz="4" w:space="0"/>
              <w:left w:val="nil"/>
              <w:bottom w:val="single" w:color="auto" w:sz="4" w:space="0"/>
              <w:right w:val="single" w:color="auto" w:sz="4" w:space="0"/>
            </w:tcBorders>
            <w:shd w:val="clear" w:color="auto" w:fill="auto"/>
            <w:vAlign w:val="center"/>
          </w:tcPr>
          <w:p w14:paraId="51DCE28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1.技术参数中标（▲）项，每有一项满足得2分，共24项，最多得48分；根据技术参数要求提供佐证材料，提供的材料不符合要求的不得分；</w:t>
            </w:r>
          </w:p>
          <w:p w14:paraId="7D52809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2.其它无标识项技术参数不作为评审项，但在合同签订后将作为履约验收的依据，</w:t>
            </w:r>
            <w:r>
              <w:rPr>
                <w:rFonts w:hint="eastAsia" w:ascii="宋体" w:hAnsi="宋体" w:eastAsia="宋体" w:cs="宋体"/>
                <w:b/>
                <w:bCs w:val="0"/>
                <w:color w:val="auto"/>
                <w:kern w:val="2"/>
                <w:sz w:val="24"/>
                <w:szCs w:val="24"/>
                <w:highlight w:val="none"/>
                <w:lang w:val="en-US" w:eastAsia="zh-CN" w:bidi="ar"/>
              </w:rPr>
              <w:t>投标人在投标文件中提供响应承诺函，承诺函格式自拟</w:t>
            </w:r>
            <w:r>
              <w:rPr>
                <w:rFonts w:hint="eastAsia" w:ascii="宋体" w:hAnsi="宋体" w:eastAsia="宋体" w:cs="宋体"/>
                <w:bCs/>
                <w:color w:val="auto"/>
                <w:kern w:val="2"/>
                <w:sz w:val="24"/>
                <w:szCs w:val="24"/>
                <w:highlight w:val="none"/>
                <w:lang w:val="en-US" w:eastAsia="zh-CN" w:bidi="ar"/>
              </w:rPr>
              <w:t>，但须明确体现上述内容，否则投标无效。</w:t>
            </w:r>
          </w:p>
          <w:p w14:paraId="66B7D83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注：（1）如某项标识中包含多条技术参数或要求，则该项标识所含内容均需满足或优于招标文件要求，否则不予认可。 </w:t>
            </w:r>
          </w:p>
          <w:p w14:paraId="148322E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以投标文件中相关证明材料要求作为评审依据。技术参数响应情况投标人须依据所投产品如实填写，若自填响应或正偏离，供货时实际产品不响应或负偏离，弄虚作假谋取中标资格的，采购人有权上报相关部门，按相关法律处理。</w:t>
            </w:r>
          </w:p>
        </w:tc>
        <w:tc>
          <w:tcPr>
            <w:tcW w:w="931" w:type="pct"/>
            <w:tcBorders>
              <w:top w:val="single" w:color="auto" w:sz="4" w:space="0"/>
              <w:left w:val="nil"/>
              <w:bottom w:val="single" w:color="auto" w:sz="4" w:space="0"/>
              <w:right w:val="single" w:color="auto" w:sz="4" w:space="0"/>
            </w:tcBorders>
            <w:shd w:val="clear" w:color="auto" w:fill="auto"/>
            <w:vAlign w:val="center"/>
          </w:tcPr>
          <w:p w14:paraId="4E3F5E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0-48分</w:t>
            </w:r>
          </w:p>
        </w:tc>
      </w:tr>
      <w:tr w14:paraId="2945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2B77AFB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6BDFDCE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技术实施方案</w:t>
            </w:r>
          </w:p>
        </w:tc>
        <w:tc>
          <w:tcPr>
            <w:tcW w:w="2202" w:type="pct"/>
            <w:tcBorders>
              <w:top w:val="single" w:color="auto" w:sz="4" w:space="0"/>
              <w:left w:val="nil"/>
              <w:bottom w:val="single" w:color="auto" w:sz="4" w:space="0"/>
              <w:right w:val="single" w:color="auto" w:sz="4" w:space="0"/>
            </w:tcBorders>
            <w:shd w:val="clear" w:color="auto" w:fill="auto"/>
            <w:vAlign w:val="center"/>
          </w:tcPr>
          <w:p w14:paraId="1874786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根据投标人针对本项目制定的技术实施方案进行评分：方案包括但不限于：①项目设计分析；②供货方案；③实施方案；④验收方案等。</w:t>
            </w:r>
          </w:p>
          <w:p w14:paraId="1EE3604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（1）项目设计分析全面、论述清晰，具有针对性，供货安装、验收等实施方案详尽，实施进度、安全保证方案及措施和协同配合方案完整且符合项目实际情况的，得4分；</w:t>
            </w:r>
          </w:p>
          <w:p w14:paraId="006581F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（2）项目设计分析简单、论述通顺，针对性不足，供货安装、验收等实施方案齐全，实施进度、安全保证方案及措施和协同配合方案简单且符合实际情况的，得3分；</w:t>
            </w:r>
          </w:p>
          <w:p w14:paraId="6CFFF0E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（3）项目设计分析不足、论述逻辑不通，缺乏针对性，供货安装、验收内容简单，施工进度、安全保证方案及措施和协同配合方案存在缺项，需要进一步完善的，得2分；</w:t>
            </w:r>
          </w:p>
          <w:p w14:paraId="203D990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21CF1A6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0-4分</w:t>
            </w:r>
          </w:p>
        </w:tc>
      </w:tr>
      <w:tr w14:paraId="3B49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DAF0E8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02B0A83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售后服务、培训方案</w:t>
            </w:r>
          </w:p>
        </w:tc>
        <w:tc>
          <w:tcPr>
            <w:tcW w:w="2202" w:type="pct"/>
            <w:tcBorders>
              <w:top w:val="single" w:color="auto" w:sz="4" w:space="0"/>
              <w:left w:val="nil"/>
              <w:bottom w:val="single" w:color="auto" w:sz="4" w:space="0"/>
              <w:right w:val="single" w:color="auto" w:sz="4" w:space="0"/>
            </w:tcBorders>
            <w:shd w:val="clear" w:color="auto" w:fill="auto"/>
            <w:vAlign w:val="center"/>
          </w:tcPr>
          <w:p w14:paraId="797E00E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投标人针对本项目提供售后服务与培训方案，包含但不限于：①售后与维保服务承诺、②响应方式、③响应时间、④人员配备、⑤培训计划等内容。</w:t>
            </w:r>
          </w:p>
          <w:p w14:paraId="33C8019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（1）售后服务措施详尽、维修响应时间及时、人员售后配置详细、培训计划详尽，能保障采购人获得高质量售后服务的，得5分；</w:t>
            </w:r>
          </w:p>
          <w:p w14:paraId="1175D35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（2）售后服务措施完整、维修响应时间及时、配置售后人员、具有培训计划的，得3分；</w:t>
            </w:r>
          </w:p>
          <w:p w14:paraId="25C34B1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（3）售后服务措施、维修响应时间、配置售后人员以及培训计划措施不全或存在不足，有待改善的，得1分；</w:t>
            </w:r>
          </w:p>
          <w:p w14:paraId="1B3C40CF">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217F818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0-5分</w:t>
            </w:r>
          </w:p>
        </w:tc>
      </w:tr>
      <w:tr w14:paraId="555F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12E4245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168AF5D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rPr>
              <w:t>质保</w:t>
            </w:r>
            <w:r>
              <w:rPr>
                <w:rFonts w:hint="eastAsia" w:ascii="宋体" w:hAnsi="宋体" w:eastAsia="宋体" w:cs="@仿宋_GB2312"/>
                <w:color w:val="auto"/>
                <w:kern w:val="2"/>
                <w:sz w:val="24"/>
                <w:szCs w:val="24"/>
                <w:highlight w:val="none"/>
                <w:lang w:val="en-US" w:eastAsia="zh-CN"/>
              </w:rPr>
              <w:t>承诺</w:t>
            </w:r>
          </w:p>
        </w:tc>
        <w:tc>
          <w:tcPr>
            <w:tcW w:w="2202" w:type="pct"/>
            <w:tcBorders>
              <w:top w:val="single" w:color="auto" w:sz="4" w:space="0"/>
              <w:left w:val="nil"/>
              <w:bottom w:val="single" w:color="auto" w:sz="4" w:space="0"/>
              <w:right w:val="single" w:color="auto" w:sz="4" w:space="0"/>
            </w:tcBorders>
            <w:shd w:val="clear" w:color="auto" w:fill="auto"/>
            <w:vAlign w:val="center"/>
          </w:tcPr>
          <w:p w14:paraId="3B4D8A4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本</w:t>
            </w:r>
            <w:r>
              <w:rPr>
                <w:rFonts w:hint="eastAsia" w:ascii="宋体" w:hAnsi="宋体" w:eastAsia="宋体" w:cs="@仿宋_GB2312"/>
                <w:color w:val="auto"/>
                <w:kern w:val="2"/>
                <w:sz w:val="24"/>
                <w:szCs w:val="24"/>
                <w:highlight w:val="none"/>
              </w:rPr>
              <w:t>项目免费质保为验收合格后3年，在免费质保的基础上，每增加一年免费质保得1分，满分3分；</w:t>
            </w:r>
          </w:p>
          <w:p w14:paraId="33C6494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提供承诺书并加盖公章，写明质保年限，不足一年的不予计分，格式自拟。</w:t>
            </w:r>
          </w:p>
        </w:tc>
        <w:tc>
          <w:tcPr>
            <w:tcW w:w="931" w:type="pct"/>
            <w:tcBorders>
              <w:top w:val="single" w:color="auto" w:sz="4" w:space="0"/>
              <w:left w:val="nil"/>
              <w:bottom w:val="single" w:color="auto" w:sz="4" w:space="0"/>
              <w:right w:val="single" w:color="auto" w:sz="4" w:space="0"/>
            </w:tcBorders>
            <w:shd w:val="clear" w:color="auto" w:fill="auto"/>
            <w:vAlign w:val="center"/>
          </w:tcPr>
          <w:p w14:paraId="5392225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0-3分</w:t>
            </w:r>
          </w:p>
        </w:tc>
      </w:tr>
      <w:tr w14:paraId="68FA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0DC1E6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w:t>
            </w:r>
          </w:p>
          <w:p w14:paraId="63C222A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6088C84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价格分统一采用低价优先法，即满足招标文件要求且投标价格最低的投标报价为评标基准价，其价格分为满分</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分。其他投标人的价格分统一按照下列公式计算：</w:t>
            </w:r>
          </w:p>
          <w:p w14:paraId="73460A1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投标报价得分＝（评标基准价/投标报价）×</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％×100</w:t>
            </w:r>
          </w:p>
        </w:tc>
      </w:tr>
    </w:tbl>
    <w:p w14:paraId="7C747F6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7FE3C94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444BCC8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r>
        <w:rPr>
          <w:rFonts w:hint="eastAsia" w:asciiTheme="minorEastAsia" w:hAnsiTheme="minorEastAsia" w:eastAsiaTheme="minorEastAsia"/>
          <w:color w:val="auto"/>
          <w:sz w:val="24"/>
          <w:highlight w:val="none"/>
        </w:rPr>
        <w:t>。</w:t>
      </w:r>
    </w:p>
    <w:p w14:paraId="7CB157C9">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三、无效投标条款</w:t>
      </w:r>
    </w:p>
    <w:p w14:paraId="71F5716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3.1投标文件有下列情形之一的,其投标文件拒收:</w:t>
      </w:r>
    </w:p>
    <w:p w14:paraId="37457DF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未在开标截止时间前通过网上招标投标系统递交有效电子投标文件的，开标系统不予接收，投标将被拒绝。</w:t>
      </w:r>
    </w:p>
    <w:p w14:paraId="612D253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0C32694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3.2投标人有下列情形之一的,资格审查后其投标作无效投标处理：</w:t>
      </w:r>
    </w:p>
    <w:p w14:paraId="443CD97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(1)投标人为本项目提供招标代理服务的；</w:t>
      </w:r>
    </w:p>
    <w:p w14:paraId="78E9335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(2)投标人与在本项目代理机构存在相互任职或工作的；</w:t>
      </w:r>
    </w:p>
    <w:p w14:paraId="7419114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(3)招标公告写明专门面向中小企业采购，投标人提供的货物非中小企业制造的；</w:t>
      </w:r>
    </w:p>
    <w:p w14:paraId="0206CB7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(4)要求供应商以联合体形式参加采购活动，投标人非联合体或者联合协议中中小企业合同金额未达到应当达到的比例；</w:t>
      </w:r>
    </w:p>
    <w:p w14:paraId="44E1470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(5)要求获得采购合同的供应商向中小企业分包，投标人未提供分包意向协议或者分包意向协议中中小企业合同金额未达到应当达到的比例；</w:t>
      </w:r>
    </w:p>
    <w:p w14:paraId="62707A7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(6)评标专家无法查看并检验电子投标文件中相关资料的；</w:t>
      </w:r>
    </w:p>
    <w:p w14:paraId="41184ED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(7)联合体投标未提交联合体协议的；</w:t>
      </w:r>
    </w:p>
    <w:p w14:paraId="3087E74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(8)责令停产停业的；</w:t>
      </w:r>
    </w:p>
    <w:p w14:paraId="5C18515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(9)暂停或者取消参与政府采购项目资格的；</w:t>
      </w:r>
    </w:p>
    <w:p w14:paraId="141988E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(10)投标人单位负责人为同一人或者存在（直接）控股、管理关系的不同单位的；</w:t>
      </w:r>
    </w:p>
    <w:p w14:paraId="7DA2765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(11)投标人基本资格条件和特定资格条件中有一项及以上不符合要求的；</w:t>
      </w:r>
    </w:p>
    <w:p w14:paraId="5F3B161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550F0C4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(13)其它情形，经评标委员会委提出按无效投标处理，并经公共资源交易监督部门核准的；</w:t>
      </w:r>
    </w:p>
    <w:p w14:paraId="297422E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(14)投标人投标MAC地址或投标人联系人或联系电话相同的，由评标委员会否决其投标，并报告监管部门作不良行为处理和进一步调查；</w:t>
      </w:r>
    </w:p>
    <w:p w14:paraId="2E7840A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(15)投标人单方面出现其他投标人材料的；</w:t>
      </w:r>
    </w:p>
    <w:p w14:paraId="44065A4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(16)招标公告未写明允许采购进口产品，投标人所投产品为进口产品的；</w:t>
      </w:r>
    </w:p>
    <w:p w14:paraId="0C435A3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(17)招标文件规定的其它无效投标情形。</w:t>
      </w:r>
    </w:p>
    <w:p w14:paraId="23CD4D4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投标人有下列情形之一的,符合性审查后其投标按无效投标处理：</w:t>
      </w:r>
    </w:p>
    <w:p w14:paraId="15A2FD6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(1)投标文件签字、盖章不全，经评标委员会一致认定对开评标内容有实质性影响并经公共资源交易监督部门核准的；</w:t>
      </w:r>
    </w:p>
    <w:p w14:paraId="4F4E8C7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(2)未按规定的格式填写导致实质性内容不全以及实质上不响应，或者关键字迹模糊、无法辨认；经公共资源交易监督部门核准的；</w:t>
      </w:r>
    </w:p>
    <w:p w14:paraId="3EFBB80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(3)同一投标人提交两个以上不同的投标文件或者投标报价，但招标文件规定提交备选方案的除外；</w:t>
      </w:r>
    </w:p>
    <w:p w14:paraId="2C289D6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(4)投标文件没有对招标文件的实质性要求和条件作出响应;</w:t>
      </w:r>
    </w:p>
    <w:p w14:paraId="311D7E6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(5)投标报价超出规定的投标限价或公布的采购预算的或投标人的投标报价各项单价高于招标文件给定的单价最高限价；</w:t>
      </w:r>
    </w:p>
    <w:p w14:paraId="371C824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(6)不按评标委员会要求澄清、说明或补正的，或者评标委员会根据招标文件的规定对投标文件的计算错误进行修正后，投标人不接受修正的投标报价的。</w:t>
      </w:r>
    </w:p>
    <w:p w14:paraId="004ECAD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(7)其它情形，经评标委员会委提出按无效投标处理，并经公共资源交易监督部门核准的；</w:t>
      </w:r>
    </w:p>
    <w:p w14:paraId="0A989C9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(8)投标文件含有采购人不能接受的附加条件的；</w:t>
      </w:r>
    </w:p>
    <w:p w14:paraId="6E84D90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(9)招标文件规定的其它无效投标情形。</w:t>
      </w:r>
    </w:p>
    <w:p w14:paraId="2E6332F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投标人有下列情形之一的, 详细评审后其投标按无效投标处理：</w:t>
      </w:r>
    </w:p>
    <w:p w14:paraId="36466B4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(1)投标产品不符合必须强制执行的国家标准的；</w:t>
      </w:r>
    </w:p>
    <w:p w14:paraId="660D550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(2)投标人有串通投标、弄虚作假、行贿等违法行为；</w:t>
      </w:r>
    </w:p>
    <w:p w14:paraId="3567D6D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(3)投标文件含有违反国家法律、法规的内容，或附有采购人不能接受的条件的；</w:t>
      </w:r>
    </w:p>
    <w:p w14:paraId="23DA1E3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(4)报价明显低于其他投标人，且不能证明报价合理性的投标无效；</w:t>
      </w:r>
    </w:p>
    <w:p w14:paraId="7B9EC1F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(5)拒不确认评标委员会评审修正的投标无效；</w:t>
      </w:r>
    </w:p>
    <w:p w14:paraId="56DA364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(6)其它情形，经评标委员会委提出按无效投标处理，并经公共资源交易监督部门核准的；</w:t>
      </w:r>
    </w:p>
    <w:p w14:paraId="7DE6B0F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(7)招标文件规定的其它无效投标情形。</w:t>
      </w:r>
    </w:p>
    <w:p w14:paraId="0577EEE7">
      <w:pPr>
        <w:spacing w:line="360" w:lineRule="auto"/>
        <w:ind w:firstLine="435"/>
        <w:rPr>
          <w:rFonts w:hint="eastAsia" w:asciiTheme="minorEastAsia" w:hAnsiTheme="minorEastAsia" w:eastAsiaTheme="minorEastAsia"/>
          <w:color w:val="auto"/>
          <w:sz w:val="24"/>
          <w:highlight w:val="none"/>
        </w:rPr>
      </w:pPr>
    </w:p>
    <w:p w14:paraId="2592A14E">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166796F">
      <w:pPr>
        <w:spacing w:line="360" w:lineRule="auto"/>
        <w:jc w:val="center"/>
        <w:outlineLvl w:val="0"/>
        <w:rPr>
          <w:rFonts w:hint="eastAsia" w:asciiTheme="minorEastAsia" w:hAnsiTheme="minorEastAsia" w:eastAsiaTheme="minorEastAsia"/>
          <w:b/>
          <w:color w:val="auto"/>
          <w:sz w:val="28"/>
          <w:highlight w:val="none"/>
        </w:rPr>
      </w:pPr>
      <w:bookmarkStart w:id="33" w:name="_Toc4682"/>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33"/>
    </w:p>
    <w:p w14:paraId="64B0AA36">
      <w:pPr>
        <w:pStyle w:val="9"/>
        <w:spacing w:after="0" w:line="360" w:lineRule="auto"/>
        <w:rPr>
          <w:rFonts w:hint="eastAsia" w:ascii="宋体" w:hAnsi="宋体" w:eastAsia="宋体" w:cs="宋体"/>
          <w:b/>
          <w:bCs/>
          <w:color w:val="auto"/>
          <w:spacing w:val="-20"/>
          <w:kern w:val="44"/>
          <w:sz w:val="24"/>
          <w:highlight w:val="none"/>
        </w:rPr>
      </w:pPr>
    </w:p>
    <w:p w14:paraId="057C3870">
      <w:pPr>
        <w:pStyle w:val="9"/>
        <w:spacing w:after="0" w:line="360" w:lineRule="auto"/>
        <w:jc w:val="center"/>
        <w:rPr>
          <w:rFonts w:hint="eastAsia" w:ascii="宋体" w:hAnsi="宋体" w:eastAsia="宋体" w:cs="宋体"/>
          <w:b/>
          <w:bCs/>
          <w:color w:val="auto"/>
          <w:spacing w:val="-20"/>
          <w:kern w:val="44"/>
          <w:sz w:val="24"/>
          <w:highlight w:val="none"/>
        </w:rPr>
      </w:pPr>
    </w:p>
    <w:p w14:paraId="4E5857C3">
      <w:pPr>
        <w:pStyle w:val="9"/>
        <w:spacing w:after="0" w:line="360" w:lineRule="auto"/>
        <w:jc w:val="center"/>
        <w:rPr>
          <w:rFonts w:hint="eastAsia" w:ascii="宋体" w:hAnsi="宋体" w:eastAsia="宋体" w:cs="宋体"/>
          <w:b/>
          <w:bCs/>
          <w:color w:val="auto"/>
          <w:spacing w:val="-20"/>
          <w:kern w:val="44"/>
          <w:sz w:val="24"/>
          <w:highlight w:val="none"/>
        </w:rPr>
      </w:pPr>
    </w:p>
    <w:p w14:paraId="7A6DE355">
      <w:pPr>
        <w:pStyle w:val="9"/>
        <w:spacing w:after="0" w:line="360" w:lineRule="auto"/>
        <w:jc w:val="center"/>
        <w:rPr>
          <w:rFonts w:hint="eastAsia" w:ascii="宋体" w:hAnsi="宋体" w:eastAsia="宋体" w:cs="宋体"/>
          <w:b/>
          <w:bCs/>
          <w:color w:val="auto"/>
          <w:spacing w:val="-20"/>
          <w:kern w:val="44"/>
          <w:sz w:val="24"/>
          <w:highlight w:val="none"/>
        </w:rPr>
      </w:pPr>
    </w:p>
    <w:p w14:paraId="1BC147F0">
      <w:pPr>
        <w:spacing w:line="360" w:lineRule="auto"/>
        <w:rPr>
          <w:rFonts w:hint="eastAsia" w:ascii="宋体" w:hAnsi="宋体" w:eastAsia="宋体" w:cs="宋体"/>
          <w:b/>
          <w:bCs/>
          <w:color w:val="auto"/>
          <w:spacing w:val="-20"/>
          <w:kern w:val="44"/>
          <w:sz w:val="24"/>
          <w:szCs w:val="24"/>
          <w:highlight w:val="none"/>
        </w:rPr>
      </w:pPr>
    </w:p>
    <w:p w14:paraId="742C74E5">
      <w:pPr>
        <w:pStyle w:val="9"/>
        <w:rPr>
          <w:rFonts w:hint="eastAsia" w:ascii="宋体" w:hAnsi="宋体" w:eastAsia="宋体" w:cs="宋体"/>
          <w:b/>
          <w:bCs/>
          <w:color w:val="auto"/>
          <w:spacing w:val="-20"/>
          <w:kern w:val="44"/>
          <w:sz w:val="24"/>
          <w:highlight w:val="none"/>
        </w:rPr>
      </w:pPr>
    </w:p>
    <w:p w14:paraId="330099A4">
      <w:pPr>
        <w:pStyle w:val="9"/>
        <w:rPr>
          <w:rFonts w:hint="eastAsia" w:ascii="宋体" w:hAnsi="宋体" w:eastAsia="宋体" w:cs="宋体"/>
          <w:b/>
          <w:bCs/>
          <w:color w:val="auto"/>
          <w:spacing w:val="-20"/>
          <w:kern w:val="44"/>
          <w:sz w:val="24"/>
          <w:highlight w:val="none"/>
        </w:rPr>
      </w:pPr>
    </w:p>
    <w:p w14:paraId="7672510E">
      <w:pPr>
        <w:spacing w:line="360" w:lineRule="auto"/>
        <w:rPr>
          <w:rFonts w:hint="eastAsia" w:ascii="宋体" w:hAnsi="宋体" w:eastAsia="宋体" w:cs="宋体"/>
          <w:b/>
          <w:bCs/>
          <w:color w:val="auto"/>
          <w:spacing w:val="-20"/>
          <w:kern w:val="44"/>
          <w:sz w:val="24"/>
          <w:szCs w:val="24"/>
          <w:highlight w:val="none"/>
        </w:rPr>
      </w:pPr>
    </w:p>
    <w:p w14:paraId="5FEA719F">
      <w:pPr>
        <w:pStyle w:val="9"/>
        <w:spacing w:line="360" w:lineRule="auto"/>
        <w:rPr>
          <w:rFonts w:hint="eastAsia"/>
          <w:color w:val="auto"/>
          <w:highlight w:val="none"/>
        </w:rPr>
      </w:pPr>
    </w:p>
    <w:p w14:paraId="56BE0289">
      <w:pPr>
        <w:spacing w:line="360" w:lineRule="auto"/>
        <w:rPr>
          <w:rFonts w:hint="eastAsia" w:ascii="宋体" w:hAnsi="宋体" w:eastAsia="宋体" w:cs="宋体"/>
          <w:b/>
          <w:bCs/>
          <w:color w:val="auto"/>
          <w:spacing w:val="-20"/>
          <w:kern w:val="44"/>
          <w:sz w:val="24"/>
          <w:szCs w:val="24"/>
          <w:highlight w:val="none"/>
        </w:rPr>
      </w:pPr>
    </w:p>
    <w:p w14:paraId="68E58D94">
      <w:pPr>
        <w:spacing w:line="360" w:lineRule="auto"/>
        <w:ind w:left="420" w:leftChars="200"/>
        <w:rPr>
          <w:rFonts w:hint="eastAsia" w:eastAsia="宋体" w:cs="Times New Roman" w:asciiTheme="minorEastAsia" w:hAnsiTheme="minorEastAsia"/>
          <w:i/>
          <w:iCs/>
          <w:color w:val="auto"/>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lang w:eastAsia="zh-CN"/>
        </w:rPr>
        <w:t>滁州职业技术学院虚拟仿真实训平台采购项目</w:t>
      </w:r>
    </w:p>
    <w:p w14:paraId="68C4C2A4">
      <w:pPr>
        <w:spacing w:line="360" w:lineRule="auto"/>
        <w:ind w:left="420" w:leftChars="200"/>
        <w:rPr>
          <w:rFonts w:hint="eastAsia"/>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DF46EBD">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0DA196F7">
      <w:pPr>
        <w:spacing w:line="360" w:lineRule="auto"/>
        <w:ind w:left="420" w:leftChars="200"/>
        <w:rPr>
          <w:rFonts w:hint="eastAsia" w:ascii="宋体" w:hAnsi="宋体" w:eastAsia="宋体" w:cs="宋体"/>
          <w:color w:val="auto"/>
          <w:sz w:val="24"/>
          <w:szCs w:val="24"/>
          <w:highlight w:val="none"/>
        </w:rPr>
      </w:pPr>
      <w:r>
        <w:rPr>
          <w:rFonts w:hint="eastAsia" w:cs="Times New Roman" w:asciiTheme="minorEastAsia" w:hAnsiTheme="minorEastAsia" w:eastAsiaTheme="minorEastAsia"/>
          <w:color w:val="auto"/>
          <w:sz w:val="24"/>
          <w:szCs w:val="24"/>
          <w:highlight w:val="none"/>
        </w:rPr>
        <w:t>甲方（采购人）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滁州职业技术学院</w:t>
      </w:r>
      <w:r>
        <w:rPr>
          <w:rFonts w:hint="eastAsia" w:ascii="宋体" w:hAnsi="宋体" w:eastAsia="宋体" w:cs="宋体"/>
          <w:color w:val="auto"/>
          <w:sz w:val="24"/>
          <w:szCs w:val="24"/>
          <w:highlight w:val="none"/>
          <w:u w:val="single"/>
        </w:rPr>
        <w:t xml:space="preserve"> </w:t>
      </w:r>
    </w:p>
    <w:p w14:paraId="5CA8EEAE">
      <w:pPr>
        <w:spacing w:line="360" w:lineRule="auto"/>
        <w:ind w:left="420" w:leftChars="200"/>
        <w:rPr>
          <w:rFonts w:hint="eastAsia" w:ascii="宋体" w:hAnsi="宋体" w:eastAsia="宋体" w:cs="宋体"/>
          <w:color w:val="auto"/>
          <w:sz w:val="24"/>
          <w:szCs w:val="24"/>
          <w:highlight w:val="none"/>
          <w:u w:val="single"/>
        </w:rPr>
      </w:pPr>
      <w:r>
        <w:rPr>
          <w:rFonts w:hint="eastAsia" w:cs="Times New Roman" w:asciiTheme="minorEastAsia" w:hAnsiTheme="minorEastAsia" w:eastAsiaTheme="minorEastAsia"/>
          <w:color w:val="auto"/>
          <w:sz w:val="24"/>
          <w:szCs w:val="24"/>
          <w:highlight w:val="none"/>
        </w:rPr>
        <w:t>乙方（中标人）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6AC48CF">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6DE9E273">
      <w:pPr>
        <w:spacing w:line="360" w:lineRule="auto"/>
        <w:rPr>
          <w:rFonts w:hint="eastAsia" w:ascii="宋体" w:hAnsi="宋体" w:eastAsia="宋体" w:cs="宋体"/>
          <w:color w:val="auto"/>
          <w:sz w:val="24"/>
          <w:szCs w:val="24"/>
          <w:highlight w:val="none"/>
        </w:rPr>
      </w:pPr>
    </w:p>
    <w:p w14:paraId="6403E0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1B03D27">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使 用 说 明</w:t>
      </w:r>
    </w:p>
    <w:p w14:paraId="051FF041">
      <w:pPr>
        <w:spacing w:line="360" w:lineRule="auto"/>
        <w:ind w:firstLine="480" w:firstLineChars="200"/>
        <w:rPr>
          <w:rFonts w:hint="eastAsia" w:ascii="宋体" w:hAnsi="宋体" w:eastAsia="宋体" w:cs="宋体"/>
          <w:color w:val="auto"/>
          <w:sz w:val="24"/>
          <w:szCs w:val="24"/>
          <w:highlight w:val="none"/>
        </w:rPr>
      </w:pPr>
    </w:p>
    <w:p w14:paraId="18A99D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1.本合同标准文本适用于购买现成货物的采购项目，不包括需要供应商定制开发、创新研发的货物采购项目。</w:t>
      </w:r>
    </w:p>
    <w:p w14:paraId="5A6886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2.本合同标准文本为政府采购货物买卖合同编制提供参考，可以结合采购项目具体情况，对文本作必要的调整修订后使用。</w:t>
      </w:r>
    </w:p>
    <w:p w14:paraId="36D91C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3.本合同标准文本各条款中，如涉及填写多家供应商、制造商，多种采购标的、分包主要内容等信息的，可根据采购项目具体情况添加信息项。</w:t>
      </w:r>
    </w:p>
    <w:p w14:paraId="7566E550">
      <w:pPr>
        <w:spacing w:line="360" w:lineRule="auto"/>
        <w:ind w:firstLine="480" w:firstLineChars="200"/>
        <w:rPr>
          <w:rFonts w:hint="eastAsia" w:ascii="宋体" w:hAnsi="宋体" w:eastAsia="宋体" w:cs="宋体"/>
          <w:color w:val="auto"/>
          <w:sz w:val="24"/>
          <w:szCs w:val="24"/>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0343E496">
      <w:pPr>
        <w:spacing w:line="360" w:lineRule="auto"/>
        <w:jc w:val="center"/>
        <w:outlineLvl w:val="1"/>
        <w:rPr>
          <w:rFonts w:hint="eastAsia" w:asciiTheme="minorEastAsia" w:hAnsiTheme="minorEastAsia" w:eastAsiaTheme="minorEastAsia"/>
          <w:b/>
          <w:color w:val="auto"/>
          <w:sz w:val="24"/>
          <w:highlight w:val="none"/>
        </w:rPr>
      </w:pPr>
      <w:bookmarkStart w:id="34" w:name="_Toc22209"/>
      <w:r>
        <w:rPr>
          <w:rFonts w:hint="eastAsia" w:asciiTheme="minorEastAsia" w:hAnsiTheme="minorEastAsia" w:eastAsiaTheme="minorEastAsia"/>
          <w:b/>
          <w:color w:val="auto"/>
          <w:sz w:val="24"/>
          <w:highlight w:val="none"/>
        </w:rPr>
        <w:t>第一节 政府采购合同协议书</w:t>
      </w:r>
      <w:bookmarkEnd w:id="34"/>
    </w:p>
    <w:p w14:paraId="53FED12E">
      <w:pPr>
        <w:adjustRightInd w:val="0"/>
        <w:snapToGrid w:val="0"/>
        <w:spacing w:line="360" w:lineRule="auto"/>
        <w:rPr>
          <w:rFonts w:hint="eastAsia" w:ascii="宋体" w:hAnsi="宋体" w:eastAsia="宋体" w:cs="宋体"/>
          <w:color w:val="auto"/>
          <w:sz w:val="24"/>
          <w:szCs w:val="24"/>
          <w:highlight w:val="none"/>
        </w:rPr>
      </w:pPr>
    </w:p>
    <w:p w14:paraId="56CF82E4">
      <w:pPr>
        <w:adjustRightInd w:val="0"/>
        <w:snapToGrid w:val="0"/>
        <w:spacing w:line="360" w:lineRule="auto"/>
        <w:ind w:left="4800" w:hanging="4800" w:hanging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lang w:eastAsia="zh-CN"/>
        </w:rPr>
        <w:t>滁州职业技术学院</w:t>
      </w:r>
      <w:r>
        <w:rPr>
          <w:rFonts w:hint="eastAsia" w:ascii="宋体" w:hAnsi="宋体" w:eastAsia="宋体" w:cs="宋体"/>
          <w:color w:val="auto"/>
          <w:sz w:val="24"/>
          <w:szCs w:val="24"/>
          <w:highlight w:val="none"/>
        </w:rPr>
        <w:t>（采购人、受采购人委托签订合同的单位或采购文件约定的合同甲方）</w:t>
      </w:r>
    </w:p>
    <w:p w14:paraId="7C49831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473AAC7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（联合体成员供应商或其他合同主体）（如有）</w:t>
      </w:r>
    </w:p>
    <w:p w14:paraId="3444261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乙方3（全称）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（联合体成员供应商或其他合同主体）（如有）</w:t>
      </w:r>
    </w:p>
    <w:p w14:paraId="73CB3888">
      <w:pPr>
        <w:spacing w:line="360" w:lineRule="auto"/>
        <w:rPr>
          <w:rFonts w:hint="eastAsia" w:ascii="宋体" w:hAnsi="宋体" w:eastAsia="宋体" w:cs="宋体"/>
          <w:color w:val="auto"/>
          <w:sz w:val="24"/>
          <w:szCs w:val="24"/>
          <w:highlight w:val="none"/>
        </w:rPr>
      </w:pPr>
    </w:p>
    <w:p w14:paraId="201CF802">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A66F27D">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062C3195">
      <w:pPr>
        <w:pStyle w:val="10"/>
        <w:numPr>
          <w:ilvl w:val="0"/>
          <w:numId w:val="2"/>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lang w:eastAsia="zh-CN"/>
        </w:rPr>
        <w:t>滁州职业技术学院虚拟仿真实训平台采购项目</w:t>
      </w:r>
      <w:r>
        <w:rPr>
          <w:rFonts w:hint="eastAsia" w:ascii="宋体" w:hAnsi="宋体" w:eastAsia="宋体" w:cs="宋体"/>
          <w:color w:val="auto"/>
          <w:sz w:val="24"/>
          <w:szCs w:val="24"/>
          <w:highlight w:val="none"/>
          <w:u w:val="single"/>
        </w:rPr>
        <w:t xml:space="preserve"> </w:t>
      </w:r>
    </w:p>
    <w:p w14:paraId="56E593FD">
      <w:pPr>
        <w:pStyle w:val="10"/>
        <w:numPr>
          <w:ilvl w:val="255"/>
          <w:numId w:val="0"/>
        </w:numPr>
        <w:tabs>
          <w:tab w:val="left" w:pos="999"/>
        </w:tabs>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采购项目编号：</w:t>
      </w:r>
      <w:r>
        <w:rPr>
          <w:rFonts w:hint="eastAsia" w:ascii="宋体" w:hAnsi="宋体" w:eastAsia="宋体" w:cs="宋体"/>
          <w:color w:val="auto"/>
          <w:sz w:val="24"/>
          <w:szCs w:val="24"/>
          <w:highlight w:val="none"/>
          <w:u w:val="single"/>
        </w:rPr>
        <w:t xml:space="preserve">                                   </w:t>
      </w:r>
    </w:p>
    <w:p w14:paraId="3B1AEB9D">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6A064F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79EA76F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采购标的及数量（台/套</w:t>
      </w:r>
      <w:r>
        <w:rPr>
          <w:rFonts w:hint="eastAsia" w:ascii="宋体" w:hAnsi="宋体" w:eastAsia="宋体" w:cs="宋体"/>
          <w:color w:val="auto"/>
          <w:sz w:val="24"/>
          <w:szCs w:val="24"/>
          <w:highlight w:val="none"/>
          <w:lang w:val="en"/>
        </w:rPr>
        <w:t>/个/架/组等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详见采购需求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DA60ADE">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
        </w:rPr>
        <w:t xml:space="preserve">     </w:t>
      </w:r>
      <w:r>
        <w:rPr>
          <w:rFonts w:hint="eastAsia" w:ascii="宋体" w:hAnsi="宋体" w:eastAsia="宋体" w:cs="宋体"/>
          <w:color w:val="auto"/>
          <w:sz w:val="24"/>
          <w:szCs w:val="24"/>
          <w:highlight w:val="none"/>
        </w:rPr>
        <w:t>规格型号：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p>
    <w:p w14:paraId="5F708263">
      <w:pPr>
        <w:adjustRightInd w:val="0"/>
        <w:snapToGrid w:val="0"/>
        <w:spacing w:line="360" w:lineRule="auto"/>
        <w:ind w:firstLine="1080" w:firstLineChars="4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采购标的的技术要求、商务要求具体见附件。</w:t>
      </w:r>
    </w:p>
    <w:p w14:paraId="5303F8FC">
      <w:pPr>
        <w:numPr>
          <w:ilvl w:val="255"/>
          <w:numId w:val="0"/>
        </w:numPr>
        <w:adjustRightInd w:val="0"/>
        <w:snapToGrid w:val="0"/>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①涉及信息类产品，请填写该产品关键部件的品牌、型号：</w:t>
      </w:r>
    </w:p>
    <w:p w14:paraId="3178ACE6">
      <w:pPr>
        <w:numPr>
          <w:ilvl w:val="255"/>
          <w:numId w:val="0"/>
        </w:numPr>
        <w:adjustRightInd w:val="0"/>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     标的名称：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
        </w:rPr>
        <w:t xml:space="preserve">               </w:t>
      </w:r>
      <w:r>
        <w:rPr>
          <w:rFonts w:hint="eastAsia" w:ascii="宋体" w:hAnsi="宋体" w:eastAsia="宋体" w:cs="宋体"/>
          <w:color w:val="auto"/>
          <w:kern w:val="0"/>
          <w:sz w:val="24"/>
          <w:szCs w:val="24"/>
          <w:highlight w:val="none"/>
          <w:u w:val="single"/>
        </w:rPr>
        <w:t xml:space="preserve">    </w:t>
      </w:r>
    </w:p>
    <w:p w14:paraId="7A1AD979">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E892BFD">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关键部件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36DAA4A">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p>
    <w:p w14:paraId="0D273C56">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2B23411B">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②涉及车辆采购，请填写是否属于新能源汽车：</w:t>
      </w:r>
    </w:p>
    <w:p w14:paraId="6744DB02">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数量：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21D33246">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11738C84">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4</w:t>
      </w:r>
      <w:r>
        <w:rPr>
          <w:rFonts w:hint="eastAsia" w:ascii="宋体" w:hAnsi="宋体" w:eastAsia="宋体" w:cs="宋体"/>
          <w:color w:val="auto"/>
          <w:sz w:val="24"/>
          <w:szCs w:val="24"/>
          <w:highlight w:val="none"/>
        </w:rPr>
        <w:t>）政府采购组织形式：</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政府集中采购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部门集中采购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分散采购</w:t>
      </w:r>
    </w:p>
    <w:p w14:paraId="288A345C">
      <w:pPr>
        <w:pStyle w:val="71"/>
        <w:numPr>
          <w:ilvl w:val="255"/>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）政府采购方式：</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公开招标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邀请招标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竞争性磋商</w:t>
      </w:r>
    </w:p>
    <w:p w14:paraId="6DB1FFEB">
      <w:pPr>
        <w:pStyle w:val="71"/>
        <w:numPr>
          <w:ilvl w:val="255"/>
          <w:numId w:val="0"/>
        </w:numPr>
        <w:snapToGrid w:val="0"/>
        <w:spacing w:line="360"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询价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单一来源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框架协议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   </w:t>
      </w:r>
    </w:p>
    <w:p w14:paraId="45BA9568">
      <w:pPr>
        <w:pStyle w:val="71"/>
        <w:numPr>
          <w:ilvl w:val="255"/>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（注：在框架协议采购的第二阶段，可选择使用该合同文本）</w:t>
      </w:r>
    </w:p>
    <w:p w14:paraId="3DE60984">
      <w:pPr>
        <w:pStyle w:val="71"/>
        <w:numPr>
          <w:ilvl w:val="255"/>
          <w:numId w:val="0"/>
        </w:numPr>
        <w:snapToGrid w:val="0"/>
        <w:spacing w:line="360" w:lineRule="auto"/>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中标（成交）采购标的制造商是否为中小企业：</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 xml:space="preserve">是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43CBE9F5">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本合同是否为专门面向中小企业的采购合同（中小企业预留合同）：</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3A64D11">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7FF6D364">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F1D740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CA09C0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否</w:t>
      </w:r>
    </w:p>
    <w:p w14:paraId="60A2F9B3">
      <w:p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分包主要内容：</w:t>
      </w:r>
      <w:r>
        <w:rPr>
          <w:rFonts w:hint="eastAsia" w:ascii="宋体" w:hAnsi="宋体" w:eastAsia="宋体" w:cs="宋体"/>
          <w:color w:val="auto"/>
          <w:sz w:val="24"/>
          <w:szCs w:val="24"/>
          <w:highlight w:val="none"/>
          <w:u w:val="single"/>
        </w:rPr>
        <w:t xml:space="preserve">     /                                      </w:t>
      </w:r>
    </w:p>
    <w:p w14:paraId="3C7EF191">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分包供应商/制造商名称（如供应商和制造商不同，请分别填写）：</w:t>
      </w:r>
    </w:p>
    <w:p w14:paraId="2B3CEA07">
      <w:p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                                         </w:t>
      </w:r>
    </w:p>
    <w:p w14:paraId="7471DF9A">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分包供应商/制造商类型（如果供应商和制造商不同，只填写制造商类型）：</w:t>
      </w:r>
    </w:p>
    <w:p w14:paraId="46EFFF3F">
      <w:pPr>
        <w:adjustRightInd w:val="0"/>
        <w:snapToGrid w:val="0"/>
        <w:spacing w:line="360" w:lineRule="auto"/>
        <w:ind w:firstLine="960" w:firstLineChars="40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小微型企业  </w:t>
      </w:r>
    </w:p>
    <w:p w14:paraId="61A16714">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残疾人福利性单位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监狱企业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p>
    <w:p w14:paraId="35843286">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8</w:t>
      </w:r>
      <w:r>
        <w:rPr>
          <w:rFonts w:hint="eastAsia" w:ascii="宋体" w:hAnsi="宋体" w:eastAsia="宋体" w:cs="宋体"/>
          <w:color w:val="auto"/>
          <w:sz w:val="24"/>
          <w:szCs w:val="24"/>
          <w:highlight w:val="none"/>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49A9E350">
      <w:pPr>
        <w:pStyle w:val="71"/>
        <w:tabs>
          <w:tab w:val="left" w:pos="1340"/>
        </w:tabs>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部分由外国投资者投资</w:t>
      </w:r>
    </w:p>
    <w:p w14:paraId="01292289">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9</w:t>
      </w:r>
      <w:r>
        <w:rPr>
          <w:rFonts w:hint="eastAsia" w:ascii="宋体" w:hAnsi="宋体" w:eastAsia="宋体" w:cs="宋体"/>
          <w:color w:val="auto"/>
          <w:sz w:val="24"/>
          <w:szCs w:val="24"/>
          <w:highlight w:val="none"/>
        </w:rPr>
        <w:t>）是否涉及进口产品：</w:t>
      </w:r>
    </w:p>
    <w:p w14:paraId="5BEE7BC6">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     </w:t>
      </w:r>
    </w:p>
    <w:p w14:paraId="13C15923">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国别：</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规格型号：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47CD1BF1">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536F1C31">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0</w:t>
      </w:r>
      <w:r>
        <w:rPr>
          <w:rFonts w:hint="eastAsia" w:ascii="宋体" w:hAnsi="宋体" w:eastAsia="宋体" w:cs="宋体"/>
          <w:color w:val="auto"/>
          <w:sz w:val="24"/>
          <w:szCs w:val="24"/>
          <w:highlight w:val="none"/>
        </w:rPr>
        <w:t>）是否涉及节能产品：</w:t>
      </w:r>
    </w:p>
    <w:p w14:paraId="0FEBDFBE">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是，《节能产品政府采购品目清单》的底级品目名称：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17C924A9">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67DE19E9">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6CB0B19A">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是否涉及环境标志产品：</w:t>
      </w:r>
    </w:p>
    <w:p w14:paraId="0C3D90CD">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是，《环境标志产品政府采购品目清单》的底级品目名称：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6611C662">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0BBA1981">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2DBFE7C2">
      <w:pPr>
        <w:pStyle w:val="71"/>
        <w:numPr>
          <w:ilvl w:val="255"/>
          <w:numId w:val="0"/>
        </w:numPr>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 xml:space="preserve">是否涉及绿色产品： </w:t>
      </w:r>
    </w:p>
    <w:p w14:paraId="1C0082CA">
      <w:pPr>
        <w:pStyle w:val="71"/>
        <w:spacing w:line="360" w:lineRule="auto"/>
        <w:ind w:firstLine="42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是，绿色产品政府采购相关政策确定的底级品目名称：</w:t>
      </w:r>
      <w:r>
        <w:rPr>
          <w:rFonts w:hint="eastAsia" w:ascii="宋体" w:hAnsi="宋体" w:eastAsia="宋体" w:cs="宋体"/>
          <w:color w:val="auto"/>
          <w:sz w:val="24"/>
          <w:szCs w:val="24"/>
          <w:highlight w:val="none"/>
          <w:u w:val="single"/>
        </w:rPr>
        <w:t xml:space="preserve">         </w:t>
      </w:r>
    </w:p>
    <w:p w14:paraId="0715A447">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553F948F">
      <w:pPr>
        <w:pStyle w:val="71"/>
        <w:spacing w:line="36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5C82C502">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1</w:t>
      </w:r>
      <w:r>
        <w:rPr>
          <w:rFonts w:hint="eastAsia" w:ascii="宋体" w:hAnsi="宋体" w:eastAsia="宋体" w:cs="宋体"/>
          <w:color w:val="auto"/>
          <w:sz w:val="24"/>
          <w:szCs w:val="24"/>
          <w:highlight w:val="none"/>
        </w:rPr>
        <w:t>）涉及商品包装和快递包装的，是否参考《商品包装政府采购需求标准（试行）》、《快递包装政府采购需求标准（试行）》明确产品及相关快递服务的具体包装要求：</w:t>
      </w:r>
    </w:p>
    <w:p w14:paraId="3571660D">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否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不涉及</w:t>
      </w:r>
    </w:p>
    <w:p w14:paraId="559AFA3F">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31B1621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p>
    <w:p w14:paraId="55F825E0">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p>
    <w:p w14:paraId="027E246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分包金额（如有）小写：</w:t>
      </w:r>
      <w:r>
        <w:rPr>
          <w:rFonts w:hint="eastAsia" w:ascii="宋体" w:hAnsi="宋体" w:eastAsia="宋体" w:cs="宋体"/>
          <w:color w:val="auto"/>
          <w:sz w:val="24"/>
          <w:szCs w:val="24"/>
          <w:highlight w:val="none"/>
          <w:u w:val="single"/>
        </w:rPr>
        <w:t xml:space="preserve">    /              </w:t>
      </w:r>
    </w:p>
    <w:p w14:paraId="7853E7F3">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               </w:t>
      </w:r>
    </w:p>
    <w:p w14:paraId="1D32D90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（注：固定单价合同应填写单价和最高限价）</w:t>
      </w:r>
    </w:p>
    <w:p w14:paraId="32A0371D">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（2）合同定价方式（采用组合定价方式的，可以勾选多项）：</w:t>
      </w:r>
    </w:p>
    <w:p w14:paraId="6772AC6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 xml:space="preserve">固定单价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固定费率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绩效激励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r>
        <w:rPr>
          <w:rFonts w:hint="eastAsia" w:ascii="宋体" w:hAnsi="宋体" w:eastAsia="宋体" w:cs="宋体"/>
          <w:color w:val="auto"/>
          <w:sz w:val="24"/>
          <w:szCs w:val="24"/>
          <w:highlight w:val="none"/>
          <w:u w:val="single"/>
        </w:rPr>
        <w:t xml:space="preserve">  /    </w:t>
      </w:r>
    </w:p>
    <w:p w14:paraId="2EBD8E93">
      <w:pPr>
        <w:pStyle w:val="7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（3）付款方式（按项目实际勾选填写）：</w:t>
      </w:r>
    </w:p>
    <w:p w14:paraId="7A10700C">
      <w:pPr>
        <w:adjustRightInd w:val="0"/>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                    </w:t>
      </w:r>
    </w:p>
    <w:p w14:paraId="689F7D3C">
      <w:pPr>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w:t>
      </w:r>
    </w:p>
    <w:p w14:paraId="1C421F18">
      <w:pP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其中涉及预付款的：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9E26BAC">
      <w:pPr>
        <w:adjustRightInd w:val="0"/>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    </w:t>
      </w:r>
    </w:p>
    <w:p w14:paraId="550B75D7">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    </w:t>
      </w:r>
    </w:p>
    <w:p w14:paraId="453CC8DF">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合同履行</w:t>
      </w:r>
    </w:p>
    <w:p w14:paraId="6996EAC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3273A6B">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（2）履约地点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采购人指定地点          </w:t>
      </w:r>
    </w:p>
    <w:p w14:paraId="067595A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rPr>
        <w:t>是否收取履约保证金：</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273E54ED">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收取履约保证金形式：</w:t>
      </w:r>
      <w:r>
        <w:rPr>
          <w:rFonts w:hint="eastAsia" w:ascii="宋体" w:hAnsi="宋体" w:eastAsia="宋体" w:cs="宋体"/>
          <w:bCs/>
          <w:color w:val="auto"/>
          <w:sz w:val="24"/>
          <w:szCs w:val="24"/>
          <w:highlight w:val="none"/>
          <w:u w:val="single"/>
        </w:rPr>
        <w:t xml:space="preserve">                            </w:t>
      </w:r>
    </w:p>
    <w:p w14:paraId="7ACB8F70">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收取履约保证金金额：</w:t>
      </w:r>
      <w:r>
        <w:rPr>
          <w:rFonts w:hint="eastAsia" w:ascii="宋体" w:hAnsi="宋体" w:eastAsia="宋体" w:cs="宋体"/>
          <w:bCs/>
          <w:color w:val="auto"/>
          <w:sz w:val="24"/>
          <w:szCs w:val="24"/>
          <w:highlight w:val="none"/>
          <w:u w:val="single"/>
        </w:rPr>
        <w:t xml:space="preserve">                            </w:t>
      </w:r>
    </w:p>
    <w:p w14:paraId="5422934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履约担保期限：</w:t>
      </w:r>
      <w:r>
        <w:rPr>
          <w:rFonts w:hint="eastAsia" w:ascii="宋体" w:hAnsi="宋体" w:eastAsia="宋体" w:cs="宋体"/>
          <w:bCs/>
          <w:color w:val="auto"/>
          <w:sz w:val="24"/>
          <w:szCs w:val="24"/>
          <w:highlight w:val="none"/>
          <w:u w:val="single"/>
        </w:rPr>
        <w:t xml:space="preserve">                                  </w:t>
      </w:r>
    </w:p>
    <w:p w14:paraId="720C1F69">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                                                   </w:t>
      </w:r>
    </w:p>
    <w:p w14:paraId="1C4FE21C">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（5）风险处置措施和替代方案：</w:t>
      </w:r>
      <w:r>
        <w:rPr>
          <w:rFonts w:hint="eastAsia" w:ascii="宋体" w:hAnsi="宋体" w:eastAsia="宋体" w:cs="宋体"/>
          <w:color w:val="auto"/>
          <w:sz w:val="24"/>
          <w:szCs w:val="24"/>
          <w:highlight w:val="none"/>
          <w:u w:val="single"/>
        </w:rPr>
        <w:t xml:space="preserve">       /                                                      </w:t>
      </w:r>
    </w:p>
    <w:p w14:paraId="5301A81A">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2EC16B89">
      <w:pPr>
        <w:numPr>
          <w:ilvl w:val="0"/>
          <w:numId w:val="3"/>
        </w:num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7DB7CC4A">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验收主体：</w:t>
      </w:r>
      <w:r>
        <w:rPr>
          <w:rFonts w:hint="eastAsia" w:ascii="宋体" w:hAnsi="宋体" w:eastAsia="宋体" w:cs="宋体"/>
          <w:bCs/>
          <w:color w:val="auto"/>
          <w:sz w:val="24"/>
          <w:szCs w:val="24"/>
          <w:highlight w:val="none"/>
          <w:u w:val="single"/>
        </w:rPr>
        <w:t xml:space="preserve">   采购人        </w:t>
      </w:r>
    </w:p>
    <w:p w14:paraId="3701EB00">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是否邀请本项目的其他供应商参加验收：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636064E">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是否邀请专家参加验收：</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2F66701">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否</w:t>
      </w:r>
    </w:p>
    <w:p w14:paraId="7EFFC8A1">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3BD41592">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0D191C9">
      <w:pPr>
        <w:adjustRightInd w:val="0"/>
        <w:snapToGrid w:val="0"/>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u w:val="single"/>
        </w:rPr>
        <w:t>（应明确对被破坏的检测产品的处理方式）</w:t>
      </w:r>
    </w:p>
    <w:p w14:paraId="29AD1540">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359F410">
      <w:pPr>
        <w:adjustRightInd w:val="0"/>
        <w:snapToGrid w:val="0"/>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6CB7C94A">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 xml:space="preserve"> 供应商提出验收申请之日起5日内组织验收 </w:t>
      </w:r>
    </w:p>
    <w:p w14:paraId="2F33120D">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一次性验收         </w:t>
      </w:r>
    </w:p>
    <w:p w14:paraId="4E16404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u w:val="single"/>
        </w:rPr>
        <w:t xml:space="preserve"> /  </w:t>
      </w:r>
    </w:p>
    <w:p w14:paraId="6CFA53F9">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3B0D63DE">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（应当包括每一项技术和商务要求的履约情况，特别是落实政府采购扶持中小企业，支持绿色发展和乡村振兴等政策情况）                                      </w:t>
      </w:r>
    </w:p>
    <w:p w14:paraId="2F20FC65">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符合国家标准                     </w:t>
      </w:r>
    </w:p>
    <w:p w14:paraId="717C27DD">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否</w:t>
      </w:r>
    </w:p>
    <w:p w14:paraId="2DB51539">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          </w:t>
      </w:r>
    </w:p>
    <w:p w14:paraId="14251BDA">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0682B43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09380E5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62C1004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0115CD1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3B92EF8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7B7D6BD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038D3C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250C5ED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758E9288">
      <w:pPr>
        <w:pStyle w:val="71"/>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5C77CA0A">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524FF6D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双方加盖印章之后             </w:t>
      </w:r>
      <w:r>
        <w:rPr>
          <w:rFonts w:hint="eastAsia" w:ascii="宋体" w:hAnsi="宋体" w:eastAsia="宋体" w:cs="宋体"/>
          <w:color w:val="auto"/>
          <w:sz w:val="24"/>
          <w:szCs w:val="24"/>
          <w:highlight w:val="none"/>
        </w:rPr>
        <w:t>生效。</w:t>
      </w:r>
    </w:p>
    <w:p w14:paraId="2F3AB95C">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0398E6A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六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份，均具有同等法律效力。</w:t>
      </w:r>
    </w:p>
    <w:p w14:paraId="628F649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49306E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滁州职业技术学院</w:t>
      </w:r>
      <w:r>
        <w:rPr>
          <w:rFonts w:hint="eastAsia" w:ascii="宋体" w:hAnsi="宋体" w:eastAsia="宋体" w:cs="宋体"/>
          <w:color w:val="auto"/>
          <w:sz w:val="24"/>
          <w:szCs w:val="24"/>
          <w:highlight w:val="none"/>
          <w:u w:val="single"/>
        </w:rPr>
        <w:t xml:space="preserve">       </w:t>
      </w:r>
    </w:p>
    <w:p w14:paraId="0E2259B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附件：具体标的及其技术要求和商务要求、联合协议、分包意向协议等。</w:t>
      </w:r>
    </w:p>
    <w:p w14:paraId="49E5D3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1378F7D">
      <w:pPr>
        <w:pStyle w:val="72"/>
        <w:spacing w:line="360" w:lineRule="auto"/>
        <w:ind w:firstLine="480"/>
        <w:rPr>
          <w:rFonts w:hint="eastAsia" w:ascii="宋体" w:hAnsi="宋体" w:eastAsia="宋体" w:cs="宋体"/>
          <w:color w:val="auto"/>
          <w:sz w:val="24"/>
          <w:szCs w:val="24"/>
          <w:highlight w:val="none"/>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70D16E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1F12F1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7C8CA5E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1E6777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EBEC60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F90BF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E9679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747A992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0306D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F89085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6ED0A0E1">
            <w:pPr>
              <w:keepNext w:val="0"/>
              <w:keepLines w:val="0"/>
              <w:suppressLineNumbers w:val="0"/>
              <w:adjustRightInd w:val="0"/>
              <w:snapToGrid w:val="0"/>
              <w:spacing w:before="0" w:beforeAutospacing="0" w:after="0" w:afterAutospacing="0" w:line="360" w:lineRule="auto"/>
              <w:ind w:left="0" w:right="0" w:firstLine="115" w:firstLineChars="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664D441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3F1A1DD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3B49AE5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5E2652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470A8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6C5F8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14DE64E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5A4E8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拥有者性别</w:t>
            </w:r>
          </w:p>
        </w:tc>
        <w:tc>
          <w:tcPr>
            <w:tcW w:w="1259" w:type="pct"/>
            <w:tcBorders>
              <w:top w:val="single" w:color="auto" w:sz="2" w:space="0"/>
              <w:left w:val="single" w:color="auto" w:sz="2" w:space="0"/>
              <w:bottom w:val="single" w:color="auto" w:sz="2" w:space="0"/>
            </w:tcBorders>
            <w:vAlign w:val="center"/>
          </w:tcPr>
          <w:p w14:paraId="4F43FE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B07BA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841FDD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18BBD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26A8BF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259" w:type="pct"/>
            <w:tcBorders>
              <w:top w:val="single" w:color="auto" w:sz="2" w:space="0"/>
              <w:left w:val="single" w:color="auto" w:sz="2" w:space="0"/>
              <w:bottom w:val="single" w:color="auto" w:sz="2" w:space="0"/>
            </w:tcBorders>
            <w:vAlign w:val="center"/>
          </w:tcPr>
          <w:p w14:paraId="6066602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CDF15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D0E1B2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E6419E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B1C04A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03A5447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F798C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23E4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AF37AE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2AF399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34978C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2593FA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1B3893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DB0DBF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62B82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259" w:type="pct"/>
            <w:tcBorders>
              <w:top w:val="single" w:color="auto" w:sz="2" w:space="0"/>
              <w:left w:val="single" w:color="auto" w:sz="2" w:space="0"/>
              <w:bottom w:val="single" w:color="auto" w:sz="2" w:space="0"/>
            </w:tcBorders>
            <w:vAlign w:val="center"/>
          </w:tcPr>
          <w:p w14:paraId="694114E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5DD65D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3AA90E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F04D82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7FD03D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0457749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62594B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CE00D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64416C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BCE00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21BFB4D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17B7D7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3D18C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0AD97C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BCE2F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2EE21EB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6862F7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9F982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0BED26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CA7DD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53540B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7A0467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E513C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431D60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FD095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72DA996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77A131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ECA80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1A8C6D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3AEC7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400EE8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7355B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98B61D1">
            <w:pPr>
              <w:pStyle w:val="10"/>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4F263AF5">
      <w:pPr>
        <w:pStyle w:val="3"/>
        <w:adjustRightInd w:val="0"/>
        <w:snapToGrid w:val="0"/>
        <w:spacing w:before="156"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bookmarkStart w:id="35" w:name="_Toc27624"/>
      <w:r>
        <w:rPr>
          <w:rFonts w:hint="eastAsia" w:cs="@仿宋_GB2312" w:asciiTheme="minorEastAsia" w:hAnsiTheme="minorEastAsia" w:eastAsiaTheme="minorEastAsia"/>
          <w:bCs w:val="0"/>
          <w:color w:val="auto"/>
          <w:sz w:val="24"/>
          <w:szCs w:val="20"/>
          <w:highlight w:val="none"/>
        </w:rPr>
        <w:t>第二节 政府采购合同通用条款</w:t>
      </w:r>
      <w:bookmarkEnd w:id="35"/>
    </w:p>
    <w:p w14:paraId="2137AC7A">
      <w:pPr>
        <w:tabs>
          <w:tab w:val="left" w:pos="8820"/>
          <w:tab w:val="left" w:pos="9345"/>
          <w:tab w:val="left" w:pos="9765"/>
        </w:tabs>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b/>
          <w:bCs/>
          <w:color w:val="auto"/>
          <w:sz w:val="24"/>
          <w:szCs w:val="24"/>
          <w:highlight w:val="none"/>
        </w:rPr>
        <w:t>定义</w:t>
      </w:r>
    </w:p>
    <w:p w14:paraId="65A04CE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7D9866B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46042AB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203427A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4AA04898">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5D4CF00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1CF78FF">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76E47D73">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技术资料和材料等。</w:t>
      </w:r>
    </w:p>
    <w:p w14:paraId="59E9366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05A1DB1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0EF20774">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445CAC4D">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3360B666">
      <w:pPr>
        <w:numPr>
          <w:ilvl w:val="0"/>
          <w:numId w:val="4"/>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477D042D">
      <w:pPr>
        <w:autoSpaceDE w:val="0"/>
        <w:autoSpaceDN w:val="0"/>
        <w:adjustRightInd w:val="0"/>
        <w:snapToGrid w:val="0"/>
        <w:spacing w:line="360" w:lineRule="auto"/>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68242294">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78826EE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24A84EE0">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甲方的权利和义务</w:t>
      </w:r>
    </w:p>
    <w:p w14:paraId="029245E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0DFBFC2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69DDFF1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263238F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394EAC1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60B1E02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7826429F">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乙方的权利和义务</w:t>
      </w:r>
    </w:p>
    <w:p w14:paraId="3FCA4CC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739218C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A2E5835">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5.3乙方有权根据合同约定向甲方收取合同价款。</w:t>
      </w:r>
    </w:p>
    <w:p w14:paraId="2B895A24">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5.4国家法律法规规定及</w:t>
      </w:r>
      <w:r>
        <w:rPr>
          <w:rFonts w:hint="eastAsia" w:ascii="宋体" w:hAnsi="宋体" w:eastAsia="宋体" w:cs="宋体"/>
          <w:b/>
          <w:bCs/>
          <w:color w:val="auto"/>
          <w:sz w:val="24"/>
          <w:highlight w:val="none"/>
        </w:rPr>
        <w:t>【政府采购合同专用条款】</w:t>
      </w:r>
      <w:r>
        <w:rPr>
          <w:rFonts w:hint="eastAsia" w:ascii="宋体" w:hAnsi="宋体" w:eastAsia="宋体" w:cs="宋体"/>
          <w:color w:val="auto"/>
          <w:sz w:val="24"/>
          <w:highlight w:val="none"/>
        </w:rPr>
        <w:t>约定应由乙方承担的其他义务和责任。</w:t>
      </w:r>
    </w:p>
    <w:p w14:paraId="38C7686D">
      <w:pPr>
        <w:numPr>
          <w:ilvl w:val="0"/>
          <w:numId w:val="5"/>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w:t>
      </w:r>
    </w:p>
    <w:p w14:paraId="79B5EAA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08895FC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265C2C86">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货物包装、运输、保险和交付要求</w:t>
      </w:r>
    </w:p>
    <w:p w14:paraId="1454248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w:t>
      </w:r>
      <w:r>
        <w:rPr>
          <w:rFonts w:hint="eastAsia" w:ascii="宋体" w:hAnsi="宋体" w:eastAsia="宋体" w:cs="宋体"/>
          <w:bCs/>
          <w:color w:val="auto"/>
          <w:sz w:val="24"/>
          <w:szCs w:val="24"/>
          <w:highlight w:val="none"/>
        </w:rPr>
        <w:t>涉及商品包装、快递包装的，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约定的</w:t>
      </w:r>
      <w:r>
        <w:rPr>
          <w:rFonts w:hint="eastAsia" w:ascii="宋体" w:hAnsi="宋体" w:eastAsia="宋体" w:cs="宋体"/>
          <w:color w:val="auto"/>
          <w:sz w:val="24"/>
          <w:szCs w:val="24"/>
          <w:highlight w:val="none"/>
        </w:rPr>
        <w:t>指定现场。</w:t>
      </w:r>
    </w:p>
    <w:p w14:paraId="37BB771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368B69D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7BB5425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B2697C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151966AA">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6DE29713">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质量标准和保证</w:t>
      </w:r>
    </w:p>
    <w:p w14:paraId="6A2DD5BD">
      <w:pPr>
        <w:pStyle w:val="13"/>
        <w:adjustRightInd w:val="0"/>
        <w:snapToGrid w:val="0"/>
        <w:spacing w:line="360" w:lineRule="auto"/>
        <w:ind w:firstLine="480" w:firstLineChars="200"/>
        <w:jc w:val="left"/>
        <w:rPr>
          <w:rFonts w:hint="eastAsia" w:hAnsi="宋体" w:eastAsia="宋体" w:cs="宋体"/>
          <w:b/>
          <w:color w:val="auto"/>
          <w:sz w:val="24"/>
          <w:szCs w:val="24"/>
          <w:highlight w:val="none"/>
        </w:rPr>
      </w:pPr>
      <w:r>
        <w:rPr>
          <w:rFonts w:hint="eastAsia" w:hAnsi="宋体" w:eastAsia="宋体" w:cs="宋体"/>
          <w:color w:val="auto"/>
          <w:sz w:val="24"/>
          <w:szCs w:val="24"/>
          <w:highlight w:val="none"/>
        </w:rPr>
        <w:t>8.1 质量标准</w:t>
      </w:r>
    </w:p>
    <w:p w14:paraId="1746928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2F91732">
      <w:pPr>
        <w:pStyle w:val="13"/>
        <w:adjustRightInd w:val="0"/>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（2）采用中华人民共和国法定计量单位。</w:t>
      </w:r>
    </w:p>
    <w:p w14:paraId="5B9EA22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05BD68E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44F5F75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2D5783B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规定或乙方书面承诺（两者以较长的为准）的质量保证期内，本保证保持有效。</w:t>
      </w:r>
    </w:p>
    <w:p w14:paraId="60187F7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3AD4A23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47FD580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043CD8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788CC7EF">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权利瑕疵担保</w:t>
      </w:r>
    </w:p>
    <w:p w14:paraId="7A6419D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606ACA0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644052D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0765BDE9">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知识产权保护</w:t>
      </w:r>
    </w:p>
    <w:p w14:paraId="55480B7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w:t>
      </w:r>
      <w:bookmarkStart w:id="36"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36"/>
      <w:r>
        <w:rPr>
          <w:rFonts w:hint="eastAsia" w:ascii="宋体" w:hAnsi="宋体" w:eastAsia="宋体" w:cs="宋体"/>
          <w:color w:val="auto"/>
          <w:sz w:val="24"/>
          <w:szCs w:val="24"/>
          <w:highlight w:val="none"/>
        </w:rPr>
        <w:t>。</w:t>
      </w:r>
    </w:p>
    <w:p w14:paraId="5A7C2A97">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保密义务</w:t>
      </w:r>
    </w:p>
    <w:p w14:paraId="3DC9EEA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0C0283F6">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合同价款支付</w:t>
      </w:r>
    </w:p>
    <w:p w14:paraId="0AFC904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5DF7D95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7A14F2FA">
      <w:pPr>
        <w:pStyle w:val="9"/>
        <w:spacing w:after="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w:t>
      </w:r>
      <w:r>
        <w:rPr>
          <w:rFonts w:hint="eastAsia" w:ascii="宋体" w:hAnsi="宋体" w:eastAsia="宋体" w:cs="宋体"/>
          <w:b/>
          <w:bCs/>
          <w:color w:val="auto"/>
          <w:sz w:val="24"/>
          <w:highlight w:val="none"/>
          <w:lang w:val="en-US"/>
        </w:rPr>
        <w:t xml:space="preserve"> </w:t>
      </w:r>
      <w:r>
        <w:rPr>
          <w:rFonts w:hint="eastAsia" w:ascii="宋体" w:hAnsi="宋体" w:eastAsia="宋体" w:cs="宋体"/>
          <w:b/>
          <w:bCs/>
          <w:color w:val="auto"/>
          <w:sz w:val="24"/>
          <w:highlight w:val="none"/>
        </w:rPr>
        <w:t>履约保证金</w:t>
      </w:r>
    </w:p>
    <w:p w14:paraId="47ACF10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3BA5337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3E7FB340">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4568F262">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14. </w:t>
      </w:r>
      <w:r>
        <w:rPr>
          <w:rFonts w:hint="eastAsia" w:ascii="宋体" w:hAnsi="宋体" w:eastAsia="宋体" w:cs="宋体"/>
          <w:b/>
          <w:color w:val="auto"/>
          <w:sz w:val="24"/>
          <w:szCs w:val="24"/>
          <w:highlight w:val="none"/>
        </w:rPr>
        <w:t>售后服务</w:t>
      </w:r>
    </w:p>
    <w:p w14:paraId="6F81AF7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7DE8A23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7BB0FBD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6CD8523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302E1E8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40199806">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5F2EF72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445C763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2D1A731A">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违约责任</w:t>
      </w:r>
    </w:p>
    <w:p w14:paraId="396C062E">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15.1质量瑕疵的违约责任</w:t>
      </w:r>
    </w:p>
    <w:p w14:paraId="0028366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rPr>
        <w:t>及时修理、重作、更换，并承担由此给甲方造成的损失。</w:t>
      </w:r>
    </w:p>
    <w:p w14:paraId="5BB4F224">
      <w:pPr>
        <w:autoSpaceDE w:val="0"/>
        <w:autoSpaceDN w:val="0"/>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迟延交货的违约责任</w:t>
      </w:r>
    </w:p>
    <w:p w14:paraId="4170BD2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4C205C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5991DF8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131918B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29E5398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005629D6">
      <w:pPr>
        <w:numPr>
          <w:ilvl w:val="0"/>
          <w:numId w:val="6"/>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合同变更、中止与终止</w:t>
      </w:r>
    </w:p>
    <w:p w14:paraId="13C5769B">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72A2DD3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1BC60F8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2956947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590CE93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60B1E5F">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18638AA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60F62D4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694C6B7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69CD5EF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501807AA">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50FBD88F">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32415267">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合同分包</w:t>
      </w:r>
    </w:p>
    <w:p w14:paraId="7D6F7BC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0E42E5E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2BF284F1">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不可抗力</w:t>
      </w:r>
    </w:p>
    <w:p w14:paraId="3F47389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0EB3D24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18D04EA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7CC1EB8">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解决争议的方法</w:t>
      </w:r>
    </w:p>
    <w:p w14:paraId="624BCEC5">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7AF86F1F">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5723EEE1">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2C90C5BD">
      <w:pPr>
        <w:autoSpaceDE w:val="0"/>
        <w:autoSpaceDN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500D6E9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w:t>
      </w:r>
      <w:r>
        <w:rPr>
          <w:rFonts w:hint="eastAsia" w:ascii="宋体" w:hAnsi="宋体" w:eastAsia="宋体" w:cs="宋体"/>
          <w:color w:val="auto"/>
          <w:sz w:val="24"/>
          <w:szCs w:val="24"/>
          <w:highlight w:val="none"/>
          <w:lang w:val="en-GB"/>
        </w:rPr>
        <w:t>本合同应当按照规定执行政府采购政策。</w:t>
      </w:r>
    </w:p>
    <w:p w14:paraId="681C20D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74D3A0DB">
      <w:pPr>
        <w:pStyle w:val="9"/>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C3142E0">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法律适用</w:t>
      </w:r>
    </w:p>
    <w:p w14:paraId="5F571561">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02DA8C45">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76A14746">
      <w:pPr>
        <w:numPr>
          <w:ilvl w:val="255"/>
          <w:numId w:val="0"/>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通知</w:t>
      </w:r>
    </w:p>
    <w:p w14:paraId="51318B32">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513A37D6">
      <w:pPr>
        <w:pStyle w:val="71"/>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4F97087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1FE7A3C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7843B7FF">
      <w:pPr>
        <w:numPr>
          <w:ilvl w:val="0"/>
          <w:numId w:val="7"/>
        </w:num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7432B9A4">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470A4F9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23.2 合同附件与合同正文具有同等的法律效力。</w:t>
      </w:r>
      <w:bookmarkStart w:id="37" w:name="_Toc20313"/>
    </w:p>
    <w:p w14:paraId="54A7C49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032A6DB">
      <w:pPr>
        <w:pStyle w:val="3"/>
        <w:adjustRightInd w:val="0"/>
        <w:snapToGrid w:val="0"/>
        <w:spacing w:before="156" w:beforeLines="50" w:line="360" w:lineRule="auto"/>
        <w:jc w:val="center"/>
        <w:rPr>
          <w:rFonts w:hint="eastAsia" w:cs="@仿宋_GB2312" w:asciiTheme="minorEastAsia" w:hAnsiTheme="minorEastAsia" w:eastAsiaTheme="minorEastAsia"/>
          <w:bCs w:val="0"/>
          <w:color w:val="auto"/>
          <w:sz w:val="24"/>
          <w:szCs w:val="20"/>
          <w:highlight w:val="none"/>
        </w:rPr>
      </w:pPr>
      <w:r>
        <w:rPr>
          <w:rFonts w:hint="eastAsia" w:cs="@仿宋_GB2312" w:asciiTheme="minorEastAsia" w:hAnsiTheme="minorEastAsia" w:eastAsiaTheme="minorEastAsia"/>
          <w:bCs w:val="0"/>
          <w:color w:val="auto"/>
          <w:sz w:val="24"/>
          <w:szCs w:val="20"/>
          <w:highlight w:val="none"/>
        </w:rPr>
        <w:t>第三节 政府采购合同专用条款</w:t>
      </w:r>
      <w:bookmarkEnd w:id="37"/>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1FADC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E00BE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779792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第1.2（6）项</w:t>
            </w:r>
          </w:p>
        </w:tc>
        <w:tc>
          <w:tcPr>
            <w:tcW w:w="1742" w:type="dxa"/>
            <w:vAlign w:val="center"/>
          </w:tcPr>
          <w:p w14:paraId="1BB8F89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5170" w:type="dxa"/>
            <w:vAlign w:val="center"/>
          </w:tcPr>
          <w:p w14:paraId="152EA21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不接受联合体投标</w:t>
            </w:r>
          </w:p>
        </w:tc>
      </w:tr>
      <w:tr w14:paraId="7C7500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EC7EC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9C2C5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第1.2（7）项</w:t>
            </w:r>
          </w:p>
        </w:tc>
        <w:tc>
          <w:tcPr>
            <w:tcW w:w="1742" w:type="dxa"/>
            <w:vAlign w:val="center"/>
          </w:tcPr>
          <w:p w14:paraId="2F8B04C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其他术语解释</w:t>
            </w:r>
          </w:p>
        </w:tc>
        <w:tc>
          <w:tcPr>
            <w:tcW w:w="5170" w:type="dxa"/>
            <w:vAlign w:val="center"/>
          </w:tcPr>
          <w:p w14:paraId="70677A7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00797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59AB9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465D7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第4.4款</w:t>
            </w:r>
          </w:p>
        </w:tc>
        <w:tc>
          <w:tcPr>
            <w:tcW w:w="1742" w:type="dxa"/>
            <w:vAlign w:val="center"/>
          </w:tcPr>
          <w:p w14:paraId="7A774D9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5170" w:type="dxa"/>
            <w:vAlign w:val="center"/>
          </w:tcPr>
          <w:p w14:paraId="0F8FB64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5个工作日</w:t>
            </w:r>
          </w:p>
        </w:tc>
      </w:tr>
      <w:tr w14:paraId="1DF530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2C0FC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085BD1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第4.6款</w:t>
            </w:r>
          </w:p>
        </w:tc>
        <w:tc>
          <w:tcPr>
            <w:tcW w:w="1742" w:type="dxa"/>
            <w:vAlign w:val="center"/>
          </w:tcPr>
          <w:p w14:paraId="38D741F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5170" w:type="dxa"/>
            <w:vAlign w:val="center"/>
          </w:tcPr>
          <w:p w14:paraId="45067DD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(1)在合同生效后，非因产品质量问题，买方要求退货的，应向卖方偿付合同总价款的5%，作为违约金，违约金不足以补偿损失的，卖方有权要求甲方补足。</w:t>
            </w:r>
          </w:p>
          <w:p w14:paraId="7286394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(2)买方逾期付款的应按照逾期付款金额的每天万分之四支付逾期付款违约金。</w:t>
            </w:r>
          </w:p>
          <w:p w14:paraId="0684E92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(3)买方违反合同规定，无正当理由拒绝接收卖方交付的符合招标文件要求的合格标的物，应当承担卖方由此造成的损失。</w:t>
            </w:r>
          </w:p>
        </w:tc>
      </w:tr>
      <w:tr w14:paraId="3B896B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0A080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2CCF3E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第5.4款</w:t>
            </w:r>
          </w:p>
        </w:tc>
        <w:tc>
          <w:tcPr>
            <w:tcW w:w="1742" w:type="dxa"/>
            <w:vAlign w:val="center"/>
          </w:tcPr>
          <w:p w14:paraId="5571AB1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5170" w:type="dxa"/>
            <w:vAlign w:val="center"/>
          </w:tcPr>
          <w:p w14:paraId="5602C8A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(1)乙方不能交货（逾期超过五天视为不能交货），或交货不合格从而影响甲方按期正常使用的，应向甲方偿付合同总价款5%的违约金，违约金不足以补偿损失的，甲方有权要求乙方补足。</w:t>
            </w:r>
          </w:p>
          <w:p w14:paraId="7287737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(2)乙方逾期交货的，应在发货前与甲方和政府采购管理部门协商，甲方仍需求的，乙方应立即发货并应按照逾期交货部分货款的每天万分之四支付逾期交货违约金，同时承担甲方因此遭致的损失费用。</w:t>
            </w:r>
          </w:p>
          <w:p w14:paraId="5C4EE0A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收到甲方提出的产品维保或者伴随服务要求之日起24小时内未提供相应的维保或者伴随服务，乙方应按照合同总价款的每天万分之四支付违约金。乙方如不按时提供相应的维保或者伴随服务，甲方有权自行委托第三方进行维保或者提供相应服务，产生的费用应由乙方承担，如乙方不支付该费用，甲方有权向乙方追偿。</w:t>
            </w:r>
          </w:p>
        </w:tc>
      </w:tr>
      <w:tr w14:paraId="241554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69C19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E92F74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第6.1款</w:t>
            </w:r>
          </w:p>
        </w:tc>
        <w:tc>
          <w:tcPr>
            <w:tcW w:w="1742" w:type="dxa"/>
            <w:vAlign w:val="center"/>
          </w:tcPr>
          <w:p w14:paraId="6B7F093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5170" w:type="dxa"/>
            <w:vAlign w:val="center"/>
          </w:tcPr>
          <w:p w14:paraId="7801F51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乙方按规定履行合同义务后，甲方再履行合同义务。</w:t>
            </w:r>
          </w:p>
        </w:tc>
      </w:tr>
      <w:tr w14:paraId="225E6C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200DDE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C43394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第7.1款</w:t>
            </w:r>
          </w:p>
        </w:tc>
        <w:tc>
          <w:tcPr>
            <w:tcW w:w="1742" w:type="dxa"/>
            <w:vAlign w:val="center"/>
          </w:tcPr>
          <w:p w14:paraId="6B761EA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5170" w:type="dxa"/>
            <w:vAlign w:val="center"/>
          </w:tcPr>
          <w:p w14:paraId="3483170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0B4D3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04BACC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2" w:type="dxa"/>
            <w:vAlign w:val="center"/>
          </w:tcPr>
          <w:p w14:paraId="0266CBD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5170" w:type="dxa"/>
            <w:vAlign w:val="center"/>
          </w:tcPr>
          <w:p w14:paraId="0E47C27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甲方指定地点</w:t>
            </w:r>
          </w:p>
        </w:tc>
      </w:tr>
      <w:tr w14:paraId="3EAF5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592EDD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13E558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第7.2款</w:t>
            </w:r>
          </w:p>
        </w:tc>
        <w:tc>
          <w:tcPr>
            <w:tcW w:w="1742" w:type="dxa"/>
            <w:vAlign w:val="center"/>
          </w:tcPr>
          <w:p w14:paraId="1DF7671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5170" w:type="dxa"/>
            <w:vAlign w:val="center"/>
          </w:tcPr>
          <w:p w14:paraId="5D5D68E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BB853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A795F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1836A0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第7.3款</w:t>
            </w:r>
          </w:p>
        </w:tc>
        <w:tc>
          <w:tcPr>
            <w:tcW w:w="1742" w:type="dxa"/>
            <w:vAlign w:val="center"/>
          </w:tcPr>
          <w:p w14:paraId="0983EC9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5170" w:type="dxa"/>
            <w:vAlign w:val="center"/>
          </w:tcPr>
          <w:p w14:paraId="34CFD3F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按规定购买保险</w:t>
            </w:r>
          </w:p>
        </w:tc>
      </w:tr>
      <w:tr w14:paraId="31820D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08F62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C02988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第8.2（1）项</w:t>
            </w:r>
          </w:p>
        </w:tc>
        <w:tc>
          <w:tcPr>
            <w:tcW w:w="1742" w:type="dxa"/>
            <w:vAlign w:val="center"/>
          </w:tcPr>
          <w:p w14:paraId="6C228C0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5170" w:type="dxa"/>
            <w:vAlign w:val="center"/>
          </w:tcPr>
          <w:p w14:paraId="5F243064">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乙方书面承诺的期限</w:t>
            </w:r>
          </w:p>
        </w:tc>
      </w:tr>
      <w:tr w14:paraId="0E7072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C42F5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EA756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第8.2（3）项</w:t>
            </w:r>
          </w:p>
        </w:tc>
        <w:tc>
          <w:tcPr>
            <w:tcW w:w="1742" w:type="dxa"/>
            <w:vAlign w:val="center"/>
          </w:tcPr>
          <w:p w14:paraId="33E5850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w:t>
            </w:r>
          </w:p>
          <w:p w14:paraId="73E643C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5170" w:type="dxa"/>
            <w:vAlign w:val="center"/>
          </w:tcPr>
          <w:p w14:paraId="0909CA1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如货物出现故障，电话响应无法解决，卖方必须在接报修电话24小时内到现场并解决问题。</w:t>
            </w:r>
          </w:p>
        </w:tc>
      </w:tr>
      <w:tr w14:paraId="5CAFB2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C7D3D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456C950">
            <w:pPr>
              <w:pStyle w:val="71"/>
              <w:keepNext w:val="0"/>
              <w:keepLines w:val="0"/>
              <w:widowControl/>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第11.1款</w:t>
            </w:r>
          </w:p>
        </w:tc>
        <w:tc>
          <w:tcPr>
            <w:tcW w:w="1742" w:type="dxa"/>
            <w:vAlign w:val="center"/>
          </w:tcPr>
          <w:p w14:paraId="71AD931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5170" w:type="dxa"/>
            <w:vAlign w:val="center"/>
          </w:tcPr>
          <w:p w14:paraId="3FA8D43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339FE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B005E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57D86B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第12.2款</w:t>
            </w:r>
          </w:p>
        </w:tc>
        <w:tc>
          <w:tcPr>
            <w:tcW w:w="1742" w:type="dxa"/>
            <w:vAlign w:val="center"/>
          </w:tcPr>
          <w:p w14:paraId="7B99C15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5170" w:type="dxa"/>
            <w:vAlign w:val="center"/>
          </w:tcPr>
          <w:p w14:paraId="14DD34D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按第一节政府采购合同协议书相关内容执行</w:t>
            </w:r>
          </w:p>
        </w:tc>
      </w:tr>
      <w:tr w14:paraId="1849BD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921B9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94209A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第13.2款</w:t>
            </w:r>
          </w:p>
        </w:tc>
        <w:tc>
          <w:tcPr>
            <w:tcW w:w="1742" w:type="dxa"/>
            <w:vAlign w:val="center"/>
          </w:tcPr>
          <w:p w14:paraId="669ED45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5170" w:type="dxa"/>
            <w:vAlign w:val="center"/>
          </w:tcPr>
          <w:p w14:paraId="5D6F313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按招标文件相关内容执行</w:t>
            </w:r>
          </w:p>
        </w:tc>
      </w:tr>
      <w:tr w14:paraId="11905F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F4E6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E3ED84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第13.3款</w:t>
            </w:r>
          </w:p>
        </w:tc>
        <w:tc>
          <w:tcPr>
            <w:tcW w:w="1742" w:type="dxa"/>
            <w:vAlign w:val="center"/>
          </w:tcPr>
          <w:p w14:paraId="6EA2B27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5170" w:type="dxa"/>
            <w:vAlign w:val="center"/>
          </w:tcPr>
          <w:p w14:paraId="0EF28076">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按招标文件相关内容执行</w:t>
            </w:r>
          </w:p>
        </w:tc>
      </w:tr>
      <w:tr w14:paraId="140571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726FA6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7D3237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第14.1（3）项</w:t>
            </w:r>
          </w:p>
        </w:tc>
        <w:tc>
          <w:tcPr>
            <w:tcW w:w="1742" w:type="dxa"/>
            <w:vAlign w:val="center"/>
          </w:tcPr>
          <w:p w14:paraId="6FF127E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5170" w:type="dxa"/>
            <w:vAlign w:val="center"/>
          </w:tcPr>
          <w:p w14:paraId="76D443A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乙方书面承诺的质保期内</w:t>
            </w:r>
          </w:p>
        </w:tc>
      </w:tr>
      <w:tr w14:paraId="3C7F00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AB3D5D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12589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第14.1（5）项</w:t>
            </w:r>
          </w:p>
        </w:tc>
        <w:tc>
          <w:tcPr>
            <w:tcW w:w="1742" w:type="dxa"/>
            <w:vAlign w:val="center"/>
          </w:tcPr>
          <w:p w14:paraId="54B11A1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5170" w:type="dxa"/>
            <w:vAlign w:val="center"/>
          </w:tcPr>
          <w:p w14:paraId="5402500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由乙方在规定时间内自行组织回收，相关费用自行承担，甲方不另行支付相关费用。</w:t>
            </w:r>
          </w:p>
        </w:tc>
      </w:tr>
      <w:tr w14:paraId="1F57F3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33F4E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DCB0F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第14.1（6）项</w:t>
            </w:r>
          </w:p>
        </w:tc>
        <w:tc>
          <w:tcPr>
            <w:tcW w:w="1742" w:type="dxa"/>
            <w:vAlign w:val="center"/>
          </w:tcPr>
          <w:p w14:paraId="3C84F0C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5170" w:type="dxa"/>
            <w:vAlign w:val="center"/>
          </w:tcPr>
          <w:p w14:paraId="0051878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按甲方要求须提供的其他相关服务</w:t>
            </w:r>
          </w:p>
        </w:tc>
      </w:tr>
      <w:tr w14:paraId="6FB5B1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F352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132881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第15.1款</w:t>
            </w:r>
          </w:p>
        </w:tc>
        <w:tc>
          <w:tcPr>
            <w:tcW w:w="1742" w:type="dxa"/>
            <w:vAlign w:val="center"/>
          </w:tcPr>
          <w:p w14:paraId="01AA4E1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5170" w:type="dxa"/>
            <w:vAlign w:val="center"/>
          </w:tcPr>
          <w:p w14:paraId="1D6E7976">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保修期内两次修理仍不能正常使用的的必须更换新设备</w:t>
            </w:r>
          </w:p>
        </w:tc>
      </w:tr>
      <w:tr w14:paraId="278834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7A50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7AEF09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第15.2（2）项</w:t>
            </w:r>
          </w:p>
        </w:tc>
        <w:tc>
          <w:tcPr>
            <w:tcW w:w="1742" w:type="dxa"/>
            <w:vAlign w:val="center"/>
          </w:tcPr>
          <w:p w14:paraId="0455228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5170" w:type="dxa"/>
            <w:vAlign w:val="center"/>
          </w:tcPr>
          <w:p w14:paraId="21FD02B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(1)乙方不能交货（逾期超过五天视为不能交货），或交货不合格从而影响甲方按期正常使用的，应向甲方偿付合同总价款5%的违约金，违约金不足以补偿损失的，甲方有权要求乙方补足。</w:t>
            </w:r>
          </w:p>
          <w:p w14:paraId="2969D46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(2)乙方逾期交货的，应在发货前与甲方和政府采购管理部门协商，甲方仍需求的，乙方应立即发货并应按照逾期交货部分货款的每天万分之四支付逾期交货违约金，同时承担甲方因此遭致的损失费用。</w:t>
            </w:r>
          </w:p>
        </w:tc>
      </w:tr>
      <w:tr w14:paraId="7EB315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47DA1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5DF851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第15.3款</w:t>
            </w:r>
          </w:p>
        </w:tc>
        <w:tc>
          <w:tcPr>
            <w:tcW w:w="1742" w:type="dxa"/>
            <w:vAlign w:val="center"/>
          </w:tcPr>
          <w:p w14:paraId="5B5FA0D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5170" w:type="dxa"/>
            <w:vAlign w:val="center"/>
          </w:tcPr>
          <w:p w14:paraId="1F9AE14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p>
        </w:tc>
      </w:tr>
      <w:tr w14:paraId="0840D7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689D3B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18D4EB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第15.4款</w:t>
            </w:r>
          </w:p>
        </w:tc>
        <w:tc>
          <w:tcPr>
            <w:tcW w:w="1742" w:type="dxa"/>
            <w:tcBorders>
              <w:left w:val="single" w:color="auto" w:sz="2" w:space="0"/>
              <w:bottom w:val="single" w:color="auto" w:sz="2" w:space="0"/>
              <w:right w:val="single" w:color="auto" w:sz="2" w:space="0"/>
            </w:tcBorders>
            <w:vAlign w:val="center"/>
          </w:tcPr>
          <w:p w14:paraId="0C4E8F3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5170" w:type="dxa"/>
            <w:tcBorders>
              <w:left w:val="single" w:color="auto" w:sz="2" w:space="0"/>
              <w:bottom w:val="single" w:color="auto" w:sz="2" w:space="0"/>
            </w:tcBorders>
            <w:vAlign w:val="center"/>
          </w:tcPr>
          <w:p w14:paraId="511AA46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合同一方不履行合同义务或者履行合同义务不符合约定的，应当承担继续履行、采取补救措施或者赔偿损失等违约责任。</w:t>
            </w:r>
          </w:p>
        </w:tc>
      </w:tr>
      <w:tr w14:paraId="3D6191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68C35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BA159D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第19.2款</w:t>
            </w:r>
          </w:p>
        </w:tc>
        <w:tc>
          <w:tcPr>
            <w:tcW w:w="1742" w:type="dxa"/>
            <w:tcBorders>
              <w:top w:val="single" w:color="auto" w:sz="2" w:space="0"/>
              <w:left w:val="single" w:color="auto" w:sz="2" w:space="0"/>
              <w:right w:val="single" w:color="auto" w:sz="2" w:space="0"/>
            </w:tcBorders>
            <w:vAlign w:val="center"/>
          </w:tcPr>
          <w:p w14:paraId="3AFA04A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5170" w:type="dxa"/>
            <w:tcBorders>
              <w:top w:val="single" w:color="auto" w:sz="2" w:space="0"/>
              <w:left w:val="single" w:color="auto" w:sz="2" w:space="0"/>
            </w:tcBorders>
            <w:vAlign w:val="center"/>
          </w:tcPr>
          <w:p w14:paraId="6AC209C1">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因本合同及合同有关事项发生的争议，按下列第</w:t>
            </w:r>
            <w:r>
              <w:rPr>
                <w:rFonts w:hint="eastAsia" w:ascii="宋体" w:hAnsi="宋体" w:eastAsia="宋体" w:cs="宋体"/>
                <w:iCs/>
                <w:color w:val="auto"/>
                <w:sz w:val="24"/>
                <w:szCs w:val="24"/>
                <w:highlight w:val="none"/>
                <w:u w:val="single"/>
              </w:rPr>
              <w:t xml:space="preserve"> （2） </w:t>
            </w:r>
            <w:r>
              <w:rPr>
                <w:rFonts w:hint="eastAsia" w:ascii="宋体" w:hAnsi="宋体" w:eastAsia="宋体" w:cs="宋体"/>
                <w:iCs/>
                <w:color w:val="auto"/>
                <w:sz w:val="24"/>
                <w:szCs w:val="24"/>
                <w:highlight w:val="none"/>
              </w:rPr>
              <w:t>种方式解决：</w:t>
            </w:r>
          </w:p>
          <w:p w14:paraId="784FF189">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（1）向</w:t>
            </w:r>
            <w:r>
              <w:rPr>
                <w:rFonts w:hint="eastAsia" w:ascii="宋体" w:hAnsi="宋体" w:eastAsia="宋体" w:cs="宋体"/>
                <w:iCs/>
                <w:color w:val="auto"/>
                <w:sz w:val="24"/>
                <w:szCs w:val="24"/>
                <w:highlight w:val="none"/>
                <w:u w:val="single"/>
              </w:rPr>
              <w:t xml:space="preserve"> 滁州 </w:t>
            </w:r>
            <w:r>
              <w:rPr>
                <w:rFonts w:hint="eastAsia" w:ascii="宋体" w:hAnsi="宋体" w:eastAsia="宋体" w:cs="宋体"/>
                <w:iCs/>
                <w:color w:val="auto"/>
                <w:sz w:val="24"/>
                <w:szCs w:val="24"/>
                <w:highlight w:val="none"/>
              </w:rPr>
              <w:t>仲裁委员会申请仲裁，仲裁地点为</w:t>
            </w:r>
            <w:r>
              <w:rPr>
                <w:rFonts w:hint="eastAsia" w:ascii="宋体" w:hAnsi="宋体" w:eastAsia="宋体" w:cs="宋体"/>
                <w:iCs/>
                <w:color w:val="auto"/>
                <w:sz w:val="24"/>
                <w:szCs w:val="24"/>
                <w:highlight w:val="none"/>
                <w:u w:val="single"/>
              </w:rPr>
              <w:t xml:space="preserve">  滁州市 </w:t>
            </w:r>
            <w:r>
              <w:rPr>
                <w:rFonts w:hint="eastAsia" w:ascii="宋体" w:hAnsi="宋体" w:eastAsia="宋体" w:cs="宋体"/>
                <w:iCs/>
                <w:color w:val="auto"/>
                <w:sz w:val="24"/>
                <w:szCs w:val="24"/>
                <w:highlight w:val="none"/>
              </w:rPr>
              <w:t>；</w:t>
            </w:r>
          </w:p>
          <w:p w14:paraId="12681FA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iCs/>
                <w:color w:val="auto"/>
                <w:sz w:val="24"/>
                <w:szCs w:val="24"/>
                <w:highlight w:val="none"/>
              </w:rPr>
              <w:t>（2）向</w:t>
            </w:r>
            <w:r>
              <w:rPr>
                <w:rFonts w:hint="eastAsia" w:ascii="宋体" w:hAnsi="宋体" w:eastAsia="宋体" w:cs="宋体"/>
                <w:iCs/>
                <w:color w:val="auto"/>
                <w:sz w:val="24"/>
                <w:szCs w:val="24"/>
                <w:highlight w:val="none"/>
                <w:u w:val="single"/>
              </w:rPr>
              <w:t xml:space="preserve">  项目所在地  </w:t>
            </w:r>
            <w:r>
              <w:rPr>
                <w:rFonts w:hint="eastAsia" w:ascii="宋体" w:hAnsi="宋体" w:eastAsia="宋体" w:cs="宋体"/>
                <w:iCs/>
                <w:color w:val="auto"/>
                <w:sz w:val="24"/>
                <w:szCs w:val="24"/>
                <w:highlight w:val="none"/>
              </w:rPr>
              <w:t>人民法院起诉。</w:t>
            </w:r>
          </w:p>
        </w:tc>
      </w:tr>
      <w:tr w14:paraId="31DBFC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512C25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05B6D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第23.1款</w:t>
            </w:r>
          </w:p>
        </w:tc>
        <w:tc>
          <w:tcPr>
            <w:tcW w:w="1742" w:type="dxa"/>
            <w:vAlign w:val="center"/>
          </w:tcPr>
          <w:p w14:paraId="4D39096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其他专用条款</w:t>
            </w:r>
          </w:p>
        </w:tc>
        <w:tc>
          <w:tcPr>
            <w:tcW w:w="5170" w:type="dxa"/>
            <w:vAlign w:val="center"/>
          </w:tcPr>
          <w:p w14:paraId="05ECFA5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本合同未尽事宜应按《中华人民共和国政府采购法》、《中华人民共和国民法典》、《中华人民共和国产品质量法》之规定解释或签订合同时补充。</w:t>
            </w:r>
          </w:p>
        </w:tc>
      </w:tr>
    </w:tbl>
    <w:p w14:paraId="4C0374E6">
      <w:pPr>
        <w:rPr>
          <w:rFonts w:hint="eastAsia" w:ascii="宋体" w:hAnsi="宋体" w:eastAsia="宋体" w:cs="宋体"/>
          <w:color w:val="auto"/>
          <w:sz w:val="24"/>
          <w:szCs w:val="24"/>
          <w:highlight w:val="none"/>
        </w:rPr>
      </w:pPr>
    </w:p>
    <w:p w14:paraId="35276257">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99E343E">
      <w:pPr>
        <w:spacing w:line="360" w:lineRule="auto"/>
        <w:jc w:val="center"/>
        <w:outlineLvl w:val="0"/>
        <w:rPr>
          <w:rFonts w:hint="eastAsia" w:asciiTheme="minorEastAsia" w:hAnsiTheme="minorEastAsia" w:eastAsiaTheme="minorEastAsia"/>
          <w:b/>
          <w:color w:val="auto"/>
          <w:sz w:val="28"/>
          <w:highlight w:val="none"/>
        </w:rPr>
      </w:pPr>
      <w:bookmarkStart w:id="38" w:name="_Toc22492"/>
      <w:r>
        <w:rPr>
          <w:rFonts w:hint="eastAsia" w:asciiTheme="minorEastAsia" w:hAnsiTheme="minorEastAsia" w:eastAsiaTheme="minorEastAsia"/>
          <w:b/>
          <w:color w:val="auto"/>
          <w:sz w:val="28"/>
          <w:highlight w:val="none"/>
        </w:rPr>
        <w:t>第六章  投标文件格式</w:t>
      </w:r>
      <w:bookmarkEnd w:id="38"/>
    </w:p>
    <w:p w14:paraId="2264119B">
      <w:pPr>
        <w:spacing w:line="900" w:lineRule="exact"/>
        <w:jc w:val="center"/>
        <w:rPr>
          <w:rFonts w:hint="eastAsia" w:asciiTheme="minorEastAsia" w:hAnsiTheme="minorEastAsia" w:eastAsiaTheme="minorEastAsia"/>
          <w:b/>
          <w:color w:val="auto"/>
          <w:sz w:val="72"/>
          <w:highlight w:val="none"/>
        </w:rPr>
      </w:pPr>
    </w:p>
    <w:p w14:paraId="735E6EB2">
      <w:pPr>
        <w:spacing w:line="900" w:lineRule="exact"/>
        <w:jc w:val="center"/>
        <w:outlineLvl w:val="1"/>
        <w:rPr>
          <w:rFonts w:hint="eastAsia" w:asciiTheme="minorEastAsia" w:hAnsiTheme="minorEastAsia" w:eastAsiaTheme="minorEastAsia"/>
          <w:b/>
          <w:color w:val="auto"/>
          <w:sz w:val="72"/>
          <w:highlight w:val="none"/>
        </w:rPr>
      </w:pPr>
      <w:bookmarkStart w:id="39" w:name="_Toc651"/>
      <w:r>
        <w:rPr>
          <w:rFonts w:hint="eastAsia" w:asciiTheme="minorEastAsia" w:hAnsiTheme="minorEastAsia" w:eastAsiaTheme="minorEastAsia"/>
          <w:b/>
          <w:color w:val="auto"/>
          <w:sz w:val="72"/>
          <w:highlight w:val="none"/>
        </w:rPr>
        <w:t>投</w:t>
      </w:r>
      <w:bookmarkEnd w:id="39"/>
    </w:p>
    <w:p w14:paraId="0C3213D8">
      <w:pPr>
        <w:spacing w:line="900" w:lineRule="exact"/>
        <w:jc w:val="center"/>
        <w:rPr>
          <w:rFonts w:hint="eastAsia" w:asciiTheme="minorEastAsia" w:hAnsiTheme="minorEastAsia" w:eastAsiaTheme="minorEastAsia"/>
          <w:b/>
          <w:color w:val="auto"/>
          <w:sz w:val="72"/>
          <w:highlight w:val="none"/>
        </w:rPr>
      </w:pPr>
    </w:p>
    <w:p w14:paraId="1263F6B9">
      <w:pPr>
        <w:spacing w:line="900" w:lineRule="exact"/>
        <w:jc w:val="center"/>
        <w:outlineLvl w:val="1"/>
        <w:rPr>
          <w:rFonts w:hint="eastAsia" w:asciiTheme="minorEastAsia" w:hAnsiTheme="minorEastAsia" w:eastAsiaTheme="minorEastAsia"/>
          <w:b/>
          <w:color w:val="auto"/>
          <w:sz w:val="72"/>
          <w:highlight w:val="none"/>
        </w:rPr>
      </w:pPr>
      <w:bookmarkStart w:id="40" w:name="_Toc6148"/>
      <w:r>
        <w:rPr>
          <w:rFonts w:hint="eastAsia" w:asciiTheme="minorEastAsia" w:hAnsiTheme="minorEastAsia" w:eastAsiaTheme="minorEastAsia"/>
          <w:b/>
          <w:color w:val="auto"/>
          <w:sz w:val="72"/>
          <w:highlight w:val="none"/>
        </w:rPr>
        <w:t>标</w:t>
      </w:r>
      <w:bookmarkEnd w:id="40"/>
    </w:p>
    <w:p w14:paraId="697841C1">
      <w:pPr>
        <w:spacing w:line="900" w:lineRule="exact"/>
        <w:jc w:val="center"/>
        <w:rPr>
          <w:rFonts w:hint="eastAsia" w:asciiTheme="minorEastAsia" w:hAnsiTheme="minorEastAsia" w:eastAsiaTheme="minorEastAsia"/>
          <w:b/>
          <w:color w:val="auto"/>
          <w:sz w:val="72"/>
          <w:highlight w:val="none"/>
        </w:rPr>
      </w:pPr>
    </w:p>
    <w:p w14:paraId="1EB437BA">
      <w:pPr>
        <w:spacing w:line="900" w:lineRule="exact"/>
        <w:jc w:val="center"/>
        <w:outlineLvl w:val="1"/>
        <w:rPr>
          <w:rFonts w:hint="eastAsia" w:asciiTheme="minorEastAsia" w:hAnsiTheme="minorEastAsia" w:eastAsiaTheme="minorEastAsia"/>
          <w:b/>
          <w:color w:val="auto"/>
          <w:sz w:val="72"/>
          <w:highlight w:val="none"/>
        </w:rPr>
      </w:pPr>
      <w:bookmarkStart w:id="41" w:name="_Toc1338"/>
      <w:r>
        <w:rPr>
          <w:rFonts w:hint="eastAsia" w:asciiTheme="minorEastAsia" w:hAnsiTheme="minorEastAsia" w:eastAsiaTheme="minorEastAsia"/>
          <w:b/>
          <w:color w:val="auto"/>
          <w:sz w:val="72"/>
          <w:highlight w:val="none"/>
        </w:rPr>
        <w:t>文</w:t>
      </w:r>
      <w:bookmarkEnd w:id="41"/>
    </w:p>
    <w:p w14:paraId="26013F36">
      <w:pPr>
        <w:spacing w:line="900" w:lineRule="exact"/>
        <w:jc w:val="center"/>
        <w:rPr>
          <w:rFonts w:hint="eastAsia" w:asciiTheme="minorEastAsia" w:hAnsiTheme="minorEastAsia" w:eastAsiaTheme="minorEastAsia"/>
          <w:b/>
          <w:color w:val="auto"/>
          <w:sz w:val="72"/>
          <w:highlight w:val="none"/>
        </w:rPr>
      </w:pPr>
    </w:p>
    <w:p w14:paraId="5E804CBA">
      <w:pPr>
        <w:jc w:val="center"/>
        <w:outlineLvl w:val="1"/>
        <w:rPr>
          <w:rFonts w:hint="eastAsia" w:asciiTheme="minorEastAsia" w:hAnsiTheme="minorEastAsia" w:eastAsiaTheme="minorEastAsia"/>
          <w:b/>
          <w:color w:val="auto"/>
          <w:sz w:val="72"/>
          <w:highlight w:val="none"/>
        </w:rPr>
      </w:pPr>
      <w:bookmarkStart w:id="42" w:name="_Toc10796"/>
      <w:r>
        <w:rPr>
          <w:rFonts w:hint="eastAsia" w:asciiTheme="minorEastAsia" w:hAnsiTheme="minorEastAsia" w:eastAsiaTheme="minorEastAsia"/>
          <w:b/>
          <w:color w:val="auto"/>
          <w:sz w:val="72"/>
          <w:highlight w:val="none"/>
        </w:rPr>
        <w:t>件</w:t>
      </w:r>
      <w:bookmarkEnd w:id="42"/>
    </w:p>
    <w:p w14:paraId="4825C671">
      <w:pPr>
        <w:spacing w:after="156" w:afterLines="50"/>
        <w:jc w:val="center"/>
        <w:rPr>
          <w:rFonts w:hint="eastAsia" w:asciiTheme="minorEastAsia" w:hAnsiTheme="minorEastAsia" w:eastAsiaTheme="minorEastAsia"/>
          <w:b/>
          <w:color w:val="auto"/>
          <w:sz w:val="72"/>
          <w:highlight w:val="none"/>
        </w:rPr>
      </w:pPr>
    </w:p>
    <w:p w14:paraId="3AA7F8E8">
      <w:pPr>
        <w:pStyle w:val="9"/>
        <w:spacing w:after="0" w:line="360" w:lineRule="auto"/>
        <w:ind w:firstLine="480" w:firstLineChars="200"/>
        <w:jc w:val="center"/>
        <w:outlineLvl w:val="1"/>
        <w:rPr>
          <w:rFonts w:hint="eastAsia" w:ascii="宋体" w:hAnsi="宋体" w:eastAsia="宋体"/>
          <w:color w:val="auto"/>
          <w:sz w:val="24"/>
          <w:szCs w:val="18"/>
          <w:highlight w:val="none"/>
          <w:lang w:val="en-US"/>
        </w:rPr>
      </w:pPr>
    </w:p>
    <w:p w14:paraId="63B9BAA1">
      <w:pPr>
        <w:spacing w:before="156" w:beforeLines="50" w:after="156" w:afterLines="50"/>
        <w:jc w:val="center"/>
        <w:rPr>
          <w:rFonts w:hint="eastAsia" w:asciiTheme="minorEastAsia" w:hAnsiTheme="minorEastAsia" w:eastAsiaTheme="minorEastAsia"/>
          <w:b/>
          <w:color w:val="auto"/>
          <w:sz w:val="32"/>
          <w:szCs w:val="32"/>
          <w:highlight w:val="none"/>
        </w:rPr>
      </w:pPr>
    </w:p>
    <w:p w14:paraId="73EFEBCC">
      <w:pPr>
        <w:spacing w:after="156" w:afterLines="50" w:line="500" w:lineRule="exact"/>
        <w:jc w:val="center"/>
        <w:rPr>
          <w:rFonts w:hint="eastAsia" w:asciiTheme="minorEastAsia" w:hAnsiTheme="minorEastAsia" w:eastAsiaTheme="minorEastAsia"/>
          <w:b/>
          <w:color w:val="auto"/>
          <w:sz w:val="28"/>
          <w:szCs w:val="28"/>
          <w:highlight w:val="none"/>
        </w:rPr>
      </w:pPr>
    </w:p>
    <w:p w14:paraId="2F72E77E">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p>
    <w:p w14:paraId="2A2DC8F6">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p>
    <w:p w14:paraId="5CFE2A5B">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投 标 人：</w:t>
      </w:r>
      <w:r>
        <w:rPr>
          <w:rFonts w:hint="eastAsia" w:asciiTheme="minorEastAsia" w:hAnsiTheme="minorEastAsia" w:eastAsiaTheme="minorEastAsia"/>
          <w:b/>
          <w:color w:val="auto"/>
          <w:sz w:val="32"/>
          <w:highlight w:val="none"/>
          <w:u w:val="single"/>
        </w:rPr>
        <w:t xml:space="preserve">                  </w:t>
      </w:r>
    </w:p>
    <w:p w14:paraId="384CBF96">
      <w:pPr>
        <w:spacing w:after="156" w:afterLines="50" w:line="500" w:lineRule="exact"/>
        <w:jc w:val="center"/>
        <w:outlineLvl w:val="1"/>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43" w:name="_Toc9994"/>
      <w:bookmarkStart w:id="44"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43"/>
      <w:bookmarkEnd w:id="44"/>
    </w:p>
    <w:p w14:paraId="50271290">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75BF230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一、资信证明格式文件</w:t>
      </w:r>
    </w:p>
    <w:p w14:paraId="4C3C8AEC">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0831E164">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447A3042">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3CB0E7EA">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资信证明文件</w:t>
      </w:r>
    </w:p>
    <w:p w14:paraId="06F68E10">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 xml:space="preserve"> </w:t>
      </w:r>
    </w:p>
    <w:p w14:paraId="3DC9EBFF">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（投标文件一）</w:t>
      </w:r>
    </w:p>
    <w:p w14:paraId="05467C4F">
      <w:pPr>
        <w:jc w:val="center"/>
        <w:rPr>
          <w:rFonts w:hint="eastAsia" w:ascii="黑体" w:hAnsi="宋体" w:eastAsia="黑体" w:cs="黑体"/>
          <w:color w:val="auto"/>
          <w:sz w:val="44"/>
          <w:szCs w:val="44"/>
          <w:highlight w:val="none"/>
        </w:rPr>
      </w:pPr>
      <w:r>
        <w:rPr>
          <w:rFonts w:hint="eastAsia" w:ascii="黑体" w:hAnsi="宋体" w:eastAsia="黑体" w:cs="黑体"/>
          <w:color w:val="auto"/>
          <w:sz w:val="44"/>
          <w:szCs w:val="44"/>
          <w:highlight w:val="none"/>
          <w:lang w:bidi="ar"/>
        </w:rPr>
        <w:t xml:space="preserve"> </w:t>
      </w:r>
    </w:p>
    <w:p w14:paraId="538C32A8">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p>
    <w:p w14:paraId="6EA8D3B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D9DAE68">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1E3CB9C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A7F1BF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F6CF53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140937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378E3F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6F34538">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57F3BA97">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4258E941">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3C1535F7">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5A5D062B">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br w:type="page"/>
      </w:r>
    </w:p>
    <w:p w14:paraId="09CBC72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lang w:bidi="ar"/>
        </w:rPr>
        <w:t>目   录</w:t>
      </w:r>
    </w:p>
    <w:p w14:paraId="0C3C9743">
      <w:pPr>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 xml:space="preserve"> </w:t>
      </w:r>
    </w:p>
    <w:p w14:paraId="3F3F5A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（1）投标人资格声明书（格式见附件）；</w:t>
      </w:r>
    </w:p>
    <w:p w14:paraId="3D89C0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（2）授权书（格式见附件）；   </w:t>
      </w:r>
    </w:p>
    <w:p w14:paraId="1855F0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（3）投标人为企业（包括合伙企业）的，应提供有效的“营业执照”；</w:t>
      </w:r>
    </w:p>
    <w:p w14:paraId="7CEED2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投标人为事业单位的，应提供有效的“事业单位法人证书”；</w:t>
      </w:r>
    </w:p>
    <w:p w14:paraId="22F94A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投标人是非企业机构的，应提供有效的“执业许可证”、“登记证书”等证明文件；</w:t>
      </w:r>
    </w:p>
    <w:p w14:paraId="7EAA75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投标人是个体工商户的，应提供有效的“个体工商户营业执照”；</w:t>
      </w:r>
    </w:p>
    <w:p w14:paraId="57E930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投标人是自然人的，应提供有效的自然人身份证明；</w:t>
      </w:r>
    </w:p>
    <w:p w14:paraId="32A8FA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（4）诚信投标承诺书（格式见附件）；</w:t>
      </w:r>
    </w:p>
    <w:p w14:paraId="701A22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）招标文件中要求的资信评审和资信评分的支持资料；</w:t>
      </w:r>
    </w:p>
    <w:p w14:paraId="18921C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）投标人认为需要提供的其他资信证明材料；</w:t>
      </w:r>
    </w:p>
    <w:p w14:paraId="3CCBEA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）其他（如有）。</w:t>
      </w:r>
    </w:p>
    <w:p w14:paraId="6159E9A9">
      <w:pPr>
        <w:spacing w:line="360" w:lineRule="auto"/>
        <w:ind w:firstLine="420" w:firstLineChars="200"/>
        <w:rPr>
          <w:rFonts w:hint="eastAsia" w:ascii="宋体" w:hAnsi="宋体" w:eastAsia="宋体" w:cs="宋体"/>
          <w:color w:val="auto"/>
          <w:szCs w:val="21"/>
          <w:highlight w:val="none"/>
        </w:rPr>
      </w:pPr>
    </w:p>
    <w:p w14:paraId="77BDE497">
      <w:pPr>
        <w:spacing w:line="360" w:lineRule="auto"/>
        <w:ind w:firstLine="420" w:firstLineChars="200"/>
        <w:rPr>
          <w:rFonts w:hint="eastAsia" w:ascii="宋体" w:hAnsi="宋体" w:eastAsia="宋体" w:cs="宋体"/>
          <w:color w:val="auto"/>
          <w:szCs w:val="21"/>
          <w:highlight w:val="none"/>
        </w:rPr>
      </w:pPr>
    </w:p>
    <w:p w14:paraId="40E5B0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BA18B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01CF3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25EE6FF">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20B6B5C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（1）投标人资格声明书</w:t>
      </w:r>
    </w:p>
    <w:p w14:paraId="01064D50">
      <w:pPr>
        <w:pStyle w:val="20"/>
        <w:spacing w:before="0" w:beforeAutospacing="0" w:after="0" w:afterAutospacing="0" w:line="360" w:lineRule="auto"/>
        <w:jc w:val="both"/>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1C151F02">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在参与本次项目投标中，我单位承诺：</w:t>
      </w:r>
    </w:p>
    <w:p w14:paraId="1225732D">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（一）具有良好的商业信誉和健全的财务会计制度；</w:t>
      </w:r>
    </w:p>
    <w:p w14:paraId="14A69C56">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（二）具有履行合同所必需的设备和专业技术能力；</w:t>
      </w:r>
    </w:p>
    <w:p w14:paraId="5BA1B2EE">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（三）有依法缴纳税收和社会保障资金的良好记录；</w:t>
      </w:r>
    </w:p>
    <w:p w14:paraId="27D45818">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043CA9B">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089D88CE">
      <w:pPr>
        <w:widowControl/>
        <w:autoSpaceDE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A4A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74716033">
            <w:pPr>
              <w:keepNext w:val="0"/>
              <w:keepLines w:val="0"/>
              <w:widowControl/>
              <w:suppressLineNumbers w:val="0"/>
              <w:autoSpaceDE w:val="0"/>
              <w:spacing w:before="156"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序号</w:t>
            </w:r>
          </w:p>
        </w:tc>
        <w:tc>
          <w:tcPr>
            <w:tcW w:w="2841" w:type="dxa"/>
            <w:tcBorders>
              <w:top w:val="single" w:color="auto" w:sz="4" w:space="0"/>
              <w:left w:val="nil"/>
              <w:bottom w:val="single" w:color="auto" w:sz="4" w:space="0"/>
              <w:right w:val="single" w:color="auto" w:sz="4" w:space="0"/>
            </w:tcBorders>
            <w:shd w:val="clear" w:color="auto" w:fill="auto"/>
          </w:tcPr>
          <w:p w14:paraId="0CD680E5">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单位名称</w:t>
            </w:r>
          </w:p>
        </w:tc>
        <w:tc>
          <w:tcPr>
            <w:tcW w:w="2841" w:type="dxa"/>
            <w:tcBorders>
              <w:top w:val="single" w:color="auto" w:sz="4" w:space="0"/>
              <w:left w:val="nil"/>
              <w:bottom w:val="single" w:color="auto" w:sz="4" w:space="0"/>
              <w:right w:val="single" w:color="auto" w:sz="4" w:space="0"/>
            </w:tcBorders>
            <w:shd w:val="clear" w:color="auto" w:fill="auto"/>
          </w:tcPr>
          <w:p w14:paraId="2488E86B">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相互关系</w:t>
            </w:r>
          </w:p>
        </w:tc>
      </w:tr>
      <w:tr w14:paraId="6FC7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3564FAA0">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w:t>
            </w:r>
          </w:p>
        </w:tc>
        <w:tc>
          <w:tcPr>
            <w:tcW w:w="2841" w:type="dxa"/>
            <w:tcBorders>
              <w:top w:val="single" w:color="auto" w:sz="4" w:space="0"/>
              <w:left w:val="nil"/>
              <w:bottom w:val="single" w:color="auto" w:sz="4" w:space="0"/>
              <w:right w:val="single" w:color="auto" w:sz="4" w:space="0"/>
            </w:tcBorders>
            <w:shd w:val="clear" w:color="auto" w:fill="auto"/>
          </w:tcPr>
          <w:p w14:paraId="16B86AAE">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68990671">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r>
      <w:tr w14:paraId="19D5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66476678">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w:t>
            </w:r>
          </w:p>
        </w:tc>
        <w:tc>
          <w:tcPr>
            <w:tcW w:w="2841" w:type="dxa"/>
            <w:tcBorders>
              <w:top w:val="single" w:color="auto" w:sz="4" w:space="0"/>
              <w:left w:val="nil"/>
              <w:bottom w:val="single" w:color="auto" w:sz="4" w:space="0"/>
              <w:right w:val="single" w:color="auto" w:sz="4" w:space="0"/>
            </w:tcBorders>
            <w:shd w:val="clear" w:color="auto" w:fill="auto"/>
          </w:tcPr>
          <w:p w14:paraId="32711041">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399C4D4C">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r>
    </w:tbl>
    <w:p w14:paraId="3B1C9008">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530475D2">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0DD844CB">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2B3B1D0E">
      <w:pPr>
        <w:pStyle w:val="20"/>
        <w:spacing w:before="0" w:after="120" w:afterAutospacing="0"/>
        <w:jc w:val="both"/>
        <w:rPr>
          <w:rFonts w:hint="eastAsia" w:ascii="宋体" w:hAnsi="宋体" w:eastAsia="宋体" w:cs="宋体"/>
          <w:color w:val="auto"/>
          <w:szCs w:val="24"/>
          <w:highlight w:val="none"/>
        </w:rPr>
      </w:pPr>
    </w:p>
    <w:p w14:paraId="5FD9BF56">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3ED01C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66DCF70">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33AEFDD2">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（2）授权书</w:t>
      </w:r>
    </w:p>
    <w:p w14:paraId="486D4091">
      <w:pPr>
        <w:pStyle w:val="20"/>
        <w:snapToGrid w:val="0"/>
        <w:spacing w:before="0" w:beforeAutospacing="0" w:after="0" w:afterAutospacing="0" w:line="360" w:lineRule="auto"/>
        <w:ind w:firstLine="480" w:firstLineChars="200"/>
        <w:rPr>
          <w:rFonts w:hint="eastAsia" w:ascii="宋体" w:hAnsi="宋体" w:eastAsia="宋体"/>
          <w:color w:val="auto"/>
          <w:kern w:val="2"/>
          <w:szCs w:val="24"/>
          <w:highlight w:val="none"/>
        </w:rPr>
      </w:pPr>
      <w:r>
        <w:rPr>
          <w:rFonts w:hint="eastAsia" w:ascii="宋体" w:hAnsi="宋体" w:eastAsia="宋体"/>
          <w:color w:val="auto"/>
          <w:kern w:val="2"/>
          <w:szCs w:val="24"/>
          <w:highlight w:val="none"/>
          <w:lang w:bidi="ar"/>
        </w:rPr>
        <w:t xml:space="preserve"> </w:t>
      </w:r>
    </w:p>
    <w:p w14:paraId="2370FC58">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本授权书声明：</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（投标人名称）授权</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（投标人授权代表姓名）代表我方参加本项目</w:t>
      </w:r>
      <w:r>
        <w:rPr>
          <w:rFonts w:hint="eastAsia" w:ascii="宋体" w:hAnsi="宋体" w:eastAsia="宋体" w:cs="宋体"/>
          <w:bCs/>
          <w:color w:val="auto"/>
          <w:sz w:val="24"/>
          <w:szCs w:val="24"/>
          <w:highlight w:val="none"/>
          <w:lang w:bidi="ar"/>
        </w:rPr>
        <w:t>采购活动</w:t>
      </w:r>
      <w:r>
        <w:rPr>
          <w:rFonts w:hint="eastAsia" w:ascii="宋体" w:hAnsi="宋体" w:eastAsia="宋体" w:cs="宋体"/>
          <w:color w:val="auto"/>
          <w:sz w:val="24"/>
          <w:szCs w:val="24"/>
          <w:highlight w:val="none"/>
          <w:lang w:bidi="ar"/>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238015E4">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本授权书自出具之日起生效。</w:t>
      </w:r>
    </w:p>
    <w:p w14:paraId="6A20F46D">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授权代表身份证明扫描件：</w:t>
      </w:r>
    </w:p>
    <w:p w14:paraId="57762685">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91B1D78">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415DFAC2">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49EF58EA">
      <w:pPr>
        <w:spacing w:line="360" w:lineRule="auto"/>
        <w:ind w:firstLine="435"/>
        <w:rPr>
          <w:rFonts w:hint="eastAsia" w:hAnsi="宋体" w:eastAsia="宋体"/>
          <w:color w:val="auto"/>
          <w:sz w:val="24"/>
          <w:szCs w:val="24"/>
          <w:highlight w:val="none"/>
          <w:u w:val="single"/>
        </w:rPr>
      </w:pPr>
      <w:r>
        <w:rPr>
          <w:rFonts w:hint="eastAsia" w:ascii="宋体" w:hAnsi="宋体" w:eastAsia="宋体" w:cs="宋体"/>
          <w:color w:val="auto"/>
          <w:sz w:val="24"/>
          <w:szCs w:val="24"/>
          <w:highlight w:val="none"/>
          <w:lang w:bidi="ar"/>
        </w:rPr>
        <w:t>授权代表联系方式：</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（请填写手机号码）</w:t>
      </w:r>
    </w:p>
    <w:p w14:paraId="2C968ADF">
      <w:pPr>
        <w:spacing w:line="360" w:lineRule="auto"/>
        <w:ind w:firstLine="435"/>
        <w:rPr>
          <w:rFonts w:hint="eastAsia" w:hAnsi="宋体" w:eastAsia="宋体"/>
          <w:color w:val="auto"/>
          <w:sz w:val="24"/>
          <w:szCs w:val="24"/>
          <w:highlight w:val="none"/>
        </w:rPr>
      </w:pPr>
      <w:r>
        <w:rPr>
          <w:rFonts w:hAnsi="宋体" w:eastAsia="宋体"/>
          <w:color w:val="auto"/>
          <w:sz w:val="24"/>
          <w:szCs w:val="24"/>
          <w:highlight w:val="none"/>
          <w:lang w:bidi="ar"/>
        </w:rPr>
        <w:t xml:space="preserve"> </w:t>
      </w:r>
    </w:p>
    <w:p w14:paraId="3BD8D3FB">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特此声明。</w:t>
      </w:r>
    </w:p>
    <w:p w14:paraId="33434617">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4E78A914">
      <w:pPr>
        <w:spacing w:line="360" w:lineRule="auto"/>
        <w:ind w:firstLine="435"/>
        <w:jc w:val="center"/>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00FC9EFD">
      <w:pPr>
        <w:spacing w:line="360" w:lineRule="auto"/>
        <w:ind w:firstLine="435"/>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b/>
          <w:bCs/>
          <w:color w:val="auto"/>
          <w:sz w:val="24"/>
          <w:szCs w:val="24"/>
          <w:highlight w:val="none"/>
          <w:u w:val="single"/>
          <w:lang w:bidi="ar"/>
        </w:rPr>
        <w:t xml:space="preserve">                    </w:t>
      </w:r>
    </w:p>
    <w:p w14:paraId="50801134">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6D2BF1E9">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6E4B8A9C">
      <w:pPr>
        <w:spacing w:line="360" w:lineRule="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注：</w:t>
      </w:r>
    </w:p>
    <w:p w14:paraId="291226C7">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1.本项目只允许有唯一的投标人授权代表，提供身份证明扫描件；</w:t>
      </w:r>
    </w:p>
    <w:p w14:paraId="3B59C3A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2.法定代表人参加投标的无需提供授权书，提供身份证明扫描件。</w:t>
      </w:r>
    </w:p>
    <w:p w14:paraId="4E599175">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69C82113">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01194C3">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7393438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（3）诚信投标承诺书</w:t>
      </w:r>
    </w:p>
    <w:p w14:paraId="7908E886">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本人以企业法定代表人的身份郑重承诺：</w:t>
      </w:r>
    </w:p>
    <w:p w14:paraId="6065394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一、将遵循公开、公正和诚实信用的原则自愿参加</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项目的投标，所提供的一切材料都是真实、有效、合法的；</w:t>
      </w:r>
    </w:p>
    <w:p w14:paraId="4FA0970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E28CAD9">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三、不出借、转让资质证书，不让他人挂靠投标，不以他人名义投标或者以其他方式弄虚作假，骗取中标；</w:t>
      </w:r>
    </w:p>
    <w:p w14:paraId="7371DAF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四、不与其他投标人相互串通投标报价，不排挤其他投标人的公平竞争、损害招标人的合法权益；</w:t>
      </w:r>
    </w:p>
    <w:p w14:paraId="53BF9A0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五、不与招标人、招标代理机构或其他投标人串通投标，损害国家利益、社会公共利益或者他人的合法权益；</w:t>
      </w:r>
    </w:p>
    <w:p w14:paraId="164F172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w:t>
      </w:r>
      <w:r>
        <w:rPr>
          <w:rFonts w:hint="eastAsia" w:ascii="宋体" w:hAnsi="宋体" w:eastAsia="宋体" w:cs="宋体"/>
          <w:color w:val="auto"/>
          <w:szCs w:val="21"/>
          <w:highlight w:val="none"/>
          <w:u w:val="single"/>
          <w:lang w:bidi="ar"/>
        </w:rPr>
        <w:t xml:space="preserve">       （企业名称）</w:t>
      </w:r>
      <w:r>
        <w:rPr>
          <w:rFonts w:hint="eastAsia" w:ascii="宋体" w:hAnsi="宋体" w:eastAsia="宋体" w:cs="宋体"/>
          <w:color w:val="auto"/>
          <w:szCs w:val="21"/>
          <w:highlight w:val="none"/>
          <w:lang w:bidi="ar"/>
        </w:rPr>
        <w:t>或</w:t>
      </w:r>
      <w:r>
        <w:rPr>
          <w:rFonts w:hint="eastAsia" w:ascii="宋体" w:hAnsi="宋体" w:eastAsia="宋体" w:cs="宋体"/>
          <w:color w:val="auto"/>
          <w:szCs w:val="21"/>
          <w:highlight w:val="none"/>
          <w:u w:val="single"/>
          <w:lang w:bidi="ar"/>
        </w:rPr>
        <w:t xml:space="preserve">       （企业名称）</w:t>
      </w:r>
      <w:r>
        <w:rPr>
          <w:rFonts w:hint="eastAsia" w:ascii="宋体" w:hAnsi="宋体" w:eastAsia="宋体" w:cs="宋体"/>
          <w:color w:val="auto"/>
          <w:szCs w:val="21"/>
          <w:highlight w:val="none"/>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2B77AFE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七、严格遵守开标现场纪律，服从监管人员管理；</w:t>
      </w:r>
    </w:p>
    <w:p w14:paraId="264A028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八、保证中标后不转包，若有分包征得招标人同意；</w:t>
      </w:r>
    </w:p>
    <w:p w14:paraId="7391BA2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九、保证中标之后，按照投标文件要求提供相关后续服务；</w:t>
      </w:r>
    </w:p>
    <w:p w14:paraId="1DFC1A6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十、保证企业及所属相关人员在本次投标中无行贿等犯罪行为；</w:t>
      </w:r>
    </w:p>
    <w:p w14:paraId="6831EA1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3B9627F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以上内容我已仔细阅读，本公司若有违反承诺内容的行为，自愿接受取消投标或者中标（成交）资格、中标（成交）无效、记入不良行为记录等有关处理，愿意承担法律责任，给招标人造成损失的，依法承担赔偿责任。</w:t>
      </w:r>
    </w:p>
    <w:p w14:paraId="2621FBB0">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421B222">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开户银行：                      基本账户：</w:t>
      </w:r>
    </w:p>
    <w:p w14:paraId="579D5DCD">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投标单位（签章）：               法定代表人（签章）：</w:t>
      </w:r>
    </w:p>
    <w:p w14:paraId="1E911E8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A378430">
      <w:pPr>
        <w:spacing w:line="560" w:lineRule="exact"/>
        <w:jc w:val="right"/>
        <w:rPr>
          <w:rFonts w:hint="eastAsia" w:ascii="仿宋_GB2312" w:eastAsia="仿宋_GB2312" w:cs="仿宋_GB2312"/>
          <w:color w:val="auto"/>
          <w:sz w:val="32"/>
          <w:szCs w:val="32"/>
          <w:highlight w:val="none"/>
        </w:rPr>
      </w:pPr>
      <w:r>
        <w:rPr>
          <w:rFonts w:hint="eastAsia" w:ascii="宋体" w:hAnsi="宋体" w:eastAsia="宋体" w:cs="宋体"/>
          <w:color w:val="auto"/>
          <w:szCs w:val="21"/>
          <w:highlight w:val="none"/>
          <w:lang w:bidi="ar"/>
        </w:rPr>
        <w:t>日期：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年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月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w:t>
      </w:r>
    </w:p>
    <w:p w14:paraId="6E73FC82">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C17518C">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22A9023">
      <w:pPr>
        <w:spacing w:line="360" w:lineRule="auto"/>
        <w:jc w:val="center"/>
        <w:outlineLvl w:val="1"/>
        <w:rPr>
          <w:rFonts w:hint="eastAsia" w:ascii="宋体" w:hAnsi="宋体" w:eastAsia="宋体"/>
          <w:b/>
          <w:color w:val="auto"/>
          <w:sz w:val="24"/>
          <w:szCs w:val="24"/>
          <w:highlight w:val="none"/>
        </w:rPr>
      </w:pPr>
    </w:p>
    <w:p w14:paraId="1355F48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br w:type="page"/>
      </w:r>
    </w:p>
    <w:p w14:paraId="353E1081">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二、技术标格式文件</w:t>
      </w:r>
    </w:p>
    <w:p w14:paraId="2F863D5B">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12374C38">
      <w:pP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2AEDDA29">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4BC1A202">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技术标</w:t>
      </w:r>
    </w:p>
    <w:p w14:paraId="5780ABE7">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（投标文件二）</w:t>
      </w:r>
    </w:p>
    <w:p w14:paraId="51B6F4A7">
      <w:pPr>
        <w:jc w:val="center"/>
        <w:rPr>
          <w:rFonts w:hint="eastAsia" w:ascii="宋体" w:hAnsi="宋体" w:eastAsia="宋体" w:cs="宋体"/>
          <w:color w:val="auto"/>
          <w:sz w:val="32"/>
          <w:szCs w:val="32"/>
          <w:highlight w:val="none"/>
          <w:u w:val="single"/>
        </w:rPr>
      </w:pPr>
    </w:p>
    <w:p w14:paraId="7F7288E7">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p>
    <w:p w14:paraId="2188610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F85625E">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532E912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139740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D6A24E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2C4C9A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15A83E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A2285A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2CFBEE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677F54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FA8423D">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5E3B8830">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76942999">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191DB5AB">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BEEA6AF">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56BA97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br w:type="page"/>
      </w:r>
    </w:p>
    <w:p w14:paraId="1B68701B">
      <w:pPr>
        <w:spacing w:line="4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607BA0FF">
      <w:pPr>
        <w:spacing w:line="400" w:lineRule="exact"/>
        <w:ind w:firstLine="3744" w:firstLineChars="1036"/>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 xml:space="preserve"> </w:t>
      </w:r>
    </w:p>
    <w:p w14:paraId="12E78FBC">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（1）</w:t>
      </w:r>
      <w:r>
        <w:rPr>
          <w:rFonts w:hint="eastAsia" w:ascii="宋体" w:hAnsi="宋体" w:eastAsia="宋体" w:cs="宋体"/>
          <w:color w:val="auto"/>
          <w:szCs w:val="21"/>
          <w:highlight w:val="none"/>
          <w:lang w:bidi="ar"/>
        </w:rPr>
        <w:t>投标响应表（格式见附件）</w:t>
      </w:r>
      <w:r>
        <w:rPr>
          <w:rFonts w:hint="eastAsia" w:ascii="宋体" w:hAnsi="宋体" w:eastAsia="宋体" w:cs="宋体"/>
          <w:bCs/>
          <w:color w:val="auto"/>
          <w:szCs w:val="21"/>
          <w:highlight w:val="none"/>
          <w:lang w:bidi="ar"/>
        </w:rPr>
        <w:t>；</w:t>
      </w:r>
    </w:p>
    <w:p w14:paraId="1CCEF234">
      <w:pPr>
        <w:spacing w:line="40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bidi="ar"/>
        </w:rPr>
        <w:t>（2）诚信履约承诺函（格式见附件）</w:t>
      </w:r>
      <w:r>
        <w:rPr>
          <w:rFonts w:hint="eastAsia" w:ascii="宋体" w:hAnsi="宋体" w:eastAsia="宋体" w:cs="宋体"/>
          <w:bCs/>
          <w:color w:val="auto"/>
          <w:szCs w:val="21"/>
          <w:highlight w:val="none"/>
          <w:lang w:eastAsia="zh-CN" w:bidi="ar"/>
        </w:rPr>
        <w:t>；</w:t>
      </w:r>
    </w:p>
    <w:p w14:paraId="53DE4D2F">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（3）技术方案：为本项目实施所采用的技术措施和实施方案等；</w:t>
      </w:r>
    </w:p>
    <w:p w14:paraId="4B1B0D0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（4）招标文件中要求的技术标评审及技术标评分的支持资料；</w:t>
      </w:r>
    </w:p>
    <w:p w14:paraId="69F820DA">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（5）投标人认为需要提供的其他技术证明材料；</w:t>
      </w:r>
    </w:p>
    <w:p w14:paraId="66845FDF">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（6）其他（如有）。</w:t>
      </w:r>
    </w:p>
    <w:p w14:paraId="0C41B0C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w:t>
      </w:r>
    </w:p>
    <w:p w14:paraId="65828AA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231F39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9AE265F">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1FDBC9BD">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（1）投标响应表</w:t>
      </w:r>
    </w:p>
    <w:p w14:paraId="07853F30">
      <w:pPr>
        <w:spacing w:line="360" w:lineRule="auto"/>
        <w:ind w:firstLine="435"/>
        <w:outlineLvl w:val="2"/>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1.1商务响应表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0A06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FA24B52">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序号</w:t>
            </w:r>
          </w:p>
        </w:tc>
        <w:tc>
          <w:tcPr>
            <w:tcW w:w="1124" w:type="pct"/>
            <w:tcBorders>
              <w:top w:val="single" w:color="auto" w:sz="4" w:space="0"/>
              <w:left w:val="nil"/>
              <w:bottom w:val="single" w:color="auto" w:sz="4" w:space="0"/>
              <w:right w:val="single" w:color="auto" w:sz="4" w:space="0"/>
            </w:tcBorders>
            <w:shd w:val="clear" w:color="auto" w:fill="auto"/>
            <w:vAlign w:val="center"/>
          </w:tcPr>
          <w:p w14:paraId="0CE3EDBC">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bCs/>
                <w:color w:val="auto"/>
                <w:kern w:val="2"/>
                <w:szCs w:val="24"/>
                <w:highlight w:val="none"/>
                <w:lang w:bidi="ar"/>
              </w:rPr>
              <w:t>商务条款</w:t>
            </w:r>
          </w:p>
        </w:tc>
        <w:tc>
          <w:tcPr>
            <w:tcW w:w="1465" w:type="pct"/>
            <w:tcBorders>
              <w:top w:val="single" w:color="auto" w:sz="4" w:space="0"/>
              <w:left w:val="nil"/>
              <w:bottom w:val="single" w:color="auto" w:sz="4" w:space="0"/>
              <w:right w:val="single" w:color="auto" w:sz="4" w:space="0"/>
            </w:tcBorders>
            <w:shd w:val="clear" w:color="auto" w:fill="auto"/>
            <w:vAlign w:val="center"/>
          </w:tcPr>
          <w:p w14:paraId="6AFA3328">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招标文件要求</w:t>
            </w:r>
          </w:p>
        </w:tc>
        <w:tc>
          <w:tcPr>
            <w:tcW w:w="1510" w:type="pct"/>
            <w:tcBorders>
              <w:top w:val="single" w:color="auto" w:sz="4" w:space="0"/>
              <w:left w:val="nil"/>
              <w:bottom w:val="single" w:color="auto" w:sz="4" w:space="0"/>
              <w:right w:val="single" w:color="auto" w:sz="4" w:space="0"/>
            </w:tcBorders>
            <w:shd w:val="clear" w:color="auto" w:fill="auto"/>
            <w:vAlign w:val="center"/>
          </w:tcPr>
          <w:p w14:paraId="0AB440AB">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投标人承诺</w:t>
            </w:r>
          </w:p>
        </w:tc>
        <w:tc>
          <w:tcPr>
            <w:tcW w:w="475" w:type="pct"/>
            <w:tcBorders>
              <w:top w:val="single" w:color="auto" w:sz="4" w:space="0"/>
              <w:left w:val="nil"/>
              <w:bottom w:val="single" w:color="auto" w:sz="4" w:space="0"/>
              <w:right w:val="single" w:color="auto" w:sz="4" w:space="0"/>
            </w:tcBorders>
            <w:shd w:val="clear" w:color="auto" w:fill="auto"/>
            <w:vAlign w:val="center"/>
          </w:tcPr>
          <w:p w14:paraId="147A2712">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偏离说明</w:t>
            </w:r>
          </w:p>
        </w:tc>
      </w:tr>
      <w:tr w14:paraId="741A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6703D6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1124" w:type="pct"/>
            <w:tcBorders>
              <w:top w:val="single" w:color="auto" w:sz="4" w:space="0"/>
              <w:left w:val="nil"/>
              <w:bottom w:val="single" w:color="auto" w:sz="4" w:space="0"/>
              <w:right w:val="single" w:color="auto" w:sz="4" w:space="0"/>
            </w:tcBorders>
            <w:shd w:val="clear" w:color="auto" w:fill="auto"/>
            <w:vAlign w:val="center"/>
          </w:tcPr>
          <w:p w14:paraId="13D1E6A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付款方式</w:t>
            </w:r>
          </w:p>
        </w:tc>
        <w:tc>
          <w:tcPr>
            <w:tcW w:w="1465" w:type="pct"/>
            <w:tcBorders>
              <w:top w:val="single" w:color="auto" w:sz="4" w:space="0"/>
              <w:left w:val="nil"/>
              <w:bottom w:val="single" w:color="auto" w:sz="4" w:space="0"/>
              <w:right w:val="single" w:color="auto" w:sz="4" w:space="0"/>
            </w:tcBorders>
            <w:shd w:val="clear" w:color="auto" w:fill="auto"/>
            <w:vAlign w:val="center"/>
          </w:tcPr>
          <w:p w14:paraId="4904CBE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686FBD3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3CD873F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2D04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5F02D7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1124" w:type="pct"/>
            <w:tcBorders>
              <w:top w:val="single" w:color="auto" w:sz="4" w:space="0"/>
              <w:left w:val="nil"/>
              <w:bottom w:val="single" w:color="auto" w:sz="4" w:space="0"/>
              <w:right w:val="single" w:color="auto" w:sz="4" w:space="0"/>
            </w:tcBorders>
            <w:shd w:val="clear" w:color="auto" w:fill="auto"/>
            <w:vAlign w:val="center"/>
          </w:tcPr>
          <w:p w14:paraId="2330CA2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供货及安装地点</w:t>
            </w:r>
          </w:p>
        </w:tc>
        <w:tc>
          <w:tcPr>
            <w:tcW w:w="1465" w:type="pct"/>
            <w:tcBorders>
              <w:top w:val="single" w:color="auto" w:sz="4" w:space="0"/>
              <w:left w:val="nil"/>
              <w:bottom w:val="single" w:color="auto" w:sz="4" w:space="0"/>
              <w:right w:val="single" w:color="auto" w:sz="4" w:space="0"/>
            </w:tcBorders>
            <w:shd w:val="clear" w:color="auto" w:fill="auto"/>
            <w:vAlign w:val="center"/>
          </w:tcPr>
          <w:p w14:paraId="781F113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100E566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EE35BE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7F18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BD7E89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1124" w:type="pct"/>
            <w:tcBorders>
              <w:top w:val="single" w:color="auto" w:sz="4" w:space="0"/>
              <w:left w:val="nil"/>
              <w:bottom w:val="single" w:color="auto" w:sz="4" w:space="0"/>
              <w:right w:val="single" w:color="auto" w:sz="4" w:space="0"/>
            </w:tcBorders>
            <w:shd w:val="clear" w:color="auto" w:fill="auto"/>
            <w:vAlign w:val="center"/>
          </w:tcPr>
          <w:p w14:paraId="52197B5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供货及安装期限</w:t>
            </w:r>
          </w:p>
        </w:tc>
        <w:tc>
          <w:tcPr>
            <w:tcW w:w="1465" w:type="pct"/>
            <w:tcBorders>
              <w:top w:val="single" w:color="auto" w:sz="4" w:space="0"/>
              <w:left w:val="nil"/>
              <w:bottom w:val="single" w:color="auto" w:sz="4" w:space="0"/>
              <w:right w:val="single" w:color="auto" w:sz="4" w:space="0"/>
            </w:tcBorders>
            <w:shd w:val="clear" w:color="auto" w:fill="auto"/>
            <w:vAlign w:val="center"/>
          </w:tcPr>
          <w:p w14:paraId="16B9E3E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14039B9B">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6204A60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4B59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7749DC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1124" w:type="pct"/>
            <w:tcBorders>
              <w:top w:val="single" w:color="auto" w:sz="4" w:space="0"/>
              <w:left w:val="nil"/>
              <w:bottom w:val="single" w:color="auto" w:sz="4" w:space="0"/>
              <w:right w:val="single" w:color="auto" w:sz="4" w:space="0"/>
            </w:tcBorders>
            <w:shd w:val="clear" w:color="auto" w:fill="auto"/>
            <w:vAlign w:val="center"/>
          </w:tcPr>
          <w:p w14:paraId="74727BD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免费质保期</w:t>
            </w:r>
          </w:p>
        </w:tc>
        <w:tc>
          <w:tcPr>
            <w:tcW w:w="1465" w:type="pct"/>
            <w:tcBorders>
              <w:top w:val="single" w:color="auto" w:sz="4" w:space="0"/>
              <w:left w:val="nil"/>
              <w:bottom w:val="single" w:color="auto" w:sz="4" w:space="0"/>
              <w:right w:val="single" w:color="auto" w:sz="4" w:space="0"/>
            </w:tcBorders>
            <w:shd w:val="clear" w:color="auto" w:fill="auto"/>
            <w:vAlign w:val="center"/>
          </w:tcPr>
          <w:p w14:paraId="5F3B57A3">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5E5080C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6965623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0054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2E71A3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1124" w:type="pct"/>
            <w:tcBorders>
              <w:top w:val="single" w:color="auto" w:sz="4" w:space="0"/>
              <w:left w:val="nil"/>
              <w:bottom w:val="single" w:color="auto" w:sz="4" w:space="0"/>
              <w:right w:val="single" w:color="auto" w:sz="4" w:space="0"/>
            </w:tcBorders>
            <w:shd w:val="clear" w:color="auto" w:fill="auto"/>
            <w:vAlign w:val="center"/>
          </w:tcPr>
          <w:p w14:paraId="08B01E6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65" w:type="pct"/>
            <w:tcBorders>
              <w:top w:val="single" w:color="auto" w:sz="4" w:space="0"/>
              <w:left w:val="nil"/>
              <w:bottom w:val="single" w:color="auto" w:sz="4" w:space="0"/>
              <w:right w:val="single" w:color="auto" w:sz="4" w:space="0"/>
            </w:tcBorders>
            <w:shd w:val="clear" w:color="auto" w:fill="auto"/>
            <w:vAlign w:val="center"/>
          </w:tcPr>
          <w:p w14:paraId="5B686A7E">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29D6C32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5CBBEBA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bl>
    <w:p w14:paraId="76A0B96F">
      <w:pPr>
        <w:spacing w:line="360" w:lineRule="auto"/>
        <w:ind w:firstLine="435"/>
        <w:outlineLvl w:val="2"/>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1.2技术响应表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3"/>
        <w:gridCol w:w="855"/>
      </w:tblGrid>
      <w:tr w14:paraId="1807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0F59137">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序号</w:t>
            </w:r>
          </w:p>
        </w:tc>
        <w:tc>
          <w:tcPr>
            <w:tcW w:w="915" w:type="pct"/>
            <w:tcBorders>
              <w:top w:val="single" w:color="auto" w:sz="4" w:space="0"/>
              <w:left w:val="nil"/>
              <w:bottom w:val="single" w:color="auto" w:sz="4" w:space="0"/>
              <w:right w:val="single" w:color="auto" w:sz="4" w:space="0"/>
            </w:tcBorders>
            <w:shd w:val="clear" w:color="auto" w:fill="auto"/>
            <w:vAlign w:val="center"/>
          </w:tcPr>
          <w:p w14:paraId="327CE668">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bCs/>
                <w:color w:val="auto"/>
                <w:kern w:val="2"/>
                <w:szCs w:val="24"/>
                <w:highlight w:val="none"/>
                <w:lang w:bidi="ar"/>
              </w:rPr>
              <w:t>货物名称</w:t>
            </w:r>
          </w:p>
        </w:tc>
        <w:tc>
          <w:tcPr>
            <w:tcW w:w="1680" w:type="pct"/>
            <w:tcBorders>
              <w:top w:val="single" w:color="auto" w:sz="4" w:space="0"/>
              <w:left w:val="nil"/>
              <w:bottom w:val="single" w:color="auto" w:sz="4" w:space="0"/>
              <w:right w:val="single" w:color="auto" w:sz="4" w:space="0"/>
            </w:tcBorders>
            <w:shd w:val="clear" w:color="auto" w:fill="auto"/>
            <w:vAlign w:val="center"/>
          </w:tcPr>
          <w:p w14:paraId="345F3090">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招标文件规定的技术参数及要求</w:t>
            </w:r>
          </w:p>
        </w:tc>
        <w:tc>
          <w:tcPr>
            <w:tcW w:w="1456" w:type="pct"/>
            <w:tcBorders>
              <w:top w:val="single" w:color="auto" w:sz="4" w:space="0"/>
              <w:left w:val="nil"/>
              <w:bottom w:val="single" w:color="auto" w:sz="4" w:space="0"/>
              <w:right w:val="single" w:color="auto" w:sz="4" w:space="0"/>
            </w:tcBorders>
            <w:shd w:val="clear" w:color="auto" w:fill="auto"/>
            <w:vAlign w:val="center"/>
          </w:tcPr>
          <w:p w14:paraId="64752109">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所投产品的品牌、型号及技术参数</w:t>
            </w:r>
          </w:p>
        </w:tc>
        <w:tc>
          <w:tcPr>
            <w:tcW w:w="501" w:type="pct"/>
            <w:tcBorders>
              <w:top w:val="single" w:color="auto" w:sz="4" w:space="0"/>
              <w:left w:val="nil"/>
              <w:bottom w:val="single" w:color="auto" w:sz="4" w:space="0"/>
              <w:right w:val="single" w:color="auto" w:sz="4" w:space="0"/>
            </w:tcBorders>
            <w:shd w:val="clear" w:color="auto" w:fill="auto"/>
            <w:vAlign w:val="center"/>
          </w:tcPr>
          <w:p w14:paraId="72BAA5AD">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偏离说明</w:t>
            </w:r>
          </w:p>
        </w:tc>
      </w:tr>
      <w:tr w14:paraId="551B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88F26E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915" w:type="pct"/>
            <w:tcBorders>
              <w:top w:val="single" w:color="auto" w:sz="4" w:space="0"/>
              <w:left w:val="nil"/>
              <w:bottom w:val="single" w:color="auto" w:sz="4" w:space="0"/>
              <w:right w:val="single" w:color="auto" w:sz="4" w:space="0"/>
            </w:tcBorders>
            <w:shd w:val="clear" w:color="auto" w:fill="auto"/>
            <w:vAlign w:val="center"/>
          </w:tcPr>
          <w:p w14:paraId="1F04223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7B02166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278CA68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65A3EED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27F0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644E89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915" w:type="pct"/>
            <w:tcBorders>
              <w:top w:val="single" w:color="auto" w:sz="4" w:space="0"/>
              <w:left w:val="nil"/>
              <w:bottom w:val="single" w:color="auto" w:sz="4" w:space="0"/>
              <w:right w:val="single" w:color="auto" w:sz="4" w:space="0"/>
            </w:tcBorders>
            <w:shd w:val="clear" w:color="auto" w:fill="auto"/>
            <w:vAlign w:val="center"/>
          </w:tcPr>
          <w:p w14:paraId="5A7A730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3C79868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2D4F01F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51C81B9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13C3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021A48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915" w:type="pct"/>
            <w:tcBorders>
              <w:top w:val="single" w:color="auto" w:sz="4" w:space="0"/>
              <w:left w:val="nil"/>
              <w:bottom w:val="single" w:color="auto" w:sz="4" w:space="0"/>
              <w:right w:val="single" w:color="auto" w:sz="4" w:space="0"/>
            </w:tcBorders>
            <w:shd w:val="clear" w:color="auto" w:fill="auto"/>
            <w:vAlign w:val="center"/>
          </w:tcPr>
          <w:p w14:paraId="300D92E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2481F70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5459B632">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697BC14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432C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A253E1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915" w:type="pct"/>
            <w:tcBorders>
              <w:top w:val="single" w:color="auto" w:sz="4" w:space="0"/>
              <w:left w:val="nil"/>
              <w:bottom w:val="single" w:color="auto" w:sz="4" w:space="0"/>
              <w:right w:val="single" w:color="auto" w:sz="4" w:space="0"/>
            </w:tcBorders>
            <w:shd w:val="clear" w:color="auto" w:fill="auto"/>
            <w:vAlign w:val="center"/>
          </w:tcPr>
          <w:p w14:paraId="7F46700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16248F3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712F1066">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1E606A9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3D0C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F047EA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915" w:type="pct"/>
            <w:tcBorders>
              <w:top w:val="single" w:color="auto" w:sz="4" w:space="0"/>
              <w:left w:val="nil"/>
              <w:bottom w:val="single" w:color="auto" w:sz="4" w:space="0"/>
              <w:right w:val="single" w:color="auto" w:sz="4" w:space="0"/>
            </w:tcBorders>
            <w:shd w:val="clear" w:color="auto" w:fill="auto"/>
            <w:vAlign w:val="center"/>
          </w:tcPr>
          <w:p w14:paraId="3EA086C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139A0F4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051D5E2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2FE6259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bl>
    <w:p w14:paraId="0C128540">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056A60D7">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1F54CD90">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2245C47">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4DE47B72">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765763AC">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（2）诚信履约承诺函</w:t>
      </w:r>
    </w:p>
    <w:p w14:paraId="534588E6">
      <w:pPr>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bidi="ar"/>
        </w:rPr>
        <w:t xml:space="preserve"> </w:t>
      </w:r>
    </w:p>
    <w:p w14:paraId="44C3DE33">
      <w:pPr>
        <w:spacing w:line="360" w:lineRule="auto"/>
        <w:rPr>
          <w:rFonts w:hint="eastAsia" w:ascii="宋体" w:hAnsi="宋体" w:eastAsia="宋体"/>
          <w:b/>
          <w:bCs/>
          <w:color w:val="auto"/>
          <w:sz w:val="24"/>
          <w:szCs w:val="24"/>
          <w:highlight w:val="none"/>
          <w:u w:val="single"/>
        </w:rPr>
      </w:pPr>
      <w:r>
        <w:rPr>
          <w:rFonts w:hint="eastAsia" w:ascii="宋体" w:hAnsi="宋体" w:eastAsia="宋体" w:cs="宋体"/>
          <w:b/>
          <w:bCs/>
          <w:color w:val="auto"/>
          <w:sz w:val="24"/>
          <w:szCs w:val="24"/>
          <w:highlight w:val="none"/>
          <w:lang w:bidi="ar"/>
        </w:rPr>
        <w:t>致：采购人</w:t>
      </w:r>
    </w:p>
    <w:p w14:paraId="1F91D5A9">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781D5787">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（1）中标或者成交后无正当理由拒不与采购人签订政府采购合同；</w:t>
      </w:r>
    </w:p>
    <w:p w14:paraId="4CF6C07F">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（2）未按照采购文件确定的事项签订政府采购合同；</w:t>
      </w:r>
    </w:p>
    <w:p w14:paraId="0607AE43">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（3）将政府采购合同转包；</w:t>
      </w:r>
    </w:p>
    <w:p w14:paraId="3AEB330E">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（4）提供假冒伪劣产品；</w:t>
      </w:r>
    </w:p>
    <w:p w14:paraId="50276421">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（5）擅自变更、中止或者终止政府采购合同。</w:t>
      </w:r>
    </w:p>
    <w:p w14:paraId="141DBABD">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E87A0BD">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本承诺声明：</w:t>
      </w:r>
      <w:r>
        <w:rPr>
          <w:rFonts w:hint="eastAsia" w:ascii="宋体" w:hAnsi="宋体" w:eastAsia="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bidi="ar"/>
        </w:rPr>
        <w:t>（投标人名称）</w:t>
      </w:r>
      <w:r>
        <w:rPr>
          <w:rFonts w:hint="eastAsia" w:ascii="宋体" w:hAnsi="宋体" w:eastAsia="宋体" w:cs="宋体"/>
          <w:bCs/>
          <w:color w:val="auto"/>
          <w:sz w:val="24"/>
          <w:szCs w:val="24"/>
          <w:highlight w:val="none"/>
          <w:lang w:bidi="ar"/>
        </w:rPr>
        <w:t>对本招标文件的相关要求完全响应。若有幸中标将严格按照以上承诺进行供货和服务。</w:t>
      </w:r>
    </w:p>
    <w:p w14:paraId="640306D7">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bidi="ar"/>
        </w:rPr>
        <w:t xml:space="preserve"> </w:t>
      </w:r>
    </w:p>
    <w:p w14:paraId="3ABBE22F">
      <w:pPr>
        <w:spacing w:line="360" w:lineRule="auto"/>
        <w:ind w:firstLine="4320" w:firstLineChars="18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2131A62">
      <w:pPr>
        <w:spacing w:line="360" w:lineRule="auto"/>
        <w:ind w:firstLine="4320" w:firstLineChars="1800"/>
        <w:rPr>
          <w:rFonts w:hint="eastAsia" w:ascii="宋体" w:hAnsi="宋体" w:eastAsia="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563FF9FB">
      <w:pPr>
        <w:spacing w:line="360" w:lineRule="auto"/>
        <w:ind w:firstLine="4320" w:firstLineChars="18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日</w:t>
      </w: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期：</w:t>
      </w:r>
      <w:r>
        <w:rPr>
          <w:rFonts w:hint="eastAsia" w:ascii="宋体" w:hAnsi="宋体" w:eastAsia="宋体"/>
          <w:bCs/>
          <w:color w:val="auto"/>
          <w:sz w:val="24"/>
          <w:szCs w:val="24"/>
          <w:highlight w:val="none"/>
          <w:u w:val="single"/>
          <w:lang w:bidi="ar"/>
        </w:rPr>
        <w:t xml:space="preserve">             </w:t>
      </w:r>
    </w:p>
    <w:p w14:paraId="604BA5B1">
      <w:pPr>
        <w:spacing w:line="360" w:lineRule="auto"/>
        <w:jc w:val="center"/>
        <w:outlineLvl w:val="1"/>
        <w:rPr>
          <w:rFonts w:hint="eastAsia" w:ascii="宋体" w:hAnsi="宋体" w:eastAsia="宋体"/>
          <w:b/>
          <w:color w:val="auto"/>
          <w:sz w:val="24"/>
          <w:szCs w:val="24"/>
          <w:highlight w:val="none"/>
          <w:lang w:bidi="ar"/>
        </w:rPr>
      </w:pPr>
    </w:p>
    <w:p w14:paraId="51522AFF">
      <w:pPr>
        <w:spacing w:line="360" w:lineRule="auto"/>
        <w:jc w:val="center"/>
        <w:outlineLvl w:val="1"/>
        <w:rPr>
          <w:rFonts w:hint="eastAsia" w:ascii="宋体" w:hAnsi="宋体" w:eastAsia="宋体"/>
          <w:b/>
          <w:color w:val="auto"/>
          <w:sz w:val="24"/>
          <w:szCs w:val="24"/>
          <w:highlight w:val="none"/>
          <w:lang w:bidi="ar"/>
        </w:rPr>
      </w:pPr>
    </w:p>
    <w:p w14:paraId="49D70664">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（3） 响应承诺函 </w:t>
      </w:r>
    </w:p>
    <w:p w14:paraId="3B858040">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val="0"/>
          <w:bCs/>
          <w:color w:val="auto"/>
          <w:sz w:val="24"/>
          <w:szCs w:val="24"/>
          <w:highlight w:val="none"/>
          <w:lang w:bidi="ar"/>
        </w:rPr>
        <w:t>按招标文件P7</w:t>
      </w:r>
      <w:r>
        <w:rPr>
          <w:rFonts w:hint="eastAsia" w:ascii="宋体" w:hAnsi="宋体" w:eastAsia="宋体"/>
          <w:b w:val="0"/>
          <w:bCs/>
          <w:color w:val="auto"/>
          <w:sz w:val="24"/>
          <w:szCs w:val="24"/>
          <w:highlight w:val="none"/>
          <w:lang w:val="en-US" w:eastAsia="zh-CN" w:bidi="ar"/>
        </w:rPr>
        <w:t>5</w:t>
      </w:r>
      <w:r>
        <w:rPr>
          <w:rFonts w:hint="eastAsia" w:ascii="宋体" w:hAnsi="宋体" w:eastAsia="宋体"/>
          <w:b w:val="0"/>
          <w:bCs/>
          <w:color w:val="auto"/>
          <w:sz w:val="24"/>
          <w:szCs w:val="24"/>
          <w:highlight w:val="none"/>
          <w:lang w:bidi="ar"/>
        </w:rPr>
        <w:t>页评审要求提供响应承诺函，格式自拟</w:t>
      </w:r>
      <w:r>
        <w:rPr>
          <w:rFonts w:hint="eastAsia" w:ascii="宋体" w:hAnsi="宋体" w:eastAsia="宋体"/>
          <w:b/>
          <w:color w:val="auto"/>
          <w:sz w:val="24"/>
          <w:szCs w:val="24"/>
          <w:highlight w:val="none"/>
          <w:lang w:bidi="ar"/>
        </w:rPr>
        <w:t xml:space="preserve"> </w:t>
      </w:r>
    </w:p>
    <w:p w14:paraId="6D963D7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br w:type="page"/>
      </w:r>
    </w:p>
    <w:p w14:paraId="4971D1CE">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三、商务标格式文件</w:t>
      </w:r>
    </w:p>
    <w:p w14:paraId="46B1723B">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3199AA7E">
      <w:pP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7DB8D775">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0FDCEC0F">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1C9978D2">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商务标</w:t>
      </w:r>
    </w:p>
    <w:p w14:paraId="7329110C">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（投标文件三）</w:t>
      </w:r>
    </w:p>
    <w:p w14:paraId="2B8814B5">
      <w:pPr>
        <w:jc w:val="center"/>
        <w:rPr>
          <w:rFonts w:hint="eastAsia" w:ascii="宋体" w:hAnsi="宋体" w:eastAsia="宋体" w:cs="宋体"/>
          <w:color w:val="auto"/>
          <w:sz w:val="32"/>
          <w:szCs w:val="32"/>
          <w:highlight w:val="none"/>
          <w:u w:val="single"/>
        </w:rPr>
      </w:pPr>
    </w:p>
    <w:p w14:paraId="6794BE17">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p>
    <w:p w14:paraId="42AA3F0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44586F9">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21EC525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A5DC68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4ECB371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921203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FCF61A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85BF05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DFB973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E4CE184">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00EE495A">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59A3C070">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2D7EBBEA">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18732C8">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1371FE1A">
      <w:pPr>
        <w:spacing w:line="400" w:lineRule="exact"/>
        <w:ind w:firstLine="3379" w:firstLineChars="935"/>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060D9DC5">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27AF1C67">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（1）开标一览表（格式见附件）；</w:t>
      </w:r>
    </w:p>
    <w:p w14:paraId="38B5CA96">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（2）投标函（格式见附件）；</w:t>
      </w:r>
    </w:p>
    <w:p w14:paraId="0491A279">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（3）投标分项报价表（格式见附件）；</w:t>
      </w:r>
    </w:p>
    <w:p w14:paraId="1297289D">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（4）中小企业声明函，残疾人福利性企业（格式见附件）；</w:t>
      </w:r>
    </w:p>
    <w:p w14:paraId="1BFC8524">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（5）省级以上监狱管理局、戒毒管理局（含新疆生产建设兵团）出具的属于监狱企业的证明（如是）</w:t>
      </w:r>
    </w:p>
    <w:p w14:paraId="490EBA5E">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）招标文件商务评审中要求提供的其他相关资料；</w:t>
      </w:r>
    </w:p>
    <w:p w14:paraId="0BBCA02C">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）投标人认为需要提供的其他材料；</w:t>
      </w:r>
    </w:p>
    <w:p w14:paraId="7E75C1A1">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）其他（如有）。</w:t>
      </w:r>
    </w:p>
    <w:p w14:paraId="7CF25F42">
      <w:pPr>
        <w:spacing w:line="440" w:lineRule="exact"/>
        <w:ind w:left="420"/>
        <w:rPr>
          <w:rFonts w:hint="eastAsia" w:ascii="宋体" w:hAnsi="宋体" w:eastAsia="宋体" w:cs="宋体"/>
          <w:color w:val="auto"/>
          <w:szCs w:val="21"/>
          <w:highlight w:val="none"/>
        </w:rPr>
      </w:pPr>
    </w:p>
    <w:p w14:paraId="5D89A327">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C2DD7C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B9693EF">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3C0CCE5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（1）开标一览表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6219"/>
      </w:tblGrid>
      <w:tr w14:paraId="36E9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53EAC139">
            <w:pPr>
              <w:keepNext w:val="0"/>
              <w:keepLines w:val="0"/>
              <w:widowControl/>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项目名称</w:t>
            </w:r>
          </w:p>
        </w:tc>
        <w:tc>
          <w:tcPr>
            <w:tcW w:w="3647" w:type="pct"/>
            <w:tcBorders>
              <w:top w:val="single" w:color="auto" w:sz="4" w:space="0"/>
              <w:left w:val="nil"/>
              <w:bottom w:val="single" w:color="auto" w:sz="4" w:space="0"/>
              <w:right w:val="single" w:color="auto" w:sz="4" w:space="0"/>
            </w:tcBorders>
            <w:shd w:val="clear" w:color="auto" w:fill="auto"/>
            <w:vAlign w:val="center"/>
          </w:tcPr>
          <w:p w14:paraId="4F12D128">
            <w:pPr>
              <w:keepNext w:val="0"/>
              <w:keepLines w:val="0"/>
              <w:suppressLineNumbers w:val="0"/>
              <w:spacing w:before="0" w:beforeAutospacing="0" w:after="0" w:afterAutospacing="0" w:line="360" w:lineRule="exact"/>
              <w:ind w:left="0" w:right="0"/>
              <w:jc w:val="center"/>
              <w:rPr>
                <w:rFonts w:hint="eastAsia" w:ascii="宋体" w:hAnsi="宋体" w:eastAsia="宋体"/>
                <w:bCs/>
                <w:color w:val="auto"/>
                <w:sz w:val="24"/>
                <w:szCs w:val="24"/>
                <w:highlight w:val="none"/>
                <w:u w:val="single"/>
              </w:rPr>
            </w:pPr>
          </w:p>
        </w:tc>
      </w:tr>
      <w:tr w14:paraId="5B78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7657DBB7">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投标人全称</w:t>
            </w:r>
          </w:p>
        </w:tc>
        <w:tc>
          <w:tcPr>
            <w:tcW w:w="3647" w:type="pct"/>
            <w:tcBorders>
              <w:top w:val="nil"/>
              <w:left w:val="single" w:color="auto" w:sz="4" w:space="0"/>
              <w:bottom w:val="single" w:color="auto" w:sz="4" w:space="0"/>
              <w:right w:val="single" w:color="auto" w:sz="4" w:space="0"/>
            </w:tcBorders>
            <w:shd w:val="clear" w:color="auto" w:fill="auto"/>
            <w:vAlign w:val="center"/>
          </w:tcPr>
          <w:p w14:paraId="3B77E20D">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4"/>
                <w:highlight w:val="none"/>
              </w:rPr>
            </w:pPr>
          </w:p>
        </w:tc>
      </w:tr>
      <w:tr w14:paraId="7D29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3DEC00B0">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投标范围</w:t>
            </w:r>
          </w:p>
        </w:tc>
        <w:tc>
          <w:tcPr>
            <w:tcW w:w="3647" w:type="pct"/>
            <w:tcBorders>
              <w:top w:val="nil"/>
              <w:left w:val="single" w:color="auto" w:sz="4" w:space="0"/>
              <w:bottom w:val="single" w:color="auto" w:sz="4" w:space="0"/>
              <w:right w:val="single" w:color="auto" w:sz="4" w:space="0"/>
            </w:tcBorders>
            <w:shd w:val="clear" w:color="auto" w:fill="auto"/>
            <w:vAlign w:val="center"/>
          </w:tcPr>
          <w:p w14:paraId="40EF7D9E">
            <w:pPr>
              <w:keepNext w:val="0"/>
              <w:keepLines w:val="0"/>
              <w:widowControl/>
              <w:suppressLineNumbers w:val="0"/>
              <w:autoSpaceDE w:val="0"/>
              <w:spacing w:before="0" w:beforeAutospacing="0" w:after="0" w:afterAutospacing="0" w:line="360" w:lineRule="auto"/>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全部</w:t>
            </w:r>
          </w:p>
        </w:tc>
      </w:tr>
      <w:tr w14:paraId="5ED4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38CDF10E">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投标报价</w:t>
            </w:r>
          </w:p>
        </w:tc>
        <w:tc>
          <w:tcPr>
            <w:tcW w:w="3647" w:type="pct"/>
            <w:tcBorders>
              <w:top w:val="nil"/>
              <w:left w:val="single" w:color="auto" w:sz="4" w:space="0"/>
              <w:bottom w:val="single" w:color="auto" w:sz="4" w:space="0"/>
              <w:right w:val="single" w:color="auto" w:sz="4" w:space="0"/>
            </w:tcBorders>
            <w:shd w:val="clear" w:color="auto" w:fill="auto"/>
            <w:vAlign w:val="center"/>
          </w:tcPr>
          <w:p w14:paraId="3C8BF80E">
            <w:pPr>
              <w:keepNext w:val="0"/>
              <w:keepLines w:val="0"/>
              <w:suppressLineNumbers w:val="0"/>
              <w:autoSpaceDE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bidi="ar"/>
              </w:rPr>
              <w:t>大写：</w:t>
            </w:r>
            <w:r>
              <w:rPr>
                <w:rFonts w:hint="eastAsia" w:ascii="宋体" w:hAnsi="宋体" w:eastAsia="宋体" w:cs="宋体"/>
                <w:bCs/>
                <w:color w:val="auto"/>
                <w:sz w:val="24"/>
                <w:szCs w:val="24"/>
                <w:highlight w:val="none"/>
                <w:u w:val="single"/>
                <w:lang w:bidi="ar"/>
              </w:rPr>
              <w:t xml:space="preserve">                     </w:t>
            </w:r>
          </w:p>
          <w:p w14:paraId="5E7D7AFE">
            <w:pPr>
              <w:keepNext w:val="0"/>
              <w:keepLines w:val="0"/>
              <w:suppressLineNumbers w:val="0"/>
              <w:autoSpaceDE w:val="0"/>
              <w:spacing w:before="0" w:beforeAutospacing="0" w:after="0" w:afterAutospacing="0" w:line="360" w:lineRule="auto"/>
              <w:ind w:left="0"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lang w:bidi="ar"/>
              </w:rPr>
              <w:t>小写：</w:t>
            </w:r>
            <w:r>
              <w:rPr>
                <w:rFonts w:hint="eastAsia" w:ascii="宋体" w:hAnsi="宋体" w:eastAsia="宋体" w:cs="宋体"/>
                <w:bCs/>
                <w:color w:val="auto"/>
                <w:sz w:val="24"/>
                <w:szCs w:val="24"/>
                <w:highlight w:val="none"/>
                <w:u w:val="single"/>
                <w:lang w:bidi="ar"/>
              </w:rPr>
              <w:t xml:space="preserve">                     </w:t>
            </w:r>
          </w:p>
        </w:tc>
      </w:tr>
      <w:tr w14:paraId="2C92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2F7E3C1D">
            <w:pPr>
              <w:keepNext w:val="0"/>
              <w:keepLines w:val="0"/>
              <w:suppressLineNumbers w:val="0"/>
              <w:spacing w:before="0" w:beforeAutospacing="0" w:after="0" w:afterAutospacing="0" w:line="360" w:lineRule="auto"/>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其他</w:t>
            </w:r>
          </w:p>
        </w:tc>
        <w:tc>
          <w:tcPr>
            <w:tcW w:w="3647" w:type="pct"/>
            <w:tcBorders>
              <w:top w:val="nil"/>
              <w:left w:val="single" w:color="auto" w:sz="4" w:space="0"/>
              <w:bottom w:val="single" w:color="auto" w:sz="4" w:space="0"/>
              <w:right w:val="single" w:color="auto" w:sz="4" w:space="0"/>
            </w:tcBorders>
            <w:shd w:val="clear" w:color="auto" w:fill="auto"/>
            <w:vAlign w:val="center"/>
          </w:tcPr>
          <w:p w14:paraId="7645A2E7">
            <w:pPr>
              <w:keepNext w:val="0"/>
              <w:keepLines w:val="0"/>
              <w:suppressLineNumbers w:val="0"/>
              <w:spacing w:before="0" w:beforeAutospacing="0" w:after="0" w:afterAutospacing="0" w:line="360" w:lineRule="auto"/>
              <w:ind w:left="0" w:right="0"/>
              <w:jc w:val="left"/>
              <w:rPr>
                <w:rFonts w:hint="eastAsia" w:ascii="宋体" w:hAnsi="宋体" w:eastAsia="宋体"/>
                <w:color w:val="auto"/>
                <w:sz w:val="24"/>
                <w:szCs w:val="24"/>
                <w:highlight w:val="none"/>
              </w:rPr>
            </w:pPr>
          </w:p>
        </w:tc>
      </w:tr>
    </w:tbl>
    <w:p w14:paraId="3D839924">
      <w:pPr>
        <w:spacing w:line="360" w:lineRule="auto"/>
        <w:ind w:firstLine="4320" w:firstLineChars="1800"/>
        <w:jc w:val="center"/>
        <w:rPr>
          <w:rFonts w:hint="eastAsia" w:ascii="宋体" w:hAnsi="宋体" w:eastAsia="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100EE708">
      <w:pPr>
        <w:spacing w:line="360" w:lineRule="auto"/>
        <w:ind w:firstLine="4320" w:firstLineChars="1800"/>
        <w:jc w:val="center"/>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日</w:t>
      </w: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期：</w:t>
      </w:r>
      <w:r>
        <w:rPr>
          <w:rFonts w:hint="eastAsia" w:ascii="宋体" w:hAnsi="宋体" w:eastAsia="宋体"/>
          <w:bCs/>
          <w:color w:val="auto"/>
          <w:sz w:val="24"/>
          <w:szCs w:val="24"/>
          <w:highlight w:val="none"/>
          <w:u w:val="single"/>
          <w:lang w:bidi="ar"/>
        </w:rPr>
        <w:t xml:space="preserve">             </w:t>
      </w:r>
    </w:p>
    <w:p w14:paraId="6627ED78">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30819217">
      <w:pPr>
        <w:spacing w:line="360" w:lineRule="auto"/>
        <w:ind w:firstLine="360" w:firstLineChars="15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66ECC9A">
      <w:pPr>
        <w:spacing w:line="360" w:lineRule="auto"/>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注：</w:t>
      </w:r>
    </w:p>
    <w:p w14:paraId="75B774AE">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1</w:t>
      </w:r>
      <w:r>
        <w:rPr>
          <w:rFonts w:hint="eastAsia" w:ascii="宋体" w:hAnsi="宋体" w:eastAsia="宋体" w:cs="宋体"/>
          <w:color w:val="auto"/>
          <w:sz w:val="24"/>
          <w:szCs w:val="24"/>
          <w:highlight w:val="none"/>
          <w:lang w:bidi="ar"/>
        </w:rPr>
        <w:t>.此表用于开标唱标之用。</w:t>
      </w:r>
    </w:p>
    <w:p w14:paraId="4823FAF2">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2</w:t>
      </w:r>
      <w:r>
        <w:rPr>
          <w:rFonts w:hint="eastAsia" w:ascii="宋体" w:hAnsi="宋体" w:eastAsia="宋体" w:cs="宋体"/>
          <w:color w:val="auto"/>
          <w:sz w:val="24"/>
          <w:szCs w:val="24"/>
          <w:highlight w:val="none"/>
          <w:lang w:bidi="ar"/>
        </w:rPr>
        <w:t>.表中投标报价即为优惠后报价，并作为评审及定标依据。任何有选择或有条件的投标报价，或者表中某一包别填写多个报价，均为无效报价。</w:t>
      </w:r>
    </w:p>
    <w:p w14:paraId="4B49BEAB">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3.表中大写金额与小写金额不一致的，以大写金额为准。</w:t>
      </w:r>
      <w:r>
        <w:rPr>
          <w:rFonts w:hint="eastAsia" w:ascii="宋体" w:hAnsi="宋体" w:eastAsia="宋体"/>
          <w:color w:val="auto"/>
          <w:sz w:val="24"/>
          <w:szCs w:val="24"/>
          <w:highlight w:val="none"/>
          <w:lang w:bidi="ar"/>
        </w:rPr>
        <w:br w:type="page"/>
      </w:r>
    </w:p>
    <w:p w14:paraId="6F0808C0">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（2）投标函</w:t>
      </w:r>
    </w:p>
    <w:p w14:paraId="19FACD9E">
      <w:pPr>
        <w:pStyle w:val="20"/>
        <w:spacing w:before="0" w:beforeAutospacing="0" w:after="0" w:afterAutospacing="0" w:line="360" w:lineRule="auto"/>
        <w:jc w:val="both"/>
        <w:rPr>
          <w:rFonts w:hint="eastAsia" w:ascii="宋体" w:hAnsi="宋体" w:eastAsia="宋体" w:cs="Arial"/>
          <w:b/>
          <w:color w:val="auto"/>
          <w:kern w:val="2"/>
          <w:szCs w:val="24"/>
          <w:highlight w:val="none"/>
          <w:u w:val="singl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6C03701A">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根据贵方的招标公告和投标邀请，我方兹宣布同意如下：</w:t>
      </w:r>
    </w:p>
    <w:p w14:paraId="2B8B3EE5">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1.我方根据招标文件的规定，严格履行合同的责任和义务,并保证于买方要求的日期内完成，并通过买方验收。</w:t>
      </w:r>
    </w:p>
    <w:p w14:paraId="135A35A8">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2.我方已详细审核全部招标文件，包括招标文件附件及更正公告（如有），我方正式认可并遵守本次招标文件，并对招标文件各项条款、规定及要求均无异议。</w:t>
      </w:r>
    </w:p>
    <w:p w14:paraId="62274434">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3.我方同意从招标文件规定的开标日期起遵循本招标文件，并在招标文件规定的投标有效期之前均具有约束力。</w:t>
      </w:r>
    </w:p>
    <w:p w14:paraId="6EADAD87">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6F8D0EF8">
      <w:pPr>
        <w:spacing w:line="360" w:lineRule="auto"/>
        <w:ind w:firstLine="4800" w:firstLineChars="20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70175D92">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61AE031D">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2479C72B">
      <w:pPr>
        <w:widowControl/>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lang w:bidi="ar"/>
        </w:rPr>
        <w:br w:type="page"/>
      </w:r>
    </w:p>
    <w:p w14:paraId="1053FD78">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（3）投标分项报价表</w:t>
      </w:r>
    </w:p>
    <w:p w14:paraId="1EEA40AD">
      <w:pPr>
        <w:spacing w:line="360" w:lineRule="auto"/>
        <w:ind w:firstLine="435"/>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788D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1629CED3">
            <w:pPr>
              <w:pStyle w:val="20"/>
              <w:keepNext w:val="0"/>
              <w:keepLines w:val="0"/>
              <w:suppressLineNumbers w:val="0"/>
              <w:spacing w:before="0" w:beforeAutospacing="0" w:after="0" w:afterAutospacing="0"/>
              <w:ind w:left="0" w:right="0"/>
              <w:jc w:val="center"/>
              <w:rPr>
                <w:rFonts w:hint="eastAsia" w:ascii="宋体" w:hAnsi="宋体" w:eastAsia="宋体" w:cs="@仿宋_GB2312"/>
                <w:b/>
                <w:color w:val="auto"/>
                <w:kern w:val="2"/>
                <w:szCs w:val="24"/>
                <w:highlight w:val="none"/>
              </w:rPr>
            </w:pPr>
            <w:r>
              <w:rPr>
                <w:rFonts w:hint="eastAsia" w:ascii="宋体" w:hAnsi="宋体" w:eastAsia="宋体" w:cs="宋体"/>
                <w:b/>
                <w:color w:val="auto"/>
                <w:kern w:val="2"/>
                <w:szCs w:val="24"/>
                <w:highlight w:val="none"/>
                <w:lang w:bidi="ar"/>
              </w:rPr>
              <w:t>序号</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4EC79E7B">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货物名称</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02B01C8F">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品牌、型</w:t>
            </w:r>
          </w:p>
          <w:p w14:paraId="6035FF89">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号</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2A1D0AC7">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原产地及</w:t>
            </w:r>
          </w:p>
          <w:p w14:paraId="329B9585">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生产厂商</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39600FB8">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单位</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213DFF5C">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数量</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52CE579D">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单价</w:t>
            </w:r>
          </w:p>
          <w:p w14:paraId="6A5F92B9">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（元）</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43BEB20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小计</w:t>
            </w:r>
          </w:p>
          <w:p w14:paraId="529DD9C7">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（元）</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74A8CA3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备注</w:t>
            </w:r>
          </w:p>
        </w:tc>
      </w:tr>
      <w:tr w14:paraId="3FC9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541AF16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3F35866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184A00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517D106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FC66E7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BAF4F8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A42623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7D76E1B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27E3E04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7A5A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1FAD5C2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62882C4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D851A5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35F2E2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E8218E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0A6474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96F102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ACB0D4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70D8878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7735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75FA90C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7C4D3FC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650293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B3361B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15B191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1EE7C3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E77B96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4D4C3E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2564FC2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446C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5FFEDE7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2F7A1E0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F0DCA4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0A673D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8C0E74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08E78B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7807AB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1C158F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7778540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4DAA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150419D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5</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272B313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CD9F22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0D45FE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203D27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6C5251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0C0D53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D3DD67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5CC7B03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05C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40A9A62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6</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5282F5B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7B3E60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5194D5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379F8C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1C31CF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3053C0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D7E2F7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08AC4C4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235D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6BFFFFF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7</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2024595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58F739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588AD65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EC274D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EF1B8A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44A93B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50D212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58F3BA6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0A7E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221A8C8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8</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0C69BA8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D508D8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0F9102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C3E2FC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E051AB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976A9A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D3C257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162C1FF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1435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7E20F48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9</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10F55E5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703D55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DDAA0D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6ED1B8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61472F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8801E7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777F9A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77842EB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9E3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013D2B7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10</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466DD20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C21874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C6D7C7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77F0C2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C5CE6F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58B4FA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8F3351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006CE7B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B0F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4F0B8A6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11</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4DAB7CF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73894E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4A817C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0CC2E7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08F1A9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C83F13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705E5C8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CF4C2F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E92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56DCF71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12</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542BA68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B17D68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C63C9C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E154D1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094395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7A2542F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712EF7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23321CB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2B6C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5C16A4A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13</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7D233A1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5B3816A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FAE28A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217E45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2E5EB3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3B3991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B76F84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4A39D3E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EEF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613E3343">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5A05265F">
            <w:pPr>
              <w:pStyle w:val="20"/>
              <w:keepNext w:val="0"/>
              <w:keepLines w:val="0"/>
              <w:suppressLineNumbers w:val="0"/>
              <w:spacing w:before="0" w:beforeAutospacing="0" w:after="0" w:afterAutospacing="0"/>
              <w:ind w:left="0" w:right="0"/>
              <w:jc w:val="both"/>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其他费用</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27CAB7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59C734D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72316E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7CAA41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09AAFF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8F3CB3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521634A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42C8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156A265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009A110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EBE5D6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07AB8D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BCFEBD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AC109A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1B0DCA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1AD9BD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337188C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00A9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4F1B2DB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6E2B971C">
            <w:pPr>
              <w:pStyle w:val="20"/>
              <w:keepNext w:val="0"/>
              <w:keepLines w:val="0"/>
              <w:suppressLineNumbers w:val="0"/>
              <w:spacing w:before="0" w:beforeAutospacing="0" w:after="0" w:afterAutospacing="0"/>
              <w:ind w:left="0" w:right="0"/>
              <w:jc w:val="both"/>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62011D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FA8320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580356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9913AB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181457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2BAEDD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722B06D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047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3AF0FE9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2639A12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25FB7B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F64967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EB7AF7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E69A35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F5A503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F60A00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15B8F0C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7C67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FDD712">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合计（元）</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431DF2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71F552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B5C29A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DE45E2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14FE09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2ABE1F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531F708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bl>
    <w:p w14:paraId="146EF6B2">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6833C2DC">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5F57FCDA">
      <w:pPr>
        <w:adjustRightInd w:val="0"/>
        <w:snapToGrid w:val="0"/>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bidi="ar"/>
        </w:rPr>
        <w:t xml:space="preserve"> </w:t>
      </w:r>
    </w:p>
    <w:p w14:paraId="200AD389">
      <w:pPr>
        <w:adjustRightInd w:val="0"/>
        <w:snapToGrid w:val="0"/>
        <w:spacing w:line="360" w:lineRule="auto"/>
        <w:rPr>
          <w:rFonts w:hint="eastAsia"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注：</w:t>
      </w:r>
    </w:p>
    <w:p w14:paraId="540832BF">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0A1FAC34">
      <w:pPr>
        <w:spacing w:line="360" w:lineRule="auto"/>
        <w:ind w:firstLine="435"/>
        <w:rPr>
          <w:rFonts w:hint="eastAsia"/>
          <w:color w:val="auto"/>
          <w:szCs w:val="21"/>
          <w:highlight w:val="none"/>
        </w:rPr>
      </w:pPr>
      <w:r>
        <w:rPr>
          <w:rFonts w:hint="eastAsia" w:ascii="宋体" w:hAnsi="宋体" w:eastAsia="宋体" w:cs="宋体"/>
          <w:color w:val="auto"/>
          <w:sz w:val="24"/>
          <w:szCs w:val="24"/>
          <w:highlight w:val="none"/>
          <w:lang w:bidi="ar"/>
        </w:rPr>
        <w:t>2.表中须明确列出所投产品的货物名称、品牌、型号规格、原产地及生产厂商，否则可能导致</w:t>
      </w:r>
      <w:r>
        <w:rPr>
          <w:rFonts w:hint="eastAsia" w:ascii="宋体" w:hAnsi="宋体" w:eastAsia="宋体" w:cs="宋体"/>
          <w:b/>
          <w:bCs/>
          <w:color w:val="auto"/>
          <w:sz w:val="24"/>
          <w:szCs w:val="24"/>
          <w:highlight w:val="none"/>
          <w:lang w:bidi="ar"/>
        </w:rPr>
        <w:t>投标无效</w:t>
      </w:r>
      <w:r>
        <w:rPr>
          <w:rFonts w:hint="eastAsia" w:ascii="宋体" w:hAnsi="宋体" w:eastAsia="宋体" w:cs="宋体"/>
          <w:color w:val="auto"/>
          <w:sz w:val="24"/>
          <w:szCs w:val="24"/>
          <w:highlight w:val="none"/>
          <w:lang w:bidi="ar"/>
        </w:rPr>
        <w:t>。</w:t>
      </w:r>
    </w:p>
    <w:p w14:paraId="68E9C0BB">
      <w:pPr>
        <w:widowControl/>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br w:type="page"/>
      </w:r>
    </w:p>
    <w:p w14:paraId="596CFDE1">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color w:val="auto"/>
          <w:sz w:val="24"/>
          <w:szCs w:val="24"/>
          <w:highlight w:val="none"/>
          <w:lang w:bidi="ar"/>
        </w:rPr>
        <w:t>（4）</w:t>
      </w:r>
      <w:r>
        <w:rPr>
          <w:rFonts w:hint="eastAsia" w:ascii="宋体" w:hAnsi="宋体" w:eastAsia="宋体" w:cs="宋体"/>
          <w:b/>
          <w:bCs w:val="0"/>
          <w:color w:val="auto"/>
          <w:kern w:val="2"/>
          <w:sz w:val="24"/>
          <w:szCs w:val="24"/>
          <w:highlight w:val="none"/>
          <w:lang w:val="en-US" w:eastAsia="zh-CN" w:bidi="ar"/>
        </w:rPr>
        <w:t>中小企业声明函</w:t>
      </w:r>
    </w:p>
    <w:p w14:paraId="2E2B2259">
      <w:pPr>
        <w:pStyle w:val="20"/>
        <w:widowControl/>
        <w:spacing w:before="0" w:beforeAutospacing="0" w:after="120" w:afterAutospacing="0" w:line="360" w:lineRule="auto"/>
        <w:ind w:left="0" w:right="0"/>
        <w:jc w:val="center"/>
        <w:rPr>
          <w:rFonts w:hint="eastAsia" w:ascii="宋体" w:hAnsi="宋体" w:eastAsia="宋体" w:cs="@微软简标宋"/>
          <w:i/>
          <w:iCs w:val="0"/>
          <w:color w:val="auto"/>
          <w:kern w:val="2"/>
          <w:sz w:val="24"/>
          <w:szCs w:val="24"/>
          <w:highlight w:val="none"/>
        </w:rPr>
      </w:pPr>
      <w:r>
        <w:rPr>
          <w:rFonts w:hint="eastAsia" w:ascii="宋体" w:hAnsi="宋体" w:eastAsia="宋体" w:cs="宋体"/>
          <w:i/>
          <w:iCs w:val="0"/>
          <w:color w:val="auto"/>
          <w:kern w:val="2"/>
          <w:sz w:val="24"/>
          <w:szCs w:val="24"/>
          <w:highlight w:val="none"/>
          <w:lang w:val="en-US" w:eastAsia="zh-CN" w:bidi="ar"/>
        </w:rPr>
        <w:t>（非中小企业投标，不需此件，请删去“中小企业声明函”）</w:t>
      </w:r>
    </w:p>
    <w:p w14:paraId="0CD5248B">
      <w:pPr>
        <w:keepNext w:val="0"/>
        <w:keepLines w:val="0"/>
        <w:widowControl w:val="0"/>
        <w:suppressLineNumbers w:val="0"/>
        <w:spacing w:before="0" w:beforeAutospacing="0" w:after="0" w:afterAutospacing="0"/>
        <w:ind w:left="0" w:right="0"/>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15D0EE4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本公司（联合体）郑重声明，根据《政府采购促进中小企业发展管理办法》（财库﹝2020﹞46号）的规定，本公司（联合体）参加（</w:t>
      </w:r>
      <w:r>
        <w:rPr>
          <w:rFonts w:hint="eastAsia" w:ascii="宋体" w:hAnsi="宋体" w:eastAsia="宋体" w:cs="宋体"/>
          <w:color w:val="auto"/>
          <w:kern w:val="2"/>
          <w:sz w:val="24"/>
          <w:szCs w:val="24"/>
          <w:highlight w:val="none"/>
          <w:u w:val="single"/>
          <w:lang w:val="en-US" w:eastAsia="zh-CN" w:bidi="ar"/>
        </w:rPr>
        <w:t>单位名称</w:t>
      </w:r>
      <w:r>
        <w:rPr>
          <w:rFonts w:hint="eastAsia" w:ascii="宋体" w:hAnsi="宋体" w:eastAsia="宋体" w:cs="宋体"/>
          <w:color w:val="auto"/>
          <w:kern w:val="2"/>
          <w:sz w:val="24"/>
          <w:szCs w:val="24"/>
          <w:highlight w:val="none"/>
          <w:lang w:val="en-US" w:eastAsia="zh-CN" w:bidi="ar"/>
        </w:rPr>
        <w:t>）的（</w:t>
      </w:r>
      <w:r>
        <w:rPr>
          <w:rFonts w:hint="eastAsia" w:ascii="宋体" w:hAnsi="宋体" w:eastAsia="宋体" w:cs="宋体"/>
          <w:color w:val="auto"/>
          <w:kern w:val="2"/>
          <w:sz w:val="24"/>
          <w:szCs w:val="24"/>
          <w:highlight w:val="none"/>
          <w:u w:val="single"/>
          <w:lang w:val="en-US" w:eastAsia="zh-CN" w:bidi="ar"/>
        </w:rPr>
        <w:t>项目名称</w:t>
      </w:r>
      <w:r>
        <w:rPr>
          <w:rFonts w:hint="eastAsia" w:ascii="宋体" w:hAnsi="宋体" w:eastAsia="宋体" w:cs="宋体"/>
          <w:color w:val="auto"/>
          <w:kern w:val="2"/>
          <w:sz w:val="24"/>
          <w:szCs w:val="24"/>
          <w:highlight w:val="none"/>
          <w:lang w:val="en-US" w:eastAsia="zh-CN" w:bidi="ar"/>
        </w:rPr>
        <w:t>）采购活动，提供的货物全部由符合政策要求的中小企业制造。相关企业（含联合体中的中小企业、签订分包意向协议的中小企业）的具体情况如下：</w:t>
      </w:r>
      <w:r>
        <w:rPr>
          <w:rFonts w:hint="eastAsia" w:ascii="宋体" w:hAnsi="宋体" w:eastAsia="宋体" w:cs="@仿宋_GB2312"/>
          <w:color w:val="auto"/>
          <w:kern w:val="2"/>
          <w:sz w:val="24"/>
          <w:szCs w:val="24"/>
          <w:highlight w:val="none"/>
          <w:lang w:val="en-US" w:eastAsia="zh-CN" w:bidi="ar"/>
        </w:rPr>
        <w:t xml:space="preserve"> </w:t>
      </w:r>
    </w:p>
    <w:p w14:paraId="6F59FB5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（标的名称）</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，属于</w:t>
      </w:r>
      <w:r>
        <w:rPr>
          <w:rFonts w:hint="eastAsia" w:ascii="宋体" w:hAnsi="宋体" w:eastAsia="宋体" w:cs="宋体"/>
          <w:color w:val="auto"/>
          <w:kern w:val="2"/>
          <w:sz w:val="24"/>
          <w:szCs w:val="24"/>
          <w:highlight w:val="none"/>
          <w:u w:val="single"/>
          <w:lang w:val="en-US" w:eastAsia="zh-CN" w:bidi="ar"/>
        </w:rPr>
        <w:t>（采购文件中明确的所属行业）</w:t>
      </w:r>
      <w:r>
        <w:rPr>
          <w:rFonts w:hint="eastAsia" w:ascii="宋体" w:hAnsi="宋体" w:eastAsia="宋体" w:cs="宋体"/>
          <w:color w:val="auto"/>
          <w:kern w:val="2"/>
          <w:sz w:val="24"/>
          <w:szCs w:val="24"/>
          <w:highlight w:val="none"/>
          <w:lang w:val="en-US" w:eastAsia="zh-CN" w:bidi="ar"/>
        </w:rPr>
        <w:t>行业；制造商为</w:t>
      </w:r>
      <w:r>
        <w:rPr>
          <w:rFonts w:hint="eastAsia" w:ascii="宋体" w:hAnsi="宋体" w:eastAsia="宋体" w:cs="宋体"/>
          <w:color w:val="auto"/>
          <w:kern w:val="2"/>
          <w:sz w:val="24"/>
          <w:szCs w:val="24"/>
          <w:highlight w:val="none"/>
          <w:u w:val="single"/>
          <w:lang w:val="en-US" w:eastAsia="zh-CN" w:bidi="ar"/>
        </w:rPr>
        <w:t>（企业名称）</w:t>
      </w:r>
      <w:r>
        <w:rPr>
          <w:rFonts w:hint="eastAsia" w:ascii="宋体" w:hAnsi="宋体" w:eastAsia="宋体" w:cs="宋体"/>
          <w:color w:val="auto"/>
          <w:kern w:val="2"/>
          <w:sz w:val="24"/>
          <w:szCs w:val="24"/>
          <w:highlight w:val="none"/>
          <w:lang w:val="en-US" w:eastAsia="zh-CN" w:bidi="ar"/>
        </w:rPr>
        <w:t>，从业人员</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人，营业收入为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（中型企业、小型企业、微型企业）</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lang w:val="en-US" w:eastAsia="zh-CN" w:bidi="ar"/>
        </w:rPr>
        <w:t xml:space="preserve"> </w:t>
      </w:r>
    </w:p>
    <w:p w14:paraId="686F6FA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（标的名称）</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，属于</w:t>
      </w:r>
      <w:r>
        <w:rPr>
          <w:rFonts w:hint="eastAsia" w:ascii="宋体" w:hAnsi="宋体" w:eastAsia="宋体" w:cs="宋体"/>
          <w:color w:val="auto"/>
          <w:kern w:val="2"/>
          <w:sz w:val="24"/>
          <w:szCs w:val="24"/>
          <w:highlight w:val="none"/>
          <w:u w:val="single"/>
          <w:lang w:val="en-US" w:eastAsia="zh-CN" w:bidi="ar"/>
        </w:rPr>
        <w:t>（采购文件中明确的所属行业）</w:t>
      </w:r>
      <w:r>
        <w:rPr>
          <w:rFonts w:hint="eastAsia" w:ascii="宋体" w:hAnsi="宋体" w:eastAsia="宋体" w:cs="宋体"/>
          <w:color w:val="auto"/>
          <w:kern w:val="2"/>
          <w:sz w:val="24"/>
          <w:szCs w:val="24"/>
          <w:highlight w:val="none"/>
          <w:lang w:val="en-US" w:eastAsia="zh-CN" w:bidi="ar"/>
        </w:rPr>
        <w:t>行业；制造商为</w:t>
      </w:r>
      <w:r>
        <w:rPr>
          <w:rFonts w:hint="eastAsia" w:ascii="宋体" w:hAnsi="宋体" w:eastAsia="宋体" w:cs="宋体"/>
          <w:color w:val="auto"/>
          <w:kern w:val="2"/>
          <w:sz w:val="24"/>
          <w:szCs w:val="24"/>
          <w:highlight w:val="none"/>
          <w:u w:val="single"/>
          <w:lang w:val="en-US" w:eastAsia="zh-CN" w:bidi="ar"/>
        </w:rPr>
        <w:t>（企业名称）</w:t>
      </w:r>
      <w:r>
        <w:rPr>
          <w:rFonts w:hint="eastAsia" w:ascii="宋体" w:hAnsi="宋体" w:eastAsia="宋体" w:cs="宋体"/>
          <w:color w:val="auto"/>
          <w:kern w:val="2"/>
          <w:sz w:val="24"/>
          <w:szCs w:val="24"/>
          <w:highlight w:val="none"/>
          <w:lang w:val="en-US" w:eastAsia="zh-CN" w:bidi="ar"/>
        </w:rPr>
        <w:t>，从业人员</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人，营业收入为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（中型企业、小型企业、微型企业）</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lang w:val="en-US" w:eastAsia="zh-CN" w:bidi="ar"/>
        </w:rPr>
        <w:t xml:space="preserve"> </w:t>
      </w:r>
    </w:p>
    <w:p w14:paraId="3572F8F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p w14:paraId="03E6094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以上企业，不属于大企业的分支机构，不存在控股股东为大企业的情形，也不存在与大企业的负责人为同一人的情形。</w:t>
      </w:r>
    </w:p>
    <w:p w14:paraId="04F3E47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本企业对上述声明内容的真实性负责。如有虚假，将依法承担相应责任。</w:t>
      </w:r>
      <w:r>
        <w:rPr>
          <w:rFonts w:hint="eastAsia" w:ascii="宋体" w:hAnsi="宋体" w:eastAsia="宋体" w:cs="@仿宋_GB2312"/>
          <w:color w:val="auto"/>
          <w:kern w:val="2"/>
          <w:sz w:val="24"/>
          <w:szCs w:val="24"/>
          <w:highlight w:val="none"/>
          <w:lang w:val="en-US" w:eastAsia="zh-CN" w:bidi="ar"/>
        </w:rPr>
        <w:t xml:space="preserve"> </w:t>
      </w:r>
    </w:p>
    <w:p w14:paraId="414DFD06">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12A4BD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5A64E3F">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仿宋_GB2312"/>
          <w:color w:val="auto"/>
          <w:kern w:val="2"/>
          <w:sz w:val="24"/>
          <w:szCs w:val="24"/>
          <w:highlight w:val="none"/>
          <w:u w:val="single"/>
          <w:lang w:val="en-US" w:eastAsia="zh-CN" w:bidi="ar"/>
        </w:rPr>
        <w:t xml:space="preserve">             </w:t>
      </w:r>
    </w:p>
    <w:p w14:paraId="362FA705">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4DFC511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114A1DE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5E3C63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8F8658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276B16B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2F61ACD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注：</w:t>
      </w:r>
    </w:p>
    <w:p w14:paraId="65FED75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1.从业人员、营业收入、资产总额填报上一年数据，无上一年数据的新成立企业可不填报。</w:t>
      </w:r>
    </w:p>
    <w:p w14:paraId="223E5BD2">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3DE2FBC6">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3.上述“</w:t>
      </w:r>
      <w:r>
        <w:rPr>
          <w:rFonts w:hint="eastAsia" w:ascii="宋体" w:hAnsi="宋体" w:eastAsia="宋体" w:cs="宋体"/>
          <w:b/>
          <w:bCs/>
          <w:color w:val="auto"/>
          <w:kern w:val="2"/>
          <w:sz w:val="21"/>
          <w:szCs w:val="21"/>
          <w:highlight w:val="none"/>
          <w:u w:val="single"/>
          <w:lang w:val="en-US" w:eastAsia="zh-CN" w:bidi="ar"/>
        </w:rPr>
        <w:t>标的名称</w:t>
      </w:r>
      <w:r>
        <w:rPr>
          <w:rFonts w:hint="eastAsia" w:ascii="宋体" w:hAnsi="宋体" w:eastAsia="宋体" w:cs="宋体"/>
          <w:b/>
          <w:bCs/>
          <w:color w:val="auto"/>
          <w:kern w:val="2"/>
          <w:sz w:val="21"/>
          <w:szCs w:val="21"/>
          <w:highlight w:val="none"/>
          <w:lang w:val="en-US" w:eastAsia="zh-CN" w:bidi="ar"/>
        </w:rPr>
        <w:t>”，详见第三章采购需求中明确的“货物名称”。</w:t>
      </w:r>
    </w:p>
    <w:p w14:paraId="489A468B">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4.上述“</w:t>
      </w:r>
      <w:r>
        <w:rPr>
          <w:rFonts w:hint="eastAsia" w:ascii="宋体" w:hAnsi="宋体" w:eastAsia="宋体" w:cs="宋体"/>
          <w:b/>
          <w:bCs/>
          <w:color w:val="auto"/>
          <w:kern w:val="2"/>
          <w:sz w:val="21"/>
          <w:szCs w:val="21"/>
          <w:highlight w:val="none"/>
          <w:u w:val="single"/>
          <w:lang w:val="en-US" w:eastAsia="zh-CN" w:bidi="ar"/>
        </w:rPr>
        <w:t>采购文件中明确的所属行业</w:t>
      </w:r>
      <w:r>
        <w:rPr>
          <w:rFonts w:hint="eastAsia" w:ascii="宋体" w:hAnsi="宋体" w:eastAsia="宋体" w:cs="宋体"/>
          <w:b/>
          <w:bCs/>
          <w:color w:val="auto"/>
          <w:kern w:val="2"/>
          <w:sz w:val="21"/>
          <w:szCs w:val="21"/>
          <w:highlight w:val="none"/>
          <w:lang w:val="en-US" w:eastAsia="zh-CN" w:bidi="ar"/>
        </w:rPr>
        <w:t>”，详见第三章采购需求中明确的“所属行业”。</w:t>
      </w:r>
    </w:p>
    <w:p w14:paraId="3B518DCC">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5．填写示例：</w:t>
      </w:r>
      <w:r>
        <w:rPr>
          <w:rFonts w:hint="eastAsia" w:ascii="宋体" w:hAnsi="宋体" w:eastAsia="宋体" w:cs="宋体"/>
          <w:b/>
          <w:bCs/>
          <w:color w:val="auto"/>
          <w:kern w:val="2"/>
          <w:sz w:val="21"/>
          <w:szCs w:val="21"/>
          <w:highlight w:val="none"/>
          <w:u w:val="single"/>
          <w:lang w:val="en-US" w:eastAsia="zh-CN" w:bidi="ar"/>
        </w:rPr>
        <w:t>某设备</w:t>
      </w:r>
      <w:r>
        <w:rPr>
          <w:rFonts w:hint="eastAsia" w:ascii="宋体" w:hAnsi="宋体" w:eastAsia="宋体" w:cs="宋体"/>
          <w:b/>
          <w:bCs/>
          <w:color w:val="auto"/>
          <w:kern w:val="2"/>
          <w:sz w:val="21"/>
          <w:szCs w:val="21"/>
          <w:highlight w:val="none"/>
          <w:lang w:val="en-US" w:eastAsia="zh-CN" w:bidi="ar"/>
        </w:rPr>
        <w:t>，属于</w:t>
      </w:r>
      <w:r>
        <w:rPr>
          <w:rFonts w:hint="eastAsia" w:ascii="宋体" w:hAnsi="宋体" w:eastAsia="宋体" w:cs="宋体"/>
          <w:b/>
          <w:bCs/>
          <w:color w:val="auto"/>
          <w:kern w:val="2"/>
          <w:sz w:val="21"/>
          <w:szCs w:val="21"/>
          <w:highlight w:val="none"/>
          <w:u w:val="single"/>
          <w:lang w:val="en-US" w:eastAsia="zh-CN" w:bidi="ar"/>
        </w:rPr>
        <w:t>（填写第三章采购需求中对应货物的“所属行业”，如工业）</w:t>
      </w:r>
      <w:r>
        <w:rPr>
          <w:rFonts w:hint="eastAsia" w:ascii="宋体" w:hAnsi="宋体" w:eastAsia="宋体" w:cs="宋体"/>
          <w:b/>
          <w:bCs/>
          <w:color w:val="auto"/>
          <w:kern w:val="2"/>
          <w:sz w:val="21"/>
          <w:szCs w:val="21"/>
          <w:highlight w:val="none"/>
          <w:lang w:val="en-US" w:eastAsia="zh-CN" w:bidi="ar"/>
        </w:rPr>
        <w:t>行业；承接企业为</w:t>
      </w:r>
      <w:r>
        <w:rPr>
          <w:rFonts w:hint="eastAsia" w:ascii="宋体" w:hAnsi="宋体" w:eastAsia="宋体" w:cs="宋体"/>
          <w:b/>
          <w:bCs/>
          <w:color w:val="auto"/>
          <w:kern w:val="2"/>
          <w:sz w:val="21"/>
          <w:szCs w:val="21"/>
          <w:highlight w:val="none"/>
          <w:u w:val="single"/>
          <w:lang w:val="en-US" w:eastAsia="zh-CN" w:bidi="ar"/>
        </w:rPr>
        <w:t>某企业</w:t>
      </w:r>
      <w:r>
        <w:rPr>
          <w:rFonts w:hint="eastAsia" w:ascii="宋体" w:hAnsi="宋体" w:eastAsia="宋体" w:cs="宋体"/>
          <w:b/>
          <w:bCs/>
          <w:color w:val="auto"/>
          <w:kern w:val="2"/>
          <w:sz w:val="21"/>
          <w:szCs w:val="21"/>
          <w:highlight w:val="none"/>
          <w:lang w:val="en-US" w:eastAsia="zh-CN" w:bidi="ar"/>
        </w:rPr>
        <w:t>，从业人员</w:t>
      </w:r>
      <w:r>
        <w:rPr>
          <w:rFonts w:hint="eastAsia" w:ascii="宋体" w:hAnsi="宋体" w:eastAsia="宋体" w:cs="宋体"/>
          <w:b/>
          <w:bCs/>
          <w:color w:val="auto"/>
          <w:kern w:val="2"/>
          <w:sz w:val="21"/>
          <w:szCs w:val="21"/>
          <w:highlight w:val="none"/>
          <w:u w:val="single"/>
          <w:lang w:val="en-US" w:eastAsia="zh-CN" w:bidi="ar"/>
        </w:rPr>
        <w:t>100</w:t>
      </w:r>
      <w:r>
        <w:rPr>
          <w:rFonts w:hint="eastAsia" w:ascii="宋体" w:hAnsi="宋体" w:eastAsia="宋体" w:cs="宋体"/>
          <w:b/>
          <w:bCs/>
          <w:color w:val="auto"/>
          <w:kern w:val="2"/>
          <w:sz w:val="21"/>
          <w:szCs w:val="21"/>
          <w:highlight w:val="none"/>
          <w:lang w:val="en-US" w:eastAsia="zh-CN" w:bidi="ar"/>
        </w:rPr>
        <w:t>人，营业收入为</w:t>
      </w:r>
      <w:r>
        <w:rPr>
          <w:rFonts w:hint="eastAsia" w:ascii="宋体" w:hAnsi="宋体" w:eastAsia="宋体" w:cs="宋体"/>
          <w:b/>
          <w:bCs/>
          <w:color w:val="auto"/>
          <w:kern w:val="2"/>
          <w:sz w:val="21"/>
          <w:szCs w:val="21"/>
          <w:highlight w:val="none"/>
          <w:u w:val="single"/>
          <w:lang w:val="en-US" w:eastAsia="zh-CN" w:bidi="ar"/>
        </w:rPr>
        <w:t>10000</w:t>
      </w:r>
      <w:r>
        <w:rPr>
          <w:rFonts w:hint="eastAsia" w:ascii="宋体" w:hAnsi="宋体" w:eastAsia="宋体" w:cs="宋体"/>
          <w:b/>
          <w:bCs/>
          <w:color w:val="auto"/>
          <w:kern w:val="2"/>
          <w:sz w:val="21"/>
          <w:szCs w:val="21"/>
          <w:highlight w:val="none"/>
          <w:lang w:val="en-US" w:eastAsia="zh-CN" w:bidi="ar"/>
        </w:rPr>
        <w:t>万元，资产总额为</w:t>
      </w:r>
      <w:r>
        <w:rPr>
          <w:rFonts w:hint="eastAsia" w:ascii="宋体" w:hAnsi="宋体" w:eastAsia="宋体" w:cs="宋体"/>
          <w:b/>
          <w:bCs/>
          <w:color w:val="auto"/>
          <w:kern w:val="2"/>
          <w:sz w:val="21"/>
          <w:szCs w:val="21"/>
          <w:highlight w:val="none"/>
          <w:u w:val="single"/>
          <w:lang w:val="en-US" w:eastAsia="zh-CN" w:bidi="ar"/>
        </w:rPr>
        <w:t>5000</w:t>
      </w:r>
      <w:r>
        <w:rPr>
          <w:rFonts w:hint="eastAsia" w:ascii="宋体" w:hAnsi="宋体" w:eastAsia="宋体" w:cs="宋体"/>
          <w:b/>
          <w:bCs/>
          <w:color w:val="auto"/>
          <w:kern w:val="2"/>
          <w:sz w:val="21"/>
          <w:szCs w:val="21"/>
          <w:highlight w:val="none"/>
          <w:lang w:val="en-US" w:eastAsia="zh-CN" w:bidi="ar"/>
        </w:rPr>
        <w:t>万元，属于</w:t>
      </w:r>
      <w:r>
        <w:rPr>
          <w:rFonts w:hint="eastAsia" w:ascii="宋体" w:hAnsi="宋体" w:eastAsia="宋体" w:cs="宋体"/>
          <w:b/>
          <w:bCs/>
          <w:color w:val="auto"/>
          <w:kern w:val="2"/>
          <w:sz w:val="21"/>
          <w:szCs w:val="21"/>
          <w:highlight w:val="none"/>
          <w:u w:val="single"/>
          <w:lang w:val="en-US" w:eastAsia="zh-CN" w:bidi="ar"/>
        </w:rPr>
        <w:t>小型</w:t>
      </w:r>
      <w:r>
        <w:rPr>
          <w:rFonts w:hint="eastAsia" w:ascii="宋体" w:hAnsi="宋体" w:eastAsia="宋体" w:cs="宋体"/>
          <w:b/>
          <w:bCs/>
          <w:color w:val="auto"/>
          <w:kern w:val="2"/>
          <w:sz w:val="21"/>
          <w:szCs w:val="21"/>
          <w:highlight w:val="none"/>
          <w:lang w:val="en-US" w:eastAsia="zh-CN" w:bidi="ar"/>
        </w:rPr>
        <w:t>企业[投标人自行登录工业和信息化部官网进行中小企业规模类型自测（查询网址https://www.miit.gov.cn/）]。</w:t>
      </w:r>
    </w:p>
    <w:p w14:paraId="16E1BA38">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79B1323F">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763E607C">
      <w:pPr>
        <w:keepNext w:val="0"/>
        <w:keepLines w:val="0"/>
        <w:widowControl w:val="0"/>
        <w:suppressLineNumbers w:val="0"/>
        <w:spacing w:before="0" w:beforeAutospacing="0" w:after="0" w:afterAutospacing="0"/>
        <w:ind w:left="0" w:right="0"/>
        <w:jc w:val="both"/>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br w:type="page"/>
      </w:r>
    </w:p>
    <w:p w14:paraId="19B86199">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（5）残疾人福利性单位声明函</w:t>
      </w:r>
    </w:p>
    <w:p w14:paraId="19DF01C5">
      <w:pPr>
        <w:pStyle w:val="20"/>
        <w:widowControl/>
        <w:spacing w:before="0" w:beforeAutospacing="0" w:after="120" w:afterAutospacing="0" w:line="360" w:lineRule="auto"/>
        <w:ind w:left="0" w:right="0"/>
        <w:jc w:val="center"/>
        <w:rPr>
          <w:rFonts w:hint="eastAsia" w:ascii="宋体" w:hAnsi="宋体" w:eastAsia="宋体" w:cs="@微软简标宋"/>
          <w:i/>
          <w:iCs w:val="0"/>
          <w:color w:val="auto"/>
          <w:kern w:val="2"/>
          <w:sz w:val="24"/>
          <w:szCs w:val="24"/>
          <w:highlight w:val="none"/>
        </w:rPr>
      </w:pPr>
      <w:r>
        <w:rPr>
          <w:rFonts w:hint="eastAsia" w:ascii="宋体" w:hAnsi="宋体" w:eastAsia="宋体" w:cs="宋体"/>
          <w:i/>
          <w:iCs w:val="0"/>
          <w:color w:val="auto"/>
          <w:kern w:val="2"/>
          <w:sz w:val="24"/>
          <w:szCs w:val="24"/>
          <w:highlight w:val="none"/>
          <w:lang w:val="en-US" w:eastAsia="zh-CN" w:bidi="ar"/>
        </w:rPr>
        <w:t>（非残疾人福利性单位投标，请删去“残疾人福利性单位声明函”）</w:t>
      </w:r>
    </w:p>
    <w:p w14:paraId="4C1652D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bidi="ar"/>
        </w:rPr>
        <w:t>本单位</w:t>
      </w:r>
      <w:r>
        <w:rPr>
          <w:rFonts w:hint="eastAsia" w:ascii="宋体" w:hAnsi="宋体" w:eastAsia="宋体" w:cs="宋体"/>
          <w:color w:val="auto"/>
          <w:kern w:val="2"/>
          <w:sz w:val="24"/>
          <w:szCs w:val="24"/>
          <w:highlight w:val="none"/>
          <w:lang w:val="en-US" w:eastAsia="zh-CN" w:bidi="ar"/>
        </w:rPr>
        <w:t>郑重</w:t>
      </w:r>
      <w:r>
        <w:rPr>
          <w:rFonts w:hint="eastAsia" w:ascii="宋体" w:hAnsi="宋体" w:eastAsia="宋体" w:cs="宋体"/>
          <w:color w:val="auto"/>
          <w:spacing w:val="6"/>
          <w:kern w:val="2"/>
          <w:sz w:val="24"/>
          <w:szCs w:val="24"/>
          <w:highlight w:val="none"/>
          <w:lang w:val="en-US" w:eastAsia="zh-CN" w:bidi="ar"/>
        </w:rPr>
        <w:t>声明，根据《财政部</w:t>
      </w:r>
      <w:r>
        <w:rPr>
          <w:rFonts w:hint="eastAsia" w:ascii="宋体" w:hAnsi="宋体" w:eastAsia="宋体" w:cs="@仿宋_GB2312"/>
          <w:color w:val="auto"/>
          <w:spacing w:val="6"/>
          <w:kern w:val="2"/>
          <w:sz w:val="24"/>
          <w:szCs w:val="24"/>
          <w:highlight w:val="non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民政部</w:t>
      </w:r>
      <w:r>
        <w:rPr>
          <w:rFonts w:hint="eastAsia" w:ascii="宋体" w:hAnsi="宋体" w:eastAsia="宋体" w:cs="@仿宋_GB2312"/>
          <w:color w:val="auto"/>
          <w:spacing w:val="6"/>
          <w:kern w:val="2"/>
          <w:sz w:val="24"/>
          <w:szCs w:val="24"/>
          <w:highlight w:val="non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中国残疾人联合会关于促进残疾人就业政府采购政策的通知》（财库</w:t>
      </w:r>
      <w:r>
        <w:rPr>
          <w:rFonts w:hint="eastAsia" w:ascii="宋体" w:hAnsi="宋体" w:eastAsia="宋体" w:cs="宋体"/>
          <w:color w:val="auto"/>
          <w:kern w:val="2"/>
          <w:sz w:val="24"/>
          <w:szCs w:val="24"/>
          <w:highlight w:val="none"/>
          <w:lang w:val="en-US" w:eastAsia="zh-CN" w:bidi="ar"/>
        </w:rPr>
        <w:t>〔2017〕141</w:t>
      </w:r>
      <w:r>
        <w:rPr>
          <w:rFonts w:hint="eastAsia" w:ascii="宋体" w:hAnsi="宋体" w:eastAsia="宋体" w:cs="宋体"/>
          <w:color w:val="auto"/>
          <w:spacing w:val="6"/>
          <w:kern w:val="2"/>
          <w:sz w:val="24"/>
          <w:szCs w:val="24"/>
          <w:highlight w:val="none"/>
          <w:lang w:val="en-US" w:eastAsia="zh-CN" w:bidi="ar"/>
        </w:rPr>
        <w:t>号）的规定，本单位为</w:t>
      </w:r>
      <w:r>
        <w:rPr>
          <w:rFonts w:hint="eastAsia" w:ascii="宋体" w:hAnsi="宋体" w:eastAsia="宋体" w:cs="宋体"/>
          <w:bCs/>
          <w:color w:val="auto"/>
          <w:kern w:val="2"/>
          <w:sz w:val="24"/>
          <w:szCs w:val="24"/>
          <w:highlight w:val="none"/>
          <w:lang w:val="en-US" w:eastAsia="zh-CN" w:bidi="ar"/>
        </w:rPr>
        <w:t>符合</w:t>
      </w:r>
      <w:r>
        <w:rPr>
          <w:rFonts w:hint="eastAsia" w:ascii="宋体" w:hAnsi="宋体" w:eastAsia="宋体" w:cs="宋体"/>
          <w:color w:val="auto"/>
          <w:spacing w:val="6"/>
          <w:kern w:val="2"/>
          <w:sz w:val="24"/>
          <w:szCs w:val="24"/>
          <w:highlight w:val="none"/>
          <w:lang w:val="en-US" w:eastAsia="zh-CN" w:bidi="ar"/>
        </w:rPr>
        <w:t>条件的残疾人福利性单位，且本单位参加</w:t>
      </w:r>
      <w:r>
        <w:rPr>
          <w:rFonts w:hint="eastAsia" w:ascii="宋体" w:hAnsi="宋体" w:eastAsia="宋体" w:cs="@仿宋_GB2312"/>
          <w:color w:val="auto"/>
          <w:spacing w:val="6"/>
          <w:kern w:val="2"/>
          <w:sz w:val="24"/>
          <w:szCs w:val="24"/>
          <w:highlight w:val="none"/>
          <w:u w:val="singl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单位的</w:t>
      </w:r>
      <w:r>
        <w:rPr>
          <w:rFonts w:hint="eastAsia" w:ascii="宋体" w:hAnsi="宋体" w:eastAsia="宋体" w:cs="@仿宋_GB2312"/>
          <w:color w:val="auto"/>
          <w:spacing w:val="6"/>
          <w:kern w:val="2"/>
          <w:sz w:val="24"/>
          <w:szCs w:val="24"/>
          <w:highlight w:val="none"/>
          <w:u w:val="singl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项目采购活动提供本单位制造的货物（由本单位承担工程/提供服务），或者提供其他残疾人福利性单位制造的货物（不包括使用非残疾人福利性单位注册商标的货物）。</w:t>
      </w:r>
    </w:p>
    <w:p w14:paraId="711BE75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bidi="ar"/>
        </w:rPr>
        <w:t>本单位对上述声明的真实性负责。如有虚假，将依法承担相应责任。</w:t>
      </w:r>
    </w:p>
    <w:p w14:paraId="050F750D">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3992C244">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0BA346C">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仿宋_GB2312"/>
          <w:color w:val="auto"/>
          <w:kern w:val="2"/>
          <w:sz w:val="24"/>
          <w:szCs w:val="24"/>
          <w:highlight w:val="none"/>
          <w:u w:val="single"/>
          <w:lang w:val="en-US" w:eastAsia="zh-CN" w:bidi="ar"/>
        </w:rPr>
        <w:t xml:space="preserve">             </w:t>
      </w:r>
    </w:p>
    <w:p w14:paraId="50E5A5A2">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68DE4EE4">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4DC469DF">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2AF39D8C">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3D43B524">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（6）其他相关证明材料</w:t>
      </w:r>
    </w:p>
    <w:p w14:paraId="0E880993">
      <w:pPr>
        <w:spacing w:line="360" w:lineRule="auto"/>
        <w:ind w:firstLine="435"/>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如有。</w:t>
      </w:r>
    </w:p>
    <w:p w14:paraId="4670884B">
      <w:pPr>
        <w:spacing w:line="360" w:lineRule="auto"/>
        <w:ind w:firstLine="435"/>
        <w:rPr>
          <w:rFonts w:hint="eastAsia" w:asciiTheme="minorEastAsia" w:hAnsiTheme="minorEastAsia" w:eastAsiaTheme="minorEastAsia"/>
          <w:color w:val="auto"/>
          <w:sz w:val="24"/>
          <w:highlight w:val="none"/>
        </w:rPr>
      </w:pPr>
    </w:p>
    <w:p w14:paraId="2D95D7B9">
      <w:pPr>
        <w:spacing w:line="360" w:lineRule="auto"/>
        <w:ind w:firstLine="435"/>
        <w:rPr>
          <w:rFonts w:hint="eastAsia" w:asciiTheme="minorEastAsia" w:hAnsiTheme="minorEastAsia" w:eastAsiaTheme="minorEastAsia"/>
          <w:color w:val="auto"/>
          <w:sz w:val="24"/>
          <w:highlight w:val="none"/>
        </w:rPr>
      </w:pPr>
    </w:p>
    <w:p w14:paraId="1EC23840">
      <w:pP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10DA1E4E">
      <w:pP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bidi="ar"/>
        </w:rPr>
        <w:t>附件</w:t>
      </w:r>
      <w:r>
        <w:rPr>
          <w:rFonts w:ascii="Times New Roman" w:hAnsi="Times New Roman" w:eastAsia="宋体" w:cs="Times New Roman"/>
          <w:b/>
          <w:color w:val="auto"/>
          <w:sz w:val="28"/>
          <w:szCs w:val="28"/>
          <w:highlight w:val="none"/>
          <w:lang w:bidi="ar"/>
        </w:rPr>
        <w:t>1</w:t>
      </w:r>
    </w:p>
    <w:p w14:paraId="30EF9F5E">
      <w:pPr>
        <w:spacing w:line="440" w:lineRule="exact"/>
        <w:jc w:val="center"/>
        <w:rPr>
          <w:rFonts w:hint="eastAsia" w:ascii="黑体" w:hAnsi="宋体" w:eastAsia="黑体" w:cs="黑体"/>
          <w:b/>
          <w:color w:val="auto"/>
          <w:sz w:val="30"/>
          <w:szCs w:val="30"/>
          <w:highlight w:val="none"/>
        </w:rPr>
      </w:pPr>
      <w:r>
        <w:rPr>
          <w:rFonts w:hint="eastAsia" w:ascii="黑体" w:hAnsi="宋体" w:eastAsia="黑体" w:cs="黑体"/>
          <w:b/>
          <w:color w:val="auto"/>
          <w:sz w:val="30"/>
          <w:szCs w:val="30"/>
          <w:highlight w:val="none"/>
          <w:lang w:bidi="ar"/>
        </w:rPr>
        <w:t>关于联合惩戒失信行为 加强信用查询管理的通知</w:t>
      </w:r>
    </w:p>
    <w:p w14:paraId="7BF194CE">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4276552B">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48D605C6">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（一）工程建设项目</w:t>
      </w:r>
    </w:p>
    <w:p w14:paraId="5B87D863">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62F4234E">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1AA4331D">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023449AA">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1DBF9E8A">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264749C7">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1FD1F057">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1680885D">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0D6C8616">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3D52A5B8">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0367D168">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42FC7A69">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2FA02FBE">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311C80F4">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3A8CDC50">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（二）政府采购项目</w:t>
      </w:r>
    </w:p>
    <w:p w14:paraId="46B11FC5">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5E361F21">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73F8969F">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24377427">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17A96EAA">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5E3B53AD">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2、国家企业信用信息公示系统网站（www.gsxt.gov.cn）查询供应商以下失信行为：</w:t>
      </w:r>
    </w:p>
    <w:p w14:paraId="3CF7984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39FC76A3">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3、中国政府采购网站（www.ccgp.gov.cn）查询以下失信行为：</w:t>
      </w:r>
    </w:p>
    <w:p w14:paraId="65E191C0">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①被列入“政府采购严重违法失信行为信息记录”的。</w:t>
      </w:r>
    </w:p>
    <w:p w14:paraId="135D9240">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2C31E428">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4653885C">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二、在开评标活动中的查询程序</w:t>
      </w:r>
    </w:p>
    <w:p w14:paraId="0C3BFE4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2CA7A709">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590C2AEA">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35904A5D">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三、相关要求</w:t>
      </w:r>
    </w:p>
    <w:p w14:paraId="5CE9FD55">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73E21E54">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549C6DAB">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6A54E647">
      <w:pPr>
        <w:widowControl/>
        <w:autoSpaceDE w:val="0"/>
        <w:spacing w:line="520" w:lineRule="exact"/>
        <w:ind w:firstLine="482" w:firstLineChars="200"/>
        <w:textAlignment w:val="baseline"/>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17226151">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647DAF45">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w:t>
      </w:r>
      <w:r>
        <w:rPr>
          <w:rFonts w:ascii="Times New Roman" w:hAnsi="Times New Roman" w:eastAsia="宋体" w:cs="Times New Roman"/>
          <w:b/>
          <w:color w:val="auto"/>
          <w:sz w:val="24"/>
          <w:szCs w:val="24"/>
          <w:highlight w:val="none"/>
          <w:lang w:bidi="ar"/>
        </w:rPr>
        <w:t>2</w:t>
      </w:r>
    </w:p>
    <w:p w14:paraId="29F954B8">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1907AF52">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2BCAB70A">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4CCA1F35">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7E984058">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2E13026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7EA4BE9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2317D75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464250C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3C60341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3D93DF0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050A378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1B1273D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11EA3B0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7ECFF6A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7A38948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0D2A8D39">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1A48F9F5">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373C9BBD">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32981C0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6335F64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5AC61ED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34EBF66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1E7E1C2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2F1F8FF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0A89BFE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2B21EF3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6AD568E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341B6B2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561CA5F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7DCBB21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2E29359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3E1C42EE">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4BCC44A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5281C43C">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0617CA7D">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0E740B4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727CF3E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39816C1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3E09D0C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0D608C1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4A73570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04F2007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41A8AE3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99C445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5D4F54D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6B0EE79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295C601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093BC94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32021CC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4FFAA73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75E25C9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715F544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1D6C2D3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0ED3CC42">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0D10B52E">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13396569">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79AC1E81">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04CDB2D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276417A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4F8A112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77B0604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7485E71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1508C94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1E899C1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260FB79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15F9B265">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1E87EAC9">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07D87AD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20A47C4F">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38711D5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7891518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4647654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090D77D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3D2EBF22">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0207EC0A">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3230B277">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735F7666">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478AD4C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45D4F7B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168EC67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7F58ADB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19C8D810">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6DAB2450">
      <w:pPr>
        <w:widowControl/>
        <w:autoSpaceDE w:val="0"/>
        <w:spacing w:line="480" w:lineRule="exact"/>
        <w:ind w:firstLine="482" w:firstLineChars="200"/>
        <w:jc w:val="left"/>
        <w:textAlignment w:val="baseline"/>
        <w:rPr>
          <w:rFonts w:hint="eastAsia"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62428AC7">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1941EC60">
      <w:pPr>
        <w:widowControl/>
        <w:autoSpaceDE w:val="0"/>
        <w:spacing w:line="48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未列出的其他类别严重失信行为，由招标人（代理机构）根据各类别行业主管部门下发的联合惩戒文件进行判断。</w:t>
      </w:r>
    </w:p>
    <w:p w14:paraId="3AA2361F">
      <w:pPr>
        <w:spacing w:line="440" w:lineRule="exact"/>
        <w:ind w:firstLine="6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44AEF6D3">
      <w:pPr>
        <w:spacing w:line="360" w:lineRule="auto"/>
        <w:ind w:firstLine="435"/>
        <w:rPr>
          <w:rFonts w:hint="eastAsia" w:asciiTheme="minorEastAsia" w:hAnsiTheme="minorEastAsia" w:eastAsiaTheme="minorEastAsia"/>
          <w:color w:val="auto"/>
          <w:sz w:val="24"/>
          <w:highlight w:val="none"/>
        </w:rPr>
      </w:pPr>
    </w:p>
    <w:p w14:paraId="581A4FF4">
      <w:pPr>
        <w:spacing w:line="360" w:lineRule="auto"/>
        <w:ind w:firstLine="435"/>
        <w:rPr>
          <w:rFonts w:hint="eastAsia" w:asciiTheme="minorEastAsia" w:hAnsiTheme="minorEastAsia" w:eastAsiaTheme="minorEastAsia"/>
          <w:color w:val="auto"/>
          <w:sz w:val="24"/>
          <w:highlight w:val="none"/>
        </w:rPr>
      </w:pPr>
    </w:p>
    <w:p w14:paraId="11F169AC">
      <w:pP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28E700F8">
      <w:pPr>
        <w:spacing w:line="360" w:lineRule="auto"/>
        <w:jc w:val="center"/>
        <w:outlineLvl w:val="0"/>
        <w:rPr>
          <w:rFonts w:hint="eastAsia" w:ascii="宋体" w:hAnsi="宋体" w:eastAsia="宋体"/>
          <w:b/>
          <w:bCs/>
          <w:color w:val="auto"/>
          <w:sz w:val="28"/>
          <w:highlight w:val="none"/>
        </w:rPr>
      </w:pPr>
      <w:bookmarkStart w:id="45" w:name="_Toc6435"/>
      <w:bookmarkStart w:id="46" w:name="_Toc18131"/>
      <w:r>
        <w:rPr>
          <w:rFonts w:hint="eastAsia" w:asciiTheme="minorEastAsia" w:hAnsiTheme="minorEastAsia" w:eastAsiaTheme="minorEastAsia"/>
          <w:b/>
          <w:color w:val="auto"/>
          <w:sz w:val="28"/>
          <w:highlight w:val="none"/>
        </w:rPr>
        <w:t>第七章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45"/>
      <w:bookmarkEnd w:id="46"/>
    </w:p>
    <w:p w14:paraId="6467611E">
      <w:pPr>
        <w:spacing w:line="360" w:lineRule="auto"/>
        <w:jc w:val="center"/>
        <w:outlineLvl w:val="1"/>
        <w:rPr>
          <w:rFonts w:hint="eastAsia" w:ascii="仿宋" w:hAnsi="仿宋" w:eastAsia="仿宋" w:cs="仿宋"/>
          <w:b/>
          <w:bCs/>
          <w:color w:val="auto"/>
          <w:sz w:val="32"/>
          <w:szCs w:val="44"/>
          <w:highlight w:val="none"/>
        </w:rPr>
      </w:pPr>
      <w:bookmarkStart w:id="47" w:name="_Toc27159"/>
      <w:bookmarkStart w:id="48" w:name="_Toc27489"/>
      <w:r>
        <w:rPr>
          <w:rFonts w:hint="eastAsia" w:ascii="仿宋" w:hAnsi="仿宋" w:eastAsia="仿宋" w:cs="仿宋"/>
          <w:b/>
          <w:bCs/>
          <w:color w:val="auto"/>
          <w:sz w:val="32"/>
          <w:szCs w:val="44"/>
          <w:highlight w:val="none"/>
        </w:rPr>
        <w:t>询问函范本</w:t>
      </w:r>
      <w:bookmarkEnd w:id="47"/>
      <w:bookmarkEnd w:id="48"/>
    </w:p>
    <w:p w14:paraId="1770C7CA">
      <w:pPr>
        <w:adjustRightInd w:val="0"/>
        <w:snapToGrid w:val="0"/>
        <w:spacing w:line="360" w:lineRule="auto"/>
        <w:ind w:firstLine="480" w:firstLineChars="200"/>
        <w:jc w:val="center"/>
        <w:rPr>
          <w:rFonts w:hint="eastAsia"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2D1CE343">
      <w:pPr>
        <w:adjustRightInd w:val="0"/>
        <w:snapToGrid w:val="0"/>
        <w:spacing w:line="360" w:lineRule="auto"/>
        <w:rPr>
          <w:rFonts w:hint="eastAsia" w:cs="仿宋" w:asciiTheme="minorEastAsia" w:hAnsiTheme="minorEastAsia" w:eastAsiaTheme="minorEastAsia"/>
          <w:b/>
          <w:bCs/>
          <w:color w:val="auto"/>
          <w:sz w:val="24"/>
          <w:szCs w:val="24"/>
          <w:highlight w:val="none"/>
          <w:u w:val="single"/>
        </w:rPr>
      </w:pPr>
      <w:r>
        <w:rPr>
          <w:rFonts w:hint="eastAsia" w:cs="仿宋" w:asciiTheme="minorEastAsia" w:hAnsiTheme="minorEastAsia" w:eastAsiaTheme="minorEastAsia"/>
          <w:b/>
          <w:bCs/>
          <w:color w:val="auto"/>
          <w:sz w:val="24"/>
          <w:szCs w:val="24"/>
          <w:highlight w:val="none"/>
        </w:rPr>
        <w:t>致：采购人</w:t>
      </w:r>
    </w:p>
    <w:p w14:paraId="17441A20">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i/>
          <w:iCs/>
          <w:color w:val="auto"/>
          <w:sz w:val="24"/>
          <w:szCs w:val="24"/>
          <w:highlight w:val="none"/>
        </w:rPr>
        <w:t>项目名称、编号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014368BB">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bookmarkStart w:id="49" w:name="_Toc13899"/>
      <w:r>
        <w:rPr>
          <w:rFonts w:hint="eastAsia" w:cs="仿宋" w:asciiTheme="minorEastAsia" w:hAnsiTheme="minorEastAsia" w:eastAsiaTheme="minorEastAsia"/>
          <w:color w:val="auto"/>
          <w:sz w:val="24"/>
          <w:szCs w:val="24"/>
          <w:highlight w:val="none"/>
        </w:rPr>
        <w:t>一、(事项一)</w:t>
      </w:r>
      <w:bookmarkEnd w:id="49"/>
    </w:p>
    <w:p w14:paraId="57008D6D">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2BA9BC46">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66900FC4">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200D4484">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bookmarkStart w:id="50" w:name="_Toc3352"/>
      <w:r>
        <w:rPr>
          <w:rFonts w:hint="eastAsia" w:cs="仿宋" w:asciiTheme="minorEastAsia" w:hAnsiTheme="minorEastAsia" w:eastAsiaTheme="minorEastAsia"/>
          <w:color w:val="auto"/>
          <w:sz w:val="24"/>
          <w:szCs w:val="24"/>
          <w:highlight w:val="none"/>
        </w:rPr>
        <w:t>二、(事项二)</w:t>
      </w:r>
      <w:bookmarkEnd w:id="50"/>
    </w:p>
    <w:p w14:paraId="22E01DE5">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48ECABD9">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106B4D00">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502DD11A">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779E21D8">
      <w:pPr>
        <w:tabs>
          <w:tab w:val="left" w:pos="630"/>
        </w:tabs>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382F297B">
      <w:pPr>
        <w:rPr>
          <w:rFonts w:hint="eastAsia"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429F5C91">
      <w:pPr>
        <w:jc w:val="center"/>
        <w:outlineLvl w:val="1"/>
        <w:rPr>
          <w:rFonts w:hint="eastAsia" w:ascii="仿宋" w:hAnsi="仿宋" w:eastAsia="仿宋" w:cs="仿宋"/>
          <w:b/>
          <w:bCs/>
          <w:color w:val="auto"/>
          <w:sz w:val="32"/>
          <w:szCs w:val="44"/>
          <w:highlight w:val="none"/>
        </w:rPr>
      </w:pPr>
      <w:bookmarkStart w:id="51" w:name="_Toc1575"/>
      <w:bookmarkStart w:id="52" w:name="_Toc3245"/>
      <w:r>
        <w:rPr>
          <w:rFonts w:hint="eastAsia" w:ascii="仿宋" w:hAnsi="仿宋" w:eastAsia="仿宋" w:cs="仿宋"/>
          <w:b/>
          <w:bCs/>
          <w:color w:val="auto"/>
          <w:sz w:val="32"/>
          <w:szCs w:val="44"/>
          <w:highlight w:val="none"/>
        </w:rPr>
        <w:t>质疑函范本</w:t>
      </w:r>
      <w:bookmarkEnd w:id="51"/>
      <w:bookmarkEnd w:id="52"/>
    </w:p>
    <w:p w14:paraId="653D1622">
      <w:pPr>
        <w:adjustRightInd w:val="0"/>
        <w:snapToGrid w:val="0"/>
        <w:spacing w:before="312" w:beforeLines="100" w:line="360" w:lineRule="auto"/>
        <w:rPr>
          <w:rFonts w:hint="eastAsia" w:cs="仿宋" w:asciiTheme="minorEastAsia" w:hAnsiTheme="minorEastAsia" w:eastAsiaTheme="minorEastAsia"/>
          <w:b/>
          <w:bCs/>
          <w:color w:val="auto"/>
          <w:sz w:val="24"/>
          <w:szCs w:val="24"/>
          <w:highlight w:val="none"/>
        </w:rPr>
      </w:pPr>
      <w:bookmarkStart w:id="53" w:name="_Toc21381"/>
      <w:r>
        <w:rPr>
          <w:rFonts w:hint="eastAsia" w:cs="仿宋" w:asciiTheme="minorEastAsia" w:hAnsiTheme="minorEastAsia" w:eastAsiaTheme="minorEastAsia"/>
          <w:b/>
          <w:bCs/>
          <w:color w:val="auto"/>
          <w:sz w:val="24"/>
          <w:szCs w:val="24"/>
          <w:highlight w:val="none"/>
        </w:rPr>
        <w:t>一、质疑供应商基本信息</w:t>
      </w:r>
      <w:bookmarkEnd w:id="53"/>
    </w:p>
    <w:p w14:paraId="026860FE">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6403EB4F">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6846E5A7">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40425B9F">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0BD1EEA2">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45F447D6">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41A4694">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54" w:name="_Toc28415"/>
      <w:r>
        <w:rPr>
          <w:rFonts w:hint="eastAsia" w:cs="仿宋" w:asciiTheme="minorEastAsia" w:hAnsiTheme="minorEastAsia" w:eastAsiaTheme="minorEastAsia"/>
          <w:b/>
          <w:bCs/>
          <w:color w:val="auto"/>
          <w:sz w:val="24"/>
          <w:szCs w:val="24"/>
          <w:highlight w:val="none"/>
        </w:rPr>
        <w:t>二、质疑项目基本情况</w:t>
      </w:r>
      <w:bookmarkEnd w:id="54"/>
    </w:p>
    <w:p w14:paraId="1D3168D1">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7515DDA">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3543814">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7BD1B6BA">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252DF2DF">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55" w:name="_Toc19014"/>
      <w:r>
        <w:rPr>
          <w:rFonts w:hint="eastAsia" w:cs="仿宋" w:asciiTheme="minorEastAsia" w:hAnsiTheme="minorEastAsia" w:eastAsiaTheme="minorEastAsia"/>
          <w:b/>
          <w:bCs/>
          <w:color w:val="auto"/>
          <w:sz w:val="24"/>
          <w:szCs w:val="24"/>
          <w:highlight w:val="none"/>
        </w:rPr>
        <w:t>三、质疑事项具体内容</w:t>
      </w:r>
      <w:bookmarkEnd w:id="55"/>
    </w:p>
    <w:p w14:paraId="521BA6E4">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49D1FB7B">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7B42DD61">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2D446C4B">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51DE7FBB">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155609CC">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0ECC22DE">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8DCA27E">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56" w:name="_Toc17919"/>
      <w:r>
        <w:rPr>
          <w:rFonts w:hint="eastAsia" w:cs="仿宋" w:asciiTheme="minorEastAsia" w:hAnsiTheme="minorEastAsia" w:eastAsiaTheme="minorEastAsia"/>
          <w:b/>
          <w:bCs/>
          <w:color w:val="auto"/>
          <w:sz w:val="24"/>
          <w:szCs w:val="24"/>
          <w:highlight w:val="none"/>
        </w:rPr>
        <w:t>四、与质疑事项相关的质疑请求</w:t>
      </w:r>
      <w:bookmarkEnd w:id="56"/>
    </w:p>
    <w:p w14:paraId="4A0CC274">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41CD6084">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47B10ADC">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7688524C">
      <w:pPr>
        <w:widowControl/>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54B96935">
      <w:pPr>
        <w:outlineLvl w:val="0"/>
        <w:rPr>
          <w:rFonts w:hint="eastAsia" w:asciiTheme="minorEastAsia" w:hAnsiTheme="minorEastAsia" w:eastAsiaTheme="minorEastAsia"/>
          <w:b/>
          <w:color w:val="auto"/>
          <w:sz w:val="28"/>
          <w:szCs w:val="32"/>
          <w:highlight w:val="none"/>
        </w:rPr>
      </w:pPr>
      <w:bookmarkStart w:id="57" w:name="_Toc26836"/>
      <w:bookmarkStart w:id="58" w:name="_Toc9754"/>
      <w:r>
        <w:rPr>
          <w:rFonts w:hint="eastAsia" w:asciiTheme="minorEastAsia" w:hAnsiTheme="minorEastAsia" w:eastAsiaTheme="minorEastAsia"/>
          <w:b/>
          <w:color w:val="auto"/>
          <w:sz w:val="28"/>
          <w:szCs w:val="32"/>
          <w:highlight w:val="none"/>
        </w:rPr>
        <w:t>质疑函制作说明：</w:t>
      </w:r>
      <w:bookmarkEnd w:id="57"/>
      <w:bookmarkEnd w:id="58"/>
    </w:p>
    <w:p w14:paraId="6F03F7F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1BC3D7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C1B124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CE99D1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0051E03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C8BA67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1F403">
    <w:pPr>
      <w:pStyle w:val="16"/>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1BCD9">
    <w:pPr>
      <w:pStyle w:val="16"/>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C20B9">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B4C20B9">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87E96">
    <w:pPr>
      <w:pStyle w:val="1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1D71A">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921D71A">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17BC1">
    <w:pPr>
      <w:pStyle w:val="17"/>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958F">
    <w:pPr>
      <w:pStyle w:val="17"/>
      <w:pBdr>
        <w:bottom w:val="none" w:color="auto" w:sz="0" w:space="1"/>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5553F">
    <w:pPr>
      <w:pStyle w:val="17"/>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ZmU5ZjlhNWI0Njc0OGFkMzFmZGYyNjJiMWJkZDM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784"/>
    <w:rsid w:val="00224C4A"/>
    <w:rsid w:val="00224D86"/>
    <w:rsid w:val="002338E2"/>
    <w:rsid w:val="0023407E"/>
    <w:rsid w:val="00240B40"/>
    <w:rsid w:val="002440D8"/>
    <w:rsid w:val="00244182"/>
    <w:rsid w:val="00245F65"/>
    <w:rsid w:val="00246810"/>
    <w:rsid w:val="00260860"/>
    <w:rsid w:val="00260B94"/>
    <w:rsid w:val="002610D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23E"/>
    <w:rsid w:val="00585EB3"/>
    <w:rsid w:val="00591688"/>
    <w:rsid w:val="00592509"/>
    <w:rsid w:val="00594986"/>
    <w:rsid w:val="00597B15"/>
    <w:rsid w:val="005A044C"/>
    <w:rsid w:val="005B5C95"/>
    <w:rsid w:val="005B6740"/>
    <w:rsid w:val="005D0200"/>
    <w:rsid w:val="005D44EF"/>
    <w:rsid w:val="005D4814"/>
    <w:rsid w:val="005D5112"/>
    <w:rsid w:val="005E791B"/>
    <w:rsid w:val="005F03E3"/>
    <w:rsid w:val="005F3914"/>
    <w:rsid w:val="005F3B5A"/>
    <w:rsid w:val="005F6AB4"/>
    <w:rsid w:val="0060362D"/>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0FBE"/>
    <w:rsid w:val="007B1C56"/>
    <w:rsid w:val="007B4996"/>
    <w:rsid w:val="007C3CD5"/>
    <w:rsid w:val="007C61EF"/>
    <w:rsid w:val="007D1C0D"/>
    <w:rsid w:val="007D2D23"/>
    <w:rsid w:val="007D7644"/>
    <w:rsid w:val="007E036C"/>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54712"/>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0B82"/>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472D8"/>
    <w:rsid w:val="00C528D4"/>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B75DB"/>
    <w:rsid w:val="00CC1202"/>
    <w:rsid w:val="00CC4099"/>
    <w:rsid w:val="00CC45C1"/>
    <w:rsid w:val="00CD09E1"/>
    <w:rsid w:val="00CD5078"/>
    <w:rsid w:val="00CD6202"/>
    <w:rsid w:val="00CD6E67"/>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3C55"/>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54D24"/>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68B"/>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265D8"/>
    <w:rsid w:val="01382DB4"/>
    <w:rsid w:val="016829D9"/>
    <w:rsid w:val="017B1BF9"/>
    <w:rsid w:val="01964270"/>
    <w:rsid w:val="01CC1A40"/>
    <w:rsid w:val="01CF0D89"/>
    <w:rsid w:val="01DC37E8"/>
    <w:rsid w:val="01E93A1B"/>
    <w:rsid w:val="01F23F0C"/>
    <w:rsid w:val="01F304E5"/>
    <w:rsid w:val="0214602E"/>
    <w:rsid w:val="022F42BF"/>
    <w:rsid w:val="024D7265"/>
    <w:rsid w:val="0273010D"/>
    <w:rsid w:val="02867E41"/>
    <w:rsid w:val="02915639"/>
    <w:rsid w:val="02C67BDB"/>
    <w:rsid w:val="02D108F4"/>
    <w:rsid w:val="02DA6FE9"/>
    <w:rsid w:val="02FB2440"/>
    <w:rsid w:val="031A5554"/>
    <w:rsid w:val="031F3DF1"/>
    <w:rsid w:val="03457CFC"/>
    <w:rsid w:val="03486B27"/>
    <w:rsid w:val="036B7036"/>
    <w:rsid w:val="0389560C"/>
    <w:rsid w:val="038E557D"/>
    <w:rsid w:val="039C3694"/>
    <w:rsid w:val="03A64E9B"/>
    <w:rsid w:val="03A763E2"/>
    <w:rsid w:val="03C50E3C"/>
    <w:rsid w:val="03C72C05"/>
    <w:rsid w:val="03DD29A1"/>
    <w:rsid w:val="040556DD"/>
    <w:rsid w:val="040A094E"/>
    <w:rsid w:val="043D4E77"/>
    <w:rsid w:val="043F347F"/>
    <w:rsid w:val="046643CE"/>
    <w:rsid w:val="048E2C65"/>
    <w:rsid w:val="04912ACD"/>
    <w:rsid w:val="04CB5FDF"/>
    <w:rsid w:val="056E2007"/>
    <w:rsid w:val="056F201D"/>
    <w:rsid w:val="05A80CC5"/>
    <w:rsid w:val="05B178CA"/>
    <w:rsid w:val="05B41169"/>
    <w:rsid w:val="05B664D4"/>
    <w:rsid w:val="05C70E9C"/>
    <w:rsid w:val="064B485A"/>
    <w:rsid w:val="068C65C4"/>
    <w:rsid w:val="06A92350"/>
    <w:rsid w:val="06D27AF8"/>
    <w:rsid w:val="06DF2215"/>
    <w:rsid w:val="07076C01"/>
    <w:rsid w:val="07117ADC"/>
    <w:rsid w:val="071C12AC"/>
    <w:rsid w:val="07292EE8"/>
    <w:rsid w:val="073A1972"/>
    <w:rsid w:val="079608BF"/>
    <w:rsid w:val="07A05617"/>
    <w:rsid w:val="07A934B3"/>
    <w:rsid w:val="07CA2B27"/>
    <w:rsid w:val="07EB55C1"/>
    <w:rsid w:val="07EB6287"/>
    <w:rsid w:val="0806421B"/>
    <w:rsid w:val="081A063F"/>
    <w:rsid w:val="081C4913"/>
    <w:rsid w:val="08335BAA"/>
    <w:rsid w:val="08404F36"/>
    <w:rsid w:val="087A6217"/>
    <w:rsid w:val="087C4E23"/>
    <w:rsid w:val="089018A1"/>
    <w:rsid w:val="08964B56"/>
    <w:rsid w:val="08A72371"/>
    <w:rsid w:val="09061CDB"/>
    <w:rsid w:val="09204E11"/>
    <w:rsid w:val="093C6197"/>
    <w:rsid w:val="097B4FDA"/>
    <w:rsid w:val="0980799C"/>
    <w:rsid w:val="098F1CD1"/>
    <w:rsid w:val="09944B8E"/>
    <w:rsid w:val="09A03EDE"/>
    <w:rsid w:val="0A216D3B"/>
    <w:rsid w:val="0A2E299B"/>
    <w:rsid w:val="0A3208AE"/>
    <w:rsid w:val="0A6446C8"/>
    <w:rsid w:val="0A6A18DB"/>
    <w:rsid w:val="0A9357F1"/>
    <w:rsid w:val="0A975339"/>
    <w:rsid w:val="0A975B48"/>
    <w:rsid w:val="0A9E5F43"/>
    <w:rsid w:val="0AC171E0"/>
    <w:rsid w:val="0AC679E9"/>
    <w:rsid w:val="0AEF3828"/>
    <w:rsid w:val="0B1701D0"/>
    <w:rsid w:val="0B406381"/>
    <w:rsid w:val="0B6727D9"/>
    <w:rsid w:val="0B7218AA"/>
    <w:rsid w:val="0BB452AA"/>
    <w:rsid w:val="0BBB665B"/>
    <w:rsid w:val="0BDD2148"/>
    <w:rsid w:val="0BF56037"/>
    <w:rsid w:val="0CCA1272"/>
    <w:rsid w:val="0CF640CE"/>
    <w:rsid w:val="0D5C3DA5"/>
    <w:rsid w:val="0D6B4803"/>
    <w:rsid w:val="0D896A37"/>
    <w:rsid w:val="0DAB3173"/>
    <w:rsid w:val="0E277063"/>
    <w:rsid w:val="0E312337"/>
    <w:rsid w:val="0E477E26"/>
    <w:rsid w:val="0E4F7062"/>
    <w:rsid w:val="0E855450"/>
    <w:rsid w:val="0E8C2C83"/>
    <w:rsid w:val="0EEA6FC1"/>
    <w:rsid w:val="0EEE7499"/>
    <w:rsid w:val="0F222B14"/>
    <w:rsid w:val="0F2334BA"/>
    <w:rsid w:val="0F790928"/>
    <w:rsid w:val="0F8A059C"/>
    <w:rsid w:val="0F9A13CF"/>
    <w:rsid w:val="0FD04EBC"/>
    <w:rsid w:val="0FE97C61"/>
    <w:rsid w:val="0FEA384E"/>
    <w:rsid w:val="1001144E"/>
    <w:rsid w:val="1038043C"/>
    <w:rsid w:val="1057106E"/>
    <w:rsid w:val="105D02BD"/>
    <w:rsid w:val="106C40D0"/>
    <w:rsid w:val="107415C7"/>
    <w:rsid w:val="10946899"/>
    <w:rsid w:val="10AE725F"/>
    <w:rsid w:val="10CD72BB"/>
    <w:rsid w:val="10E14E69"/>
    <w:rsid w:val="10FB40F0"/>
    <w:rsid w:val="110F02D5"/>
    <w:rsid w:val="118714DF"/>
    <w:rsid w:val="119F0BF7"/>
    <w:rsid w:val="11B82180"/>
    <w:rsid w:val="11CC0F45"/>
    <w:rsid w:val="11D93F17"/>
    <w:rsid w:val="12197477"/>
    <w:rsid w:val="122375E8"/>
    <w:rsid w:val="12303925"/>
    <w:rsid w:val="125E3A8A"/>
    <w:rsid w:val="12614612"/>
    <w:rsid w:val="128D26C1"/>
    <w:rsid w:val="128F2D41"/>
    <w:rsid w:val="12900868"/>
    <w:rsid w:val="12B11C20"/>
    <w:rsid w:val="12B56F66"/>
    <w:rsid w:val="12C33309"/>
    <w:rsid w:val="12E666D9"/>
    <w:rsid w:val="1312540B"/>
    <w:rsid w:val="13180AEA"/>
    <w:rsid w:val="131B5CD3"/>
    <w:rsid w:val="132521E9"/>
    <w:rsid w:val="13373EE7"/>
    <w:rsid w:val="134578A4"/>
    <w:rsid w:val="13682B89"/>
    <w:rsid w:val="13776448"/>
    <w:rsid w:val="13CB02AB"/>
    <w:rsid w:val="13E764D3"/>
    <w:rsid w:val="14157276"/>
    <w:rsid w:val="1424395D"/>
    <w:rsid w:val="14261574"/>
    <w:rsid w:val="142C45C0"/>
    <w:rsid w:val="142C7B79"/>
    <w:rsid w:val="14332B73"/>
    <w:rsid w:val="144573F9"/>
    <w:rsid w:val="14627FE2"/>
    <w:rsid w:val="1466407E"/>
    <w:rsid w:val="147771C0"/>
    <w:rsid w:val="14794DDB"/>
    <w:rsid w:val="14834E28"/>
    <w:rsid w:val="1487316F"/>
    <w:rsid w:val="148E7D65"/>
    <w:rsid w:val="148F527B"/>
    <w:rsid w:val="149C0CC4"/>
    <w:rsid w:val="14B26AFA"/>
    <w:rsid w:val="14B572C9"/>
    <w:rsid w:val="14D64C58"/>
    <w:rsid w:val="14E7280A"/>
    <w:rsid w:val="151B539B"/>
    <w:rsid w:val="15231BF9"/>
    <w:rsid w:val="154C1139"/>
    <w:rsid w:val="15761F97"/>
    <w:rsid w:val="15C4546D"/>
    <w:rsid w:val="160B6B83"/>
    <w:rsid w:val="161C0D90"/>
    <w:rsid w:val="163A1216"/>
    <w:rsid w:val="164C7F84"/>
    <w:rsid w:val="16787F37"/>
    <w:rsid w:val="169F72CB"/>
    <w:rsid w:val="16A15E13"/>
    <w:rsid w:val="16B07D64"/>
    <w:rsid w:val="17045380"/>
    <w:rsid w:val="1746190A"/>
    <w:rsid w:val="17836BED"/>
    <w:rsid w:val="17A15A10"/>
    <w:rsid w:val="17A54DB5"/>
    <w:rsid w:val="17AD4997"/>
    <w:rsid w:val="17B2302E"/>
    <w:rsid w:val="18652979"/>
    <w:rsid w:val="18687CA0"/>
    <w:rsid w:val="18823145"/>
    <w:rsid w:val="18A6244A"/>
    <w:rsid w:val="18A92CCB"/>
    <w:rsid w:val="18B644E1"/>
    <w:rsid w:val="18BC4DD8"/>
    <w:rsid w:val="18C63235"/>
    <w:rsid w:val="18DE057F"/>
    <w:rsid w:val="18FC6C57"/>
    <w:rsid w:val="190573AE"/>
    <w:rsid w:val="191331C3"/>
    <w:rsid w:val="19143BA9"/>
    <w:rsid w:val="19257F5C"/>
    <w:rsid w:val="192835A8"/>
    <w:rsid w:val="195D0247"/>
    <w:rsid w:val="19873C1D"/>
    <w:rsid w:val="19DB3B2E"/>
    <w:rsid w:val="19E716B5"/>
    <w:rsid w:val="19F636A6"/>
    <w:rsid w:val="1A064976"/>
    <w:rsid w:val="1A1670E6"/>
    <w:rsid w:val="1A1B4EBB"/>
    <w:rsid w:val="1A2E1848"/>
    <w:rsid w:val="1A3505F7"/>
    <w:rsid w:val="1A3B68AA"/>
    <w:rsid w:val="1A3E1C1E"/>
    <w:rsid w:val="1A4C6BF6"/>
    <w:rsid w:val="1A6F1E95"/>
    <w:rsid w:val="1A8D5661"/>
    <w:rsid w:val="1AA67400"/>
    <w:rsid w:val="1AD2449D"/>
    <w:rsid w:val="1AD44E4C"/>
    <w:rsid w:val="1AF649F1"/>
    <w:rsid w:val="1B1D686F"/>
    <w:rsid w:val="1B6F4F40"/>
    <w:rsid w:val="1B820314"/>
    <w:rsid w:val="1B910DB4"/>
    <w:rsid w:val="1BF16D3F"/>
    <w:rsid w:val="1C141836"/>
    <w:rsid w:val="1C233F1C"/>
    <w:rsid w:val="1C2A60FB"/>
    <w:rsid w:val="1C413DEA"/>
    <w:rsid w:val="1C6F4800"/>
    <w:rsid w:val="1C76537D"/>
    <w:rsid w:val="1C827473"/>
    <w:rsid w:val="1C8723AA"/>
    <w:rsid w:val="1CB6166F"/>
    <w:rsid w:val="1CC731B0"/>
    <w:rsid w:val="1CD05BA3"/>
    <w:rsid w:val="1D242622"/>
    <w:rsid w:val="1D2D7E40"/>
    <w:rsid w:val="1D70551D"/>
    <w:rsid w:val="1D756FD8"/>
    <w:rsid w:val="1DBE4F63"/>
    <w:rsid w:val="1DD65CC8"/>
    <w:rsid w:val="1E301693"/>
    <w:rsid w:val="1E6B6A14"/>
    <w:rsid w:val="1E7E1F44"/>
    <w:rsid w:val="1E845CFB"/>
    <w:rsid w:val="1EA40706"/>
    <w:rsid w:val="1EB01E85"/>
    <w:rsid w:val="1F01268F"/>
    <w:rsid w:val="1F480DDB"/>
    <w:rsid w:val="1F80567A"/>
    <w:rsid w:val="1FCF0C21"/>
    <w:rsid w:val="1FD46237"/>
    <w:rsid w:val="1FE741BD"/>
    <w:rsid w:val="1FF40688"/>
    <w:rsid w:val="20052895"/>
    <w:rsid w:val="202A40A9"/>
    <w:rsid w:val="20471A9B"/>
    <w:rsid w:val="20482782"/>
    <w:rsid w:val="20550D9A"/>
    <w:rsid w:val="20564928"/>
    <w:rsid w:val="20994D8B"/>
    <w:rsid w:val="20BD3E04"/>
    <w:rsid w:val="20BE6C95"/>
    <w:rsid w:val="20C64363"/>
    <w:rsid w:val="21073B7C"/>
    <w:rsid w:val="21143936"/>
    <w:rsid w:val="212C79CD"/>
    <w:rsid w:val="213E20BD"/>
    <w:rsid w:val="214F69F1"/>
    <w:rsid w:val="21611D4D"/>
    <w:rsid w:val="218E2416"/>
    <w:rsid w:val="21DA4531"/>
    <w:rsid w:val="22196184"/>
    <w:rsid w:val="221A1EFC"/>
    <w:rsid w:val="221C55F6"/>
    <w:rsid w:val="22370D00"/>
    <w:rsid w:val="224114F2"/>
    <w:rsid w:val="22532A53"/>
    <w:rsid w:val="22635651"/>
    <w:rsid w:val="226915FE"/>
    <w:rsid w:val="226C7E19"/>
    <w:rsid w:val="22737F8A"/>
    <w:rsid w:val="229D27C9"/>
    <w:rsid w:val="22AF6AE8"/>
    <w:rsid w:val="22B77DA3"/>
    <w:rsid w:val="22C87710"/>
    <w:rsid w:val="22DC376E"/>
    <w:rsid w:val="22DE5886"/>
    <w:rsid w:val="232D0759"/>
    <w:rsid w:val="236276FB"/>
    <w:rsid w:val="23634327"/>
    <w:rsid w:val="23A00635"/>
    <w:rsid w:val="241804A5"/>
    <w:rsid w:val="242C4775"/>
    <w:rsid w:val="243B497F"/>
    <w:rsid w:val="245711E5"/>
    <w:rsid w:val="248D3813"/>
    <w:rsid w:val="24B10243"/>
    <w:rsid w:val="24B97929"/>
    <w:rsid w:val="24CF521F"/>
    <w:rsid w:val="24D056F0"/>
    <w:rsid w:val="24D632D7"/>
    <w:rsid w:val="255C2C0B"/>
    <w:rsid w:val="25A66480"/>
    <w:rsid w:val="25C41910"/>
    <w:rsid w:val="25D725DE"/>
    <w:rsid w:val="25EA6A1D"/>
    <w:rsid w:val="260D24A3"/>
    <w:rsid w:val="26171271"/>
    <w:rsid w:val="26192BF6"/>
    <w:rsid w:val="26350999"/>
    <w:rsid w:val="26405A11"/>
    <w:rsid w:val="26597A5E"/>
    <w:rsid w:val="26FE247D"/>
    <w:rsid w:val="27247AA4"/>
    <w:rsid w:val="274E4B21"/>
    <w:rsid w:val="27580973"/>
    <w:rsid w:val="27C640FF"/>
    <w:rsid w:val="27D65DBA"/>
    <w:rsid w:val="27EF1A84"/>
    <w:rsid w:val="27F136FF"/>
    <w:rsid w:val="28545F03"/>
    <w:rsid w:val="285F40CA"/>
    <w:rsid w:val="28701B39"/>
    <w:rsid w:val="288775CB"/>
    <w:rsid w:val="288B2282"/>
    <w:rsid w:val="289C21DF"/>
    <w:rsid w:val="289E1AF0"/>
    <w:rsid w:val="28AB38E2"/>
    <w:rsid w:val="28BE4A1C"/>
    <w:rsid w:val="28C01ECB"/>
    <w:rsid w:val="28CD76CA"/>
    <w:rsid w:val="28D43150"/>
    <w:rsid w:val="29336A3F"/>
    <w:rsid w:val="29583A35"/>
    <w:rsid w:val="298E0913"/>
    <w:rsid w:val="299802D6"/>
    <w:rsid w:val="29BF71E3"/>
    <w:rsid w:val="29D6387F"/>
    <w:rsid w:val="2A0113E2"/>
    <w:rsid w:val="2A127B63"/>
    <w:rsid w:val="2A1534FC"/>
    <w:rsid w:val="2A451A6C"/>
    <w:rsid w:val="2A4634BC"/>
    <w:rsid w:val="2A9136E8"/>
    <w:rsid w:val="2A993030"/>
    <w:rsid w:val="2AAA4765"/>
    <w:rsid w:val="2AC21606"/>
    <w:rsid w:val="2AFA13BE"/>
    <w:rsid w:val="2B211B2D"/>
    <w:rsid w:val="2B700544"/>
    <w:rsid w:val="2B7E7608"/>
    <w:rsid w:val="2B7F04E9"/>
    <w:rsid w:val="2B896186"/>
    <w:rsid w:val="2B8B554A"/>
    <w:rsid w:val="2BA45ACA"/>
    <w:rsid w:val="2BA62462"/>
    <w:rsid w:val="2BAE2033"/>
    <w:rsid w:val="2BB1567F"/>
    <w:rsid w:val="2BD27A22"/>
    <w:rsid w:val="2BE041B6"/>
    <w:rsid w:val="2BE42462"/>
    <w:rsid w:val="2BEC66B7"/>
    <w:rsid w:val="2C0D5C62"/>
    <w:rsid w:val="2C2F07C7"/>
    <w:rsid w:val="2C4D0C0B"/>
    <w:rsid w:val="2C583D4C"/>
    <w:rsid w:val="2C866B0B"/>
    <w:rsid w:val="2CB71FF6"/>
    <w:rsid w:val="2CD77367"/>
    <w:rsid w:val="2CDB3B0B"/>
    <w:rsid w:val="2CDC08C3"/>
    <w:rsid w:val="2D0D4B37"/>
    <w:rsid w:val="2D496D68"/>
    <w:rsid w:val="2D7D05E4"/>
    <w:rsid w:val="2DB81892"/>
    <w:rsid w:val="2DB93D3A"/>
    <w:rsid w:val="2DC0604D"/>
    <w:rsid w:val="2DD22AD3"/>
    <w:rsid w:val="2E290AD3"/>
    <w:rsid w:val="2E443666"/>
    <w:rsid w:val="2E7A48DE"/>
    <w:rsid w:val="2E807B15"/>
    <w:rsid w:val="2E813A2E"/>
    <w:rsid w:val="2E9215C0"/>
    <w:rsid w:val="2EBA5177"/>
    <w:rsid w:val="2EDC3ED8"/>
    <w:rsid w:val="2EDF0755"/>
    <w:rsid w:val="2EE63891"/>
    <w:rsid w:val="2F104B00"/>
    <w:rsid w:val="2F125CDF"/>
    <w:rsid w:val="2F350375"/>
    <w:rsid w:val="2F6351B4"/>
    <w:rsid w:val="2F7E7F6E"/>
    <w:rsid w:val="2F9448D0"/>
    <w:rsid w:val="2FAD0BBB"/>
    <w:rsid w:val="2FC86126"/>
    <w:rsid w:val="2FCF199E"/>
    <w:rsid w:val="2FE1071D"/>
    <w:rsid w:val="2FE75B13"/>
    <w:rsid w:val="3031431F"/>
    <w:rsid w:val="303F76FD"/>
    <w:rsid w:val="30403120"/>
    <w:rsid w:val="30483E83"/>
    <w:rsid w:val="30575B32"/>
    <w:rsid w:val="307F2116"/>
    <w:rsid w:val="30943775"/>
    <w:rsid w:val="30BF3991"/>
    <w:rsid w:val="30C96FC7"/>
    <w:rsid w:val="30F42C13"/>
    <w:rsid w:val="30F93D50"/>
    <w:rsid w:val="310B75B9"/>
    <w:rsid w:val="3111619A"/>
    <w:rsid w:val="311A5A74"/>
    <w:rsid w:val="312C7527"/>
    <w:rsid w:val="314B20D2"/>
    <w:rsid w:val="316E7B6E"/>
    <w:rsid w:val="316F5DC0"/>
    <w:rsid w:val="319121DA"/>
    <w:rsid w:val="31931D67"/>
    <w:rsid w:val="31B139DC"/>
    <w:rsid w:val="31D178DC"/>
    <w:rsid w:val="32317519"/>
    <w:rsid w:val="32497AF3"/>
    <w:rsid w:val="324B1189"/>
    <w:rsid w:val="324B1B69"/>
    <w:rsid w:val="328638C0"/>
    <w:rsid w:val="32867865"/>
    <w:rsid w:val="32963172"/>
    <w:rsid w:val="32A66287"/>
    <w:rsid w:val="32FF6777"/>
    <w:rsid w:val="330C7699"/>
    <w:rsid w:val="330E7A77"/>
    <w:rsid w:val="33292500"/>
    <w:rsid w:val="33353039"/>
    <w:rsid w:val="33596012"/>
    <w:rsid w:val="337201A6"/>
    <w:rsid w:val="338C30AF"/>
    <w:rsid w:val="33AB50A9"/>
    <w:rsid w:val="33CF0D98"/>
    <w:rsid w:val="33F1792A"/>
    <w:rsid w:val="341C213D"/>
    <w:rsid w:val="341E6FEF"/>
    <w:rsid w:val="3424273C"/>
    <w:rsid w:val="343C0775"/>
    <w:rsid w:val="3466053C"/>
    <w:rsid w:val="347436ED"/>
    <w:rsid w:val="34993154"/>
    <w:rsid w:val="34A53FEB"/>
    <w:rsid w:val="34E02B31"/>
    <w:rsid w:val="34E6283D"/>
    <w:rsid w:val="35444C60"/>
    <w:rsid w:val="354B4447"/>
    <w:rsid w:val="356C50EC"/>
    <w:rsid w:val="356E45E1"/>
    <w:rsid w:val="3579793F"/>
    <w:rsid w:val="357B28D6"/>
    <w:rsid w:val="35CD57AB"/>
    <w:rsid w:val="35D22DC1"/>
    <w:rsid w:val="36015455"/>
    <w:rsid w:val="36137E45"/>
    <w:rsid w:val="362D1DA6"/>
    <w:rsid w:val="36376E0A"/>
    <w:rsid w:val="363F11E1"/>
    <w:rsid w:val="36CC15BF"/>
    <w:rsid w:val="36E27AE8"/>
    <w:rsid w:val="36EA7C97"/>
    <w:rsid w:val="3700166C"/>
    <w:rsid w:val="370E31D3"/>
    <w:rsid w:val="371C44B5"/>
    <w:rsid w:val="371F72C3"/>
    <w:rsid w:val="37887BDC"/>
    <w:rsid w:val="378F142A"/>
    <w:rsid w:val="379A1012"/>
    <w:rsid w:val="37A367C3"/>
    <w:rsid w:val="37CE2664"/>
    <w:rsid w:val="38166DB6"/>
    <w:rsid w:val="381A1DB4"/>
    <w:rsid w:val="38694EE9"/>
    <w:rsid w:val="386F48F8"/>
    <w:rsid w:val="3870241E"/>
    <w:rsid w:val="388F0AF6"/>
    <w:rsid w:val="38AB7897"/>
    <w:rsid w:val="38B21A10"/>
    <w:rsid w:val="38C44509"/>
    <w:rsid w:val="38C92B50"/>
    <w:rsid w:val="38D66725"/>
    <w:rsid w:val="39037E27"/>
    <w:rsid w:val="391E2591"/>
    <w:rsid w:val="39355B41"/>
    <w:rsid w:val="394E6A33"/>
    <w:rsid w:val="39643B0E"/>
    <w:rsid w:val="39755578"/>
    <w:rsid w:val="397E7B9C"/>
    <w:rsid w:val="39DA3FF3"/>
    <w:rsid w:val="3A2A6ADD"/>
    <w:rsid w:val="3A2B0CF2"/>
    <w:rsid w:val="3A6818FA"/>
    <w:rsid w:val="3A72247D"/>
    <w:rsid w:val="3A7652B3"/>
    <w:rsid w:val="3A7C5988"/>
    <w:rsid w:val="3A8C21FC"/>
    <w:rsid w:val="3A920D71"/>
    <w:rsid w:val="3A935D4C"/>
    <w:rsid w:val="3AFB06C4"/>
    <w:rsid w:val="3B021500"/>
    <w:rsid w:val="3B0F12A5"/>
    <w:rsid w:val="3B365CC9"/>
    <w:rsid w:val="3B6834A4"/>
    <w:rsid w:val="3B9A7B88"/>
    <w:rsid w:val="3BD827B4"/>
    <w:rsid w:val="3C0454EB"/>
    <w:rsid w:val="3C095DE7"/>
    <w:rsid w:val="3C1B7B8B"/>
    <w:rsid w:val="3C1C23A7"/>
    <w:rsid w:val="3C1E28BD"/>
    <w:rsid w:val="3C292100"/>
    <w:rsid w:val="3C853325"/>
    <w:rsid w:val="3C90308E"/>
    <w:rsid w:val="3C9A71D4"/>
    <w:rsid w:val="3C9E1C4F"/>
    <w:rsid w:val="3CBE7BFC"/>
    <w:rsid w:val="3CCE67A9"/>
    <w:rsid w:val="3CF4361D"/>
    <w:rsid w:val="3CFC5E34"/>
    <w:rsid w:val="3D2C7AC8"/>
    <w:rsid w:val="3D324146"/>
    <w:rsid w:val="3D7F2F65"/>
    <w:rsid w:val="3D855D12"/>
    <w:rsid w:val="3D8B42FF"/>
    <w:rsid w:val="3DB66B25"/>
    <w:rsid w:val="3DB74195"/>
    <w:rsid w:val="3DD50111"/>
    <w:rsid w:val="3DD92421"/>
    <w:rsid w:val="3DDE02FB"/>
    <w:rsid w:val="3DE86C4C"/>
    <w:rsid w:val="3DF064DB"/>
    <w:rsid w:val="3DF36A6E"/>
    <w:rsid w:val="3DF8048B"/>
    <w:rsid w:val="3DFD29A6"/>
    <w:rsid w:val="3E0B0DE3"/>
    <w:rsid w:val="3E565D4A"/>
    <w:rsid w:val="3E597A83"/>
    <w:rsid w:val="3EBA1EE9"/>
    <w:rsid w:val="3ECE3ED7"/>
    <w:rsid w:val="3F0D5CFD"/>
    <w:rsid w:val="3F6C7DE3"/>
    <w:rsid w:val="3F6E6406"/>
    <w:rsid w:val="3F792F1E"/>
    <w:rsid w:val="3F996157"/>
    <w:rsid w:val="3FA62141"/>
    <w:rsid w:val="3FD06D52"/>
    <w:rsid w:val="3FED66C7"/>
    <w:rsid w:val="401B0661"/>
    <w:rsid w:val="40496022"/>
    <w:rsid w:val="405F34A4"/>
    <w:rsid w:val="40824826"/>
    <w:rsid w:val="40833567"/>
    <w:rsid w:val="40870703"/>
    <w:rsid w:val="40956EC5"/>
    <w:rsid w:val="40D0614F"/>
    <w:rsid w:val="40E63923"/>
    <w:rsid w:val="40FC1256"/>
    <w:rsid w:val="411E5666"/>
    <w:rsid w:val="412479F7"/>
    <w:rsid w:val="41406E31"/>
    <w:rsid w:val="414D3CCC"/>
    <w:rsid w:val="41566655"/>
    <w:rsid w:val="41792E05"/>
    <w:rsid w:val="41814752"/>
    <w:rsid w:val="41BA21D5"/>
    <w:rsid w:val="41F06FCC"/>
    <w:rsid w:val="41F1637D"/>
    <w:rsid w:val="425F27EB"/>
    <w:rsid w:val="425F4A35"/>
    <w:rsid w:val="429F0E23"/>
    <w:rsid w:val="42A96C58"/>
    <w:rsid w:val="42BE6BA7"/>
    <w:rsid w:val="42DA1507"/>
    <w:rsid w:val="42E47C90"/>
    <w:rsid w:val="432076E6"/>
    <w:rsid w:val="43342250"/>
    <w:rsid w:val="433C1574"/>
    <w:rsid w:val="43A91E5B"/>
    <w:rsid w:val="43AA1A57"/>
    <w:rsid w:val="43AF0A03"/>
    <w:rsid w:val="44055F4E"/>
    <w:rsid w:val="44103433"/>
    <w:rsid w:val="445F4788"/>
    <w:rsid w:val="447846A6"/>
    <w:rsid w:val="449961D7"/>
    <w:rsid w:val="449D459A"/>
    <w:rsid w:val="449E0D39"/>
    <w:rsid w:val="44D10724"/>
    <w:rsid w:val="44D82665"/>
    <w:rsid w:val="44F85C75"/>
    <w:rsid w:val="45132AAF"/>
    <w:rsid w:val="451F76A5"/>
    <w:rsid w:val="45343151"/>
    <w:rsid w:val="454229D8"/>
    <w:rsid w:val="45551C28"/>
    <w:rsid w:val="458C5F73"/>
    <w:rsid w:val="45BB117C"/>
    <w:rsid w:val="45D4223E"/>
    <w:rsid w:val="45E32B26"/>
    <w:rsid w:val="45E80675"/>
    <w:rsid w:val="462431C5"/>
    <w:rsid w:val="46287A7D"/>
    <w:rsid w:val="462E5B03"/>
    <w:rsid w:val="463A3650"/>
    <w:rsid w:val="46461627"/>
    <w:rsid w:val="46853538"/>
    <w:rsid w:val="469F0116"/>
    <w:rsid w:val="46D5060B"/>
    <w:rsid w:val="46D701E1"/>
    <w:rsid w:val="47116C31"/>
    <w:rsid w:val="47281811"/>
    <w:rsid w:val="475259B7"/>
    <w:rsid w:val="475C0B72"/>
    <w:rsid w:val="47AF788E"/>
    <w:rsid w:val="47C17F0C"/>
    <w:rsid w:val="485A499E"/>
    <w:rsid w:val="48611D38"/>
    <w:rsid w:val="487B2E3B"/>
    <w:rsid w:val="488302AE"/>
    <w:rsid w:val="48831CF9"/>
    <w:rsid w:val="488364F8"/>
    <w:rsid w:val="48995492"/>
    <w:rsid w:val="48A169EB"/>
    <w:rsid w:val="48BD096B"/>
    <w:rsid w:val="49024C9C"/>
    <w:rsid w:val="49380D36"/>
    <w:rsid w:val="496B76CF"/>
    <w:rsid w:val="497955D6"/>
    <w:rsid w:val="49A56E1B"/>
    <w:rsid w:val="49B1408D"/>
    <w:rsid w:val="4A186FF4"/>
    <w:rsid w:val="4A1B48DF"/>
    <w:rsid w:val="4A3F67C0"/>
    <w:rsid w:val="4A4863E2"/>
    <w:rsid w:val="4A613079"/>
    <w:rsid w:val="4A677071"/>
    <w:rsid w:val="4A7D4FD2"/>
    <w:rsid w:val="4A802994"/>
    <w:rsid w:val="4A8626B0"/>
    <w:rsid w:val="4A913C9A"/>
    <w:rsid w:val="4AB80380"/>
    <w:rsid w:val="4AC72FF8"/>
    <w:rsid w:val="4AD55620"/>
    <w:rsid w:val="4B0435C5"/>
    <w:rsid w:val="4B1E6BAC"/>
    <w:rsid w:val="4B1F70AC"/>
    <w:rsid w:val="4B240F94"/>
    <w:rsid w:val="4B272E10"/>
    <w:rsid w:val="4B413ED2"/>
    <w:rsid w:val="4B5529CC"/>
    <w:rsid w:val="4B803312"/>
    <w:rsid w:val="4B807A40"/>
    <w:rsid w:val="4B8A33E0"/>
    <w:rsid w:val="4BB767A7"/>
    <w:rsid w:val="4BC6087B"/>
    <w:rsid w:val="4BCC4361"/>
    <w:rsid w:val="4BE87E41"/>
    <w:rsid w:val="4C0832E5"/>
    <w:rsid w:val="4C3C565C"/>
    <w:rsid w:val="4C3F5B70"/>
    <w:rsid w:val="4C5256D4"/>
    <w:rsid w:val="4C793B3F"/>
    <w:rsid w:val="4CCC79C7"/>
    <w:rsid w:val="4CEB6BD1"/>
    <w:rsid w:val="4D7555C7"/>
    <w:rsid w:val="4D7E765F"/>
    <w:rsid w:val="4DAE39CA"/>
    <w:rsid w:val="4DC813F1"/>
    <w:rsid w:val="4E4767DD"/>
    <w:rsid w:val="4E5403C0"/>
    <w:rsid w:val="4E7520E4"/>
    <w:rsid w:val="4EA76741"/>
    <w:rsid w:val="4EAE6DA0"/>
    <w:rsid w:val="4ECC264C"/>
    <w:rsid w:val="4F493C9D"/>
    <w:rsid w:val="4F5B13C7"/>
    <w:rsid w:val="4F710AFD"/>
    <w:rsid w:val="4F7A5C04"/>
    <w:rsid w:val="4F855408"/>
    <w:rsid w:val="4F8922EB"/>
    <w:rsid w:val="4F9F296A"/>
    <w:rsid w:val="4FA40ED3"/>
    <w:rsid w:val="4FE37C4D"/>
    <w:rsid w:val="4FE47521"/>
    <w:rsid w:val="4FE617D9"/>
    <w:rsid w:val="5016514B"/>
    <w:rsid w:val="50241520"/>
    <w:rsid w:val="503D7A6F"/>
    <w:rsid w:val="503E1327"/>
    <w:rsid w:val="504F1F09"/>
    <w:rsid w:val="50715259"/>
    <w:rsid w:val="50854F5A"/>
    <w:rsid w:val="50BD4DF3"/>
    <w:rsid w:val="50CC6D33"/>
    <w:rsid w:val="50CE4CF8"/>
    <w:rsid w:val="50D3357B"/>
    <w:rsid w:val="50FC1A26"/>
    <w:rsid w:val="50FF04CC"/>
    <w:rsid w:val="51010497"/>
    <w:rsid w:val="512521C6"/>
    <w:rsid w:val="5125610B"/>
    <w:rsid w:val="51496818"/>
    <w:rsid w:val="51513355"/>
    <w:rsid w:val="515F79A9"/>
    <w:rsid w:val="51723664"/>
    <w:rsid w:val="518714DD"/>
    <w:rsid w:val="518B234A"/>
    <w:rsid w:val="518E552F"/>
    <w:rsid w:val="519531C9"/>
    <w:rsid w:val="51B64EEE"/>
    <w:rsid w:val="51CB1C78"/>
    <w:rsid w:val="51D53D43"/>
    <w:rsid w:val="51D74AD4"/>
    <w:rsid w:val="51D94DEA"/>
    <w:rsid w:val="51F30DEF"/>
    <w:rsid w:val="51FD6A51"/>
    <w:rsid w:val="522469E0"/>
    <w:rsid w:val="522E6293"/>
    <w:rsid w:val="5257047F"/>
    <w:rsid w:val="526B680A"/>
    <w:rsid w:val="526C3842"/>
    <w:rsid w:val="526C43A6"/>
    <w:rsid w:val="527326DA"/>
    <w:rsid w:val="52836F71"/>
    <w:rsid w:val="528D3EA0"/>
    <w:rsid w:val="52B458D1"/>
    <w:rsid w:val="52BC78D9"/>
    <w:rsid w:val="52C11D9C"/>
    <w:rsid w:val="52D26B02"/>
    <w:rsid w:val="52E02222"/>
    <w:rsid w:val="52F1442F"/>
    <w:rsid w:val="530D704E"/>
    <w:rsid w:val="532A395D"/>
    <w:rsid w:val="532D1275"/>
    <w:rsid w:val="533A0528"/>
    <w:rsid w:val="53462E30"/>
    <w:rsid w:val="53727A0C"/>
    <w:rsid w:val="53AE4F68"/>
    <w:rsid w:val="53E04BF9"/>
    <w:rsid w:val="540D34EB"/>
    <w:rsid w:val="541A5D30"/>
    <w:rsid w:val="54363BA0"/>
    <w:rsid w:val="54487F8F"/>
    <w:rsid w:val="54703A7A"/>
    <w:rsid w:val="54B418FE"/>
    <w:rsid w:val="54B53D21"/>
    <w:rsid w:val="54E84FB3"/>
    <w:rsid w:val="54F47E52"/>
    <w:rsid w:val="54FA6A32"/>
    <w:rsid w:val="55106C26"/>
    <w:rsid w:val="5524049C"/>
    <w:rsid w:val="555A0F92"/>
    <w:rsid w:val="556A671B"/>
    <w:rsid w:val="55805F3E"/>
    <w:rsid w:val="55C1559C"/>
    <w:rsid w:val="55E012E9"/>
    <w:rsid w:val="55F068CD"/>
    <w:rsid w:val="56220DA3"/>
    <w:rsid w:val="56496330"/>
    <w:rsid w:val="566556BF"/>
    <w:rsid w:val="566C3136"/>
    <w:rsid w:val="568D04F2"/>
    <w:rsid w:val="56913372"/>
    <w:rsid w:val="572813E4"/>
    <w:rsid w:val="573B467E"/>
    <w:rsid w:val="575C534A"/>
    <w:rsid w:val="576902D7"/>
    <w:rsid w:val="578D788D"/>
    <w:rsid w:val="5806097D"/>
    <w:rsid w:val="582C70D8"/>
    <w:rsid w:val="5830454C"/>
    <w:rsid w:val="58AE289F"/>
    <w:rsid w:val="58CC1B01"/>
    <w:rsid w:val="58D00315"/>
    <w:rsid w:val="58D04AE7"/>
    <w:rsid w:val="59174B6F"/>
    <w:rsid w:val="59266B6D"/>
    <w:rsid w:val="592A2449"/>
    <w:rsid w:val="593D6EE9"/>
    <w:rsid w:val="59417793"/>
    <w:rsid w:val="59A43D8B"/>
    <w:rsid w:val="59FC7866"/>
    <w:rsid w:val="5A413A7D"/>
    <w:rsid w:val="5A526582"/>
    <w:rsid w:val="5A584D94"/>
    <w:rsid w:val="5A5F5C77"/>
    <w:rsid w:val="5A711A0D"/>
    <w:rsid w:val="5A7725B2"/>
    <w:rsid w:val="5A8B33BB"/>
    <w:rsid w:val="5A963E4B"/>
    <w:rsid w:val="5AA63D51"/>
    <w:rsid w:val="5AB436FB"/>
    <w:rsid w:val="5AC02939"/>
    <w:rsid w:val="5B1613E4"/>
    <w:rsid w:val="5B4D3559"/>
    <w:rsid w:val="5B78003B"/>
    <w:rsid w:val="5B8F37CB"/>
    <w:rsid w:val="5BC11A60"/>
    <w:rsid w:val="5BCE5E90"/>
    <w:rsid w:val="5BCF1086"/>
    <w:rsid w:val="5BD40D92"/>
    <w:rsid w:val="5BE332E9"/>
    <w:rsid w:val="5BF5648C"/>
    <w:rsid w:val="5C044ACF"/>
    <w:rsid w:val="5C1B126D"/>
    <w:rsid w:val="5C7A4D54"/>
    <w:rsid w:val="5C871960"/>
    <w:rsid w:val="5C872A07"/>
    <w:rsid w:val="5CC17396"/>
    <w:rsid w:val="5CD23B73"/>
    <w:rsid w:val="5D4606A7"/>
    <w:rsid w:val="5D4A2A18"/>
    <w:rsid w:val="5D6C63B9"/>
    <w:rsid w:val="5D9A10CF"/>
    <w:rsid w:val="5DD21301"/>
    <w:rsid w:val="5DD47834"/>
    <w:rsid w:val="5E096AA5"/>
    <w:rsid w:val="5E2960AF"/>
    <w:rsid w:val="5E6006BB"/>
    <w:rsid w:val="5E7B3747"/>
    <w:rsid w:val="5E960842"/>
    <w:rsid w:val="5E9D7F2A"/>
    <w:rsid w:val="5EAF519E"/>
    <w:rsid w:val="5EFA466C"/>
    <w:rsid w:val="5F127819"/>
    <w:rsid w:val="5F2A6503"/>
    <w:rsid w:val="5F7B3C2B"/>
    <w:rsid w:val="5FEB66AA"/>
    <w:rsid w:val="60350ED3"/>
    <w:rsid w:val="60475C45"/>
    <w:rsid w:val="60681AA9"/>
    <w:rsid w:val="60B72AEE"/>
    <w:rsid w:val="60FC2464"/>
    <w:rsid w:val="61025188"/>
    <w:rsid w:val="61057D5F"/>
    <w:rsid w:val="61354081"/>
    <w:rsid w:val="614D4977"/>
    <w:rsid w:val="618476F8"/>
    <w:rsid w:val="61A62889"/>
    <w:rsid w:val="620F25B2"/>
    <w:rsid w:val="622540F5"/>
    <w:rsid w:val="623054B0"/>
    <w:rsid w:val="62362A61"/>
    <w:rsid w:val="62377985"/>
    <w:rsid w:val="625B7B17"/>
    <w:rsid w:val="62650996"/>
    <w:rsid w:val="62C250A2"/>
    <w:rsid w:val="62CC631F"/>
    <w:rsid w:val="630D37FA"/>
    <w:rsid w:val="63273568"/>
    <w:rsid w:val="63746CCD"/>
    <w:rsid w:val="639760CD"/>
    <w:rsid w:val="63984453"/>
    <w:rsid w:val="639A2453"/>
    <w:rsid w:val="63A46EF2"/>
    <w:rsid w:val="63B75221"/>
    <w:rsid w:val="63C60FC0"/>
    <w:rsid w:val="63F52BD2"/>
    <w:rsid w:val="64055EC3"/>
    <w:rsid w:val="640E2AC9"/>
    <w:rsid w:val="642106C5"/>
    <w:rsid w:val="64351345"/>
    <w:rsid w:val="64393D7D"/>
    <w:rsid w:val="647B32BF"/>
    <w:rsid w:val="64801AB7"/>
    <w:rsid w:val="648869AC"/>
    <w:rsid w:val="6497091C"/>
    <w:rsid w:val="64A81A58"/>
    <w:rsid w:val="64AA6F5E"/>
    <w:rsid w:val="64B47FC7"/>
    <w:rsid w:val="64BA3D7A"/>
    <w:rsid w:val="64BD0930"/>
    <w:rsid w:val="64F13D73"/>
    <w:rsid w:val="64F179BC"/>
    <w:rsid w:val="650531F2"/>
    <w:rsid w:val="65141AD3"/>
    <w:rsid w:val="65600071"/>
    <w:rsid w:val="656F2024"/>
    <w:rsid w:val="65B6475E"/>
    <w:rsid w:val="65C122DE"/>
    <w:rsid w:val="65DF1CC1"/>
    <w:rsid w:val="65ED4F2A"/>
    <w:rsid w:val="65FB27D8"/>
    <w:rsid w:val="66154481"/>
    <w:rsid w:val="662C66AE"/>
    <w:rsid w:val="664D3D7E"/>
    <w:rsid w:val="665704D3"/>
    <w:rsid w:val="66BE2423"/>
    <w:rsid w:val="67220595"/>
    <w:rsid w:val="67231596"/>
    <w:rsid w:val="67535261"/>
    <w:rsid w:val="67784CC7"/>
    <w:rsid w:val="67920993"/>
    <w:rsid w:val="67A05409"/>
    <w:rsid w:val="67C065A4"/>
    <w:rsid w:val="67CA0521"/>
    <w:rsid w:val="67D359C9"/>
    <w:rsid w:val="67ED1853"/>
    <w:rsid w:val="67F80905"/>
    <w:rsid w:val="68042537"/>
    <w:rsid w:val="685F3791"/>
    <w:rsid w:val="68C667CC"/>
    <w:rsid w:val="68CB7079"/>
    <w:rsid w:val="68E346FA"/>
    <w:rsid w:val="68EC771B"/>
    <w:rsid w:val="68FE36DD"/>
    <w:rsid w:val="694E60FC"/>
    <w:rsid w:val="69685470"/>
    <w:rsid w:val="69BD2E65"/>
    <w:rsid w:val="69BE3E7E"/>
    <w:rsid w:val="69F025E5"/>
    <w:rsid w:val="6A256904"/>
    <w:rsid w:val="6A2C3B47"/>
    <w:rsid w:val="6A647785"/>
    <w:rsid w:val="6A907960"/>
    <w:rsid w:val="6AC56093"/>
    <w:rsid w:val="6AD466B8"/>
    <w:rsid w:val="6AEA5EDC"/>
    <w:rsid w:val="6B2457CA"/>
    <w:rsid w:val="6B3D24B0"/>
    <w:rsid w:val="6B4458C9"/>
    <w:rsid w:val="6B656832"/>
    <w:rsid w:val="6B9D187D"/>
    <w:rsid w:val="6BA71B66"/>
    <w:rsid w:val="6BAB7EA3"/>
    <w:rsid w:val="6BBD539F"/>
    <w:rsid w:val="6BFD1C3F"/>
    <w:rsid w:val="6C0F0DFC"/>
    <w:rsid w:val="6C4758A0"/>
    <w:rsid w:val="6C675CE6"/>
    <w:rsid w:val="6C747DD0"/>
    <w:rsid w:val="6CE26D5D"/>
    <w:rsid w:val="6D087F43"/>
    <w:rsid w:val="6D223EDD"/>
    <w:rsid w:val="6D233CCC"/>
    <w:rsid w:val="6D325F39"/>
    <w:rsid w:val="6D4D113F"/>
    <w:rsid w:val="6D4F2EDA"/>
    <w:rsid w:val="6D4F4321"/>
    <w:rsid w:val="6D590B37"/>
    <w:rsid w:val="6D6830E8"/>
    <w:rsid w:val="6D885538"/>
    <w:rsid w:val="6D8C327A"/>
    <w:rsid w:val="6DB97DE8"/>
    <w:rsid w:val="6DBB76BC"/>
    <w:rsid w:val="6DD648C4"/>
    <w:rsid w:val="6DDD523A"/>
    <w:rsid w:val="6DF110EA"/>
    <w:rsid w:val="6DF41B82"/>
    <w:rsid w:val="6DF708F5"/>
    <w:rsid w:val="6DF80F7B"/>
    <w:rsid w:val="6DFF7360"/>
    <w:rsid w:val="6E6021A9"/>
    <w:rsid w:val="6E755ABD"/>
    <w:rsid w:val="6E7A5F73"/>
    <w:rsid w:val="6E963C85"/>
    <w:rsid w:val="6EBD1212"/>
    <w:rsid w:val="6ECC19D7"/>
    <w:rsid w:val="6EE778C4"/>
    <w:rsid w:val="6EE90F9D"/>
    <w:rsid w:val="6F49551F"/>
    <w:rsid w:val="6F624C36"/>
    <w:rsid w:val="6F765F90"/>
    <w:rsid w:val="6FD74228"/>
    <w:rsid w:val="6FDC62BB"/>
    <w:rsid w:val="6FEA2C74"/>
    <w:rsid w:val="6FEE2E3B"/>
    <w:rsid w:val="701D465E"/>
    <w:rsid w:val="7021106F"/>
    <w:rsid w:val="702971F7"/>
    <w:rsid w:val="7061061C"/>
    <w:rsid w:val="706510B7"/>
    <w:rsid w:val="706E7173"/>
    <w:rsid w:val="70A26911"/>
    <w:rsid w:val="70F23777"/>
    <w:rsid w:val="70F4004C"/>
    <w:rsid w:val="71075032"/>
    <w:rsid w:val="7113776B"/>
    <w:rsid w:val="71633091"/>
    <w:rsid w:val="71705FB1"/>
    <w:rsid w:val="71866233"/>
    <w:rsid w:val="719B1620"/>
    <w:rsid w:val="71B12A9D"/>
    <w:rsid w:val="71B22914"/>
    <w:rsid w:val="728D2BFB"/>
    <w:rsid w:val="729606F7"/>
    <w:rsid w:val="72BD572D"/>
    <w:rsid w:val="72D45379"/>
    <w:rsid w:val="73081CA5"/>
    <w:rsid w:val="730B2E93"/>
    <w:rsid w:val="731C0BFD"/>
    <w:rsid w:val="73256EFA"/>
    <w:rsid w:val="73282033"/>
    <w:rsid w:val="7372081D"/>
    <w:rsid w:val="73941822"/>
    <w:rsid w:val="73EA4C33"/>
    <w:rsid w:val="73F27BAF"/>
    <w:rsid w:val="740718AD"/>
    <w:rsid w:val="74201F7D"/>
    <w:rsid w:val="74463314"/>
    <w:rsid w:val="74835E86"/>
    <w:rsid w:val="7487762D"/>
    <w:rsid w:val="74896327"/>
    <w:rsid w:val="74C33AA4"/>
    <w:rsid w:val="74E76FE8"/>
    <w:rsid w:val="750000AA"/>
    <w:rsid w:val="750A65D3"/>
    <w:rsid w:val="75151DA7"/>
    <w:rsid w:val="75210D7A"/>
    <w:rsid w:val="75232716"/>
    <w:rsid w:val="753417B5"/>
    <w:rsid w:val="75385498"/>
    <w:rsid w:val="755D72AA"/>
    <w:rsid w:val="75986535"/>
    <w:rsid w:val="75DF5F11"/>
    <w:rsid w:val="75F37776"/>
    <w:rsid w:val="760D54E2"/>
    <w:rsid w:val="763D575F"/>
    <w:rsid w:val="76435882"/>
    <w:rsid w:val="764F60FB"/>
    <w:rsid w:val="76796366"/>
    <w:rsid w:val="768071FE"/>
    <w:rsid w:val="769211D6"/>
    <w:rsid w:val="76A431DF"/>
    <w:rsid w:val="76B25658"/>
    <w:rsid w:val="76BC207F"/>
    <w:rsid w:val="76EB4904"/>
    <w:rsid w:val="76EF0FD2"/>
    <w:rsid w:val="76F36118"/>
    <w:rsid w:val="7703613C"/>
    <w:rsid w:val="77057F48"/>
    <w:rsid w:val="772265F9"/>
    <w:rsid w:val="772543D1"/>
    <w:rsid w:val="77400C32"/>
    <w:rsid w:val="775748F9"/>
    <w:rsid w:val="77645DCD"/>
    <w:rsid w:val="777378F5"/>
    <w:rsid w:val="777A2D3C"/>
    <w:rsid w:val="777B1796"/>
    <w:rsid w:val="777C7EBC"/>
    <w:rsid w:val="777D1A19"/>
    <w:rsid w:val="77C1482C"/>
    <w:rsid w:val="7802241A"/>
    <w:rsid w:val="78194573"/>
    <w:rsid w:val="78310B7A"/>
    <w:rsid w:val="78422C86"/>
    <w:rsid w:val="784E34B8"/>
    <w:rsid w:val="785F5B8F"/>
    <w:rsid w:val="78683402"/>
    <w:rsid w:val="78A05EC4"/>
    <w:rsid w:val="78D23F5A"/>
    <w:rsid w:val="78D86D89"/>
    <w:rsid w:val="78F00B8F"/>
    <w:rsid w:val="78F13953"/>
    <w:rsid w:val="79074B81"/>
    <w:rsid w:val="79231B0D"/>
    <w:rsid w:val="79297BCF"/>
    <w:rsid w:val="79426EE3"/>
    <w:rsid w:val="794F0939"/>
    <w:rsid w:val="79824016"/>
    <w:rsid w:val="79AF0FCA"/>
    <w:rsid w:val="79D8521D"/>
    <w:rsid w:val="79E17320"/>
    <w:rsid w:val="79E81839"/>
    <w:rsid w:val="79F01948"/>
    <w:rsid w:val="7A2B1F18"/>
    <w:rsid w:val="7A377513"/>
    <w:rsid w:val="7A5A18D6"/>
    <w:rsid w:val="7A63380E"/>
    <w:rsid w:val="7AA008BF"/>
    <w:rsid w:val="7AA75440"/>
    <w:rsid w:val="7AB756AF"/>
    <w:rsid w:val="7ADD450F"/>
    <w:rsid w:val="7AEE7323"/>
    <w:rsid w:val="7AF9279C"/>
    <w:rsid w:val="7B4F7695"/>
    <w:rsid w:val="7BA946EE"/>
    <w:rsid w:val="7BA94FF8"/>
    <w:rsid w:val="7BB04C77"/>
    <w:rsid w:val="7BBD0CCF"/>
    <w:rsid w:val="7BC80F82"/>
    <w:rsid w:val="7BCE0F02"/>
    <w:rsid w:val="7BD345A9"/>
    <w:rsid w:val="7C036FE4"/>
    <w:rsid w:val="7C077F70"/>
    <w:rsid w:val="7C15177B"/>
    <w:rsid w:val="7C3A4879"/>
    <w:rsid w:val="7C623E0B"/>
    <w:rsid w:val="7C6D627C"/>
    <w:rsid w:val="7CAD0B17"/>
    <w:rsid w:val="7CAE07A6"/>
    <w:rsid w:val="7CB42429"/>
    <w:rsid w:val="7CC51958"/>
    <w:rsid w:val="7CC6647D"/>
    <w:rsid w:val="7CC96E10"/>
    <w:rsid w:val="7CD53DF9"/>
    <w:rsid w:val="7CEA684B"/>
    <w:rsid w:val="7CF87F76"/>
    <w:rsid w:val="7D097C86"/>
    <w:rsid w:val="7D2D3A06"/>
    <w:rsid w:val="7D393F80"/>
    <w:rsid w:val="7D995BB2"/>
    <w:rsid w:val="7DA57A41"/>
    <w:rsid w:val="7DB75CAC"/>
    <w:rsid w:val="7DC07A2C"/>
    <w:rsid w:val="7E014D45"/>
    <w:rsid w:val="7E076B0E"/>
    <w:rsid w:val="7E282B4B"/>
    <w:rsid w:val="7E2936C3"/>
    <w:rsid w:val="7E3420E2"/>
    <w:rsid w:val="7E6411B9"/>
    <w:rsid w:val="7E9755DB"/>
    <w:rsid w:val="7E9D4019"/>
    <w:rsid w:val="7EA45F4A"/>
    <w:rsid w:val="7EAA7A04"/>
    <w:rsid w:val="7EB97C47"/>
    <w:rsid w:val="7EF667A6"/>
    <w:rsid w:val="7F132C5D"/>
    <w:rsid w:val="7F3823EB"/>
    <w:rsid w:val="7F8A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5"/>
    <w:qFormat/>
    <w:uiPriority w:val="0"/>
    <w:pPr>
      <w:keepNext/>
      <w:keepLines/>
      <w:spacing w:before="280" w:after="290" w:line="376" w:lineRule="auto"/>
      <w:outlineLvl w:val="3"/>
    </w:pPr>
    <w:rPr>
      <w:b/>
      <w:bCs/>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7"/>
    <w:qFormat/>
    <w:uiPriority w:val="0"/>
    <w:pPr>
      <w:jc w:val="left"/>
    </w:pPr>
    <w:rPr>
      <w:rFonts w:ascii="Arial" w:hAnsi="Arial" w:eastAsia="黑体" w:cs="Arial"/>
    </w:rPr>
  </w:style>
  <w:style w:type="paragraph" w:styleId="9">
    <w:name w:val="Body Text"/>
    <w:basedOn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7"/>
    <w:qFormat/>
    <w:uiPriority w:val="99"/>
    <w:rPr>
      <w:rFonts w:ascii="宋体" w:hAnsi="Courier New" w:eastAsiaTheme="minorEastAsia" w:cstheme="minorBidi"/>
      <w:szCs w:val="22"/>
    </w:rPr>
  </w:style>
  <w:style w:type="paragraph" w:styleId="14">
    <w:name w:val="Date"/>
    <w:basedOn w:val="1"/>
    <w:next w:val="1"/>
    <w:link w:val="54"/>
    <w:qFormat/>
    <w:uiPriority w:val="0"/>
    <w:rPr>
      <w:rFonts w:ascii="Arial" w:hAnsi="Arial" w:eastAsia="宋体" w:cs="Arial"/>
      <w:b/>
      <w:sz w:val="28"/>
    </w:rPr>
  </w:style>
  <w:style w:type="paragraph" w:styleId="15">
    <w:name w:val="Balloon Text"/>
    <w:basedOn w:val="1"/>
    <w:link w:val="41"/>
    <w:semiHidden/>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index 1"/>
    <w:basedOn w:val="1"/>
    <w:next w:val="1"/>
    <w:qFormat/>
    <w:uiPriority w:val="0"/>
    <w:pPr>
      <w:jc w:val="center"/>
    </w:pPr>
    <w:rPr>
      <w:rFonts w:ascii="Arial" w:hAnsi="Arial" w:eastAsia="Arial" w:cs="Arial"/>
      <w:b/>
      <w:bCs/>
      <w:sz w:val="28"/>
    </w:rPr>
  </w:style>
  <w:style w:type="paragraph" w:styleId="22">
    <w:name w:val="annotation subject"/>
    <w:basedOn w:val="8"/>
    <w:next w:val="8"/>
    <w:link w:val="68"/>
    <w:semiHidden/>
    <w:unhideWhenUsed/>
    <w:qFormat/>
    <w:uiPriority w:val="99"/>
    <w:rPr>
      <w:rFonts w:ascii="@仿宋_GB2312" w:hAnsi="@仿宋_GB2312" w:eastAsia="@仿宋_GB2312" w:cs="@仿宋_GB2312"/>
      <w:b/>
      <w:bCs/>
    </w:rPr>
  </w:style>
  <w:style w:type="paragraph" w:styleId="23">
    <w:name w:val="Body Text First Indent"/>
    <w:basedOn w:val="9"/>
    <w:unhideWhenUsed/>
    <w:qFormat/>
    <w:uiPriority w:val="99"/>
    <w:pPr>
      <w:ind w:firstLine="420" w:firstLineChars="100"/>
    </w:pPr>
  </w:style>
  <w:style w:type="paragraph" w:styleId="24">
    <w:name w:val="Body Text First Indent 2"/>
    <w:basedOn w:val="10"/>
    <w:next w:val="1"/>
    <w:semiHidden/>
    <w:unhideWhenUsed/>
    <w:qFormat/>
    <w:uiPriority w:val="99"/>
    <w:pPr>
      <w:ind w:firstLine="420" w:firstLineChars="200"/>
    </w:pPr>
    <w:rPr>
      <w:rFonts w:ascii="Times New Roman" w:hAnsi="Times New Roman" w:cs="Times New Roman"/>
      <w:szCs w:val="21"/>
    </w:rPr>
  </w:style>
  <w:style w:type="table" w:styleId="26">
    <w:name w:val="Table Grid"/>
    <w:basedOn w:val="2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FollowedHyperlink"/>
    <w:basedOn w:val="27"/>
    <w:semiHidden/>
    <w:unhideWhenUsed/>
    <w:qFormat/>
    <w:uiPriority w:val="99"/>
    <w:rPr>
      <w:color w:val="5C5C5C"/>
      <w:u w:val="none"/>
    </w:rPr>
  </w:style>
  <w:style w:type="character" w:styleId="30">
    <w:name w:val="Emphasis"/>
    <w:basedOn w:val="27"/>
    <w:qFormat/>
    <w:uiPriority w:val="20"/>
    <w:rPr>
      <w:b/>
      <w:bCs/>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rPr>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unhideWhenUsed/>
    <w:qFormat/>
    <w:uiPriority w:val="99"/>
    <w:rPr>
      <w:color w:val="0000FF" w:themeColor="hyperlink"/>
      <w:u w:val="single"/>
      <w14:textFill>
        <w14:solidFill>
          <w14:schemeClr w14:val="hlink"/>
        </w14:solidFill>
      </w14:textFill>
    </w:rPr>
  </w:style>
  <w:style w:type="character" w:styleId="36">
    <w:name w:val="HTML Code"/>
    <w:basedOn w:val="27"/>
    <w:semiHidden/>
    <w:unhideWhenUsed/>
    <w:qFormat/>
    <w:uiPriority w:val="99"/>
    <w:rPr>
      <w:rFonts w:hint="default" w:ascii="monospace" w:hAnsi="monospace" w:eastAsia="monospace" w:cs="monospace"/>
      <w:sz w:val="20"/>
    </w:rPr>
  </w:style>
  <w:style w:type="character" w:styleId="37">
    <w:name w:val="annotation reference"/>
    <w:basedOn w:val="27"/>
    <w:semiHidden/>
    <w:unhideWhenUsed/>
    <w:qFormat/>
    <w:uiPriority w:val="99"/>
    <w:rPr>
      <w:sz w:val="21"/>
      <w:szCs w:val="21"/>
    </w:rPr>
  </w:style>
  <w:style w:type="character" w:styleId="38">
    <w:name w:val="HTML Cite"/>
    <w:basedOn w:val="27"/>
    <w:semiHidden/>
    <w:unhideWhenUsed/>
    <w:qFormat/>
    <w:uiPriority w:val="99"/>
  </w:style>
  <w:style w:type="character" w:styleId="39">
    <w:name w:val="HTML Keyboard"/>
    <w:basedOn w:val="27"/>
    <w:semiHidden/>
    <w:unhideWhenUsed/>
    <w:qFormat/>
    <w:uiPriority w:val="99"/>
    <w:rPr>
      <w:rFonts w:ascii="monospace" w:hAnsi="monospace" w:eastAsia="monospace" w:cs="monospace"/>
      <w:sz w:val="20"/>
    </w:rPr>
  </w:style>
  <w:style w:type="character" w:styleId="40">
    <w:name w:val="HTML Sample"/>
    <w:basedOn w:val="27"/>
    <w:semiHidden/>
    <w:unhideWhenUsed/>
    <w:qFormat/>
    <w:uiPriority w:val="99"/>
    <w:rPr>
      <w:rFonts w:hint="default" w:ascii="monospace" w:hAnsi="monospace" w:eastAsia="monospace" w:cs="monospace"/>
    </w:rPr>
  </w:style>
  <w:style w:type="character" w:customStyle="1" w:styleId="41">
    <w:name w:val="批注框文本 字符"/>
    <w:basedOn w:val="27"/>
    <w:link w:val="15"/>
    <w:semiHidden/>
    <w:qFormat/>
    <w:uiPriority w:val="99"/>
    <w:rPr>
      <w:rFonts w:ascii="@仿宋_GB2312" w:hAnsi="@仿宋_GB2312" w:eastAsia="@仿宋_GB2312" w:cs="@仿宋_GB2312"/>
      <w:sz w:val="18"/>
      <w:szCs w:val="18"/>
    </w:rPr>
  </w:style>
  <w:style w:type="paragraph" w:customStyle="1" w:styleId="42">
    <w:name w:val="正文（缩进）"/>
    <w:basedOn w:val="1"/>
    <w:qFormat/>
    <w:uiPriority w:val="0"/>
    <w:pPr>
      <w:widowControl/>
      <w:spacing w:before="156" w:after="156"/>
      <w:ind w:firstLine="480" w:firstLineChars="200"/>
      <w:jc w:val="left"/>
    </w:pPr>
    <w:rPr>
      <w:kern w:val="0"/>
      <w:sz w:val="24"/>
      <w:szCs w:val="24"/>
    </w:rPr>
  </w:style>
  <w:style w:type="paragraph" w:customStyle="1" w:styleId="43">
    <w:name w:val="xl31"/>
    <w:basedOn w:val="1"/>
    <w:qFormat/>
    <w:uiPriority w:val="0"/>
    <w:pPr>
      <w:widowControl/>
      <w:spacing w:before="100" w:beforeAutospacing="1" w:after="100" w:afterAutospacing="1"/>
      <w:jc w:val="center"/>
    </w:pPr>
    <w:rPr>
      <w:b/>
      <w:bCs/>
      <w:kern w:val="0"/>
      <w:sz w:val="28"/>
      <w:szCs w:val="28"/>
    </w:rPr>
  </w:style>
  <w:style w:type="paragraph" w:customStyle="1" w:styleId="44">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字符"/>
    <w:basedOn w:val="27"/>
    <w:link w:val="17"/>
    <w:qFormat/>
    <w:uiPriority w:val="99"/>
    <w:rPr>
      <w:rFonts w:ascii="@仿宋_GB2312" w:hAnsi="@仿宋_GB2312" w:eastAsia="@仿宋_GB2312" w:cs="@仿宋_GB2312"/>
      <w:sz w:val="18"/>
      <w:szCs w:val="18"/>
    </w:rPr>
  </w:style>
  <w:style w:type="character" w:customStyle="1" w:styleId="46">
    <w:name w:val="页脚 字符"/>
    <w:basedOn w:val="27"/>
    <w:link w:val="16"/>
    <w:qFormat/>
    <w:uiPriority w:val="99"/>
    <w:rPr>
      <w:rFonts w:ascii="@仿宋_GB2312" w:hAnsi="@仿宋_GB2312" w:eastAsia="@仿宋_GB2312" w:cs="@仿宋_GB2312"/>
      <w:sz w:val="18"/>
      <w:szCs w:val="18"/>
    </w:rPr>
  </w:style>
  <w:style w:type="character" w:customStyle="1" w:styleId="47">
    <w:name w:val="纯文本 字符"/>
    <w:link w:val="13"/>
    <w:qFormat/>
    <w:uiPriority w:val="0"/>
    <w:rPr>
      <w:rFonts w:ascii="宋体" w:hAnsi="Courier New"/>
    </w:rPr>
  </w:style>
  <w:style w:type="character" w:customStyle="1" w:styleId="48">
    <w:name w:val="纯文本 字符1"/>
    <w:basedOn w:val="27"/>
    <w:semiHidden/>
    <w:qFormat/>
    <w:uiPriority w:val="99"/>
    <w:rPr>
      <w:rFonts w:hAnsi="Courier New" w:cs="Courier New" w:asciiTheme="minorEastAsia"/>
      <w:szCs w:val="20"/>
    </w:rPr>
  </w:style>
  <w:style w:type="character" w:customStyle="1" w:styleId="49">
    <w:name w:val="未处理的提及1"/>
    <w:basedOn w:val="27"/>
    <w:semiHidden/>
    <w:unhideWhenUsed/>
    <w:qFormat/>
    <w:uiPriority w:val="99"/>
    <w:rPr>
      <w:color w:val="605E5C"/>
      <w:shd w:val="clear" w:color="auto" w:fill="E1DFDD"/>
    </w:rPr>
  </w:style>
  <w:style w:type="paragraph" w:styleId="50">
    <w:name w:val="List Paragraph"/>
    <w:basedOn w:val="1"/>
    <w:qFormat/>
    <w:uiPriority w:val="34"/>
    <w:pPr>
      <w:ind w:firstLine="420" w:firstLineChars="200"/>
    </w:pPr>
  </w:style>
  <w:style w:type="paragraph" w:customStyle="1" w:styleId="51">
    <w:name w:val="Char Char Char Char Char Char Char1 Char"/>
    <w:basedOn w:val="1"/>
    <w:qFormat/>
    <w:uiPriority w:val="0"/>
    <w:rPr>
      <w:rFonts w:ascii="Arial" w:hAnsi="Arial" w:eastAsia="宋体" w:cs="Arial"/>
      <w:sz w:val="24"/>
    </w:rPr>
  </w:style>
  <w:style w:type="table" w:customStyle="1" w:styleId="52">
    <w:name w:val="网格表 1 浅色1"/>
    <w:basedOn w:val="2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7"/>
    <w:semiHidden/>
    <w:qFormat/>
    <w:uiPriority w:val="99"/>
    <w:rPr>
      <w:rFonts w:ascii="@仿宋_GB2312" w:hAnsi="@仿宋_GB2312" w:eastAsia="@仿宋_GB2312" w:cs="@仿宋_GB2312"/>
      <w:szCs w:val="20"/>
    </w:rPr>
  </w:style>
  <w:style w:type="character" w:customStyle="1" w:styleId="54">
    <w:name w:val="日期 字符1"/>
    <w:link w:val="14"/>
    <w:qFormat/>
    <w:uiPriority w:val="0"/>
    <w:rPr>
      <w:rFonts w:ascii="Arial" w:hAnsi="Arial" w:eastAsia="宋体" w:cs="Arial"/>
      <w:b/>
      <w:sz w:val="28"/>
      <w:szCs w:val="20"/>
    </w:rPr>
  </w:style>
  <w:style w:type="character" w:customStyle="1" w:styleId="55">
    <w:name w:val="纯文本 Char1"/>
    <w:qFormat/>
    <w:locked/>
    <w:uiPriority w:val="99"/>
    <w:rPr>
      <w:rFonts w:ascii="Arial" w:hAnsi="Arial" w:eastAsia="Arial"/>
      <w:kern w:val="2"/>
      <w:sz w:val="21"/>
      <w:lang w:val="en-US" w:eastAsia="zh-CN" w:bidi="ar-SA"/>
    </w:rPr>
  </w:style>
  <w:style w:type="character" w:customStyle="1" w:styleId="56">
    <w:name w:val="批注文字 Char"/>
    <w:basedOn w:val="27"/>
    <w:semiHidden/>
    <w:qFormat/>
    <w:uiPriority w:val="99"/>
    <w:rPr>
      <w:rFonts w:ascii="@仿宋_GB2312" w:hAnsi="@仿宋_GB2312" w:eastAsia="@仿宋_GB2312" w:cs="@仿宋_GB2312"/>
      <w:szCs w:val="20"/>
    </w:rPr>
  </w:style>
  <w:style w:type="character" w:customStyle="1" w:styleId="57">
    <w:name w:val="批注文字 字符"/>
    <w:link w:val="8"/>
    <w:qFormat/>
    <w:uiPriority w:val="0"/>
    <w:rPr>
      <w:rFonts w:ascii="Arial" w:hAnsi="Arial" w:eastAsia="黑体" w:cs="Arial"/>
      <w:szCs w:val="20"/>
    </w:rPr>
  </w:style>
  <w:style w:type="character" w:customStyle="1" w:styleId="58">
    <w:name w:val="标题 1 字符"/>
    <w:basedOn w:val="27"/>
    <w:link w:val="2"/>
    <w:qFormat/>
    <w:uiPriority w:val="9"/>
    <w:rPr>
      <w:rFonts w:ascii="@仿宋_GB2312" w:hAnsi="@仿宋_GB2312" w:eastAsia="@仿宋_GB2312" w:cs="@仿宋_GB2312"/>
      <w:b/>
      <w:bCs/>
      <w:kern w:val="44"/>
      <w:sz w:val="44"/>
      <w:szCs w:val="44"/>
    </w:rPr>
  </w:style>
  <w:style w:type="paragraph" w:customStyle="1" w:styleId="5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字符"/>
    <w:basedOn w:val="27"/>
    <w:link w:val="4"/>
    <w:semiHidden/>
    <w:qFormat/>
    <w:uiPriority w:val="9"/>
    <w:rPr>
      <w:rFonts w:ascii="@仿宋_GB2312" w:hAnsi="@仿宋_GB2312" w:eastAsia="@仿宋_GB2312" w:cs="@仿宋_GB2312"/>
      <w:b/>
      <w:bCs/>
      <w:sz w:val="32"/>
      <w:szCs w:val="32"/>
    </w:rPr>
  </w:style>
  <w:style w:type="character" w:customStyle="1" w:styleId="61">
    <w:name w:val="fontstyle01"/>
    <w:basedOn w:val="27"/>
    <w:qFormat/>
    <w:uiPriority w:val="0"/>
    <w:rPr>
      <w:rFonts w:hint="eastAsia" w:ascii="宋体" w:hAnsi="宋体" w:eastAsia="宋体"/>
      <w:color w:val="000000"/>
      <w:sz w:val="22"/>
      <w:szCs w:val="22"/>
    </w:rPr>
  </w:style>
  <w:style w:type="character" w:customStyle="1" w:styleId="62">
    <w:name w:val="fontstyle21"/>
    <w:basedOn w:val="27"/>
    <w:qFormat/>
    <w:uiPriority w:val="0"/>
    <w:rPr>
      <w:rFonts w:hint="default" w:ascii="TimesNewRomanPSMT" w:hAnsi="TimesNewRomanPSMT"/>
      <w:color w:val="000000"/>
      <w:sz w:val="22"/>
      <w:szCs w:val="22"/>
    </w:rPr>
  </w:style>
  <w:style w:type="character" w:customStyle="1" w:styleId="63">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7"/>
    <w:semiHidden/>
    <w:qFormat/>
    <w:uiPriority w:val="9"/>
    <w:rPr>
      <w:rFonts w:asciiTheme="majorHAnsi" w:hAnsiTheme="majorHAnsi" w:eastAsiaTheme="majorEastAsia" w:cstheme="majorBidi"/>
      <w:b/>
      <w:bCs/>
      <w:sz w:val="28"/>
      <w:szCs w:val="28"/>
    </w:rPr>
  </w:style>
  <w:style w:type="character" w:customStyle="1" w:styleId="65">
    <w:name w:val="标题 4 字符1"/>
    <w:link w:val="5"/>
    <w:qFormat/>
    <w:uiPriority w:val="0"/>
    <w:rPr>
      <w:rFonts w:ascii="@仿宋_GB2312" w:hAnsi="@仿宋_GB2312" w:eastAsia="@仿宋_GB2312" w:cs="@仿宋_GB2312"/>
      <w:b/>
      <w:bCs/>
      <w:sz w:val="28"/>
      <w:szCs w:val="28"/>
    </w:rPr>
  </w:style>
  <w:style w:type="character" w:customStyle="1" w:styleId="66">
    <w:name w:val="标题 4 Char"/>
    <w:qFormat/>
    <w:uiPriority w:val="0"/>
    <w:rPr>
      <w:rFonts w:ascii="Arial" w:hAnsi="Arial" w:eastAsia="Arial"/>
      <w:b/>
      <w:bCs/>
      <w:kern w:val="2"/>
      <w:sz w:val="28"/>
      <w:szCs w:val="28"/>
      <w:lang w:val="en-US" w:eastAsia="zh-CN" w:bidi="ar-SA"/>
    </w:rPr>
  </w:style>
  <w:style w:type="table" w:customStyle="1" w:styleId="67">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批注主题 字符"/>
    <w:basedOn w:val="57"/>
    <w:link w:val="22"/>
    <w:semiHidden/>
    <w:qFormat/>
    <w:uiPriority w:val="99"/>
    <w:rPr>
      <w:rFonts w:ascii="@仿宋_GB2312" w:hAnsi="@仿宋_GB2312" w:eastAsia="@仿宋_GB2312" w:cs="@仿宋_GB2312"/>
      <w:b/>
      <w:bCs/>
      <w:szCs w:val="20"/>
    </w:rPr>
  </w:style>
  <w:style w:type="table" w:customStyle="1" w:styleId="69">
    <w:name w:val="Table Normal"/>
    <w:basedOn w:val="25"/>
    <w:semiHidden/>
    <w:unhideWhenUsed/>
    <w:qFormat/>
    <w:uiPriority w:val="0"/>
    <w:tblPr>
      <w:tblCellMar>
        <w:left w:w="0" w:type="dxa"/>
        <w:right w:w="0" w:type="dxa"/>
      </w:tblCellMar>
    </w:tblPr>
  </w:style>
  <w:style w:type="paragraph" w:customStyle="1" w:styleId="70">
    <w:name w:val="Table Text"/>
    <w:basedOn w:val="1"/>
    <w:semiHidden/>
    <w:qFormat/>
    <w:uiPriority w:val="0"/>
    <w:rPr>
      <w:rFonts w:ascii="Arial" w:hAnsi="Arial" w:eastAsia="Arial" w:cs="Arial"/>
      <w:szCs w:val="21"/>
      <w:lang w:eastAsia="en-US"/>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qFormat/>
    <w:uiPriority w:val="0"/>
    <w:pPr>
      <w:ind w:firstLine="420" w:firstLineChars="200"/>
    </w:pPr>
    <w:rPr>
      <w:szCs w:val="21"/>
    </w:rPr>
  </w:style>
  <w:style w:type="character" w:customStyle="1" w:styleId="73">
    <w:name w:val="17"/>
    <w:basedOn w:val="27"/>
    <w:qFormat/>
    <w:uiPriority w:val="0"/>
    <w:rPr>
      <w:rFonts w:hint="eastAsia" w:ascii="宋体" w:hAnsi="宋体" w:eastAsia="宋体" w:cs="宋体"/>
      <w:color w:val="000000"/>
      <w:sz w:val="18"/>
      <w:szCs w:val="18"/>
    </w:rPr>
  </w:style>
  <w:style w:type="character" w:customStyle="1" w:styleId="74">
    <w:name w:val="16"/>
    <w:basedOn w:val="27"/>
    <w:qFormat/>
    <w:uiPriority w:val="0"/>
    <w:rPr>
      <w:rFonts w:hint="eastAsia" w:ascii="宋体" w:hAnsi="宋体" w:eastAsia="宋体" w:cs="宋体"/>
      <w:b/>
      <w:color w:val="000000"/>
      <w:sz w:val="18"/>
      <w:szCs w:val="18"/>
    </w:rPr>
  </w:style>
  <w:style w:type="character" w:customStyle="1" w:styleId="75">
    <w:name w:val="15"/>
    <w:basedOn w:val="27"/>
    <w:qFormat/>
    <w:uiPriority w:val="0"/>
    <w:rPr>
      <w:rFonts w:hint="eastAsia" w:ascii="宋体" w:hAnsi="宋体" w:eastAsia="宋体" w:cs="宋体"/>
      <w:color w:val="FF0000"/>
      <w:sz w:val="18"/>
      <w:szCs w:val="18"/>
    </w:rPr>
  </w:style>
  <w:style w:type="character" w:customStyle="1" w:styleId="76">
    <w:name w:val="hover"/>
    <w:basedOn w:val="27"/>
    <w:qFormat/>
    <w:uiPriority w:val="0"/>
    <w:rPr>
      <w:color w:val="2590EB"/>
    </w:rPr>
  </w:style>
  <w:style w:type="character" w:customStyle="1" w:styleId="77">
    <w:name w:val="hover1"/>
    <w:basedOn w:val="27"/>
    <w:qFormat/>
    <w:uiPriority w:val="0"/>
  </w:style>
  <w:style w:type="character" w:customStyle="1" w:styleId="78">
    <w:name w:val="hover2"/>
    <w:basedOn w:val="27"/>
    <w:qFormat/>
    <w:uiPriority w:val="0"/>
    <w:rPr>
      <w:color w:val="2590EB"/>
      <w:shd w:val="clear" w:color="auto" w:fill="E9F4FD"/>
    </w:rPr>
  </w:style>
  <w:style w:type="character" w:customStyle="1" w:styleId="79">
    <w:name w:val="hover3"/>
    <w:basedOn w:val="27"/>
    <w:qFormat/>
    <w:uiPriority w:val="0"/>
    <w:rPr>
      <w:color w:val="2590EB"/>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1">
    <w:name w:val="layui-this"/>
    <w:basedOn w:val="27"/>
    <w:qFormat/>
    <w:uiPriority w:val="0"/>
    <w:rPr>
      <w:bdr w:val="single" w:color="EEEEEE" w:sz="6" w:space="0"/>
      <w:shd w:val="clear" w:fill="FFFFFF"/>
    </w:rPr>
  </w:style>
  <w:style w:type="character" w:customStyle="1" w:styleId="82">
    <w:name w:val="first-child"/>
    <w:basedOn w:val="27"/>
    <w:qFormat/>
    <w:uiPriority w:val="0"/>
  </w:style>
  <w:style w:type="character" w:customStyle="1" w:styleId="83">
    <w:name w:val="10"/>
    <w:basedOn w:val="2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131</Pages>
  <Words>2522</Words>
  <Characters>2887</Characters>
  <Lines>1</Lines>
  <Paragraphs>1</Paragraphs>
  <TotalTime>2</TotalTime>
  <ScaleCrop>false</ScaleCrop>
  <LinksUpToDate>false</LinksUpToDate>
  <CharactersWithSpaces>2974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2025-05-07T09:36:00Z</dcterms:created>
  <dc:creator>Anakin</dc:creator>
  <cp:lastModifiedBy>这不科学</cp:lastModifiedBy>
  <cp:lastPrinted>2024-08-01T03:39:00Z</cp:lastPrinted>
  <dcterms:modified xsi:type="dcterms:W3CDTF">2025-08-11T09:28:45Z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37E5456E1B5F4F5487DC57138E33FE89_13</vt:lpwstr>
  </property>
  <property fmtid="{D5CDD505-2E9C-101B-9397-08002B2CF9AE}" pid="4" name="KSOTemplateDocerSaveRecord">
    <vt:lpwstr>eyJoZGlkIjoiZmI5ZDY5ZDNjMmE2ZDcxYTFkMDY0Zjg5Mjg3YTE0YTgiLCJ1c2VySWQiOiI1MDM3MjkwOTMifQ==</vt:lpwstr>
  </property>
</Properties>
</file>