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94728F">
      <w:pPr>
        <w:jc w:val="center"/>
        <w:rPr>
          <w:rFonts w:ascii="宋体" w:cs="宋体"/>
          <w:b/>
          <w:color w:val="auto"/>
          <w:kern w:val="0"/>
          <w:sz w:val="44"/>
          <w:szCs w:val="44"/>
          <w:highlight w:val="none"/>
        </w:rPr>
      </w:pPr>
      <w:bookmarkStart w:id="0" w:name="_Toc247085669"/>
      <w:bookmarkStart w:id="1" w:name="_Toc15058843"/>
      <w:bookmarkStart w:id="2" w:name="_Toc506107265"/>
      <w:bookmarkStart w:id="3" w:name="_Toc461631222"/>
      <w:bookmarkStart w:id="4" w:name="_Toc296602400"/>
      <w:bookmarkStart w:id="5" w:name="_Toc246996898"/>
      <w:bookmarkStart w:id="6" w:name="_Toc324404811"/>
      <w:bookmarkStart w:id="7" w:name="OLE_LINK5"/>
      <w:bookmarkStart w:id="8" w:name="OLE_LINK1"/>
      <w:bookmarkStart w:id="9" w:name="OLE_LINK3"/>
      <w:bookmarkStart w:id="10" w:name="OLE_LINK2"/>
      <w:bookmarkStart w:id="11" w:name="OLE_LINK4"/>
    </w:p>
    <w:p w14:paraId="45C1A944">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宋体" w:eastAsia="宋体" w:cs="宋体"/>
          <w:b/>
          <w:color w:val="auto"/>
          <w:kern w:val="0"/>
          <w:sz w:val="44"/>
          <w:szCs w:val="44"/>
          <w:highlight w:val="none"/>
          <w:lang w:val="en-US" w:eastAsia="zh-CN"/>
        </w:rPr>
      </w:pPr>
      <w:r>
        <w:rPr>
          <w:rFonts w:hint="eastAsia" w:ascii="宋体" w:hAnsi="宋体" w:cs="宋体"/>
          <w:b/>
          <w:color w:val="auto"/>
          <w:kern w:val="0"/>
          <w:sz w:val="44"/>
          <w:szCs w:val="44"/>
          <w:highlight w:val="none"/>
          <w:lang w:val="en-US" w:eastAsia="zh-CN"/>
        </w:rPr>
        <w:t>智能家电产业园项目工程量清单及最高投标限价编制服务项目</w:t>
      </w:r>
    </w:p>
    <w:p w14:paraId="44C23102">
      <w:pPr>
        <w:wordWrap w:val="0"/>
        <w:ind w:firstLine="2640" w:firstLineChars="1100"/>
        <w:rPr>
          <w:color w:val="auto"/>
          <w:sz w:val="24"/>
          <w:highlight w:val="none"/>
        </w:rPr>
      </w:pPr>
    </w:p>
    <w:p w14:paraId="053A80E4">
      <w:pPr>
        <w:wordWrap w:val="0"/>
        <w:ind w:firstLine="2640" w:firstLineChars="1100"/>
        <w:rPr>
          <w:color w:val="auto"/>
          <w:sz w:val="24"/>
          <w:highlight w:val="none"/>
        </w:rPr>
      </w:pPr>
    </w:p>
    <w:p w14:paraId="0AE54B96">
      <w:pPr>
        <w:adjustRightInd w:val="0"/>
        <w:snapToGrid w:val="0"/>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招 标 文 件</w:t>
      </w:r>
    </w:p>
    <w:p w14:paraId="60E96951">
      <w:pPr>
        <w:jc w:val="center"/>
        <w:rPr>
          <w:rFonts w:hint="default" w:ascii="宋体" w:hAnsi="宋体" w:eastAsia="宋体" w:cs="宋体"/>
          <w:color w:val="auto"/>
          <w:sz w:val="72"/>
          <w:szCs w:val="72"/>
          <w:highlight w:val="none"/>
          <w:lang w:val="en-US" w:eastAsia="zh-CN"/>
        </w:rPr>
      </w:pPr>
      <w:r>
        <w:rPr>
          <w:rFonts w:hint="eastAsia"/>
          <w:color w:val="auto"/>
          <w:sz w:val="28"/>
          <w:szCs w:val="28"/>
          <w:highlight w:val="none"/>
        </w:rPr>
        <w:t>项目编号：czsjqt202</w:t>
      </w:r>
      <w:r>
        <w:rPr>
          <w:rFonts w:hint="eastAsia"/>
          <w:color w:val="auto"/>
          <w:sz w:val="28"/>
          <w:szCs w:val="28"/>
          <w:highlight w:val="none"/>
          <w:lang w:val="en-US" w:eastAsia="zh-CN"/>
        </w:rPr>
        <w:t>602-004</w:t>
      </w:r>
    </w:p>
    <w:p w14:paraId="1549FF39">
      <w:pPr>
        <w:jc w:val="center"/>
        <w:rPr>
          <w:color w:val="auto"/>
          <w:sz w:val="24"/>
          <w:highlight w:val="none"/>
        </w:rPr>
      </w:pPr>
      <w:r>
        <w:rPr>
          <w:color w:val="auto"/>
          <w:sz w:val="24"/>
          <w:highlight w:val="none"/>
        </w:rPr>
        <w:t xml:space="preserve"> </w:t>
      </w:r>
      <w:bookmarkStart w:id="912" w:name="_GoBack"/>
      <w:bookmarkEnd w:id="912"/>
    </w:p>
    <w:p w14:paraId="039ADEC3">
      <w:pPr>
        <w:spacing w:line="400" w:lineRule="exact"/>
        <w:jc w:val="center"/>
        <w:rPr>
          <w:rFonts w:ascii="宋体"/>
          <w:b/>
          <w:color w:val="auto"/>
          <w:sz w:val="39"/>
          <w:highlight w:val="none"/>
        </w:rPr>
      </w:pPr>
    </w:p>
    <w:p w14:paraId="4290FE22">
      <w:pPr>
        <w:spacing w:line="400" w:lineRule="exact"/>
        <w:rPr>
          <w:color w:val="auto"/>
          <w:highlight w:val="none"/>
        </w:rPr>
      </w:pPr>
    </w:p>
    <w:p w14:paraId="4D961E9B">
      <w:pPr>
        <w:spacing w:line="720" w:lineRule="exact"/>
        <w:rPr>
          <w:b/>
          <w:bCs/>
          <w:color w:val="auto"/>
          <w:sz w:val="28"/>
          <w:szCs w:val="28"/>
          <w:highlight w:val="none"/>
        </w:rPr>
      </w:pPr>
    </w:p>
    <w:p w14:paraId="1EC6A254">
      <w:pPr>
        <w:pStyle w:val="44"/>
        <w:rPr>
          <w:b/>
          <w:bCs/>
          <w:color w:val="auto"/>
          <w:sz w:val="28"/>
          <w:szCs w:val="28"/>
          <w:highlight w:val="none"/>
        </w:rPr>
      </w:pPr>
    </w:p>
    <w:p w14:paraId="7C2A335A">
      <w:pPr>
        <w:rPr>
          <w:b/>
          <w:bCs/>
          <w:color w:val="auto"/>
          <w:sz w:val="28"/>
          <w:szCs w:val="28"/>
          <w:highlight w:val="none"/>
        </w:rPr>
      </w:pPr>
    </w:p>
    <w:p w14:paraId="65E10D80">
      <w:pPr>
        <w:pStyle w:val="44"/>
        <w:rPr>
          <w:b/>
          <w:bCs/>
          <w:color w:val="auto"/>
          <w:sz w:val="28"/>
          <w:szCs w:val="28"/>
          <w:highlight w:val="none"/>
        </w:rPr>
      </w:pPr>
    </w:p>
    <w:p w14:paraId="689B4A99">
      <w:pPr>
        <w:rPr>
          <w:b/>
          <w:bCs/>
          <w:color w:val="auto"/>
          <w:sz w:val="28"/>
          <w:szCs w:val="28"/>
          <w:highlight w:val="none"/>
        </w:rPr>
      </w:pPr>
    </w:p>
    <w:p w14:paraId="309B6D50">
      <w:pPr>
        <w:pStyle w:val="44"/>
        <w:rPr>
          <w:color w:val="auto"/>
          <w:highlight w:val="none"/>
        </w:rPr>
      </w:pPr>
    </w:p>
    <w:p w14:paraId="382C976D">
      <w:pPr>
        <w:spacing w:line="720" w:lineRule="exact"/>
        <w:rPr>
          <w:b/>
          <w:bCs/>
          <w:color w:val="auto"/>
          <w:sz w:val="28"/>
          <w:szCs w:val="28"/>
          <w:highlight w:val="none"/>
        </w:rPr>
      </w:pPr>
    </w:p>
    <w:p w14:paraId="62A6F336">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招标单位</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lang w:eastAsia="zh-CN"/>
        </w:rPr>
        <w:t xml:space="preserve">滁州同业投资发展有限公司 </w:t>
      </w:r>
      <w:r>
        <w:rPr>
          <w:rFonts w:hint="eastAsia" w:ascii="宋体" w:hAnsi="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rPr>
        <w:t>（盖章）</w:t>
      </w:r>
    </w:p>
    <w:p w14:paraId="4C73EFBD">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（隶属于国家级经济技术开发区的国有企业）</w:t>
      </w:r>
    </w:p>
    <w:p w14:paraId="743118D4">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代理机构：</w:t>
      </w:r>
      <w:r>
        <w:rPr>
          <w:rFonts w:hint="eastAsia" w:ascii="宋体" w:hAnsi="宋体" w:cs="宋体"/>
          <w:b/>
          <w:bCs/>
          <w:color w:val="auto"/>
          <w:sz w:val="28"/>
          <w:szCs w:val="28"/>
          <w:highlight w:val="none"/>
          <w:u w:val="single"/>
          <w:lang w:eastAsia="zh-CN"/>
        </w:rPr>
        <w:t>滁州市城投工程咨询管理有限公司</w:t>
      </w:r>
      <w:r>
        <w:rPr>
          <w:rFonts w:hint="eastAsia" w:ascii="宋体" w:hAnsi="宋体" w:cs="宋体"/>
          <w:b/>
          <w:bCs/>
          <w:color w:val="auto"/>
          <w:sz w:val="28"/>
          <w:szCs w:val="28"/>
          <w:highlight w:val="none"/>
        </w:rPr>
        <w:t>（盖章）</w:t>
      </w:r>
    </w:p>
    <w:p w14:paraId="596FD7B5">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u w:val="single"/>
        </w:rPr>
        <w:t>202</w:t>
      </w:r>
      <w:r>
        <w:rPr>
          <w:rFonts w:hint="eastAsia" w:ascii="宋体" w:hAnsi="宋体" w:cs="宋体"/>
          <w:b/>
          <w:bCs/>
          <w:color w:val="auto"/>
          <w:sz w:val="28"/>
          <w:szCs w:val="28"/>
          <w:highlight w:val="none"/>
          <w:u w:val="single"/>
          <w:lang w:val="en-US" w:eastAsia="zh-CN"/>
        </w:rPr>
        <w:t>6</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u w:val="single"/>
          <w:lang w:val="en-US" w:eastAsia="zh-CN"/>
        </w:rPr>
        <w:t xml:space="preserve">2 </w:t>
      </w:r>
      <w:r>
        <w:rPr>
          <w:rFonts w:hint="eastAsia" w:ascii="宋体" w:hAnsi="宋体" w:cs="宋体"/>
          <w:b/>
          <w:bCs/>
          <w:color w:val="auto"/>
          <w:sz w:val="28"/>
          <w:szCs w:val="28"/>
          <w:highlight w:val="none"/>
        </w:rPr>
        <w:t>月</w:t>
      </w:r>
    </w:p>
    <w:p w14:paraId="2325A293">
      <w:pPr>
        <w:jc w:val="center"/>
        <w:rPr>
          <w:color w:val="auto"/>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029F3F86">
      <w:pPr>
        <w:spacing w:line="700" w:lineRule="exact"/>
        <w:jc w:val="center"/>
        <w:rPr>
          <w:color w:val="auto"/>
          <w:sz w:val="44"/>
          <w:szCs w:val="44"/>
          <w:highlight w:val="none"/>
        </w:rPr>
      </w:pPr>
      <w:r>
        <w:rPr>
          <w:rFonts w:hint="eastAsia"/>
          <w:color w:val="auto"/>
          <w:sz w:val="44"/>
          <w:szCs w:val="44"/>
          <w:highlight w:val="none"/>
        </w:rPr>
        <w:t>目</w:t>
      </w:r>
      <w:r>
        <w:rPr>
          <w:color w:val="auto"/>
          <w:sz w:val="44"/>
          <w:szCs w:val="44"/>
          <w:highlight w:val="none"/>
        </w:rPr>
        <w:t xml:space="preserve">   </w:t>
      </w:r>
      <w:r>
        <w:rPr>
          <w:rFonts w:hint="eastAsia"/>
          <w:color w:val="auto"/>
          <w:sz w:val="44"/>
          <w:szCs w:val="44"/>
          <w:highlight w:val="none"/>
        </w:rPr>
        <w:t>录</w:t>
      </w:r>
      <w:bookmarkEnd w:id="0"/>
      <w:bookmarkEnd w:id="1"/>
      <w:bookmarkEnd w:id="2"/>
      <w:bookmarkEnd w:id="3"/>
      <w:bookmarkEnd w:id="4"/>
      <w:bookmarkEnd w:id="5"/>
      <w:bookmarkEnd w:id="6"/>
      <w:bookmarkStart w:id="12" w:name="_Toc152045511"/>
      <w:bookmarkStart w:id="13" w:name="_Toc144974479"/>
      <w:bookmarkStart w:id="14" w:name="_Toc152042287"/>
      <w:bookmarkStart w:id="15" w:name="_Toc179632527"/>
    </w:p>
    <w:p w14:paraId="5346BFE9">
      <w:pPr>
        <w:pStyle w:val="29"/>
        <w:tabs>
          <w:tab w:val="right" w:leader="dot" w:pos="9072"/>
        </w:tabs>
        <w:spacing w:line="700" w:lineRule="exact"/>
        <w:rPr>
          <w:rFonts w:ascii="宋体" w:cs="宋体"/>
          <w:color w:val="auto"/>
          <w:sz w:val="24"/>
          <w:szCs w:val="24"/>
          <w:highlight w:val="none"/>
        </w:rPr>
      </w:pPr>
      <w:r>
        <w:rPr>
          <w:rFonts w:ascii="宋体" w:hAnsi="宋体" w:cs="宋体"/>
          <w:b w:val="0"/>
          <w:bCs w:val="0"/>
          <w:caps w:val="0"/>
          <w:color w:val="auto"/>
          <w:sz w:val="24"/>
          <w:szCs w:val="24"/>
          <w:highlight w:val="none"/>
        </w:rPr>
        <w:fldChar w:fldCharType="begin"/>
      </w:r>
      <w:r>
        <w:rPr>
          <w:rFonts w:ascii="宋体" w:hAnsi="宋体" w:cs="宋体"/>
          <w:b w:val="0"/>
          <w:bCs w:val="0"/>
          <w:caps w:val="0"/>
          <w:color w:val="auto"/>
          <w:sz w:val="24"/>
          <w:szCs w:val="24"/>
          <w:highlight w:val="none"/>
        </w:rPr>
        <w:instrText xml:space="preserve"> TOC \o "1-3" \h \z \u </w:instrText>
      </w:r>
      <w:r>
        <w:rPr>
          <w:rFonts w:ascii="宋体" w:hAnsi="宋体" w:cs="宋体"/>
          <w:b w:val="0"/>
          <w:bCs w:val="0"/>
          <w:caps w:val="0"/>
          <w:color w:val="auto"/>
          <w:sz w:val="24"/>
          <w:szCs w:val="24"/>
          <w:highlight w:val="none"/>
        </w:rPr>
        <w:fldChar w:fldCharType="separate"/>
      </w:r>
      <w:r>
        <w:rPr>
          <w:color w:val="auto"/>
          <w:highlight w:val="none"/>
        </w:rPr>
        <w:fldChar w:fldCharType="begin"/>
      </w:r>
      <w:r>
        <w:rPr>
          <w:color w:val="auto"/>
          <w:highlight w:val="none"/>
        </w:rPr>
        <w:instrText xml:space="preserve"> HYPERLINK \l "_Toc3705" </w:instrText>
      </w:r>
      <w:r>
        <w:rPr>
          <w:color w:val="auto"/>
          <w:highlight w:val="none"/>
        </w:rPr>
        <w:fldChar w:fldCharType="separate"/>
      </w:r>
      <w:r>
        <w:rPr>
          <w:rFonts w:hint="eastAsia" w:ascii="宋体" w:hAnsi="宋体" w:cs="宋体"/>
          <w:color w:val="auto"/>
          <w:sz w:val="24"/>
          <w:szCs w:val="24"/>
          <w:highlight w:val="none"/>
        </w:rPr>
        <w:t>招标公告信息</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fldChar w:fldCharType="end"/>
      </w:r>
    </w:p>
    <w:p w14:paraId="1C944EA7">
      <w:pPr>
        <w:pStyle w:val="29"/>
        <w:tabs>
          <w:tab w:val="right" w:leader="dot" w:pos="9072"/>
        </w:tabs>
        <w:spacing w:line="700" w:lineRule="exact"/>
        <w:rPr>
          <w:rFonts w:ascii="宋体" w:cs="宋体"/>
          <w:color w:val="auto"/>
          <w:sz w:val="24"/>
          <w:szCs w:val="24"/>
          <w:highlight w:val="none"/>
        </w:rPr>
      </w:pPr>
      <w:r>
        <w:rPr>
          <w:color w:val="auto"/>
          <w:highlight w:val="none"/>
        </w:rPr>
        <w:fldChar w:fldCharType="begin"/>
      </w:r>
      <w:r>
        <w:rPr>
          <w:color w:val="auto"/>
          <w:highlight w:val="none"/>
        </w:rPr>
        <w:instrText xml:space="preserve"> HYPERLINK \l "_Toc8504" </w:instrText>
      </w:r>
      <w:r>
        <w:rPr>
          <w:color w:val="auto"/>
          <w:highlight w:val="none"/>
        </w:rPr>
        <w:fldChar w:fldCharType="separate"/>
      </w:r>
      <w:r>
        <w:rPr>
          <w:rFonts w:hint="eastAsia" w:ascii="宋体" w:hAnsi="宋体" w:cs="宋体"/>
          <w:color w:val="auto"/>
          <w:sz w:val="24"/>
          <w:szCs w:val="24"/>
          <w:highlight w:val="none"/>
        </w:rPr>
        <w:t>第一章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投标人须知</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fldChar w:fldCharType="end"/>
      </w:r>
    </w:p>
    <w:p w14:paraId="1D07BAD5">
      <w:pPr>
        <w:pStyle w:val="29"/>
        <w:tabs>
          <w:tab w:val="right" w:leader="dot" w:pos="9072"/>
        </w:tabs>
        <w:spacing w:line="700" w:lineRule="exact"/>
        <w:rPr>
          <w:rFonts w:hint="eastAsia" w:asci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"_Toc18840" </w:instrText>
      </w:r>
      <w:r>
        <w:rPr>
          <w:color w:val="auto"/>
          <w:highlight w:val="none"/>
        </w:rPr>
        <w:fldChar w:fldCharType="separate"/>
      </w:r>
      <w:r>
        <w:rPr>
          <w:rFonts w:hint="eastAsia" w:ascii="宋体" w:hAnsi="宋体" w:cs="宋体"/>
          <w:color w:val="auto"/>
          <w:sz w:val="24"/>
          <w:szCs w:val="24"/>
          <w:highlight w:val="none"/>
        </w:rPr>
        <w:t>第二章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资格审查办法</w:t>
      </w:r>
      <w:r>
        <w:rPr>
          <w:rFonts w:ascii="宋体" w:cs="宋体"/>
          <w:color w:val="auto"/>
          <w:sz w:val="24"/>
          <w:szCs w:val="24"/>
          <w:highlight w:val="none"/>
        </w:rPr>
        <w:tab/>
      </w:r>
      <w:r>
        <w:rPr>
          <w:rFonts w:ascii="宋体" w:hAnsi="宋体" w:cs="宋体"/>
          <w:color w:val="auto"/>
          <w:sz w:val="24"/>
          <w:szCs w:val="24"/>
          <w:highlight w:val="none"/>
        </w:rPr>
        <w:t>2</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1F4D4878">
      <w:pPr>
        <w:pStyle w:val="29"/>
        <w:tabs>
          <w:tab w:val="right" w:leader="dot" w:pos="9072"/>
        </w:tabs>
        <w:spacing w:line="700" w:lineRule="exact"/>
        <w:rPr>
          <w:rFonts w:hint="eastAsia" w:asci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"_Toc24443" </w:instrText>
      </w:r>
      <w:r>
        <w:rPr>
          <w:color w:val="auto"/>
          <w:highlight w:val="none"/>
        </w:rPr>
        <w:fldChar w:fldCharType="separate"/>
      </w:r>
      <w:r>
        <w:rPr>
          <w:rFonts w:hint="eastAsia" w:ascii="宋体" w:hAnsi="宋体" w:cs="宋体"/>
          <w:color w:val="auto"/>
          <w:sz w:val="24"/>
          <w:szCs w:val="24"/>
          <w:highlight w:val="none"/>
        </w:rPr>
        <w:t>第三章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评标办法</w:t>
      </w:r>
      <w:r>
        <w:rPr>
          <w:rFonts w:ascii="宋体" w:cs="宋体"/>
          <w:color w:val="auto"/>
          <w:sz w:val="24"/>
          <w:szCs w:val="24"/>
          <w:highlight w:val="none"/>
        </w:rPr>
        <w:tab/>
      </w:r>
      <w:r>
        <w:rPr>
          <w:rFonts w:ascii="宋体" w:hAnsi="宋体" w:cs="宋体"/>
          <w:color w:val="auto"/>
          <w:sz w:val="24"/>
          <w:szCs w:val="24"/>
          <w:highlight w:val="none"/>
        </w:rPr>
        <w:t>2</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5</w:t>
      </w:r>
    </w:p>
    <w:p w14:paraId="7DEEC87A">
      <w:pPr>
        <w:pStyle w:val="29"/>
        <w:tabs>
          <w:tab w:val="right" w:leader="dot" w:pos="9072"/>
        </w:tabs>
        <w:spacing w:line="700" w:lineRule="exact"/>
        <w:rPr>
          <w:rFonts w:hint="eastAsia" w:asci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"_Toc16404" </w:instrText>
      </w:r>
      <w:r>
        <w:rPr>
          <w:color w:val="auto"/>
          <w:highlight w:val="none"/>
        </w:rPr>
        <w:fldChar w:fldCharType="separate"/>
      </w:r>
      <w:r>
        <w:rPr>
          <w:rFonts w:hint="eastAsia" w:ascii="宋体" w:hAnsi="宋体" w:cs="宋体"/>
          <w:color w:val="auto"/>
          <w:sz w:val="24"/>
          <w:szCs w:val="24"/>
          <w:highlight w:val="none"/>
        </w:rPr>
        <w:t>第四章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合同条款及格式</w:t>
      </w:r>
      <w:r>
        <w:rPr>
          <w:rFonts w:ascii="宋体" w:cs="宋体"/>
          <w:color w:val="auto"/>
          <w:sz w:val="24"/>
          <w:szCs w:val="24"/>
          <w:highlight w:val="none"/>
        </w:rPr>
        <w:tab/>
      </w:r>
      <w:r>
        <w:rPr>
          <w:rFonts w:ascii="宋体" w:hAnsi="宋体" w:cs="宋体"/>
          <w:color w:val="auto"/>
          <w:sz w:val="24"/>
          <w:szCs w:val="24"/>
          <w:highlight w:val="none"/>
        </w:rPr>
        <w:t>3</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195E2455">
      <w:pPr>
        <w:pStyle w:val="29"/>
        <w:tabs>
          <w:tab w:val="right" w:leader="dot" w:pos="9072"/>
        </w:tabs>
        <w:spacing w:line="700" w:lineRule="exact"/>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"_Toc16786" </w:instrText>
      </w:r>
      <w:r>
        <w:rPr>
          <w:color w:val="auto"/>
          <w:highlight w:val="none"/>
        </w:rPr>
        <w:fldChar w:fldCharType="separate"/>
      </w:r>
      <w:r>
        <w:rPr>
          <w:rFonts w:hint="eastAsia" w:ascii="宋体" w:hAnsi="宋体" w:cs="宋体"/>
          <w:color w:val="auto"/>
          <w:sz w:val="24"/>
          <w:szCs w:val="24"/>
          <w:highlight w:val="none"/>
        </w:rPr>
        <w:t>第五章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投标文件格式</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6E6C0E55">
      <w:pPr>
        <w:pStyle w:val="29"/>
        <w:tabs>
          <w:tab w:val="right" w:leader="dot" w:pos="9072"/>
        </w:tabs>
        <w:spacing w:line="700" w:lineRule="exact"/>
        <w:rPr>
          <w:rFonts w:hint="eastAsia" w:asci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"_Toc25735" </w:instrText>
      </w:r>
      <w:r>
        <w:rPr>
          <w:color w:val="auto"/>
          <w:highlight w:val="none"/>
        </w:rPr>
        <w:fldChar w:fldCharType="separate"/>
      </w:r>
      <w:r>
        <w:rPr>
          <w:rFonts w:hint="eastAsia" w:ascii="宋体" w:hAnsi="宋体" w:cs="宋体"/>
          <w:color w:val="auto"/>
          <w:sz w:val="24"/>
          <w:szCs w:val="24"/>
          <w:highlight w:val="none"/>
        </w:rPr>
        <w:t>第六章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招标单位、招标代理机构对本招标文件的确认</w:t>
      </w:r>
      <w:r>
        <w:rPr>
          <w:rFonts w:ascii="宋体" w:cs="宋体"/>
          <w:color w:val="auto"/>
          <w:sz w:val="24"/>
          <w:szCs w:val="24"/>
          <w:highlight w:val="none"/>
        </w:rPr>
        <w:tab/>
      </w:r>
      <w:r>
        <w:rPr>
          <w:rFonts w:ascii="宋体" w:hAnsi="宋体" w:cs="宋体"/>
          <w:color w:val="auto"/>
          <w:sz w:val="24"/>
          <w:szCs w:val="24"/>
          <w:highlight w:val="none"/>
        </w:rPr>
        <w:t>6</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77941365">
      <w:pPr>
        <w:pStyle w:val="44"/>
        <w:spacing w:line="700" w:lineRule="exact"/>
        <w:ind w:left="0" w:leftChars="0" w:firstLine="0" w:firstLineChars="0"/>
        <w:jc w:val="left"/>
        <w:rPr>
          <w:color w:val="auto"/>
          <w:sz w:val="24"/>
          <w:szCs w:val="24"/>
          <w:highlight w:val="none"/>
        </w:rPr>
      </w:pPr>
      <w:r>
        <w:rPr>
          <w:rFonts w:hAnsi="宋体" w:cs="宋体"/>
          <w:b/>
          <w:bCs/>
          <w:caps/>
          <w:color w:val="auto"/>
          <w:sz w:val="24"/>
          <w:szCs w:val="24"/>
          <w:highlight w:val="none"/>
        </w:rPr>
        <w:fldChar w:fldCharType="end"/>
      </w:r>
    </w:p>
    <w:p w14:paraId="27E2A268">
      <w:pPr>
        <w:pStyle w:val="42"/>
        <w:spacing w:line="700" w:lineRule="exact"/>
        <w:jc w:val="left"/>
        <w:rPr>
          <w:color w:val="auto"/>
          <w:sz w:val="24"/>
          <w:szCs w:val="24"/>
          <w:highlight w:val="none"/>
        </w:rPr>
      </w:pPr>
    </w:p>
    <w:p w14:paraId="784F2DC1">
      <w:pPr>
        <w:bidi w:val="0"/>
        <w:rPr>
          <w:color w:val="auto"/>
          <w:highlight w:val="none"/>
        </w:rPr>
      </w:pPr>
    </w:p>
    <w:p w14:paraId="1A1D52E3">
      <w:pPr>
        <w:bidi w:val="0"/>
        <w:rPr>
          <w:color w:val="auto"/>
          <w:highlight w:val="none"/>
        </w:rPr>
      </w:pPr>
    </w:p>
    <w:p w14:paraId="5E2CC711">
      <w:pPr>
        <w:bidi w:val="0"/>
        <w:rPr>
          <w:color w:val="auto"/>
          <w:highlight w:val="none"/>
        </w:rPr>
      </w:pPr>
    </w:p>
    <w:p w14:paraId="43C0C283">
      <w:pPr>
        <w:bidi w:val="0"/>
        <w:rPr>
          <w:color w:val="auto"/>
          <w:highlight w:val="none"/>
        </w:rPr>
      </w:pPr>
    </w:p>
    <w:p w14:paraId="4A42BB4A">
      <w:pPr>
        <w:bidi w:val="0"/>
        <w:rPr>
          <w:color w:val="auto"/>
          <w:highlight w:val="none"/>
        </w:rPr>
      </w:pPr>
    </w:p>
    <w:p w14:paraId="19CAA8BC">
      <w:pPr>
        <w:bidi w:val="0"/>
        <w:rPr>
          <w:color w:val="auto"/>
          <w:highlight w:val="none"/>
        </w:rPr>
      </w:pPr>
    </w:p>
    <w:p w14:paraId="6AED76E2">
      <w:pPr>
        <w:bidi w:val="0"/>
        <w:rPr>
          <w:color w:val="auto"/>
          <w:highlight w:val="none"/>
        </w:rPr>
      </w:pPr>
    </w:p>
    <w:p w14:paraId="35BCF158">
      <w:pPr>
        <w:bidi w:val="0"/>
        <w:rPr>
          <w:color w:val="auto"/>
          <w:highlight w:val="none"/>
        </w:rPr>
      </w:pPr>
    </w:p>
    <w:p w14:paraId="1E84E4F4">
      <w:pPr>
        <w:tabs>
          <w:tab w:val="left" w:pos="7034"/>
        </w:tabs>
        <w:bidi w:val="0"/>
        <w:jc w:val="left"/>
        <w:rPr>
          <w:rFonts w:hint="eastAsia" w:eastAsia="宋体"/>
          <w:color w:val="auto"/>
          <w:highlight w:val="none"/>
          <w:lang w:eastAsia="zh-CN"/>
        </w:rPr>
        <w:sectPr>
          <w:footerReference r:id="rId5" w:type="default"/>
          <w:pgSz w:w="11906" w:h="16838"/>
          <w:pgMar w:top="1134" w:right="1417" w:bottom="1134" w:left="1417" w:header="851" w:footer="992" w:gutter="0"/>
          <w:pgNumType w:start="1"/>
          <w:cols w:space="720" w:num="1"/>
          <w:docGrid w:type="lines" w:linePitch="312" w:charSpace="0"/>
        </w:sectPr>
      </w:pPr>
      <w:r>
        <w:rPr>
          <w:rFonts w:hint="eastAsia"/>
          <w:color w:val="auto"/>
          <w:highlight w:val="none"/>
          <w:lang w:eastAsia="zh-CN"/>
        </w:rPr>
        <w:tab/>
      </w:r>
    </w:p>
    <w:p w14:paraId="2061E1E5">
      <w:pPr>
        <w:pStyle w:val="42"/>
        <w:spacing w:beforeLines="50" w:afterLines="50" w:line="440" w:lineRule="exact"/>
        <w:rPr>
          <w:rFonts w:hint="eastAsia"/>
          <w:bCs/>
          <w:color w:val="auto"/>
          <w:sz w:val="28"/>
          <w:szCs w:val="28"/>
          <w:highlight w:val="none"/>
        </w:rPr>
      </w:pPr>
      <w:bookmarkStart w:id="16" w:name="_Toc3705"/>
      <w:r>
        <w:rPr>
          <w:rFonts w:hint="eastAsia"/>
          <w:bCs/>
          <w:color w:val="auto"/>
          <w:sz w:val="28"/>
          <w:szCs w:val="28"/>
          <w:highlight w:val="none"/>
        </w:rPr>
        <w:t>招标公告信息</w:t>
      </w:r>
      <w:bookmarkEnd w:id="16"/>
    </w:p>
    <w:p w14:paraId="5DF15D83">
      <w:pPr>
        <w:keepNext/>
        <w:keepLines/>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63793EC5">
      <w:pPr>
        <w:keepNext/>
        <w:keepLines/>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cs="宋体"/>
          <w:color w:val="auto"/>
          <w:sz w:val="28"/>
          <w:szCs w:val="28"/>
          <w:highlight w:val="none"/>
        </w:rPr>
      </w:pPr>
      <w:r>
        <w:rPr>
          <w:rFonts w:hint="eastAsia" w:ascii="仿宋" w:hAnsi="仿宋" w:eastAsia="仿宋" w:cs="仿宋"/>
          <w:color w:val="auto"/>
          <w:sz w:val="28"/>
          <w:szCs w:val="28"/>
          <w:highlight w:val="none"/>
          <w:u w:val="single"/>
          <w:lang w:val="en-US" w:eastAsia="zh-CN"/>
        </w:rPr>
        <w:t>智能家电产业园项目工程量清单及最高投标限价编制服务项目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滁州市公共资源交易中心网（</w:t>
      </w:r>
      <w:r>
        <w:rPr>
          <w:rFonts w:hint="eastAsia" w:ascii="仿宋" w:hAnsi="仿宋" w:eastAsia="仿宋" w:cs="仿宋"/>
          <w:color w:val="auto"/>
          <w:sz w:val="28"/>
          <w:szCs w:val="28"/>
          <w:highlight w:val="none"/>
          <w:u w:val="single"/>
          <w:lang w:eastAsia="zh-CN"/>
        </w:rPr>
        <w:t>http:</w:t>
      </w:r>
      <w:r>
        <w:rPr>
          <w:rFonts w:hint="eastAsia" w:ascii="仿宋" w:hAnsi="仿宋" w:eastAsia="仿宋" w:cs="仿宋"/>
          <w:color w:val="auto"/>
          <w:sz w:val="28"/>
          <w:szCs w:val="28"/>
          <w:highlight w:val="none"/>
          <w:u w:val="single"/>
        </w:rPr>
        <w:t>//ggzy.chuzhou.gov.cn/）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lang w:eastAsia="zh-CN"/>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lang w:eastAsia="zh-CN"/>
        </w:rPr>
        <w:t>年</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lang w:eastAsia="zh-CN"/>
        </w:rPr>
        <w:t>月</w:t>
      </w:r>
      <w:r>
        <w:rPr>
          <w:rFonts w:hint="eastAsia" w:ascii="仿宋" w:hAnsi="仿宋" w:eastAsia="仿宋" w:cs="仿宋"/>
          <w:color w:val="auto"/>
          <w:sz w:val="28"/>
          <w:szCs w:val="28"/>
          <w:highlight w:val="none"/>
          <w:u w:val="single"/>
          <w:lang w:val="en-US" w:eastAsia="zh-CN"/>
        </w:rPr>
        <w:t>27</w:t>
      </w:r>
      <w:r>
        <w:rPr>
          <w:rFonts w:hint="eastAsia" w:ascii="仿宋" w:hAnsi="仿宋" w:eastAsia="仿宋" w:cs="仿宋"/>
          <w:color w:val="auto"/>
          <w:sz w:val="28"/>
          <w:szCs w:val="28"/>
          <w:highlight w:val="none"/>
          <w:u w:val="single"/>
        </w:rPr>
        <w:t>日08点</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0分</w:t>
      </w:r>
      <w:r>
        <w:rPr>
          <w:rFonts w:hint="eastAsia" w:ascii="仿宋" w:hAnsi="仿宋" w:eastAsia="仿宋" w:cs="仿宋"/>
          <w:color w:val="auto"/>
          <w:sz w:val="28"/>
          <w:szCs w:val="28"/>
          <w:highlight w:val="none"/>
        </w:rPr>
        <w:t>（北京时间）前递交投标文件。</w:t>
      </w:r>
    </w:p>
    <w:p w14:paraId="4663E32E">
      <w:pPr>
        <w:keepNext/>
        <w:keepLines/>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70160483">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default" w:ascii="仿宋" w:hAnsi="仿宋" w:eastAsia="仿宋" w:cs="仿宋"/>
          <w:color w:val="auto"/>
          <w:sz w:val="28"/>
          <w:szCs w:val="28"/>
          <w:highlight w:val="none"/>
          <w:shd w:val="clear" w:fill="auto"/>
          <w:lang w:val="en-US" w:eastAsia="zh-CN"/>
        </w:rPr>
      </w:pPr>
      <w:r>
        <w:rPr>
          <w:rFonts w:hint="eastAsia" w:ascii="仿宋" w:hAnsi="仿宋" w:eastAsia="仿宋" w:cs="仿宋"/>
          <w:color w:val="auto"/>
          <w:sz w:val="28"/>
          <w:szCs w:val="28"/>
          <w:highlight w:val="none"/>
          <w:shd w:val="clear" w:fill="auto"/>
        </w:rPr>
        <w:t>项目编号：czsjqt202</w:t>
      </w:r>
      <w:r>
        <w:rPr>
          <w:rFonts w:hint="eastAsia" w:ascii="仿宋" w:hAnsi="仿宋" w:eastAsia="仿宋" w:cs="仿宋"/>
          <w:color w:val="auto"/>
          <w:sz w:val="28"/>
          <w:szCs w:val="28"/>
          <w:highlight w:val="none"/>
          <w:shd w:val="clear" w:fill="auto"/>
          <w:lang w:val="en-US" w:eastAsia="zh-CN"/>
        </w:rPr>
        <w:t>602-004</w:t>
      </w:r>
    </w:p>
    <w:p w14:paraId="6595B564">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sz w:val="28"/>
          <w:szCs w:val="28"/>
          <w:highlight w:val="none"/>
          <w:shd w:val="clear" w:fill="auto"/>
          <w:lang w:eastAsia="zh-CN"/>
        </w:rPr>
      </w:pPr>
      <w:r>
        <w:rPr>
          <w:rFonts w:hint="eastAsia" w:ascii="仿宋" w:hAnsi="仿宋" w:eastAsia="仿宋" w:cs="仿宋"/>
          <w:color w:val="auto"/>
          <w:sz w:val="28"/>
          <w:szCs w:val="28"/>
          <w:highlight w:val="none"/>
          <w:shd w:val="clear" w:fill="auto"/>
        </w:rPr>
        <w:t>项目名称：</w:t>
      </w:r>
      <w:r>
        <w:rPr>
          <w:rFonts w:hint="eastAsia" w:ascii="仿宋" w:hAnsi="仿宋" w:eastAsia="仿宋" w:cs="仿宋"/>
          <w:color w:val="auto"/>
          <w:sz w:val="28"/>
          <w:szCs w:val="28"/>
          <w:highlight w:val="none"/>
          <w:shd w:val="clear" w:fill="auto"/>
          <w:lang w:val="en-US" w:eastAsia="zh-CN"/>
        </w:rPr>
        <w:t>智能家电产业园项目工程量清单及最高投标限价编制服务项目</w:t>
      </w:r>
      <w:r>
        <w:rPr>
          <w:rFonts w:hint="eastAsia" w:ascii="仿宋" w:hAnsi="仿宋" w:eastAsia="仿宋" w:cs="仿宋"/>
          <w:color w:val="auto"/>
          <w:sz w:val="28"/>
          <w:szCs w:val="28"/>
          <w:highlight w:val="none"/>
          <w:shd w:val="clear" w:fill="auto"/>
          <w:lang w:eastAsia="zh-CN"/>
        </w:rPr>
        <w:t xml:space="preserve"> </w:t>
      </w:r>
    </w:p>
    <w:p w14:paraId="6D0144D5">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default" w:ascii="仿宋" w:hAnsi="仿宋" w:eastAsia="仿宋" w:cs="仿宋"/>
          <w:color w:val="auto"/>
          <w:sz w:val="28"/>
          <w:szCs w:val="28"/>
          <w:highlight w:val="none"/>
          <w:shd w:val="clear" w:fill="auto"/>
          <w:lang w:val="en-US" w:eastAsia="zh-CN"/>
        </w:rPr>
      </w:pPr>
      <w:r>
        <w:rPr>
          <w:rFonts w:hint="eastAsia" w:ascii="仿宋" w:hAnsi="仿宋" w:eastAsia="仿宋" w:cs="仿宋"/>
          <w:color w:val="auto"/>
          <w:sz w:val="28"/>
          <w:szCs w:val="28"/>
          <w:highlight w:val="none"/>
          <w:shd w:val="clear" w:fill="auto"/>
          <w:lang w:eastAsia="zh-CN"/>
        </w:rPr>
        <w:t>预算金额：</w:t>
      </w:r>
      <w:r>
        <w:rPr>
          <w:rFonts w:hint="eastAsia" w:ascii="仿宋" w:hAnsi="仿宋" w:eastAsia="仿宋" w:cs="仿宋"/>
          <w:color w:val="auto"/>
          <w:sz w:val="28"/>
          <w:szCs w:val="28"/>
          <w:highlight w:val="none"/>
          <w:shd w:val="clear" w:fill="auto"/>
          <w:lang w:val="en-US" w:eastAsia="zh-CN"/>
        </w:rPr>
        <w:t>445500.00元</w:t>
      </w:r>
    </w:p>
    <w:p w14:paraId="32133F84">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default" w:ascii="仿宋_GB2312" w:hAnsi="仿宋_GB2312" w:eastAsia="宋体" w:cs="仿宋_GB2312"/>
          <w:color w:val="auto"/>
          <w:sz w:val="28"/>
          <w:szCs w:val="28"/>
          <w:highlight w:val="none"/>
          <w:u w:val="none"/>
          <w:lang w:val="en-US" w:eastAsia="zh-CN"/>
        </w:rPr>
      </w:pPr>
      <w:r>
        <w:rPr>
          <w:rFonts w:hint="eastAsia" w:ascii="仿宋" w:hAnsi="仿宋" w:eastAsia="仿宋" w:cs="仿宋"/>
          <w:color w:val="auto"/>
          <w:sz w:val="28"/>
          <w:szCs w:val="28"/>
          <w:highlight w:val="none"/>
          <w:shd w:val="clear" w:fill="auto"/>
          <w:lang w:eastAsia="zh-CN"/>
        </w:rPr>
        <w:t>最高限价</w:t>
      </w:r>
      <w:r>
        <w:rPr>
          <w:rFonts w:hint="eastAsia" w:ascii="仿宋" w:hAnsi="仿宋" w:eastAsia="仿宋" w:cs="仿宋"/>
          <w:color w:val="auto"/>
          <w:sz w:val="28"/>
          <w:szCs w:val="28"/>
          <w:highlight w:val="none"/>
          <w:shd w:val="clear" w:fill="auto"/>
          <w:lang w:val="en-US" w:eastAsia="zh-CN"/>
        </w:rPr>
        <w:t>：1.485‰</w:t>
      </w:r>
    </w:p>
    <w:p w14:paraId="40AE9B1A">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default" w:ascii="仿宋" w:hAnsi="仿宋" w:eastAsia="仿宋" w:cs="仿宋"/>
          <w:color w:val="auto"/>
          <w:sz w:val="28"/>
          <w:szCs w:val="28"/>
          <w:highlight w:val="none"/>
          <w:shd w:val="clear" w:fill="auto"/>
          <w:lang w:val="en-US" w:eastAsia="zh-CN"/>
        </w:rPr>
      </w:pPr>
      <w:r>
        <w:rPr>
          <w:rFonts w:hint="eastAsia" w:ascii="仿宋" w:hAnsi="仿宋" w:eastAsia="仿宋" w:cs="仿宋"/>
          <w:color w:val="auto"/>
          <w:sz w:val="28"/>
          <w:szCs w:val="28"/>
          <w:highlight w:val="none"/>
          <w:shd w:val="clear" w:fill="auto"/>
          <w:lang w:eastAsia="zh-CN"/>
        </w:rPr>
        <w:t>采购需求：</w:t>
      </w:r>
      <w:r>
        <w:rPr>
          <w:rFonts w:hint="eastAsia" w:ascii="仿宋" w:hAnsi="仿宋" w:eastAsia="仿宋" w:cs="仿宋"/>
          <w:color w:val="auto"/>
          <w:sz w:val="28"/>
          <w:szCs w:val="28"/>
          <w:highlight w:val="none"/>
          <w:shd w:val="clear" w:fill="auto"/>
          <w:lang w:val="en-US" w:eastAsia="zh-CN"/>
        </w:rPr>
        <w:t>工程量清单及最高投标限价编制服务。本项目位于滁州市经开区长江路与杭州路交叉口西北侧，总建筑面积约80000平方米，总投资约3亿元。</w:t>
      </w:r>
    </w:p>
    <w:p w14:paraId="08AA7F8D">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default" w:ascii="仿宋" w:hAnsi="仿宋" w:eastAsia="仿宋" w:cs="仿宋"/>
          <w:color w:val="auto"/>
          <w:sz w:val="28"/>
          <w:szCs w:val="28"/>
          <w:highlight w:val="none"/>
          <w:shd w:val="clear" w:fill="auto"/>
          <w:lang w:val="en-US" w:eastAsia="zh-CN"/>
        </w:rPr>
      </w:pPr>
      <w:r>
        <w:rPr>
          <w:rFonts w:hint="eastAsia" w:ascii="仿宋" w:hAnsi="仿宋" w:eastAsia="仿宋" w:cs="仿宋"/>
          <w:color w:val="auto"/>
          <w:sz w:val="28"/>
          <w:szCs w:val="28"/>
          <w:highlight w:val="none"/>
          <w:shd w:val="clear" w:fill="auto"/>
          <w:lang w:eastAsia="zh-CN"/>
        </w:rPr>
        <w:t>合同履行期限：</w:t>
      </w:r>
      <w:r>
        <w:rPr>
          <w:rFonts w:hint="eastAsia" w:ascii="仿宋" w:hAnsi="仿宋" w:eastAsia="仿宋" w:cs="仿宋"/>
          <w:color w:val="auto"/>
          <w:sz w:val="28"/>
          <w:szCs w:val="28"/>
          <w:highlight w:val="none"/>
          <w:shd w:val="clear" w:fill="auto"/>
          <w:lang w:val="en-US" w:eastAsia="zh-CN"/>
        </w:rPr>
        <w:t>招标人提供施工图纸后20个日历天内，中标人向招标人提交造价成果。根据市造价主管部门相关规定完成工作，并向招标人提交最高限价备案表。</w:t>
      </w:r>
    </w:p>
    <w:p w14:paraId="6D1B5C1F">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sz w:val="28"/>
          <w:szCs w:val="28"/>
          <w:highlight w:val="none"/>
          <w:shd w:val="clear" w:fill="auto"/>
          <w:lang w:val="en-US" w:eastAsia="zh-CN"/>
        </w:rPr>
      </w:pPr>
      <w:r>
        <w:rPr>
          <w:rFonts w:hint="eastAsia" w:ascii="仿宋" w:hAnsi="仿宋" w:eastAsia="仿宋" w:cs="仿宋"/>
          <w:color w:val="auto"/>
          <w:sz w:val="28"/>
          <w:szCs w:val="28"/>
          <w:highlight w:val="none"/>
          <w:shd w:val="clear" w:fill="auto"/>
        </w:rPr>
        <w:t>本项目不接受联合体投标。</w:t>
      </w:r>
    </w:p>
    <w:p w14:paraId="2E0308F9">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二、申请人的资格要求</w:t>
      </w:r>
    </w:p>
    <w:p w14:paraId="2041697E">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Times New Roman"/>
          <w:color w:val="auto"/>
          <w:sz w:val="28"/>
          <w:szCs w:val="28"/>
          <w:highlight w:val="none"/>
          <w:lang w:val="en-US" w:eastAsia="zh-CN"/>
        </w:rPr>
      </w:pPr>
      <w:bookmarkStart w:id="17" w:name="_Toc35393792"/>
      <w:bookmarkStart w:id="18" w:name="_Toc35393623"/>
      <w:bookmarkStart w:id="19" w:name="_Toc28359004"/>
      <w:bookmarkStart w:id="20" w:name="_Toc28359081"/>
      <w:r>
        <w:rPr>
          <w:rFonts w:hint="eastAsia" w:ascii="仿宋" w:hAnsi="仿宋" w:eastAsia="仿宋" w:cs="Times New Roman"/>
          <w:color w:val="auto"/>
          <w:sz w:val="28"/>
          <w:szCs w:val="28"/>
          <w:highlight w:val="none"/>
        </w:rPr>
        <w:t>1.投标人须具有独立承担民事责任能力，并具有有效的营业执照。</w:t>
      </w:r>
    </w:p>
    <w:p w14:paraId="0BFFEB82">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2"/>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2.项目负责人同时具有工程类高级或以上职称证书和中华人民共和国住房和城乡建设部颁发的注册在投标单位的土木建筑工程专业一级造价工程师注册证书（或原注册造价工程师）。</w:t>
      </w:r>
    </w:p>
    <w:p w14:paraId="394201D2">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.信誉要求：投标人存在以下情形之一的，不得被确定为中标人</w:t>
      </w:r>
      <w:r>
        <w:rPr>
          <w:rFonts w:hint="eastAsia" w:ascii="仿宋" w:hAnsi="仿宋" w:eastAsia="仿宋" w:cs="Times New Roman"/>
          <w:color w:val="auto"/>
          <w:sz w:val="28"/>
          <w:szCs w:val="28"/>
          <w:highlight w:val="none"/>
          <w:lang w:eastAsia="zh-CN"/>
        </w:rPr>
        <w:t>。</w:t>
      </w:r>
    </w:p>
    <w:p w14:paraId="5DAB2AED">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①被列入“信用中国”网站“失信被执行人”的;</w:t>
      </w:r>
    </w:p>
    <w:p w14:paraId="351C9124">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②被列入“信用中国”网站“重大税收违法失信主体”的；</w:t>
      </w:r>
    </w:p>
    <w:p w14:paraId="26D78406">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③被列入“信用中国”网站“拖欠农民工工资失信联合惩戒对象名单”的；</w:t>
      </w:r>
    </w:p>
    <w:p w14:paraId="6799CD79">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④被列入“信用中国”网站 “严重失信主体名单”的；</w:t>
      </w:r>
    </w:p>
    <w:p w14:paraId="45781BAE">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⑤在“信用中国”网站上披露的仍在公示期的严重失信行为(具体行为类别及判定依据见附件2)的。</w:t>
      </w:r>
    </w:p>
    <w:p w14:paraId="2307EC20">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⑥被列入国家企业信用信息公示系统网站“经营异常名录”或者“严重违法失信名单”的。</w:t>
      </w:r>
    </w:p>
    <w:p w14:paraId="2E56C6C4">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⑦前三年有行贿犯罪行为的单位和个人；</w:t>
      </w:r>
    </w:p>
    <w:p w14:paraId="403E75B6">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⑧被滁州市县两级公管部门及各行业主管部门取消在一定期限内的投标资格且在取消期限内的；</w:t>
      </w:r>
    </w:p>
    <w:p w14:paraId="32956EFC">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⑨因拖欠农民工工资被县级及以上有关行政主管部门限制投标资格且在限制期限内的；</w:t>
      </w:r>
    </w:p>
    <w:p w14:paraId="799AC6E9">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6229DA3F">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rPr>
        <w:t>.投标人所属分公司、办事处等分支机构存在第</w:t>
      </w: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款信誉要求①-</w:t>
      </w:r>
      <w:r>
        <w:rPr>
          <w:rFonts w:hint="eastAsia" w:ascii="仿宋" w:hAnsi="仿宋" w:eastAsia="仿宋" w:cs="Times New Roman"/>
          <w:color w:val="auto"/>
          <w:sz w:val="28"/>
          <w:szCs w:val="28"/>
          <w:highlight w:val="none"/>
          <w:lang w:val="en-US" w:eastAsia="zh-CN"/>
        </w:rPr>
        <w:t>⑩</w:t>
      </w:r>
      <w:r>
        <w:rPr>
          <w:rFonts w:hint="eastAsia" w:ascii="仿宋" w:hAnsi="仿宋" w:eastAsia="仿宋" w:cs="Times New Roman"/>
          <w:color w:val="auto"/>
          <w:sz w:val="28"/>
          <w:szCs w:val="28"/>
          <w:highlight w:val="none"/>
        </w:rPr>
        <w:t>项情形之一的，接受</w:t>
      </w:r>
      <w:r>
        <w:rPr>
          <w:rFonts w:hint="eastAsia" w:ascii="仿宋" w:hAnsi="仿宋" w:eastAsia="仿宋" w:cs="Times New Roman"/>
          <w:color w:val="auto"/>
          <w:sz w:val="28"/>
          <w:szCs w:val="28"/>
          <w:highlight w:val="none"/>
          <w:lang w:val="en-US" w:eastAsia="zh-CN"/>
        </w:rPr>
        <w:t>其被确定为中标人</w:t>
      </w:r>
      <w:r>
        <w:rPr>
          <w:rFonts w:hint="eastAsia" w:ascii="仿宋" w:hAnsi="仿宋" w:eastAsia="仿宋" w:cs="Times New Roman"/>
          <w:color w:val="auto"/>
          <w:sz w:val="28"/>
          <w:szCs w:val="28"/>
          <w:highlight w:val="none"/>
        </w:rPr>
        <w:t>。</w:t>
      </w:r>
    </w:p>
    <w:p w14:paraId="5376F58B">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备注：第</w:t>
      </w:r>
      <w:r>
        <w:rPr>
          <w:rFonts w:hint="eastAsia" w:ascii="仿宋" w:hAnsi="仿宋" w:eastAsia="仿宋" w:cs="Times New Roman"/>
          <w:color w:val="auto"/>
          <w:sz w:val="28"/>
          <w:szCs w:val="28"/>
          <w:highlight w:val="none"/>
          <w:lang w:val="en-US" w:eastAsia="zh-CN"/>
        </w:rPr>
        <w:t>3、4</w:t>
      </w:r>
      <w:r>
        <w:rPr>
          <w:rFonts w:hint="eastAsia" w:ascii="仿宋" w:hAnsi="仿宋" w:eastAsia="仿宋" w:cs="Times New Roman"/>
          <w:color w:val="auto"/>
          <w:sz w:val="28"/>
          <w:szCs w:val="28"/>
          <w:highlight w:val="none"/>
        </w:rPr>
        <w:t>条按照</w:t>
      </w:r>
      <w:r>
        <w:rPr>
          <w:rFonts w:hint="eastAsia" w:ascii="仿宋" w:hAnsi="仿宋" w:eastAsia="仿宋" w:cs="Times New Roman"/>
          <w:color w:val="auto"/>
          <w:sz w:val="28"/>
          <w:szCs w:val="28"/>
          <w:highlight w:val="none"/>
          <w:lang w:val="en-US" w:eastAsia="zh-CN"/>
        </w:rPr>
        <w:t>附件1</w:t>
      </w:r>
      <w:r>
        <w:rPr>
          <w:rFonts w:hint="eastAsia" w:ascii="仿宋" w:hAnsi="仿宋" w:eastAsia="仿宋" w:cs="Times New Roman"/>
          <w:color w:val="auto"/>
          <w:sz w:val="28"/>
          <w:szCs w:val="28"/>
          <w:highlight w:val="none"/>
        </w:rPr>
        <w:t>“关于联合惩戒失信行为加强信用查询管理的通知”查询或承诺。</w:t>
      </w:r>
    </w:p>
    <w:p w14:paraId="1B340F29">
      <w:pPr>
        <w:keepNext/>
        <w:keepLines/>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7"/>
      <w:bookmarkEnd w:id="18"/>
      <w:bookmarkEnd w:id="19"/>
      <w:bookmarkEnd w:id="20"/>
    </w:p>
    <w:p w14:paraId="178CB829">
      <w:pPr>
        <w:pageBreakBefore w:val="0"/>
        <w:widowControl w:val="0"/>
        <w:kinsoku/>
        <w:wordWrap/>
        <w:overflowPunct/>
        <w:topLinePunct w:val="0"/>
        <w:autoSpaceDE/>
        <w:autoSpaceDN/>
        <w:bidi w:val="0"/>
        <w:adjustRightInd/>
        <w:snapToGrid/>
        <w:spacing w:line="520" w:lineRule="exact"/>
        <w:ind w:left="0" w:leftChars="0" w:firstLine="540"/>
        <w:textAlignment w:val="auto"/>
        <w:rPr>
          <w:rFonts w:hint="eastAsia" w:ascii="仿宋" w:hAnsi="仿宋" w:eastAsia="仿宋" w:cs="宋体"/>
          <w:iCs/>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lang w:eastAsia="zh-CN"/>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lang w:eastAsia="zh-CN"/>
        </w:rPr>
        <w:t>年</w:t>
      </w:r>
      <w:r>
        <w:rPr>
          <w:rFonts w:hint="eastAsia" w:ascii="仿宋" w:hAnsi="仿宋" w:eastAsia="仿宋" w:cs="宋体"/>
          <w:color w:val="auto"/>
          <w:sz w:val="28"/>
          <w:szCs w:val="28"/>
          <w:highlight w:val="none"/>
          <w:u w:val="single"/>
          <w:lang w:val="en-US" w:eastAsia="zh-CN"/>
        </w:rPr>
        <w:t>2</w:t>
      </w:r>
      <w:r>
        <w:rPr>
          <w:rFonts w:hint="eastAsia" w:ascii="仿宋" w:hAnsi="仿宋" w:eastAsia="仿宋" w:cs="宋体"/>
          <w:color w:val="auto"/>
          <w:sz w:val="28"/>
          <w:szCs w:val="28"/>
          <w:highlight w:val="none"/>
          <w:u w:val="single"/>
          <w:lang w:eastAsia="zh-CN"/>
        </w:rPr>
        <w:t>月</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2</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27</w:t>
      </w:r>
      <w:r>
        <w:rPr>
          <w:rFonts w:hint="eastAsia" w:ascii="仿宋" w:hAnsi="仿宋" w:eastAsia="仿宋" w:cs="宋体"/>
          <w:color w:val="auto"/>
          <w:sz w:val="28"/>
          <w:szCs w:val="28"/>
          <w:highlight w:val="none"/>
          <w:u w:val="single"/>
        </w:rPr>
        <w:t>日</w:t>
      </w:r>
      <w:r>
        <w:rPr>
          <w:rFonts w:hint="eastAsia" w:ascii="仿宋" w:hAnsi="仿宋" w:eastAsia="仿宋" w:cs="宋体"/>
          <w:iCs/>
          <w:color w:val="auto"/>
          <w:sz w:val="28"/>
          <w:szCs w:val="28"/>
          <w:highlight w:val="none"/>
          <w:u w:val="single"/>
        </w:rPr>
        <w:t>（提供期限自本公告发布之日起不得少于5个工作日）</w:t>
      </w:r>
    </w:p>
    <w:p w14:paraId="7A03F9B4">
      <w:pPr>
        <w:pageBreakBefore w:val="0"/>
        <w:widowControl w:val="0"/>
        <w:kinsoku/>
        <w:wordWrap/>
        <w:overflowPunct/>
        <w:topLinePunct w:val="0"/>
        <w:autoSpaceDE/>
        <w:autoSpaceDN/>
        <w:bidi w:val="0"/>
        <w:adjustRightInd/>
        <w:snapToGrid/>
        <w:spacing w:line="520" w:lineRule="exact"/>
        <w:ind w:left="0" w:leftChars="0" w:firstLine="54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地点：滁州市公共资源交易中心网</w:t>
      </w:r>
    </w:p>
    <w:p w14:paraId="19B91C2C">
      <w:pPr>
        <w:pageBreakBefore w:val="0"/>
        <w:widowControl w:val="0"/>
        <w:kinsoku/>
        <w:wordWrap/>
        <w:overflowPunct/>
        <w:topLinePunct w:val="0"/>
        <w:autoSpaceDE/>
        <w:autoSpaceDN/>
        <w:bidi w:val="0"/>
        <w:adjustRightInd/>
        <w:snapToGrid/>
        <w:spacing w:line="520" w:lineRule="exact"/>
        <w:ind w:left="0" w:leftChars="0" w:firstLine="54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方式：网上下载</w:t>
      </w:r>
    </w:p>
    <w:p w14:paraId="236CF922">
      <w:pPr>
        <w:pageBreakBefore w:val="0"/>
        <w:widowControl w:val="0"/>
        <w:kinsoku/>
        <w:wordWrap/>
        <w:overflowPunct/>
        <w:topLinePunct w:val="0"/>
        <w:autoSpaceDE/>
        <w:autoSpaceDN/>
        <w:bidi w:val="0"/>
        <w:adjustRightInd/>
        <w:snapToGrid/>
        <w:spacing w:line="520" w:lineRule="exact"/>
        <w:ind w:left="0" w:leftChars="0" w:firstLine="54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76973B1F">
      <w:pPr>
        <w:keepNext/>
        <w:keepLines/>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1"/>
        <w:rPr>
          <w:rFonts w:hint="eastAsia" w:ascii="黑体" w:hAnsi="黑体" w:eastAsia="黑体" w:cs="黑体"/>
          <w:color w:val="auto"/>
          <w:sz w:val="28"/>
          <w:szCs w:val="28"/>
          <w:highlight w:val="none"/>
        </w:rPr>
      </w:pPr>
      <w:bookmarkStart w:id="21" w:name="_Toc28359082"/>
      <w:bookmarkStart w:id="22" w:name="_Toc28359005"/>
      <w:bookmarkStart w:id="23" w:name="_Toc35393793"/>
      <w:bookmarkStart w:id="24" w:name="_Toc35393624"/>
      <w:r>
        <w:rPr>
          <w:rFonts w:hint="eastAsia" w:ascii="黑体" w:hAnsi="黑体" w:eastAsia="黑体" w:cs="黑体"/>
          <w:color w:val="auto"/>
          <w:sz w:val="28"/>
          <w:szCs w:val="28"/>
          <w:highlight w:val="none"/>
        </w:rPr>
        <w:t>四、提交投标文件</w:t>
      </w:r>
      <w:bookmarkEnd w:id="21"/>
      <w:bookmarkEnd w:id="22"/>
      <w:r>
        <w:rPr>
          <w:rFonts w:hint="eastAsia" w:ascii="黑体" w:hAnsi="黑体" w:eastAsia="黑体" w:cs="黑体"/>
          <w:color w:val="auto"/>
          <w:sz w:val="28"/>
          <w:szCs w:val="28"/>
          <w:highlight w:val="none"/>
        </w:rPr>
        <w:t>截止时间、开标时间和地点</w:t>
      </w:r>
      <w:bookmarkEnd w:id="23"/>
      <w:bookmarkEnd w:id="24"/>
    </w:p>
    <w:p w14:paraId="6C4122C4">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ascii="仿宋" w:hAnsi="仿宋" w:eastAsia="仿宋"/>
          <w:bCs/>
          <w:iCs/>
          <w:color w:val="auto"/>
          <w:sz w:val="28"/>
          <w:szCs w:val="28"/>
          <w:highlight w:val="none"/>
        </w:rPr>
      </w:pPr>
      <w:bookmarkStart w:id="25" w:name="_Toc28359007"/>
      <w:bookmarkStart w:id="26" w:name="_Toc28359084"/>
      <w:bookmarkStart w:id="27" w:name="_Toc35393625"/>
      <w:bookmarkStart w:id="28" w:name="_Toc35393794"/>
      <w:r>
        <w:rPr>
          <w:rFonts w:hint="eastAsia" w:ascii="仿宋" w:hAnsi="仿宋" w:eastAsia="仿宋"/>
          <w:bCs/>
          <w:color w:val="auto"/>
          <w:sz w:val="28"/>
          <w:szCs w:val="28"/>
          <w:highlight w:val="none"/>
          <w:u w:val="single"/>
        </w:rPr>
        <w:t>202</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2</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27</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8</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50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r>
        <w:rPr>
          <w:rFonts w:hint="eastAsia" w:ascii="仿宋" w:hAnsi="仿宋" w:eastAsia="仿宋" w:cs="宋体"/>
          <w:iCs/>
          <w:color w:val="auto"/>
          <w:sz w:val="28"/>
          <w:szCs w:val="28"/>
          <w:highlight w:val="none"/>
          <w:u w:val="single"/>
        </w:rPr>
        <w:t>（自招标文件开始发出之日起至投标人提交投标文件截止之日止，不得少于20日）</w:t>
      </w:r>
    </w:p>
    <w:p w14:paraId="7743BB94">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地点：滁州市公共资源交易平台电子交易系统</w:t>
      </w:r>
    </w:p>
    <w:p w14:paraId="3F15886E">
      <w:pPr>
        <w:keepNext/>
        <w:keepLines/>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五、公告期限</w:t>
      </w:r>
      <w:bookmarkEnd w:id="25"/>
      <w:bookmarkEnd w:id="26"/>
      <w:bookmarkEnd w:id="27"/>
      <w:bookmarkEnd w:id="28"/>
    </w:p>
    <w:p w14:paraId="618D9B8D">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62D22C7C">
      <w:pPr>
        <w:keepNext/>
        <w:keepLines/>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六、</w:t>
      </w:r>
      <w:r>
        <w:rPr>
          <w:rFonts w:hint="eastAsia" w:ascii="黑体" w:hAnsi="黑体" w:eastAsia="黑体" w:cs="黑体"/>
          <w:color w:val="auto"/>
          <w:sz w:val="28"/>
          <w:szCs w:val="28"/>
          <w:highlight w:val="none"/>
        </w:rPr>
        <w:t>投标保证金金额及缴纳账户</w:t>
      </w:r>
    </w:p>
    <w:p w14:paraId="3A50F10C">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Times New Roman"/>
          <w:color w:val="auto"/>
          <w:sz w:val="28"/>
          <w:szCs w:val="28"/>
          <w:highlight w:val="none"/>
        </w:rPr>
      </w:pPr>
      <w:bookmarkStart w:id="29" w:name="_Toc35393795"/>
      <w:bookmarkStart w:id="30" w:name="_Toc35393626"/>
      <w:r>
        <w:rPr>
          <w:rFonts w:hint="eastAsia" w:ascii="仿宋" w:hAnsi="仿宋" w:eastAsia="仿宋" w:cs="Times New Roman"/>
          <w:color w:val="auto"/>
          <w:sz w:val="28"/>
          <w:szCs w:val="28"/>
          <w:highlight w:val="none"/>
          <w:lang w:val="en-US" w:eastAsia="zh-CN"/>
        </w:rPr>
        <w:t>本项目</w:t>
      </w:r>
      <w:r>
        <w:rPr>
          <w:rFonts w:hint="eastAsia" w:ascii="仿宋" w:hAnsi="仿宋" w:eastAsia="仿宋" w:cs="Times New Roman"/>
          <w:color w:val="auto"/>
          <w:sz w:val="28"/>
          <w:szCs w:val="28"/>
          <w:highlight w:val="none"/>
        </w:rPr>
        <w:t>不要求投标人提交投标保证金。</w:t>
      </w:r>
    </w:p>
    <w:p w14:paraId="2F37654E">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注：</w:t>
      </w:r>
      <w:r>
        <w:rPr>
          <w:rFonts w:hint="eastAsia" w:ascii="仿宋" w:hAnsi="仿宋" w:eastAsia="仿宋" w:cs="Times New Roman"/>
          <w:color w:val="auto"/>
          <w:sz w:val="28"/>
          <w:szCs w:val="28"/>
          <w:highlight w:val="none"/>
        </w:rPr>
        <w:t>如在投标过程中投标人存在本招标文件第二章“投标人须知”中第</w:t>
      </w:r>
      <w:r>
        <w:rPr>
          <w:rFonts w:hint="eastAsia" w:ascii="仿宋" w:hAnsi="仿宋" w:eastAsia="仿宋" w:cs="Times New Roman"/>
          <w:color w:val="auto"/>
          <w:sz w:val="28"/>
          <w:szCs w:val="28"/>
          <w:highlight w:val="none"/>
          <w:lang w:val="en-US" w:eastAsia="zh-CN"/>
        </w:rPr>
        <w:t>3.4.4</w:t>
      </w:r>
      <w:r>
        <w:rPr>
          <w:rFonts w:hint="eastAsia" w:ascii="仿宋" w:hAnsi="仿宋" w:eastAsia="仿宋" w:cs="Times New Roman"/>
          <w:color w:val="auto"/>
          <w:sz w:val="28"/>
          <w:szCs w:val="28"/>
          <w:highlight w:val="none"/>
        </w:rPr>
        <w:t>项约定情形，则无条件按招标人要求的金额</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0.8万元）</w:t>
      </w:r>
      <w:r>
        <w:rPr>
          <w:rFonts w:hint="eastAsia" w:ascii="仿宋" w:hAnsi="仿宋" w:eastAsia="仿宋" w:cs="Times New Roman"/>
          <w:color w:val="auto"/>
          <w:sz w:val="28"/>
          <w:szCs w:val="28"/>
          <w:highlight w:val="none"/>
        </w:rPr>
        <w:t>、时间、账号缴纳投标保证金。</w:t>
      </w:r>
    </w:p>
    <w:p w14:paraId="5141C17E">
      <w:pPr>
        <w:pStyle w:val="227"/>
        <w:pageBreakBefore w:val="0"/>
        <w:widowControl w:val="0"/>
        <w:kinsoku/>
        <w:wordWrap/>
        <w:overflowPunct/>
        <w:topLinePunct w:val="0"/>
        <w:autoSpaceDE/>
        <w:autoSpaceDN/>
        <w:bidi w:val="0"/>
        <w:adjustRightInd/>
        <w:snapToGrid/>
        <w:spacing w:line="520" w:lineRule="exact"/>
        <w:ind w:left="0" w:leftChars="0"/>
        <w:textAlignment w:val="auto"/>
        <w:rPr>
          <w:color w:val="auto"/>
          <w:highlight w:val="none"/>
        </w:rPr>
      </w:pPr>
      <w:r>
        <w:rPr>
          <w:color w:val="auto"/>
          <w:highlight w:val="none"/>
        </w:rPr>
        <w:t>窗体顶端</w:t>
      </w:r>
    </w:p>
    <w:p w14:paraId="58BBD191">
      <w:pPr>
        <w:pStyle w:val="228"/>
        <w:pageBreakBefore w:val="0"/>
        <w:widowControl w:val="0"/>
        <w:kinsoku/>
        <w:wordWrap/>
        <w:overflowPunct/>
        <w:topLinePunct w:val="0"/>
        <w:autoSpaceDE/>
        <w:autoSpaceDN/>
        <w:bidi w:val="0"/>
        <w:adjustRightInd/>
        <w:snapToGrid/>
        <w:spacing w:line="520" w:lineRule="exact"/>
        <w:ind w:left="0" w:leftChars="0"/>
        <w:textAlignment w:val="auto"/>
        <w:rPr>
          <w:color w:val="auto"/>
          <w:highlight w:val="none"/>
        </w:rPr>
      </w:pPr>
      <w:r>
        <w:rPr>
          <w:rFonts w:hint="eastAsia" w:ascii="仿宋_GB2312" w:hAnsi="仿宋_GB2312" w:eastAsia="仿宋_GB2312" w:cs="仿宋_GB2312"/>
          <w:color w:val="auto"/>
          <w:sz w:val="28"/>
          <w:szCs w:val="28"/>
          <w:highlight w:val="none"/>
        </w:rPr>
        <w:t>投标保证金的金额：</w:t>
      </w: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lang w:val="en-US" w:eastAsia="zh-CN"/>
        </w:rPr>
        <w:t>3.2</w:t>
      </w:r>
      <w:r>
        <w:rPr>
          <w:rFonts w:hint="eastAsia" w:ascii="仿宋_GB2312" w:hAnsi="仿宋_GB2312" w:eastAsia="仿宋_GB2312" w:cs="仿宋_GB2312"/>
          <w:color w:val="auto"/>
          <w:sz w:val="28"/>
          <w:szCs w:val="28"/>
          <w:highlight w:val="none"/>
        </w:rPr>
        <w:t>万元</w:t>
      </w:r>
      <w:r>
        <w:rPr>
          <w:color w:val="auto"/>
          <w:highlight w:val="none"/>
        </w:rPr>
        <w:t>窗体底端</w:t>
      </w:r>
    </w:p>
    <w:p w14:paraId="202AF8FF">
      <w:pPr>
        <w:keepNext/>
        <w:keepLines/>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9"/>
      <w:bookmarkEnd w:id="30"/>
    </w:p>
    <w:p w14:paraId="26325702">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；（2）CA数字证书有关问题：安徽CA客服400-615-8899、0550-3019013（工作日）,CFCA客服025-66085508 、0550-3801669（工作日）；（3）</w:t>
      </w:r>
      <w:r>
        <w:rPr>
          <w:rFonts w:hint="eastAsia" w:ascii="仿宋" w:hAnsi="仿宋" w:eastAsia="仿宋" w:cs="仿宋"/>
          <w:color w:val="auto"/>
          <w:sz w:val="28"/>
          <w:szCs w:val="28"/>
          <w:highlight w:val="none"/>
          <w:lang w:val="en-US" w:eastAsia="zh-CN"/>
        </w:rPr>
        <w:t>市场主体招标环节和投标环节系统使用问题：0512-58188516（8:00-21:00）、0550-3801701（工作日）</w:t>
      </w:r>
      <w:r>
        <w:rPr>
          <w:rFonts w:hint="eastAsia" w:ascii="仿宋" w:hAnsi="仿宋" w:eastAsia="仿宋" w:cs="仿宋"/>
          <w:color w:val="auto"/>
          <w:sz w:val="28"/>
          <w:szCs w:val="28"/>
          <w:highlight w:val="none"/>
        </w:rPr>
        <w:t>。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2D8ADFE5">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73634353">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18371F8B">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4.投标文件格式、内容和制作要求以招标文件为准，投标文件制作工具中提供的相关格式及内容仅供参考，投标企业可根据招标文件要求自行调整。</w:t>
      </w:r>
    </w:p>
    <w:p w14:paraId="20F7A4B3">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投标人提出异议的截止时间及方式：如投标人对招标文件有异议，请于2026年2月17日08时50分（投标截止10日）前在滁州市公共资源交易中心网电子交易系统中进行异议，具体操作步骤和程序请参见服务指南&gt;交易须知&gt;在线异议、质疑和投诉操作手册。</w:t>
      </w:r>
    </w:p>
    <w:p w14:paraId="54A0CDAA">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6.受理异议的联系人及联系方式：李庆延0550-3219389、杨韦0550-3519590。</w:t>
      </w:r>
    </w:p>
    <w:p w14:paraId="5AE02ACE">
      <w:pPr>
        <w:keepNext/>
        <w:keepLines/>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70E1EAB1">
      <w:pPr>
        <w:pStyle w:val="3"/>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outlineLvl w:val="2"/>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1.招标人信息</w:t>
      </w:r>
    </w:p>
    <w:p w14:paraId="2D47260D">
      <w:pPr>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 xml:space="preserve">滁州同业投资发展有限公司 </w:t>
      </w:r>
    </w:p>
    <w:p w14:paraId="05662936">
      <w:pPr>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eastAsia="zh-CN"/>
        </w:rPr>
        <w:t>安徽省滁州市全椒路77号</w:t>
      </w:r>
    </w:p>
    <w:p w14:paraId="68C1C5C9">
      <w:pPr>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auto"/>
          <w:sz w:val="28"/>
          <w:szCs w:val="28"/>
          <w:highlight w:val="none"/>
          <w:u w:val="none"/>
          <w:lang w:val="en-US"/>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 xml:space="preserve">0550-3219389 </w:t>
      </w:r>
    </w:p>
    <w:p w14:paraId="56BAC29B">
      <w:pPr>
        <w:pStyle w:val="3"/>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outlineLvl w:val="2"/>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1B15FBA6">
      <w:pPr>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71ABF4EA">
      <w:pPr>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0FA4C2F0">
      <w:pPr>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w:t>
      </w:r>
      <w:r>
        <w:rPr>
          <w:rFonts w:hint="eastAsia" w:ascii="仿宋" w:hAnsi="仿宋" w:eastAsia="仿宋" w:cs="仿宋"/>
          <w:color w:val="auto"/>
          <w:sz w:val="28"/>
          <w:szCs w:val="28"/>
          <w:highlight w:val="none"/>
          <w:u w:val="single"/>
          <w:lang w:eastAsia="zh-CN"/>
        </w:rPr>
        <w:t>3519</w:t>
      </w:r>
      <w:r>
        <w:rPr>
          <w:rFonts w:hint="eastAsia" w:ascii="仿宋" w:hAnsi="仿宋" w:eastAsia="仿宋" w:cs="仿宋"/>
          <w:color w:val="auto"/>
          <w:sz w:val="28"/>
          <w:szCs w:val="28"/>
          <w:highlight w:val="none"/>
          <w:u w:val="single"/>
          <w:lang w:val="en-US" w:eastAsia="zh-CN"/>
        </w:rPr>
        <w:t>590/18005501210</w:t>
      </w:r>
    </w:p>
    <w:p w14:paraId="56C87275">
      <w:pPr>
        <w:pStyle w:val="3"/>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outlineLvl w:val="2"/>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2756D236">
      <w:pPr>
        <w:pStyle w:val="22"/>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kern w:val="2"/>
          <w:sz w:val="28"/>
          <w:szCs w:val="28"/>
          <w:highlight w:val="none"/>
          <w:u w:val="single"/>
          <w:lang w:val="en-US" w:eastAsia="zh-CN" w:bidi="ar-SA"/>
        </w:rPr>
        <w:t xml:space="preserve">李庆延、杨韦 </w:t>
      </w:r>
    </w:p>
    <w:p w14:paraId="0C7073EF">
      <w:pPr>
        <w:ind w:firstLine="560" w:firstLineChars="200"/>
        <w:rPr>
          <w:rFonts w:hint="eastAsia"/>
          <w:bCs/>
          <w:color w:val="auto"/>
          <w:sz w:val="28"/>
          <w:szCs w:val="28"/>
          <w:highlight w:val="none"/>
        </w:rPr>
      </w:pPr>
      <w:r>
        <w:rPr>
          <w:rFonts w:hint="eastAsia" w:ascii="仿宋" w:hAnsi="仿宋" w:eastAsia="仿宋" w:cs="仿宋"/>
          <w:color w:val="auto"/>
          <w:sz w:val="28"/>
          <w:szCs w:val="28"/>
          <w:highlight w:val="none"/>
        </w:rPr>
        <w:t>电　　 话：</w:t>
      </w:r>
      <w:r>
        <w:rPr>
          <w:rFonts w:hint="eastAsia" w:ascii="仿宋" w:hAnsi="仿宋" w:eastAsia="仿宋" w:cs="仿宋"/>
          <w:color w:val="auto"/>
          <w:kern w:val="2"/>
          <w:sz w:val="28"/>
          <w:szCs w:val="28"/>
          <w:highlight w:val="none"/>
          <w:u w:val="single"/>
          <w:lang w:val="en-US" w:eastAsia="zh-CN" w:bidi="ar-SA"/>
        </w:rPr>
        <w:t>0550-3219389、0550-3</w:t>
      </w:r>
      <w:r>
        <w:rPr>
          <w:rFonts w:hint="eastAsia" w:ascii="仿宋" w:hAnsi="仿宋" w:eastAsia="仿宋" w:cs="仿宋"/>
          <w:color w:val="auto"/>
          <w:sz w:val="28"/>
          <w:szCs w:val="28"/>
          <w:highlight w:val="none"/>
          <w:u w:val="single"/>
          <w:lang w:eastAsia="zh-CN"/>
        </w:rPr>
        <w:t>5195</w:t>
      </w:r>
      <w:r>
        <w:rPr>
          <w:rFonts w:hint="eastAsia" w:ascii="仿宋" w:hAnsi="仿宋" w:eastAsia="仿宋" w:cs="仿宋"/>
          <w:color w:val="auto"/>
          <w:sz w:val="28"/>
          <w:szCs w:val="28"/>
          <w:highlight w:val="none"/>
          <w:u w:val="single"/>
          <w:lang w:val="en-US" w:eastAsia="zh-CN"/>
        </w:rPr>
        <w:t>90/18005501210</w:t>
      </w:r>
    </w:p>
    <w:p w14:paraId="2CC389B1">
      <w:pPr>
        <w:pStyle w:val="25"/>
        <w:rPr>
          <w:rFonts w:hint="eastAsia"/>
          <w:bCs/>
          <w:color w:val="auto"/>
          <w:sz w:val="28"/>
          <w:szCs w:val="28"/>
          <w:highlight w:val="none"/>
        </w:rPr>
      </w:pPr>
    </w:p>
    <w:p w14:paraId="064F40F9">
      <w:pPr>
        <w:pStyle w:val="25"/>
        <w:rPr>
          <w:rFonts w:hint="eastAsia"/>
          <w:bCs/>
          <w:color w:val="auto"/>
          <w:sz w:val="28"/>
          <w:szCs w:val="28"/>
          <w:highlight w:val="none"/>
          <w:lang w:val="en-US" w:eastAsia="zh-CN"/>
        </w:rPr>
      </w:pPr>
    </w:p>
    <w:bookmarkEnd w:id="12"/>
    <w:bookmarkEnd w:id="13"/>
    <w:bookmarkEnd w:id="14"/>
    <w:bookmarkEnd w:id="15"/>
    <w:p w14:paraId="2A0EC4FF">
      <w:pPr>
        <w:rPr>
          <w:rFonts w:hint="eastAsia"/>
          <w:bCs/>
          <w:color w:val="auto"/>
          <w:szCs w:val="32"/>
          <w:highlight w:val="none"/>
        </w:rPr>
      </w:pPr>
      <w:bookmarkStart w:id="31" w:name="_Toc506107267"/>
      <w:bookmarkStart w:id="32" w:name="_Toc247085687"/>
      <w:bookmarkStart w:id="33" w:name="_Toc246996916"/>
      <w:bookmarkStart w:id="34" w:name="_Toc35424883"/>
      <w:bookmarkStart w:id="35" w:name="_Toc179632544"/>
      <w:bookmarkStart w:id="36" w:name="_Toc324404813"/>
      <w:bookmarkStart w:id="37" w:name="_Toc144974495"/>
      <w:bookmarkStart w:id="38" w:name="_Toc35425050"/>
      <w:bookmarkStart w:id="39" w:name="_Toc152045527"/>
      <w:bookmarkStart w:id="40" w:name="_Toc15058844"/>
      <w:bookmarkStart w:id="41" w:name="_Toc152042303"/>
      <w:bookmarkStart w:id="42" w:name="_Toc8504"/>
      <w:bookmarkStart w:id="43" w:name="_Toc246996173"/>
      <w:r>
        <w:rPr>
          <w:rFonts w:hint="eastAsia"/>
          <w:bCs/>
          <w:color w:val="auto"/>
          <w:szCs w:val="32"/>
          <w:highlight w:val="none"/>
        </w:rPr>
        <w:br w:type="page"/>
      </w:r>
    </w:p>
    <w:p w14:paraId="532FCCA9">
      <w:pPr>
        <w:pStyle w:val="42"/>
        <w:spacing w:beforeLines="50" w:afterLines="50" w:line="440" w:lineRule="exact"/>
        <w:rPr>
          <w:bCs/>
          <w:color w:val="auto"/>
          <w:szCs w:val="32"/>
          <w:highlight w:val="none"/>
        </w:rPr>
      </w:pPr>
      <w:r>
        <w:rPr>
          <w:rFonts w:hint="eastAsia"/>
          <w:bCs/>
          <w:color w:val="auto"/>
          <w:szCs w:val="32"/>
          <w:highlight w:val="none"/>
        </w:rPr>
        <w:t>第一章</w:t>
      </w:r>
      <w:r>
        <w:rPr>
          <w:bCs/>
          <w:color w:val="auto"/>
          <w:szCs w:val="32"/>
          <w:highlight w:val="none"/>
        </w:rPr>
        <w:t xml:space="preserve"> </w:t>
      </w:r>
      <w:r>
        <w:rPr>
          <w:rFonts w:hint="eastAsia"/>
          <w:bCs/>
          <w:color w:val="auto"/>
          <w:szCs w:val="32"/>
          <w:highlight w:val="none"/>
        </w:rPr>
        <w:t>投标人须知</w:t>
      </w:r>
      <w:bookmarkEnd w:id="31"/>
      <w:bookmarkEnd w:id="32"/>
      <w:bookmarkEnd w:id="33"/>
      <w:bookmarkEnd w:id="34"/>
      <w:bookmarkEnd w:id="35"/>
      <w:bookmarkEnd w:id="36"/>
      <w:bookmarkEnd w:id="37"/>
      <w:bookmarkEnd w:id="38"/>
      <w:bookmarkEnd w:id="39"/>
      <w:bookmarkEnd w:id="40"/>
      <w:bookmarkEnd w:id="41"/>
      <w:bookmarkEnd w:id="42"/>
      <w:bookmarkEnd w:id="43"/>
    </w:p>
    <w:p w14:paraId="7CE40088">
      <w:pPr>
        <w:spacing w:beforeLines="50" w:afterLines="50" w:line="440" w:lineRule="exact"/>
        <w:jc w:val="center"/>
        <w:rPr>
          <w:b/>
          <w:bCs/>
          <w:color w:val="auto"/>
          <w:sz w:val="28"/>
          <w:szCs w:val="28"/>
          <w:highlight w:val="none"/>
        </w:rPr>
      </w:pPr>
      <w:bookmarkStart w:id="44" w:name="_Toc152042304"/>
      <w:bookmarkStart w:id="45" w:name="_Toc152045528"/>
      <w:bookmarkStart w:id="46" w:name="_Toc35424884"/>
      <w:bookmarkStart w:id="47" w:name="_Toc35425051"/>
      <w:bookmarkStart w:id="48" w:name="_Toc179632545"/>
      <w:bookmarkStart w:id="49" w:name="_Toc246996917"/>
      <w:bookmarkStart w:id="50" w:name="_Toc15058845"/>
      <w:bookmarkStart w:id="51" w:name="_Toc324404814"/>
      <w:bookmarkStart w:id="52" w:name="_Toc506107268"/>
      <w:bookmarkStart w:id="53" w:name="_Toc144974496"/>
      <w:bookmarkStart w:id="54" w:name="_Toc247085688"/>
      <w:bookmarkStart w:id="55" w:name="_Toc246996174"/>
      <w:r>
        <w:rPr>
          <w:rFonts w:hint="eastAsia"/>
          <w:b/>
          <w:bCs/>
          <w:color w:val="auto"/>
          <w:sz w:val="28"/>
          <w:szCs w:val="28"/>
          <w:highlight w:val="none"/>
        </w:rPr>
        <w:t>投标人须知前附表</w:t>
      </w:r>
      <w:bookmarkEnd w:id="44"/>
      <w:bookmarkEnd w:id="45"/>
      <w:bookmarkEnd w:id="46"/>
      <w:bookmarkEnd w:id="47"/>
      <w:bookmarkEnd w:id="48"/>
      <w:bookmarkEnd w:id="49"/>
      <w:bookmarkEnd w:id="50"/>
      <w:bookmarkEnd w:id="51"/>
      <w:bookmarkEnd w:id="52"/>
      <w:bookmarkEnd w:id="53"/>
      <w:bookmarkEnd w:id="54"/>
      <w:bookmarkEnd w:id="55"/>
    </w:p>
    <w:tbl>
      <w:tblPr>
        <w:tblStyle w:val="45"/>
        <w:tblW w:w="10527" w:type="dxa"/>
        <w:jc w:val="center"/>
        <w:tblLayout w:type="fixed"/>
        <w:tblCellMar>
          <w:top w:w="0" w:type="dxa"/>
          <w:left w:w="108" w:type="dxa"/>
          <w:bottom w:w="0" w:type="dxa"/>
          <w:right w:w="108" w:type="dxa"/>
        </w:tblCellMar>
      </w:tblPr>
      <w:tblGrid>
        <w:gridCol w:w="868"/>
        <w:gridCol w:w="910"/>
        <w:gridCol w:w="1220"/>
        <w:gridCol w:w="7529"/>
      </w:tblGrid>
      <w:tr w14:paraId="6E9E2708">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68D77D0B">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b/>
                <w:color w:val="auto"/>
                <w:sz w:val="21"/>
                <w:szCs w:val="21"/>
                <w:highlight w:val="none"/>
              </w:rPr>
            </w:pPr>
            <w:bookmarkStart w:id="56" w:name="_Toc246996918"/>
            <w:bookmarkStart w:id="57" w:name="_Toc152045529"/>
            <w:bookmarkStart w:id="58" w:name="_Toc246996175"/>
            <w:bookmarkStart w:id="59" w:name="_Toc324404815"/>
            <w:bookmarkStart w:id="60" w:name="_Toc144974497"/>
            <w:bookmarkStart w:id="61" w:name="_Toc247085689"/>
            <w:bookmarkStart w:id="62" w:name="_Toc152042305"/>
            <w:bookmarkStart w:id="63" w:name="_Toc506107269"/>
            <w:bookmarkStart w:id="64" w:name="_Toc179632546"/>
            <w:r>
              <w:rPr>
                <w:rFonts w:hint="eastAsia" w:asciiTheme="minorEastAsia" w:hAnsiTheme="minorEastAsia" w:eastAsiaTheme="minorEastAsia" w:cstheme="minorEastAsia"/>
                <w:b/>
                <w:color w:val="auto"/>
                <w:sz w:val="21"/>
                <w:szCs w:val="21"/>
                <w:highlight w:val="none"/>
              </w:rPr>
              <w:t>序号</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03FEEF7">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条  款  名  称</w:t>
            </w:r>
          </w:p>
        </w:tc>
        <w:tc>
          <w:tcPr>
            <w:tcW w:w="7529" w:type="dxa"/>
            <w:tcBorders>
              <w:top w:val="single" w:color="auto" w:sz="4" w:space="0"/>
              <w:left w:val="single" w:color="auto" w:sz="4" w:space="0"/>
              <w:bottom w:val="single" w:color="auto" w:sz="4" w:space="0"/>
              <w:right w:val="single" w:color="auto" w:sz="4" w:space="0"/>
            </w:tcBorders>
            <w:vAlign w:val="center"/>
          </w:tcPr>
          <w:p w14:paraId="72719BBB">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编  列  内  容</w:t>
            </w:r>
          </w:p>
        </w:tc>
      </w:tr>
      <w:tr w14:paraId="5B468A5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4C1440B4">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57A1A246">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招标人</w:t>
            </w:r>
          </w:p>
        </w:tc>
        <w:tc>
          <w:tcPr>
            <w:tcW w:w="7529" w:type="dxa"/>
            <w:tcBorders>
              <w:top w:val="single" w:color="auto" w:sz="4" w:space="0"/>
              <w:left w:val="single" w:color="auto" w:sz="4" w:space="0"/>
              <w:bottom w:val="single" w:color="auto" w:sz="4" w:space="0"/>
              <w:right w:val="single" w:color="auto" w:sz="4" w:space="0"/>
            </w:tcBorders>
            <w:vAlign w:val="center"/>
          </w:tcPr>
          <w:p w14:paraId="45AEE814">
            <w:pPr>
              <w:pStyle w:val="40"/>
              <w:keepNext w:val="0"/>
              <w:keepLines w:val="0"/>
              <w:pageBreakBefore w:val="0"/>
              <w:kinsoku/>
              <w:overflowPunct/>
              <w:autoSpaceDE/>
              <w:autoSpaceDN/>
              <w:bidi w:val="0"/>
              <w:spacing w:beforeAutospacing="0" w:afterAutospacing="0" w:line="520" w:lineRule="exact"/>
              <w:textAlignment w:val="auto"/>
              <w:rPr>
                <w:rFonts w:hint="eastAsia" w:asciiTheme="minorEastAsia" w:hAnsiTheme="minorEastAsia" w:eastAsiaTheme="minorEastAsia" w:cstheme="minorEastAsia"/>
                <w:color w:val="auto"/>
                <w:kern w:val="2"/>
                <w:sz w:val="21"/>
                <w:szCs w:val="21"/>
                <w:highlight w:val="none"/>
                <w:lang w:val="en-US"/>
              </w:rPr>
            </w:pPr>
            <w:r>
              <w:rPr>
                <w:rFonts w:hint="eastAsia" w:asciiTheme="minorEastAsia" w:hAnsiTheme="minorEastAsia" w:eastAsiaTheme="minorEastAsia" w:cstheme="minorEastAsia"/>
                <w:color w:val="auto"/>
                <w:sz w:val="21"/>
                <w:szCs w:val="21"/>
                <w:highlight w:val="none"/>
              </w:rPr>
              <w:t>见招标公告</w:t>
            </w:r>
          </w:p>
        </w:tc>
      </w:tr>
      <w:tr w14:paraId="7CC5831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B1F9BA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3B06CA3">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招标代理机构</w:t>
            </w:r>
          </w:p>
        </w:tc>
        <w:tc>
          <w:tcPr>
            <w:tcW w:w="7529" w:type="dxa"/>
            <w:tcBorders>
              <w:top w:val="single" w:color="auto" w:sz="4" w:space="0"/>
              <w:left w:val="single" w:color="auto" w:sz="4" w:space="0"/>
              <w:bottom w:val="single" w:color="auto" w:sz="4" w:space="0"/>
              <w:right w:val="single" w:color="auto" w:sz="4" w:space="0"/>
            </w:tcBorders>
            <w:vAlign w:val="center"/>
          </w:tcPr>
          <w:p w14:paraId="20A093D4">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见招标公告</w:t>
            </w:r>
          </w:p>
        </w:tc>
      </w:tr>
      <w:tr w14:paraId="79A2AD68">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050EEE62">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D1B7CB8">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tc>
        <w:tc>
          <w:tcPr>
            <w:tcW w:w="7529" w:type="dxa"/>
            <w:tcBorders>
              <w:top w:val="single" w:color="auto" w:sz="4" w:space="0"/>
              <w:left w:val="single" w:color="auto" w:sz="4" w:space="0"/>
              <w:bottom w:val="single" w:color="auto" w:sz="4" w:space="0"/>
              <w:right w:val="single" w:color="auto" w:sz="4" w:space="0"/>
            </w:tcBorders>
            <w:vAlign w:val="center"/>
          </w:tcPr>
          <w:p w14:paraId="5C578515">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rPr>
              <w:t>见招标公告</w:t>
            </w:r>
          </w:p>
        </w:tc>
      </w:tr>
      <w:tr w14:paraId="3C4CFBEF">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71F84569">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A977558">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建设地点</w:t>
            </w:r>
          </w:p>
        </w:tc>
        <w:tc>
          <w:tcPr>
            <w:tcW w:w="7529" w:type="dxa"/>
            <w:tcBorders>
              <w:top w:val="single" w:color="auto" w:sz="4" w:space="0"/>
              <w:left w:val="single" w:color="auto" w:sz="4" w:space="0"/>
              <w:bottom w:val="single" w:color="auto" w:sz="4" w:space="0"/>
              <w:right w:val="single" w:color="auto" w:sz="4" w:space="0"/>
            </w:tcBorders>
            <w:vAlign w:val="center"/>
          </w:tcPr>
          <w:p w14:paraId="701212D4">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滁州市内</w:t>
            </w:r>
          </w:p>
        </w:tc>
      </w:tr>
      <w:tr w14:paraId="2E17CC3E">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59EB0911">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8048166">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资金来源及比例</w:t>
            </w:r>
          </w:p>
        </w:tc>
        <w:tc>
          <w:tcPr>
            <w:tcW w:w="7529" w:type="dxa"/>
            <w:tcBorders>
              <w:top w:val="single" w:color="auto" w:sz="4" w:space="0"/>
              <w:left w:val="single" w:color="auto" w:sz="4" w:space="0"/>
              <w:bottom w:val="single" w:color="auto" w:sz="4" w:space="0"/>
              <w:right w:val="single" w:color="auto" w:sz="4" w:space="0"/>
            </w:tcBorders>
            <w:vAlign w:val="center"/>
          </w:tcPr>
          <w:p w14:paraId="47B56FE9">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资金来源</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自筹资金</w:t>
            </w:r>
            <w:r>
              <w:rPr>
                <w:rFonts w:hint="eastAsia" w:asciiTheme="minorEastAsia" w:hAnsiTheme="minorEastAsia" w:eastAsiaTheme="minorEastAsia" w:cstheme="minorEastAsia"/>
                <w:color w:val="auto"/>
                <w:sz w:val="21"/>
                <w:szCs w:val="21"/>
                <w:highlight w:val="none"/>
              </w:rPr>
              <w:t>；比例：100%</w:t>
            </w:r>
          </w:p>
        </w:tc>
      </w:tr>
      <w:tr w14:paraId="440AE1C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1C5704DB">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8EB15C7">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招标范围</w:t>
            </w:r>
          </w:p>
        </w:tc>
        <w:tc>
          <w:tcPr>
            <w:tcW w:w="7529" w:type="dxa"/>
            <w:tcBorders>
              <w:top w:val="single" w:color="auto" w:sz="4" w:space="0"/>
              <w:left w:val="single" w:color="auto" w:sz="4" w:space="0"/>
              <w:bottom w:val="single" w:color="auto" w:sz="4" w:space="0"/>
              <w:right w:val="single" w:color="auto" w:sz="4" w:space="0"/>
            </w:tcBorders>
            <w:vAlign w:val="center"/>
          </w:tcPr>
          <w:p w14:paraId="0F295402">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rPr>
              <w:t>详见招标公告</w:t>
            </w:r>
          </w:p>
        </w:tc>
      </w:tr>
      <w:tr w14:paraId="25441842">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2021DFAC">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5142363">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评标办法</w:t>
            </w:r>
          </w:p>
        </w:tc>
        <w:tc>
          <w:tcPr>
            <w:tcW w:w="7529" w:type="dxa"/>
            <w:tcBorders>
              <w:top w:val="single" w:color="auto" w:sz="4" w:space="0"/>
              <w:left w:val="single" w:color="auto" w:sz="4" w:space="0"/>
              <w:bottom w:val="single" w:color="auto" w:sz="4" w:space="0"/>
              <w:right w:val="single" w:color="auto" w:sz="4" w:space="0"/>
            </w:tcBorders>
            <w:vAlign w:val="center"/>
          </w:tcPr>
          <w:p w14:paraId="7EF2D560">
            <w:pPr>
              <w:pStyle w:val="120"/>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综合评估法</w:t>
            </w:r>
          </w:p>
        </w:tc>
      </w:tr>
      <w:tr w14:paraId="1285E4F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1461589C">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350A237">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服务期</w:t>
            </w:r>
          </w:p>
        </w:tc>
        <w:tc>
          <w:tcPr>
            <w:tcW w:w="7529" w:type="dxa"/>
            <w:tcBorders>
              <w:top w:val="single" w:color="auto" w:sz="4" w:space="0"/>
              <w:left w:val="single" w:color="auto" w:sz="4" w:space="0"/>
              <w:bottom w:val="single" w:color="auto" w:sz="4" w:space="0"/>
              <w:right w:val="single" w:color="auto" w:sz="4" w:space="0"/>
            </w:tcBorders>
            <w:vAlign w:val="center"/>
          </w:tcPr>
          <w:p w14:paraId="6C727A4B">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招标人提供施工图</w:t>
            </w:r>
            <w:r>
              <w:rPr>
                <w:rFonts w:hint="eastAsia" w:asciiTheme="minorEastAsia" w:hAnsiTheme="minorEastAsia" w:eastAsiaTheme="minorEastAsia" w:cstheme="minorEastAsia"/>
                <w:color w:val="auto"/>
                <w:sz w:val="21"/>
                <w:szCs w:val="21"/>
                <w:highlight w:val="none"/>
                <w:lang w:val="en-US" w:eastAsia="zh-CN"/>
              </w:rPr>
              <w:t>纸后20个日历天内</w:t>
            </w:r>
            <w:r>
              <w:rPr>
                <w:rFonts w:hint="eastAsia" w:asciiTheme="minorEastAsia" w:hAnsiTheme="minorEastAsia" w:eastAsiaTheme="minorEastAsia" w:cstheme="minorEastAsia"/>
                <w:color w:val="auto"/>
                <w:sz w:val="21"/>
                <w:szCs w:val="21"/>
                <w:highlight w:val="none"/>
                <w:lang w:val="en-US" w:eastAsia="zh-CN"/>
              </w:rPr>
              <w:t>，中标人向招标人提交造价成果。根据市造价主管部门相关规定完成工作，并向招标人提交最高限价备案表。</w:t>
            </w:r>
          </w:p>
        </w:tc>
      </w:tr>
      <w:tr w14:paraId="0DB76BB7">
        <w:tblPrEx>
          <w:tblCellMar>
            <w:top w:w="0" w:type="dxa"/>
            <w:left w:w="108" w:type="dxa"/>
            <w:bottom w:w="0" w:type="dxa"/>
            <w:right w:w="108" w:type="dxa"/>
          </w:tblCellMar>
        </w:tblPrEx>
        <w:trPr>
          <w:trHeight w:val="805" w:hRule="atLeast"/>
          <w:jc w:val="center"/>
        </w:trPr>
        <w:tc>
          <w:tcPr>
            <w:tcW w:w="868" w:type="dxa"/>
            <w:vMerge w:val="restart"/>
            <w:tcBorders>
              <w:top w:val="single" w:color="auto" w:sz="4" w:space="0"/>
              <w:left w:val="single" w:color="auto" w:sz="4" w:space="0"/>
              <w:right w:val="single" w:color="auto" w:sz="4" w:space="0"/>
            </w:tcBorders>
            <w:vAlign w:val="center"/>
          </w:tcPr>
          <w:p w14:paraId="7D5FB75C">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E37D754">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投标人资质条件、能力和信誉</w:t>
            </w:r>
          </w:p>
        </w:tc>
        <w:tc>
          <w:tcPr>
            <w:tcW w:w="7529" w:type="dxa"/>
            <w:tcBorders>
              <w:top w:val="single" w:color="auto" w:sz="4" w:space="0"/>
              <w:left w:val="single" w:color="auto" w:sz="4" w:space="0"/>
              <w:bottom w:val="single" w:color="auto" w:sz="4" w:space="0"/>
              <w:right w:val="single" w:color="auto" w:sz="4" w:space="0"/>
            </w:tcBorders>
            <w:vAlign w:val="center"/>
          </w:tcPr>
          <w:p w14:paraId="2EA4E634">
            <w:pPr>
              <w:pStyle w:val="44"/>
              <w:keepNext w:val="0"/>
              <w:keepLines w:val="0"/>
              <w:pageBreakBefore w:val="0"/>
              <w:kinsoku/>
              <w:overflowPunct/>
              <w:autoSpaceDE/>
              <w:autoSpaceDN/>
              <w:bidi w:val="0"/>
              <w:spacing w:line="5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详见招标公告</w:t>
            </w:r>
          </w:p>
        </w:tc>
      </w:tr>
      <w:tr w14:paraId="20917263">
        <w:tblPrEx>
          <w:tblCellMar>
            <w:top w:w="0" w:type="dxa"/>
            <w:left w:w="108" w:type="dxa"/>
            <w:bottom w:w="0" w:type="dxa"/>
            <w:right w:w="108" w:type="dxa"/>
          </w:tblCellMar>
        </w:tblPrEx>
        <w:trPr>
          <w:trHeight w:val="575" w:hRule="atLeast"/>
          <w:jc w:val="center"/>
        </w:trPr>
        <w:tc>
          <w:tcPr>
            <w:tcW w:w="868" w:type="dxa"/>
            <w:vMerge w:val="continue"/>
            <w:tcBorders>
              <w:left w:val="single" w:color="auto" w:sz="4" w:space="0"/>
              <w:bottom w:val="single" w:color="auto" w:sz="4" w:space="0"/>
              <w:right w:val="single" w:color="auto" w:sz="4" w:space="0"/>
            </w:tcBorders>
            <w:vAlign w:val="center"/>
          </w:tcPr>
          <w:p w14:paraId="0497E880">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587066A4">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招标文件发布时间：</w:t>
            </w:r>
          </w:p>
        </w:tc>
        <w:tc>
          <w:tcPr>
            <w:tcW w:w="7529" w:type="dxa"/>
            <w:tcBorders>
              <w:top w:val="single" w:color="auto" w:sz="4" w:space="0"/>
              <w:left w:val="single" w:color="auto" w:sz="4" w:space="0"/>
              <w:bottom w:val="single" w:color="auto" w:sz="4" w:space="0"/>
              <w:right w:val="single" w:color="auto" w:sz="4" w:space="0"/>
            </w:tcBorders>
            <w:vAlign w:val="center"/>
          </w:tcPr>
          <w:p w14:paraId="3367A798">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详见招标公告</w:t>
            </w:r>
          </w:p>
        </w:tc>
      </w:tr>
      <w:tr w14:paraId="0744B0E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4D0503C1">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96ED618">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pacing w:val="-4"/>
                <w:kern w:val="0"/>
                <w:sz w:val="21"/>
                <w:szCs w:val="21"/>
                <w:highlight w:val="none"/>
              </w:rPr>
            </w:pPr>
            <w:r>
              <w:rPr>
                <w:rFonts w:hint="eastAsia" w:asciiTheme="minorEastAsia" w:hAnsiTheme="minorEastAsia" w:eastAsiaTheme="minorEastAsia" w:cstheme="minorEastAsia"/>
                <w:color w:val="auto"/>
                <w:spacing w:val="-4"/>
                <w:kern w:val="0"/>
                <w:sz w:val="21"/>
                <w:szCs w:val="21"/>
                <w:highlight w:val="none"/>
              </w:rPr>
              <w:t>踏勘现场</w:t>
            </w:r>
          </w:p>
        </w:tc>
        <w:tc>
          <w:tcPr>
            <w:tcW w:w="7529" w:type="dxa"/>
            <w:tcBorders>
              <w:top w:val="single" w:color="auto" w:sz="4" w:space="0"/>
              <w:left w:val="single" w:color="auto" w:sz="4" w:space="0"/>
              <w:bottom w:val="single" w:color="auto" w:sz="4" w:space="0"/>
              <w:right w:val="single" w:color="auto" w:sz="4" w:space="0"/>
            </w:tcBorders>
            <w:vAlign w:val="center"/>
          </w:tcPr>
          <w:p w14:paraId="0C327953">
            <w:pPr>
              <w:pStyle w:val="15"/>
              <w:keepNext w:val="0"/>
              <w:keepLines w:val="0"/>
              <w:pageBreakBefore w:val="0"/>
              <w:kinsoku/>
              <w:overflowPunct/>
              <w:topLinePunct/>
              <w:autoSpaceDE/>
              <w:autoSpaceDN/>
              <w:bidi w:val="0"/>
              <w:spacing w:line="520" w:lineRule="exact"/>
              <w:textAlignment w:val="auto"/>
              <w:rPr>
                <w:rFonts w:hint="eastAsia" w:asciiTheme="minorEastAsia" w:hAnsiTheme="minorEastAsia" w:eastAsiaTheme="minorEastAsia" w:cstheme="minorEastAsia"/>
                <w:color w:val="auto"/>
                <w:spacing w:val="-4"/>
                <w:kern w:val="0"/>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4"/>
                <w:kern w:val="0"/>
                <w:sz w:val="21"/>
                <w:szCs w:val="21"/>
                <w:highlight w:val="none"/>
              </w:rPr>
              <w:t>不组织，投标人自行组织踏勘现场</w:t>
            </w:r>
            <w:r>
              <w:rPr>
                <w:rFonts w:hint="eastAsia" w:asciiTheme="minorEastAsia" w:hAnsiTheme="minorEastAsia" w:eastAsiaTheme="minorEastAsia" w:cstheme="minorEastAsia"/>
                <w:color w:val="auto"/>
                <w:sz w:val="21"/>
                <w:szCs w:val="21"/>
                <w:highlight w:val="none"/>
              </w:rPr>
              <w:t>；□组织</w:t>
            </w:r>
          </w:p>
        </w:tc>
      </w:tr>
      <w:tr w14:paraId="3081DAA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66B05F1A">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595C5C99">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pacing w:val="-4"/>
                <w:kern w:val="0"/>
                <w:sz w:val="21"/>
                <w:szCs w:val="21"/>
                <w:highlight w:val="none"/>
              </w:rPr>
            </w:pPr>
            <w:r>
              <w:rPr>
                <w:rFonts w:hint="eastAsia" w:asciiTheme="minorEastAsia" w:hAnsiTheme="minorEastAsia" w:eastAsiaTheme="minorEastAsia" w:cstheme="minorEastAsia"/>
                <w:color w:val="auto"/>
                <w:spacing w:val="-4"/>
                <w:kern w:val="0"/>
                <w:sz w:val="21"/>
                <w:szCs w:val="21"/>
                <w:highlight w:val="none"/>
              </w:rPr>
              <w:t>投标预备会</w:t>
            </w:r>
          </w:p>
        </w:tc>
        <w:tc>
          <w:tcPr>
            <w:tcW w:w="7529" w:type="dxa"/>
            <w:tcBorders>
              <w:top w:val="single" w:color="auto" w:sz="4" w:space="0"/>
              <w:left w:val="single" w:color="auto" w:sz="4" w:space="0"/>
              <w:bottom w:val="single" w:color="auto" w:sz="4" w:space="0"/>
              <w:right w:val="single" w:color="auto" w:sz="4" w:space="0"/>
            </w:tcBorders>
            <w:vAlign w:val="center"/>
          </w:tcPr>
          <w:p w14:paraId="0D19719A">
            <w:pPr>
              <w:pStyle w:val="15"/>
              <w:keepNext w:val="0"/>
              <w:keepLines w:val="0"/>
              <w:pageBreakBefore w:val="0"/>
              <w:kinsoku/>
              <w:overflowPunct/>
              <w:topLinePunct/>
              <w:autoSpaceDE/>
              <w:autoSpaceDN/>
              <w:bidi w:val="0"/>
              <w:spacing w:line="520" w:lineRule="exact"/>
              <w:textAlignment w:val="auto"/>
              <w:rPr>
                <w:rFonts w:hint="eastAsia" w:asciiTheme="minorEastAsia" w:hAnsiTheme="minorEastAsia" w:eastAsiaTheme="minorEastAsia" w:cstheme="minorEastAsia"/>
                <w:color w:val="auto"/>
                <w:spacing w:val="-4"/>
                <w:kern w:val="0"/>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4"/>
                <w:kern w:val="0"/>
                <w:sz w:val="21"/>
                <w:szCs w:val="21"/>
                <w:highlight w:val="none"/>
              </w:rPr>
              <w:t>不召开</w:t>
            </w:r>
            <w:r>
              <w:rPr>
                <w:rFonts w:hint="eastAsia" w:asciiTheme="minorEastAsia" w:hAnsiTheme="minorEastAsia" w:eastAsiaTheme="minorEastAsia" w:cstheme="minorEastAsia"/>
                <w:color w:val="auto"/>
                <w:sz w:val="21"/>
                <w:szCs w:val="21"/>
                <w:highlight w:val="none"/>
              </w:rPr>
              <w:t>；□召开</w:t>
            </w:r>
          </w:p>
        </w:tc>
      </w:tr>
      <w:tr w14:paraId="15F7E7F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A2E5EAB">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AB86FA4">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投标人提出问题的截止时间及方式</w:t>
            </w:r>
          </w:p>
        </w:tc>
        <w:tc>
          <w:tcPr>
            <w:tcW w:w="7529" w:type="dxa"/>
            <w:tcBorders>
              <w:top w:val="single" w:color="auto" w:sz="4" w:space="0"/>
              <w:left w:val="single" w:color="auto" w:sz="4" w:space="0"/>
              <w:bottom w:val="single" w:color="auto" w:sz="4" w:space="0"/>
              <w:right w:val="single" w:color="auto" w:sz="4" w:space="0"/>
            </w:tcBorders>
            <w:vAlign w:val="center"/>
          </w:tcPr>
          <w:p w14:paraId="0975C0A0">
            <w:pPr>
              <w:keepNext w:val="0"/>
              <w:keepLines w:val="0"/>
              <w:pageBreakBefore w:val="0"/>
              <w:kinsoku/>
              <w:wordWrap w:val="0"/>
              <w:overflowPunct/>
              <w:autoSpaceDE/>
              <w:autoSpaceDN/>
              <w:bidi w:val="0"/>
              <w:spacing w:line="52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如投标人对招标文件有疑问，请于</w:t>
            </w:r>
            <w:r>
              <w:rPr>
                <w:rFonts w:hint="eastAsia" w:asciiTheme="minorEastAsia" w:hAnsiTheme="minorEastAsia" w:eastAsiaTheme="minorEastAsia" w:cstheme="minorEastAsia"/>
                <w:b/>
                <w:bCs/>
                <w:color w:val="auto"/>
                <w:kern w:val="0"/>
                <w:sz w:val="21"/>
                <w:szCs w:val="21"/>
                <w:highlight w:val="none"/>
              </w:rPr>
              <w:t>202</w:t>
            </w:r>
            <w:r>
              <w:rPr>
                <w:rFonts w:hint="eastAsia" w:asciiTheme="minorEastAsia" w:hAnsiTheme="minorEastAsia" w:eastAsiaTheme="minorEastAsia" w:cstheme="minorEastAsia"/>
                <w:b/>
                <w:bCs/>
                <w:color w:val="auto"/>
                <w:kern w:val="0"/>
                <w:sz w:val="21"/>
                <w:szCs w:val="21"/>
                <w:highlight w:val="none"/>
                <w:lang w:val="en-US" w:eastAsia="zh-CN"/>
              </w:rPr>
              <w:t>6</w:t>
            </w:r>
            <w:r>
              <w:rPr>
                <w:rFonts w:hint="eastAsia" w:asciiTheme="minorEastAsia" w:hAnsiTheme="minorEastAsia" w:eastAsiaTheme="minorEastAsia" w:cstheme="minorEastAsia"/>
                <w:b/>
                <w:bCs/>
                <w:color w:val="auto"/>
                <w:sz w:val="21"/>
                <w:szCs w:val="21"/>
                <w:highlight w:val="none"/>
              </w:rPr>
              <w:t>年</w:t>
            </w:r>
            <w:r>
              <w:rPr>
                <w:rFonts w:hint="eastAsia" w:asciiTheme="minorEastAsia" w:hAnsiTheme="minorEastAsia" w:eastAsia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rPr>
              <w:t>月</w:t>
            </w:r>
            <w:r>
              <w:rPr>
                <w:rFonts w:hint="eastAsia" w:asciiTheme="minorEastAsia" w:hAnsiTheme="minorEastAsia" w:eastAsiaTheme="minorEastAsia" w:cstheme="minorEastAsia"/>
                <w:b/>
                <w:bCs/>
                <w:color w:val="auto"/>
                <w:sz w:val="21"/>
                <w:szCs w:val="21"/>
                <w:highlight w:val="none"/>
                <w:lang w:val="en-US" w:eastAsia="zh-CN"/>
              </w:rPr>
              <w:t xml:space="preserve">17 </w:t>
            </w:r>
            <w:r>
              <w:rPr>
                <w:rFonts w:hint="eastAsia" w:asciiTheme="minorEastAsia" w:hAnsiTheme="minorEastAsia" w:eastAsiaTheme="minorEastAsia" w:cstheme="minorEastAsia"/>
                <w:b/>
                <w:bCs/>
                <w:color w:val="auto"/>
                <w:sz w:val="21"/>
                <w:szCs w:val="21"/>
                <w:highlight w:val="none"/>
              </w:rPr>
              <w:t>日</w:t>
            </w:r>
            <w:r>
              <w:rPr>
                <w:rFonts w:hint="eastAsia" w:asciiTheme="minorEastAsia" w:hAnsiTheme="minorEastAsia" w:eastAsiaTheme="minorEastAsia" w:cstheme="minorEastAsia"/>
                <w:b/>
                <w:bCs/>
                <w:color w:val="auto"/>
                <w:sz w:val="21"/>
                <w:szCs w:val="21"/>
                <w:highlight w:val="none"/>
                <w:lang w:val="en-US" w:eastAsia="zh-CN"/>
              </w:rPr>
              <w:t>8</w:t>
            </w:r>
            <w:r>
              <w:rPr>
                <w:rFonts w:hint="eastAsia" w:asciiTheme="minorEastAsia" w:hAnsiTheme="minorEastAsia" w:eastAsiaTheme="minorEastAsia" w:cstheme="minorEastAsia"/>
                <w:b/>
                <w:bCs/>
                <w:color w:val="auto"/>
                <w:sz w:val="21"/>
                <w:szCs w:val="21"/>
                <w:highlight w:val="none"/>
              </w:rPr>
              <w:t>时</w:t>
            </w:r>
            <w:r>
              <w:rPr>
                <w:rFonts w:hint="eastAsia" w:asciiTheme="minorEastAsia" w:hAnsiTheme="minorEastAsia" w:eastAsiaTheme="minorEastAsia" w:cstheme="minorEastAsia"/>
                <w:b/>
                <w:bCs/>
                <w:color w:val="auto"/>
                <w:sz w:val="21"/>
                <w:szCs w:val="21"/>
                <w:highlight w:val="none"/>
                <w:lang w:val="en-US" w:eastAsia="zh-CN"/>
              </w:rPr>
              <w:t>50分</w:t>
            </w:r>
            <w:r>
              <w:rPr>
                <w:rFonts w:hint="eastAsia" w:asciiTheme="minorEastAsia" w:hAnsiTheme="minorEastAsia" w:eastAsiaTheme="minorEastAsia" w:cstheme="minorEastAsia"/>
                <w:color w:val="auto"/>
                <w:sz w:val="21"/>
                <w:szCs w:val="21"/>
                <w:highlight w:val="none"/>
              </w:rPr>
              <w:t>（投标截止10 日）</w:t>
            </w:r>
            <w:r>
              <w:rPr>
                <w:rFonts w:hint="eastAsia" w:asciiTheme="minorEastAsia" w:hAnsiTheme="minorEastAsia" w:eastAsiaTheme="minorEastAsia" w:cstheme="minorEastAsia"/>
                <w:color w:val="auto"/>
                <w:kern w:val="0"/>
                <w:sz w:val="21"/>
                <w:szCs w:val="21"/>
                <w:highlight w:val="none"/>
              </w:rPr>
              <w:t>前在滁州市公共资源交易中心网电子交易系统中进行异议，具体操作步骤和程序请参见服务指南&gt;交易须知&gt;在线异议、质疑和投诉操作手册。</w:t>
            </w:r>
          </w:p>
        </w:tc>
      </w:tr>
      <w:tr w14:paraId="0A04FE7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0BDAC887">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983C786">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招标人澄清的时间及方式</w:t>
            </w:r>
          </w:p>
        </w:tc>
        <w:tc>
          <w:tcPr>
            <w:tcW w:w="7529" w:type="dxa"/>
            <w:tcBorders>
              <w:top w:val="single" w:color="auto" w:sz="4" w:space="0"/>
              <w:left w:val="single" w:color="auto" w:sz="4" w:space="0"/>
              <w:bottom w:val="single" w:color="auto" w:sz="4" w:space="0"/>
              <w:right w:val="single" w:color="auto" w:sz="4" w:space="0"/>
            </w:tcBorders>
            <w:vAlign w:val="center"/>
          </w:tcPr>
          <w:p w14:paraId="055D5A60">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202</w:t>
            </w:r>
            <w:r>
              <w:rPr>
                <w:rFonts w:hint="eastAsia" w:asciiTheme="minorEastAsia" w:hAnsiTheme="minorEastAsia" w:eastAsiaTheme="minorEastAsia" w:cstheme="minorEastAsia"/>
                <w:b/>
                <w:bCs/>
                <w:color w:val="auto"/>
                <w:sz w:val="21"/>
                <w:szCs w:val="21"/>
                <w:highlight w:val="none"/>
                <w:lang w:val="en-US" w:eastAsia="zh-CN"/>
              </w:rPr>
              <w:t>6</w:t>
            </w:r>
            <w:r>
              <w:rPr>
                <w:rFonts w:hint="eastAsia" w:asciiTheme="minorEastAsia" w:hAnsiTheme="minorEastAsia" w:eastAsiaTheme="minorEastAsia" w:cstheme="minorEastAsia"/>
                <w:b/>
                <w:bCs/>
                <w:color w:val="auto"/>
                <w:sz w:val="21"/>
                <w:szCs w:val="21"/>
                <w:highlight w:val="none"/>
              </w:rPr>
              <w:t>年</w:t>
            </w:r>
            <w:r>
              <w:rPr>
                <w:rFonts w:hint="eastAsia" w:asciiTheme="minorEastAsia" w:hAnsiTheme="minorEastAsia" w:eastAsia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rPr>
              <w:t>月</w:t>
            </w:r>
            <w:r>
              <w:rPr>
                <w:rFonts w:hint="eastAsia" w:asciiTheme="minorEastAsia" w:hAnsiTheme="minorEastAsia" w:eastAsiaTheme="minorEastAsia" w:cstheme="minorEastAsia"/>
                <w:b/>
                <w:bCs/>
                <w:color w:val="auto"/>
                <w:sz w:val="21"/>
                <w:szCs w:val="21"/>
                <w:highlight w:val="none"/>
                <w:lang w:val="en-US" w:eastAsia="zh-CN"/>
              </w:rPr>
              <w:t>24</w:t>
            </w:r>
            <w:r>
              <w:rPr>
                <w:rFonts w:hint="eastAsia" w:asciiTheme="minorEastAsia" w:hAnsiTheme="minorEastAsia" w:eastAsiaTheme="minorEastAsia" w:cstheme="minorEastAsia"/>
                <w:b/>
                <w:bCs/>
                <w:color w:val="auto"/>
                <w:sz w:val="21"/>
                <w:szCs w:val="21"/>
                <w:highlight w:val="none"/>
              </w:rPr>
              <w:t>日17时前</w:t>
            </w:r>
            <w:r>
              <w:rPr>
                <w:rFonts w:hint="eastAsia" w:asciiTheme="minorEastAsia" w:hAnsiTheme="minorEastAsia" w:eastAsiaTheme="minorEastAsia" w:cstheme="minorEastAsia"/>
                <w:color w:val="auto"/>
                <w:kern w:val="0"/>
                <w:sz w:val="21"/>
                <w:szCs w:val="21"/>
                <w:highlight w:val="none"/>
              </w:rPr>
              <w:t>在滁州市公共资源交易中心网站</w:t>
            </w:r>
            <w:r>
              <w:rPr>
                <w:rFonts w:hint="eastAsia" w:asciiTheme="minorEastAsia" w:hAnsiTheme="minorEastAsia" w:eastAsiaTheme="minorEastAsia" w:cstheme="minorEastAsia"/>
                <w:color w:val="auto"/>
                <w:sz w:val="21"/>
                <w:szCs w:val="21"/>
                <w:highlight w:val="none"/>
              </w:rPr>
              <w:t xml:space="preserve"> “答疑澄清文件”栏目予以公告</w:t>
            </w:r>
            <w:r>
              <w:rPr>
                <w:rFonts w:hint="eastAsia" w:asciiTheme="minorEastAsia" w:hAnsiTheme="minorEastAsia" w:eastAsiaTheme="minorEastAsia" w:cstheme="minorEastAsia"/>
                <w:color w:val="auto"/>
                <w:kern w:val="0"/>
                <w:sz w:val="21"/>
                <w:szCs w:val="21"/>
                <w:highlight w:val="none"/>
              </w:rPr>
              <w:t>。</w:t>
            </w:r>
          </w:p>
        </w:tc>
      </w:tr>
      <w:tr w14:paraId="3A6D5DE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07DA7FB4">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4F0F47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构成招标文件的其他材料</w:t>
            </w:r>
          </w:p>
        </w:tc>
        <w:tc>
          <w:tcPr>
            <w:tcW w:w="7529" w:type="dxa"/>
            <w:tcBorders>
              <w:top w:val="single" w:color="auto" w:sz="4" w:space="0"/>
              <w:left w:val="single" w:color="auto" w:sz="4" w:space="0"/>
              <w:bottom w:val="single" w:color="auto" w:sz="4" w:space="0"/>
              <w:right w:val="single" w:color="auto" w:sz="4" w:space="0"/>
            </w:tcBorders>
            <w:vAlign w:val="center"/>
          </w:tcPr>
          <w:p w14:paraId="39630647">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本工程招标澄清答疑文件等。</w:t>
            </w:r>
          </w:p>
        </w:tc>
      </w:tr>
      <w:tr w14:paraId="34AC3AC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1524E1C">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17</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10A63A5">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最高投标限价（费率）</w:t>
            </w:r>
          </w:p>
        </w:tc>
        <w:tc>
          <w:tcPr>
            <w:tcW w:w="7529" w:type="dxa"/>
            <w:tcBorders>
              <w:top w:val="single" w:color="auto" w:sz="4" w:space="0"/>
              <w:left w:val="single" w:color="auto" w:sz="4" w:space="0"/>
              <w:bottom w:val="single" w:color="auto" w:sz="4" w:space="0"/>
              <w:right w:val="single" w:color="auto" w:sz="4" w:space="0"/>
            </w:tcBorders>
            <w:vAlign w:val="center"/>
          </w:tcPr>
          <w:p w14:paraId="0B90845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1.最高限价为：1.485‰。投标报价不得高于最高限价，否则按无效标处理。</w:t>
            </w:r>
          </w:p>
          <w:p w14:paraId="5961F76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u w:val="none"/>
                <w:lang w:val="en-US" w:eastAsia="zh-CN"/>
              </w:rPr>
              <w:t>注：1）报投标报价费率小数点后最多保留三位，如填报多位小数的，按小数点后第四位四舍五入修正投标报价费率（如：某投标报价费率为</w:t>
            </w:r>
            <w:r>
              <w:rPr>
                <w:rFonts w:hint="eastAsia" w:asciiTheme="minorEastAsia" w:hAnsiTheme="minorEastAsia" w:eastAsiaTheme="minorEastAsia" w:cstheme="minorEastAsia"/>
                <w:b/>
                <w:bCs/>
                <w:color w:val="auto"/>
                <w:sz w:val="21"/>
                <w:szCs w:val="21"/>
                <w:highlight w:val="none"/>
                <w:lang w:val="en-US" w:eastAsia="zh-CN"/>
              </w:rPr>
              <w:t>0.8234‰</w:t>
            </w:r>
            <w:r>
              <w:rPr>
                <w:rFonts w:hint="eastAsia" w:asciiTheme="minorEastAsia" w:hAnsiTheme="minorEastAsia" w:eastAsiaTheme="minorEastAsia" w:cstheme="minorEastAsia"/>
                <w:b/>
                <w:bCs/>
                <w:color w:val="auto"/>
                <w:sz w:val="21"/>
                <w:szCs w:val="21"/>
                <w:highlight w:val="none"/>
                <w:u w:val="none"/>
                <w:lang w:val="en-US" w:eastAsia="zh-CN"/>
              </w:rPr>
              <w:t xml:space="preserve">，则修正为 </w:t>
            </w:r>
            <w:r>
              <w:rPr>
                <w:rFonts w:hint="eastAsia" w:asciiTheme="minorEastAsia" w:hAnsiTheme="minorEastAsia" w:eastAsiaTheme="minorEastAsia" w:cstheme="minorEastAsia"/>
                <w:b/>
                <w:bCs/>
                <w:color w:val="auto"/>
                <w:sz w:val="21"/>
                <w:szCs w:val="21"/>
                <w:highlight w:val="none"/>
                <w:lang w:val="en-US" w:eastAsia="zh-CN"/>
              </w:rPr>
              <w:t>0.823‰</w:t>
            </w:r>
            <w:r>
              <w:rPr>
                <w:rFonts w:hint="eastAsia" w:asciiTheme="minorEastAsia" w:hAnsiTheme="minorEastAsia" w:eastAsiaTheme="minorEastAsia" w:cstheme="minorEastAsia"/>
                <w:b/>
                <w:bCs/>
                <w:color w:val="auto"/>
                <w:sz w:val="21"/>
                <w:szCs w:val="21"/>
                <w:highlight w:val="none"/>
                <w:u w:val="none"/>
                <w:lang w:val="en-US" w:eastAsia="zh-CN"/>
              </w:rPr>
              <w:t>；某投标报价费率为</w:t>
            </w:r>
            <w:r>
              <w:rPr>
                <w:rFonts w:hint="eastAsia" w:asciiTheme="minorEastAsia" w:hAnsiTheme="minorEastAsia" w:eastAsiaTheme="minorEastAsia" w:cstheme="minorEastAsia"/>
                <w:b/>
                <w:bCs/>
                <w:color w:val="auto"/>
                <w:sz w:val="21"/>
                <w:szCs w:val="21"/>
                <w:highlight w:val="none"/>
                <w:lang w:val="en-US" w:eastAsia="zh-CN"/>
              </w:rPr>
              <w:t>0.8236‰</w:t>
            </w:r>
            <w:r>
              <w:rPr>
                <w:rFonts w:hint="eastAsia" w:asciiTheme="minorEastAsia" w:hAnsiTheme="minorEastAsia" w:eastAsiaTheme="minorEastAsia" w:cstheme="minorEastAsia"/>
                <w:b/>
                <w:bCs/>
                <w:color w:val="auto"/>
                <w:sz w:val="21"/>
                <w:szCs w:val="21"/>
                <w:highlight w:val="none"/>
                <w:u w:val="none"/>
                <w:lang w:val="en-US" w:eastAsia="zh-CN"/>
              </w:rPr>
              <w:t>，则修正为0.824‰）。</w:t>
            </w:r>
          </w:p>
          <w:p w14:paraId="6F894B8B">
            <w:pPr>
              <w:pStyle w:val="44"/>
              <w:keepNext w:val="0"/>
              <w:keepLines w:val="0"/>
              <w:pageBreakBefore w:val="0"/>
              <w:numPr>
                <w:ilvl w:val="0"/>
                <w:numId w:val="0"/>
              </w:numPr>
              <w:kinsoku/>
              <w:overflowPunct/>
              <w:autoSpaceDE/>
              <w:autoSpaceDN/>
              <w:bidi w:val="0"/>
              <w:spacing w:line="520" w:lineRule="exact"/>
              <w:ind w:leftChars="0"/>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u w:val="none"/>
                <w:lang w:val="en-US" w:eastAsia="zh-CN" w:bidi="ar-SA"/>
              </w:rPr>
              <w:t>2）系统生成投标文件时系统无‰，投标人可直接填写所报投标费率即可，如报1.3‰，直接填1.3即可。此报价仅作为生成时用，不作为评审依据。投标报价以投标文件投标函中填报为准。</w:t>
            </w:r>
          </w:p>
          <w:p w14:paraId="61ECDBEF">
            <w:pPr>
              <w:pStyle w:val="44"/>
              <w:keepNext w:val="0"/>
              <w:keepLines w:val="0"/>
              <w:pageBreakBefore w:val="0"/>
              <w:numPr>
                <w:ilvl w:val="0"/>
                <w:numId w:val="0"/>
              </w:numPr>
              <w:kinsoku/>
              <w:overflowPunct/>
              <w:autoSpaceDE/>
              <w:autoSpaceDN/>
              <w:bidi w:val="0"/>
              <w:spacing w:line="520" w:lineRule="exact"/>
              <w:ind w:left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2.中标费率不予调整，无论任何原因导致的工期延长，委托人均不再增加服务费用，招标人不再另行支付其他任何费用。</w:t>
            </w:r>
          </w:p>
        </w:tc>
      </w:tr>
      <w:tr w14:paraId="43C8E04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1659C109">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E8988F0">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投标有效期</w:t>
            </w:r>
          </w:p>
        </w:tc>
        <w:tc>
          <w:tcPr>
            <w:tcW w:w="7529" w:type="dxa"/>
            <w:tcBorders>
              <w:top w:val="single" w:color="auto" w:sz="4" w:space="0"/>
              <w:left w:val="single" w:color="auto" w:sz="4" w:space="0"/>
              <w:bottom w:val="single" w:color="auto" w:sz="4" w:space="0"/>
              <w:right w:val="single" w:color="auto" w:sz="4" w:space="0"/>
            </w:tcBorders>
            <w:vAlign w:val="center"/>
          </w:tcPr>
          <w:p w14:paraId="0031D10B">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投标有效期为</w:t>
            </w:r>
            <w:r>
              <w:rPr>
                <w:rFonts w:hint="eastAsia" w:asciiTheme="minorEastAsia" w:hAnsiTheme="minorEastAsia" w:eastAsiaTheme="minorEastAsia" w:cstheme="minorEastAsia"/>
                <w:color w:val="auto"/>
                <w:sz w:val="21"/>
                <w:szCs w:val="21"/>
                <w:highlight w:val="none"/>
                <w:u w:val="single"/>
              </w:rPr>
              <w:t xml:space="preserve"> 90</w:t>
            </w:r>
            <w:r>
              <w:rPr>
                <w:rFonts w:hint="eastAsia" w:asciiTheme="minorEastAsia" w:hAnsiTheme="minorEastAsia" w:eastAsiaTheme="minorEastAsia" w:cstheme="minorEastAsia"/>
                <w:color w:val="auto"/>
                <w:sz w:val="21"/>
                <w:szCs w:val="21"/>
                <w:highlight w:val="none"/>
              </w:rPr>
              <w:t>日历天（从投标截止之日算起）。在此期限内，凡符合本招标文件要求的投标文件均保持有效。</w:t>
            </w:r>
          </w:p>
        </w:tc>
      </w:tr>
      <w:tr w14:paraId="4D302DC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706685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19</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EC96DD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投标保证金</w:t>
            </w:r>
          </w:p>
        </w:tc>
        <w:tc>
          <w:tcPr>
            <w:tcW w:w="7529" w:type="dxa"/>
            <w:tcBorders>
              <w:top w:val="single" w:color="auto" w:sz="4" w:space="0"/>
              <w:left w:val="single" w:color="auto" w:sz="4" w:space="0"/>
              <w:bottom w:val="single" w:color="auto" w:sz="4" w:space="0"/>
              <w:right w:val="single" w:color="auto" w:sz="4" w:space="0"/>
            </w:tcBorders>
            <w:vAlign w:val="center"/>
          </w:tcPr>
          <w:p w14:paraId="120FA5C1">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详见招标公告</w:t>
            </w:r>
          </w:p>
        </w:tc>
      </w:tr>
      <w:tr w14:paraId="367E62E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2F60D71F">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4704AC2">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签字或盖章要求</w:t>
            </w:r>
          </w:p>
        </w:tc>
        <w:tc>
          <w:tcPr>
            <w:tcW w:w="7529" w:type="dxa"/>
            <w:tcBorders>
              <w:top w:val="single" w:color="auto" w:sz="4" w:space="0"/>
              <w:left w:val="single" w:color="auto" w:sz="4" w:space="0"/>
              <w:bottom w:val="single" w:color="auto" w:sz="4" w:space="0"/>
              <w:right w:val="single" w:color="auto" w:sz="4" w:space="0"/>
            </w:tcBorders>
            <w:vAlign w:val="center"/>
          </w:tcPr>
          <w:p w14:paraId="712F2CD0">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电子投标文件须按格式文件要求签字或盖章（电子签章），招标文件格式中要求“签章”部位，指电子签章或盖章后扫描上传均可。否则经评委会一致认定后，按照无效投标处理。</w:t>
            </w:r>
          </w:p>
        </w:tc>
      </w:tr>
      <w:tr w14:paraId="297D128A">
        <w:tblPrEx>
          <w:tblCellMar>
            <w:top w:w="0" w:type="dxa"/>
            <w:left w:w="108" w:type="dxa"/>
            <w:bottom w:w="0" w:type="dxa"/>
            <w:right w:w="108" w:type="dxa"/>
          </w:tblCellMar>
        </w:tblPrEx>
        <w:trPr>
          <w:trHeight w:val="2094"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4635336C">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21</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69D85D6">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投标文件份数</w:t>
            </w:r>
          </w:p>
        </w:tc>
        <w:tc>
          <w:tcPr>
            <w:tcW w:w="7529" w:type="dxa"/>
            <w:tcBorders>
              <w:top w:val="single" w:color="auto" w:sz="4" w:space="0"/>
              <w:left w:val="single" w:color="auto" w:sz="4" w:space="0"/>
              <w:bottom w:val="single" w:color="auto" w:sz="4" w:space="0"/>
              <w:right w:val="single" w:color="auto" w:sz="4" w:space="0"/>
            </w:tcBorders>
            <w:vAlign w:val="center"/>
          </w:tcPr>
          <w:p w14:paraId="26D50FDC">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网上递交的电子投标文件：一份，加密电子投标文件应在投标截止时间前通过交易中心电子交易系统上传。</w:t>
            </w:r>
          </w:p>
          <w:p w14:paraId="418F7368">
            <w:pPr>
              <w:pStyle w:val="44"/>
              <w:keepNext w:val="0"/>
              <w:keepLines w:val="0"/>
              <w:pageBreakBefore w:val="0"/>
              <w:kinsoku/>
              <w:overflowPunct/>
              <w:autoSpaceDE/>
              <w:autoSpaceDN/>
              <w:bidi w:val="0"/>
              <w:spacing w:line="5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（投标人中标后须递交与网上电子投标文件完全一致的纸质版投标文件，并按要求加盖公章；份数：正本</w:t>
            </w:r>
            <w:r>
              <w:rPr>
                <w:rFonts w:hint="eastAsia" w:asciiTheme="minorEastAsia" w:hAnsiTheme="minorEastAsia" w:eastAsiaTheme="minorEastAsia" w:cstheme="minorEastAsia"/>
                <w:b/>
                <w:color w:val="auto"/>
                <w:kern w:val="0"/>
                <w:sz w:val="21"/>
                <w:szCs w:val="21"/>
                <w:highlight w:val="none"/>
                <w:u w:val="single"/>
              </w:rPr>
              <w:t xml:space="preserve"> 1 </w:t>
            </w:r>
            <w:r>
              <w:rPr>
                <w:rFonts w:hint="eastAsia" w:asciiTheme="minorEastAsia" w:hAnsiTheme="minorEastAsia" w:eastAsiaTheme="minorEastAsia" w:cstheme="minorEastAsia"/>
                <w:b/>
                <w:color w:val="auto"/>
                <w:kern w:val="0"/>
                <w:sz w:val="21"/>
                <w:szCs w:val="21"/>
                <w:highlight w:val="none"/>
              </w:rPr>
              <w:t>份，副本</w:t>
            </w:r>
            <w:r>
              <w:rPr>
                <w:rFonts w:hint="eastAsia" w:asciiTheme="minorEastAsia" w:hAnsiTheme="minorEastAsia" w:eastAsiaTheme="minorEastAsia" w:cstheme="minorEastAsia"/>
                <w:b/>
                <w:color w:val="auto"/>
                <w:kern w:val="0"/>
                <w:sz w:val="21"/>
                <w:szCs w:val="21"/>
                <w:highlight w:val="none"/>
                <w:u w:val="single"/>
              </w:rPr>
              <w:t xml:space="preserve"> </w:t>
            </w:r>
            <w:r>
              <w:rPr>
                <w:rFonts w:hint="eastAsia" w:asciiTheme="minorEastAsia" w:hAnsiTheme="minorEastAsia" w:eastAsiaTheme="minorEastAsia" w:cstheme="minorEastAsia"/>
                <w:b/>
                <w:color w:val="auto"/>
                <w:kern w:val="0"/>
                <w:sz w:val="21"/>
                <w:szCs w:val="21"/>
                <w:highlight w:val="none"/>
                <w:u w:val="single"/>
                <w:lang w:val="en-US" w:eastAsia="zh-CN"/>
              </w:rPr>
              <w:t>3</w:t>
            </w:r>
            <w:r>
              <w:rPr>
                <w:rFonts w:hint="eastAsia" w:asciiTheme="minorEastAsia" w:hAnsiTheme="minorEastAsia" w:eastAsiaTheme="minorEastAsia" w:cstheme="minorEastAsia"/>
                <w:b/>
                <w:color w:val="auto"/>
                <w:kern w:val="0"/>
                <w:sz w:val="21"/>
                <w:szCs w:val="21"/>
                <w:highlight w:val="none"/>
                <w:u w:val="single"/>
              </w:rPr>
              <w:t xml:space="preserve"> </w:t>
            </w:r>
            <w:r>
              <w:rPr>
                <w:rFonts w:hint="eastAsia" w:asciiTheme="minorEastAsia" w:hAnsiTheme="minorEastAsia" w:eastAsiaTheme="minorEastAsia" w:cstheme="minorEastAsia"/>
                <w:b/>
                <w:color w:val="auto"/>
                <w:kern w:val="0"/>
                <w:sz w:val="21"/>
                <w:szCs w:val="21"/>
                <w:highlight w:val="none"/>
              </w:rPr>
              <w:t>份；中标</w:t>
            </w:r>
            <w:r>
              <w:rPr>
                <w:rFonts w:hint="eastAsia" w:asciiTheme="minorEastAsia" w:hAnsiTheme="minorEastAsia" w:eastAsiaTheme="minorEastAsia" w:cstheme="minorEastAsia"/>
                <w:b/>
                <w:color w:val="auto"/>
                <w:kern w:val="0"/>
                <w:sz w:val="21"/>
                <w:szCs w:val="21"/>
                <w:highlight w:val="none"/>
                <w:lang w:val="en-US" w:eastAsia="zh-CN"/>
              </w:rPr>
              <w:t>人</w:t>
            </w:r>
            <w:r>
              <w:rPr>
                <w:rFonts w:hint="eastAsia" w:asciiTheme="minorEastAsia" w:hAnsiTheme="minorEastAsia" w:eastAsiaTheme="minorEastAsia" w:cstheme="minorEastAsia"/>
                <w:b/>
                <w:color w:val="auto"/>
                <w:kern w:val="0"/>
                <w:sz w:val="21"/>
                <w:szCs w:val="21"/>
                <w:highlight w:val="none"/>
              </w:rPr>
              <w:t>领取中标通知书时，一并递交给招标代理机构）。</w:t>
            </w:r>
          </w:p>
        </w:tc>
      </w:tr>
      <w:tr w14:paraId="214F90E9">
        <w:tblPrEx>
          <w:tblCellMar>
            <w:top w:w="0" w:type="dxa"/>
            <w:left w:w="108" w:type="dxa"/>
            <w:bottom w:w="0" w:type="dxa"/>
            <w:right w:w="108" w:type="dxa"/>
          </w:tblCellMar>
        </w:tblPrEx>
        <w:trPr>
          <w:trHeight w:val="510" w:hRule="atLeast"/>
          <w:jc w:val="center"/>
        </w:trPr>
        <w:tc>
          <w:tcPr>
            <w:tcW w:w="868" w:type="dxa"/>
            <w:vMerge w:val="restart"/>
            <w:tcBorders>
              <w:left w:val="single" w:color="auto" w:sz="4" w:space="0"/>
              <w:right w:val="single" w:color="auto" w:sz="4" w:space="0"/>
            </w:tcBorders>
            <w:vAlign w:val="center"/>
          </w:tcPr>
          <w:p w14:paraId="294DAEEF">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22</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DDB55BA">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投标截止时间</w:t>
            </w:r>
          </w:p>
        </w:tc>
        <w:tc>
          <w:tcPr>
            <w:tcW w:w="7529" w:type="dxa"/>
            <w:tcBorders>
              <w:top w:val="single" w:color="auto" w:sz="4" w:space="0"/>
              <w:left w:val="single" w:color="auto" w:sz="4" w:space="0"/>
              <w:bottom w:val="single" w:color="auto" w:sz="4" w:space="0"/>
              <w:right w:val="single" w:color="auto" w:sz="4" w:space="0"/>
            </w:tcBorders>
            <w:vAlign w:val="center"/>
          </w:tcPr>
          <w:p w14:paraId="4F65D5EB">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pacing w:val="-4"/>
                <w:kern w:val="0"/>
                <w:sz w:val="21"/>
                <w:szCs w:val="21"/>
                <w:highlight w:val="none"/>
              </w:rPr>
              <w:t>202</w:t>
            </w:r>
            <w:r>
              <w:rPr>
                <w:rFonts w:hint="eastAsia" w:asciiTheme="minorEastAsia" w:hAnsiTheme="minorEastAsia" w:eastAsiaTheme="minorEastAsia" w:cstheme="minorEastAsia"/>
                <w:b/>
                <w:color w:val="auto"/>
                <w:spacing w:val="-4"/>
                <w:kern w:val="0"/>
                <w:sz w:val="21"/>
                <w:szCs w:val="21"/>
                <w:highlight w:val="none"/>
                <w:lang w:val="en-US" w:eastAsia="zh-CN"/>
              </w:rPr>
              <w:t>6</w:t>
            </w:r>
            <w:r>
              <w:rPr>
                <w:rFonts w:hint="eastAsia" w:asciiTheme="minorEastAsia" w:hAnsiTheme="minorEastAsia" w:eastAsiaTheme="minorEastAsia" w:cstheme="minorEastAsia"/>
                <w:b/>
                <w:color w:val="auto"/>
                <w:spacing w:val="-4"/>
                <w:kern w:val="0"/>
                <w:sz w:val="21"/>
                <w:szCs w:val="21"/>
                <w:highlight w:val="none"/>
              </w:rPr>
              <w:t>年</w:t>
            </w:r>
            <w:r>
              <w:rPr>
                <w:rFonts w:hint="eastAsia" w:asciiTheme="minorEastAsia" w:hAnsiTheme="minorEastAsia" w:eastAsiaTheme="minorEastAsia" w:cstheme="minorEastAsia"/>
                <w:b/>
                <w:color w:val="auto"/>
                <w:spacing w:val="-4"/>
                <w:kern w:val="0"/>
                <w:sz w:val="21"/>
                <w:szCs w:val="21"/>
                <w:highlight w:val="none"/>
                <w:lang w:val="en-US" w:eastAsia="zh-CN"/>
              </w:rPr>
              <w:t>2</w:t>
            </w:r>
            <w:r>
              <w:rPr>
                <w:rFonts w:hint="eastAsia" w:asciiTheme="minorEastAsia" w:hAnsiTheme="minorEastAsia" w:eastAsiaTheme="minorEastAsia" w:cstheme="minorEastAsia"/>
                <w:b/>
                <w:color w:val="auto"/>
                <w:spacing w:val="-4"/>
                <w:kern w:val="0"/>
                <w:sz w:val="21"/>
                <w:szCs w:val="21"/>
                <w:highlight w:val="none"/>
              </w:rPr>
              <w:t>月</w:t>
            </w:r>
            <w:r>
              <w:rPr>
                <w:rFonts w:hint="eastAsia" w:asciiTheme="minorEastAsia" w:hAnsiTheme="minorEastAsia" w:eastAsiaTheme="minorEastAsia" w:cstheme="minorEastAsia"/>
                <w:b/>
                <w:color w:val="auto"/>
                <w:spacing w:val="-4"/>
                <w:kern w:val="0"/>
                <w:sz w:val="21"/>
                <w:szCs w:val="21"/>
                <w:highlight w:val="none"/>
                <w:lang w:val="en-US" w:eastAsia="zh-CN"/>
              </w:rPr>
              <w:t>27</w:t>
            </w:r>
            <w:r>
              <w:rPr>
                <w:rFonts w:hint="eastAsia" w:asciiTheme="minorEastAsia" w:hAnsiTheme="minorEastAsia" w:eastAsiaTheme="minorEastAsia" w:cstheme="minorEastAsia"/>
                <w:b/>
                <w:color w:val="auto"/>
                <w:spacing w:val="-4"/>
                <w:kern w:val="0"/>
                <w:sz w:val="21"/>
                <w:szCs w:val="21"/>
                <w:highlight w:val="none"/>
              </w:rPr>
              <w:t>日</w:t>
            </w:r>
            <w:r>
              <w:rPr>
                <w:rFonts w:hint="eastAsia" w:asciiTheme="minorEastAsia" w:hAnsiTheme="minorEastAsia" w:eastAsiaTheme="minorEastAsia" w:cstheme="minorEastAsia"/>
                <w:b/>
                <w:color w:val="auto"/>
                <w:spacing w:val="-4"/>
                <w:kern w:val="0"/>
                <w:sz w:val="21"/>
                <w:szCs w:val="21"/>
                <w:highlight w:val="none"/>
                <w:lang w:val="en-US" w:eastAsia="zh-CN"/>
              </w:rPr>
              <w:t>8</w:t>
            </w:r>
            <w:r>
              <w:rPr>
                <w:rFonts w:hint="eastAsia" w:asciiTheme="minorEastAsia" w:hAnsiTheme="minorEastAsia" w:eastAsiaTheme="minorEastAsia" w:cstheme="minorEastAsia"/>
                <w:b/>
                <w:color w:val="auto"/>
                <w:spacing w:val="-4"/>
                <w:kern w:val="0"/>
                <w:sz w:val="21"/>
                <w:szCs w:val="21"/>
                <w:highlight w:val="none"/>
              </w:rPr>
              <w:t>时</w:t>
            </w:r>
            <w:r>
              <w:rPr>
                <w:rFonts w:hint="eastAsia" w:asciiTheme="minorEastAsia" w:hAnsiTheme="minorEastAsia" w:eastAsiaTheme="minorEastAsia" w:cstheme="minorEastAsia"/>
                <w:b/>
                <w:color w:val="auto"/>
                <w:spacing w:val="-4"/>
                <w:kern w:val="0"/>
                <w:sz w:val="21"/>
                <w:szCs w:val="21"/>
                <w:highlight w:val="none"/>
                <w:lang w:val="en-US" w:eastAsia="zh-CN"/>
              </w:rPr>
              <w:t>50</w:t>
            </w:r>
            <w:r>
              <w:rPr>
                <w:rFonts w:hint="eastAsia" w:asciiTheme="minorEastAsia" w:hAnsiTheme="minorEastAsia" w:eastAsiaTheme="minorEastAsia" w:cstheme="minorEastAsia"/>
                <w:b/>
                <w:color w:val="auto"/>
                <w:spacing w:val="-4"/>
                <w:kern w:val="0"/>
                <w:sz w:val="21"/>
                <w:szCs w:val="21"/>
                <w:highlight w:val="none"/>
              </w:rPr>
              <w:t>分（北京时间）</w:t>
            </w:r>
          </w:p>
        </w:tc>
      </w:tr>
      <w:tr w14:paraId="579321F6">
        <w:tblPrEx>
          <w:tblCellMar>
            <w:top w:w="0" w:type="dxa"/>
            <w:left w:w="108" w:type="dxa"/>
            <w:bottom w:w="0" w:type="dxa"/>
            <w:right w:w="108" w:type="dxa"/>
          </w:tblCellMar>
        </w:tblPrEx>
        <w:trPr>
          <w:jc w:val="center"/>
        </w:trPr>
        <w:tc>
          <w:tcPr>
            <w:tcW w:w="868" w:type="dxa"/>
            <w:vMerge w:val="continue"/>
            <w:tcBorders>
              <w:left w:val="single" w:color="auto" w:sz="4" w:space="0"/>
              <w:right w:val="single" w:color="auto" w:sz="4" w:space="0"/>
            </w:tcBorders>
            <w:vAlign w:val="center"/>
          </w:tcPr>
          <w:p w14:paraId="4897A142">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5BC2CB2">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解密截止时间</w:t>
            </w:r>
          </w:p>
        </w:tc>
        <w:tc>
          <w:tcPr>
            <w:tcW w:w="7529" w:type="dxa"/>
            <w:tcBorders>
              <w:top w:val="single" w:color="auto" w:sz="4" w:space="0"/>
              <w:left w:val="single" w:color="auto" w:sz="4" w:space="0"/>
              <w:bottom w:val="single" w:color="auto" w:sz="4" w:space="0"/>
              <w:right w:val="single" w:color="auto" w:sz="4" w:space="0"/>
            </w:tcBorders>
            <w:vAlign w:val="center"/>
          </w:tcPr>
          <w:p w14:paraId="7E2F13C5">
            <w:pPr>
              <w:keepNext w:val="0"/>
              <w:keepLines w:val="0"/>
              <w:pageBreakBefore w:val="0"/>
              <w:kinsoku/>
              <w:wordWrap w:val="0"/>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解密程序开始后60分钟内（以本项目网上招投标系统解密倒计时为准）。</w:t>
            </w:r>
          </w:p>
          <w:p w14:paraId="7D298C44">
            <w:pPr>
              <w:keepNext w:val="0"/>
              <w:keepLines w:val="0"/>
              <w:pageBreakBefore w:val="0"/>
              <w:kinsoku/>
              <w:wordWrap w:val="0"/>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解密时间为</w:t>
            </w:r>
            <w:r>
              <w:rPr>
                <w:rFonts w:hint="eastAsia" w:asciiTheme="minorEastAsia" w:hAnsiTheme="minorEastAsia" w:eastAsiaTheme="minorEastAsia" w:cstheme="minorEastAsia"/>
                <w:b/>
                <w:color w:val="auto"/>
                <w:kern w:val="0"/>
                <w:sz w:val="21"/>
                <w:szCs w:val="21"/>
                <w:highlight w:val="none"/>
              </w:rPr>
              <w:t>202</w:t>
            </w:r>
            <w:r>
              <w:rPr>
                <w:rFonts w:hint="eastAsia" w:asciiTheme="minorEastAsia" w:hAnsiTheme="minorEastAsia" w:eastAsiaTheme="minorEastAsia" w:cstheme="minorEastAsia"/>
                <w:b/>
                <w:color w:val="auto"/>
                <w:kern w:val="0"/>
                <w:sz w:val="21"/>
                <w:szCs w:val="21"/>
                <w:highlight w:val="none"/>
                <w:lang w:val="en-US" w:eastAsia="zh-CN"/>
              </w:rPr>
              <w:t>6</w:t>
            </w:r>
            <w:r>
              <w:rPr>
                <w:rFonts w:hint="eastAsia" w:asciiTheme="minorEastAsia" w:hAnsiTheme="minorEastAsia" w:eastAsiaTheme="minorEastAsia" w:cstheme="minorEastAsia"/>
                <w:b/>
                <w:color w:val="auto"/>
                <w:kern w:val="0"/>
                <w:sz w:val="21"/>
                <w:szCs w:val="21"/>
                <w:highlight w:val="none"/>
              </w:rPr>
              <w:t>年</w:t>
            </w:r>
            <w:r>
              <w:rPr>
                <w:rFonts w:hint="eastAsia" w:asciiTheme="minorEastAsia" w:hAnsiTheme="minorEastAsia" w:eastAsiaTheme="minorEastAsia" w:cstheme="minorEastAsia"/>
                <w:b/>
                <w:color w:val="auto"/>
                <w:kern w:val="0"/>
                <w:sz w:val="21"/>
                <w:szCs w:val="21"/>
                <w:highlight w:val="none"/>
                <w:lang w:val="en-US" w:eastAsia="zh-CN"/>
              </w:rPr>
              <w:t>2</w:t>
            </w:r>
            <w:r>
              <w:rPr>
                <w:rFonts w:hint="eastAsia" w:asciiTheme="minorEastAsia" w:hAnsiTheme="minorEastAsia" w:eastAsiaTheme="minorEastAsia" w:cstheme="minorEastAsia"/>
                <w:b/>
                <w:color w:val="auto"/>
                <w:kern w:val="0"/>
                <w:sz w:val="21"/>
                <w:szCs w:val="21"/>
                <w:highlight w:val="none"/>
              </w:rPr>
              <w:t>月</w:t>
            </w:r>
            <w:r>
              <w:rPr>
                <w:rFonts w:hint="eastAsia" w:asciiTheme="minorEastAsia" w:hAnsiTheme="minorEastAsia" w:eastAsiaTheme="minorEastAsia" w:cstheme="minorEastAsia"/>
                <w:b/>
                <w:color w:val="auto"/>
                <w:kern w:val="0"/>
                <w:sz w:val="21"/>
                <w:szCs w:val="21"/>
                <w:highlight w:val="none"/>
                <w:lang w:val="en-US" w:eastAsia="zh-CN"/>
              </w:rPr>
              <w:t>27</w:t>
            </w:r>
            <w:r>
              <w:rPr>
                <w:rFonts w:hint="eastAsia" w:asciiTheme="minorEastAsia" w:hAnsiTheme="minorEastAsia" w:eastAsiaTheme="minorEastAsia" w:cstheme="minorEastAsia"/>
                <w:b/>
                <w:color w:val="auto"/>
                <w:kern w:val="0"/>
                <w:sz w:val="21"/>
                <w:szCs w:val="21"/>
                <w:highlight w:val="none"/>
              </w:rPr>
              <w:t>日</w:t>
            </w:r>
            <w:r>
              <w:rPr>
                <w:rFonts w:hint="eastAsia" w:asciiTheme="minorEastAsia" w:hAnsiTheme="minorEastAsia" w:eastAsiaTheme="minorEastAsia" w:cstheme="minorEastAsia"/>
                <w:b/>
                <w:color w:val="auto"/>
                <w:kern w:val="0"/>
                <w:sz w:val="21"/>
                <w:szCs w:val="21"/>
                <w:highlight w:val="none"/>
                <w:lang w:val="en-US" w:eastAsia="zh-CN"/>
              </w:rPr>
              <w:t>8</w:t>
            </w:r>
            <w:r>
              <w:rPr>
                <w:rFonts w:hint="eastAsia" w:asciiTheme="minorEastAsia" w:hAnsiTheme="minorEastAsia" w:eastAsiaTheme="minorEastAsia" w:cstheme="minorEastAsia"/>
                <w:b/>
                <w:color w:val="auto"/>
                <w:kern w:val="0"/>
                <w:sz w:val="21"/>
                <w:szCs w:val="21"/>
                <w:highlight w:val="none"/>
              </w:rPr>
              <w:t>时</w:t>
            </w:r>
            <w:r>
              <w:rPr>
                <w:rFonts w:hint="eastAsia" w:asciiTheme="minorEastAsia" w:hAnsiTheme="minorEastAsia" w:eastAsiaTheme="minorEastAsia" w:cstheme="minorEastAsia"/>
                <w:b/>
                <w:color w:val="auto"/>
                <w:kern w:val="0"/>
                <w:sz w:val="21"/>
                <w:szCs w:val="21"/>
                <w:highlight w:val="none"/>
                <w:lang w:val="en-US" w:eastAsia="zh-CN"/>
              </w:rPr>
              <w:t>50</w:t>
            </w:r>
            <w:r>
              <w:rPr>
                <w:rFonts w:hint="eastAsia" w:asciiTheme="minorEastAsia" w:hAnsiTheme="minorEastAsia" w:eastAsiaTheme="minorEastAsia" w:cstheme="minorEastAsia"/>
                <w:b/>
                <w:color w:val="auto"/>
                <w:kern w:val="0"/>
                <w:sz w:val="21"/>
                <w:szCs w:val="21"/>
                <w:highlight w:val="none"/>
              </w:rPr>
              <w:t>分</w:t>
            </w:r>
            <w:r>
              <w:rPr>
                <w:rFonts w:hint="eastAsia" w:asciiTheme="minorEastAsia" w:hAnsiTheme="minorEastAsia" w:eastAsiaTheme="minorEastAsia" w:cstheme="minorEastAsia"/>
                <w:b/>
                <w:color w:val="auto"/>
                <w:sz w:val="21"/>
                <w:szCs w:val="21"/>
                <w:highlight w:val="none"/>
              </w:rPr>
              <w:t>至</w:t>
            </w:r>
            <w:bookmarkStart w:id="65" w:name="_Toc35424885"/>
            <w:r>
              <w:rPr>
                <w:rFonts w:hint="eastAsia" w:asciiTheme="minorEastAsia" w:hAnsiTheme="minorEastAsia" w:eastAsiaTheme="minorEastAsia" w:cstheme="minorEastAsia"/>
                <w:b/>
                <w:color w:val="auto"/>
                <w:kern w:val="0"/>
                <w:sz w:val="21"/>
                <w:szCs w:val="21"/>
                <w:highlight w:val="none"/>
              </w:rPr>
              <w:t>202</w:t>
            </w:r>
            <w:r>
              <w:rPr>
                <w:rFonts w:hint="eastAsia" w:asciiTheme="minorEastAsia" w:hAnsiTheme="minorEastAsia" w:eastAsiaTheme="minorEastAsia" w:cstheme="minorEastAsia"/>
                <w:b/>
                <w:color w:val="auto"/>
                <w:kern w:val="0"/>
                <w:sz w:val="21"/>
                <w:szCs w:val="21"/>
                <w:highlight w:val="none"/>
                <w:lang w:val="en-US" w:eastAsia="zh-CN"/>
              </w:rPr>
              <w:t>6</w:t>
            </w:r>
            <w:r>
              <w:rPr>
                <w:rFonts w:hint="eastAsia" w:asciiTheme="minorEastAsia" w:hAnsiTheme="minorEastAsia" w:eastAsiaTheme="minorEastAsia" w:cstheme="minorEastAsia"/>
                <w:b/>
                <w:color w:val="auto"/>
                <w:kern w:val="0"/>
                <w:sz w:val="21"/>
                <w:szCs w:val="21"/>
                <w:highlight w:val="none"/>
              </w:rPr>
              <w:t>年</w:t>
            </w:r>
            <w:r>
              <w:rPr>
                <w:rFonts w:hint="eastAsia" w:asciiTheme="minorEastAsia" w:hAnsiTheme="minorEastAsia" w:eastAsiaTheme="minorEastAsia" w:cstheme="minorEastAsia"/>
                <w:b/>
                <w:color w:val="auto"/>
                <w:kern w:val="0"/>
                <w:sz w:val="21"/>
                <w:szCs w:val="21"/>
                <w:highlight w:val="none"/>
                <w:lang w:val="en-US" w:eastAsia="zh-CN"/>
              </w:rPr>
              <w:t xml:space="preserve"> 2</w:t>
            </w:r>
            <w:r>
              <w:rPr>
                <w:rFonts w:hint="eastAsia" w:asciiTheme="minorEastAsia" w:hAnsiTheme="minorEastAsia" w:eastAsiaTheme="minorEastAsia" w:cstheme="minorEastAsia"/>
                <w:b/>
                <w:color w:val="auto"/>
                <w:kern w:val="0"/>
                <w:sz w:val="21"/>
                <w:szCs w:val="21"/>
                <w:highlight w:val="none"/>
              </w:rPr>
              <w:t>月</w:t>
            </w:r>
            <w:r>
              <w:rPr>
                <w:rFonts w:hint="eastAsia" w:asciiTheme="minorEastAsia" w:hAnsiTheme="minorEastAsia" w:eastAsiaTheme="minorEastAsia" w:cstheme="minorEastAsia"/>
                <w:b/>
                <w:color w:val="auto"/>
                <w:kern w:val="0"/>
                <w:sz w:val="21"/>
                <w:szCs w:val="21"/>
                <w:highlight w:val="none"/>
                <w:lang w:val="en-US" w:eastAsia="zh-CN"/>
              </w:rPr>
              <w:t>27</w:t>
            </w:r>
            <w:r>
              <w:rPr>
                <w:rFonts w:hint="eastAsia" w:asciiTheme="minorEastAsia" w:hAnsiTheme="minorEastAsia" w:eastAsiaTheme="minorEastAsia" w:cstheme="minorEastAsia"/>
                <w:b/>
                <w:color w:val="auto"/>
                <w:kern w:val="0"/>
                <w:sz w:val="21"/>
                <w:szCs w:val="21"/>
                <w:highlight w:val="none"/>
              </w:rPr>
              <w:t>日</w:t>
            </w:r>
            <w:r>
              <w:rPr>
                <w:rFonts w:hint="eastAsia" w:asciiTheme="minorEastAsia" w:hAnsiTheme="minorEastAsia" w:eastAsiaTheme="minorEastAsia" w:cstheme="minorEastAsia"/>
                <w:b/>
                <w:color w:val="auto"/>
                <w:kern w:val="0"/>
                <w:sz w:val="21"/>
                <w:szCs w:val="21"/>
                <w:highlight w:val="none"/>
                <w:lang w:val="en-US" w:eastAsia="zh-CN"/>
              </w:rPr>
              <w:t>9</w:t>
            </w:r>
            <w:r>
              <w:rPr>
                <w:rFonts w:hint="eastAsia" w:asciiTheme="minorEastAsia" w:hAnsiTheme="minorEastAsia" w:eastAsiaTheme="minorEastAsia" w:cstheme="minorEastAsia"/>
                <w:b/>
                <w:color w:val="auto"/>
                <w:kern w:val="0"/>
                <w:sz w:val="21"/>
                <w:szCs w:val="21"/>
                <w:highlight w:val="none"/>
              </w:rPr>
              <w:t>时</w:t>
            </w:r>
            <w:r>
              <w:rPr>
                <w:rFonts w:hint="eastAsia" w:asciiTheme="minorEastAsia" w:hAnsiTheme="minorEastAsia" w:eastAsiaTheme="minorEastAsia" w:cstheme="minorEastAsia"/>
                <w:b/>
                <w:color w:val="auto"/>
                <w:kern w:val="0"/>
                <w:sz w:val="21"/>
                <w:szCs w:val="21"/>
                <w:highlight w:val="none"/>
                <w:lang w:val="en-US" w:eastAsia="zh-CN"/>
              </w:rPr>
              <w:t>50</w:t>
            </w:r>
            <w:r>
              <w:rPr>
                <w:rFonts w:hint="eastAsia" w:asciiTheme="minorEastAsia" w:hAnsiTheme="minorEastAsia" w:eastAsiaTheme="minorEastAsia" w:cstheme="minorEastAsia"/>
                <w:b/>
                <w:color w:val="auto"/>
                <w:kern w:val="0"/>
                <w:sz w:val="21"/>
                <w:szCs w:val="21"/>
                <w:highlight w:val="none"/>
              </w:rPr>
              <w:t>分</w:t>
            </w:r>
            <w:bookmarkEnd w:id="65"/>
          </w:p>
        </w:tc>
      </w:tr>
      <w:tr w14:paraId="19F8AF21">
        <w:tblPrEx>
          <w:tblCellMar>
            <w:top w:w="0" w:type="dxa"/>
            <w:left w:w="108" w:type="dxa"/>
            <w:bottom w:w="0" w:type="dxa"/>
            <w:right w:w="108" w:type="dxa"/>
          </w:tblCellMar>
        </w:tblPrEx>
        <w:trPr>
          <w:jc w:val="center"/>
        </w:trPr>
        <w:tc>
          <w:tcPr>
            <w:tcW w:w="868" w:type="dxa"/>
            <w:vMerge w:val="continue"/>
            <w:tcBorders>
              <w:left w:val="single" w:color="auto" w:sz="4" w:space="0"/>
              <w:right w:val="single" w:color="auto" w:sz="4" w:space="0"/>
            </w:tcBorders>
            <w:vAlign w:val="center"/>
          </w:tcPr>
          <w:p w14:paraId="4D907AD3">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CFA4496">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递交投标文件地点</w:t>
            </w:r>
          </w:p>
        </w:tc>
        <w:tc>
          <w:tcPr>
            <w:tcW w:w="7529" w:type="dxa"/>
            <w:tcBorders>
              <w:top w:val="single" w:color="auto" w:sz="4" w:space="0"/>
              <w:left w:val="single" w:color="auto" w:sz="4" w:space="0"/>
              <w:bottom w:val="single" w:color="auto" w:sz="4" w:space="0"/>
              <w:right w:val="single" w:color="auto" w:sz="4" w:space="0"/>
            </w:tcBorders>
            <w:vAlign w:val="center"/>
          </w:tcPr>
          <w:p w14:paraId="035D7C66">
            <w:pPr>
              <w:keepNext w:val="0"/>
              <w:keepLines w:val="0"/>
              <w:pageBreakBefore w:val="0"/>
              <w:kinsoku/>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加密的电子投标文件：必须在投标截止时间前网上递交。</w:t>
            </w:r>
          </w:p>
          <w:p w14:paraId="34C2201D">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(本项目采取远程解密方式，投标人无需递交电子光盘)</w:t>
            </w:r>
          </w:p>
        </w:tc>
      </w:tr>
      <w:tr w14:paraId="5A4F95FB">
        <w:tblPrEx>
          <w:tblCellMar>
            <w:top w:w="0" w:type="dxa"/>
            <w:left w:w="108" w:type="dxa"/>
            <w:bottom w:w="0" w:type="dxa"/>
            <w:right w:w="108" w:type="dxa"/>
          </w:tblCellMar>
        </w:tblPrEx>
        <w:trPr>
          <w:jc w:val="center"/>
        </w:trPr>
        <w:tc>
          <w:tcPr>
            <w:tcW w:w="868" w:type="dxa"/>
            <w:vMerge w:val="continue"/>
            <w:tcBorders>
              <w:left w:val="single" w:color="auto" w:sz="4" w:space="0"/>
              <w:right w:val="single" w:color="auto" w:sz="4" w:space="0"/>
            </w:tcBorders>
            <w:vAlign w:val="center"/>
          </w:tcPr>
          <w:p w14:paraId="1FD44157">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A8C0A12">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开标时间及地点</w:t>
            </w:r>
          </w:p>
        </w:tc>
        <w:tc>
          <w:tcPr>
            <w:tcW w:w="7529" w:type="dxa"/>
            <w:tcBorders>
              <w:top w:val="single" w:color="auto" w:sz="4" w:space="0"/>
              <w:left w:val="single" w:color="auto" w:sz="4" w:space="0"/>
              <w:bottom w:val="single" w:color="auto" w:sz="4" w:space="0"/>
              <w:right w:val="single" w:color="auto" w:sz="4" w:space="0"/>
            </w:tcBorders>
            <w:vAlign w:val="center"/>
          </w:tcPr>
          <w:p w14:paraId="0F9FC25D">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开标时间：同投标截止时间</w:t>
            </w:r>
          </w:p>
          <w:p w14:paraId="383EE48C">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开标地点：滁州市公共资源交易中心(滁州市龙蟠大道109号房产大厦二楼)</w:t>
            </w:r>
          </w:p>
        </w:tc>
      </w:tr>
      <w:tr w14:paraId="72C0E83A">
        <w:tblPrEx>
          <w:tblCellMar>
            <w:top w:w="0" w:type="dxa"/>
            <w:left w:w="108" w:type="dxa"/>
            <w:bottom w:w="0" w:type="dxa"/>
            <w:right w:w="108" w:type="dxa"/>
          </w:tblCellMar>
        </w:tblPrEx>
        <w:trPr>
          <w:trHeight w:val="557" w:hRule="atLeast"/>
          <w:jc w:val="center"/>
        </w:trPr>
        <w:tc>
          <w:tcPr>
            <w:tcW w:w="868" w:type="dxa"/>
            <w:vMerge w:val="continue"/>
            <w:tcBorders>
              <w:left w:val="single" w:color="auto" w:sz="4" w:space="0"/>
              <w:right w:val="single" w:color="auto" w:sz="4" w:space="0"/>
            </w:tcBorders>
            <w:vAlign w:val="center"/>
          </w:tcPr>
          <w:p w14:paraId="6646A725">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E53BE0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开标顺序</w:t>
            </w:r>
          </w:p>
        </w:tc>
        <w:tc>
          <w:tcPr>
            <w:tcW w:w="7529" w:type="dxa"/>
            <w:tcBorders>
              <w:top w:val="single" w:color="auto" w:sz="4" w:space="0"/>
              <w:left w:val="single" w:color="auto" w:sz="4" w:space="0"/>
              <w:bottom w:val="single" w:color="auto" w:sz="4" w:space="0"/>
              <w:right w:val="single" w:color="auto" w:sz="4" w:space="0"/>
            </w:tcBorders>
            <w:vAlign w:val="center"/>
          </w:tcPr>
          <w:p w14:paraId="1D520F26">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开标顺序：解密电子投标文件后，由评标委员会评审。</w:t>
            </w:r>
          </w:p>
        </w:tc>
      </w:tr>
      <w:tr w14:paraId="7AD76A75">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55AE32D0">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23</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A536BA1">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评标委员会的组建</w:t>
            </w:r>
          </w:p>
        </w:tc>
        <w:tc>
          <w:tcPr>
            <w:tcW w:w="7529" w:type="dxa"/>
            <w:tcBorders>
              <w:top w:val="single" w:color="auto" w:sz="4" w:space="0"/>
              <w:left w:val="single" w:color="auto" w:sz="4" w:space="0"/>
              <w:bottom w:val="single" w:color="auto" w:sz="4" w:space="0"/>
              <w:right w:val="single" w:color="auto" w:sz="4" w:space="0"/>
            </w:tcBorders>
            <w:vAlign w:val="center"/>
          </w:tcPr>
          <w:p w14:paraId="13463EAC">
            <w:pPr>
              <w:keepNext w:val="0"/>
              <w:keepLines w:val="0"/>
              <w:pageBreakBefore w:val="0"/>
              <w:kinsoku/>
              <w:wordWrap w:val="0"/>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评标委员会构成：</w:t>
            </w:r>
            <w:r>
              <w:rPr>
                <w:rFonts w:hint="eastAsia" w:asciiTheme="minorEastAsia" w:hAnsiTheme="minorEastAsia" w:eastAsiaTheme="minorEastAsia" w:cstheme="minorEastAsia"/>
                <w:b/>
                <w:bCs/>
                <w:color w:val="auto"/>
                <w:sz w:val="21"/>
                <w:szCs w:val="21"/>
                <w:highlight w:val="none"/>
                <w:u w:val="none"/>
                <w:lang w:val="en-US" w:eastAsia="zh-CN"/>
              </w:rPr>
              <w:t>5人，其中招标人代表0人，评标专家5人</w:t>
            </w:r>
          </w:p>
          <w:p w14:paraId="6DC4E8BB">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评标专家确定方式：专家评委由招标人在开标前从专家库中随机抽取。</w:t>
            </w:r>
          </w:p>
        </w:tc>
      </w:tr>
      <w:tr w14:paraId="37D63B7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00F4B642">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24</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874A2AF">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是否授权评标委员会确定中标候选人</w:t>
            </w:r>
          </w:p>
        </w:tc>
        <w:tc>
          <w:tcPr>
            <w:tcW w:w="7529" w:type="dxa"/>
            <w:tcBorders>
              <w:top w:val="single" w:color="auto" w:sz="4" w:space="0"/>
              <w:left w:val="single" w:color="auto" w:sz="4" w:space="0"/>
              <w:bottom w:val="single" w:color="auto" w:sz="4" w:space="0"/>
              <w:right w:val="single" w:color="auto" w:sz="4" w:space="0"/>
            </w:tcBorders>
            <w:vAlign w:val="center"/>
          </w:tcPr>
          <w:p w14:paraId="5938A712">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是，推荐的中标候选人数：</w:t>
            </w: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名，并标明排序。</w:t>
            </w:r>
          </w:p>
        </w:tc>
      </w:tr>
      <w:tr w14:paraId="1A2C39D2">
        <w:tblPrEx>
          <w:tblCellMar>
            <w:top w:w="0" w:type="dxa"/>
            <w:left w:w="108" w:type="dxa"/>
            <w:bottom w:w="0" w:type="dxa"/>
            <w:right w:w="108" w:type="dxa"/>
          </w:tblCellMar>
        </w:tblPrEx>
        <w:trPr>
          <w:jc w:val="center"/>
        </w:trPr>
        <w:tc>
          <w:tcPr>
            <w:tcW w:w="868" w:type="dxa"/>
            <w:tcBorders>
              <w:top w:val="single" w:color="auto" w:sz="4" w:space="0"/>
              <w:left w:val="single" w:color="auto" w:sz="4" w:space="0"/>
              <w:right w:val="single" w:color="auto" w:sz="4" w:space="0"/>
            </w:tcBorders>
            <w:vAlign w:val="center"/>
          </w:tcPr>
          <w:p w14:paraId="0DF8399B">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25</w:t>
            </w:r>
          </w:p>
        </w:tc>
        <w:tc>
          <w:tcPr>
            <w:tcW w:w="2130" w:type="dxa"/>
            <w:gridSpan w:val="2"/>
            <w:tcBorders>
              <w:top w:val="single" w:color="auto" w:sz="4" w:space="0"/>
              <w:left w:val="single" w:color="auto" w:sz="4" w:space="0"/>
              <w:right w:val="single" w:color="auto" w:sz="4" w:space="0"/>
            </w:tcBorders>
            <w:vAlign w:val="center"/>
          </w:tcPr>
          <w:p w14:paraId="30227472">
            <w:pPr>
              <w:keepNext w:val="0"/>
              <w:keepLines w:val="0"/>
              <w:pageBreakBefore w:val="0"/>
              <w:kinsoku/>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中标候选人公示媒介及期限</w:t>
            </w:r>
          </w:p>
        </w:tc>
        <w:tc>
          <w:tcPr>
            <w:tcW w:w="7529" w:type="dxa"/>
            <w:tcBorders>
              <w:top w:val="single" w:color="auto" w:sz="4" w:space="0"/>
              <w:left w:val="single" w:color="auto" w:sz="4" w:space="0"/>
              <w:right w:val="single" w:color="auto" w:sz="4" w:space="0"/>
            </w:tcBorders>
            <w:vAlign w:val="center"/>
          </w:tcPr>
          <w:p w14:paraId="3E7F7041">
            <w:pPr>
              <w:keepNext w:val="0"/>
              <w:keepLines w:val="0"/>
              <w:pageBreakBefore w:val="0"/>
              <w:widowControl/>
              <w:kinsoku/>
              <w:overflowPunct/>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公示媒介：同招标公告发布媒介</w:t>
            </w:r>
          </w:p>
          <w:p w14:paraId="2C5B649B">
            <w:pPr>
              <w:keepNext w:val="0"/>
              <w:keepLines w:val="0"/>
              <w:pageBreakBefore w:val="0"/>
              <w:widowControl/>
              <w:kinsoku/>
              <w:overflowPunct/>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公示期限：公示发布次日起3日（如公示第三日为休息日或节假日，则顺延至休息日或节假日后第一个工作日）</w:t>
            </w:r>
          </w:p>
        </w:tc>
      </w:tr>
      <w:tr w14:paraId="0AE50A81">
        <w:tblPrEx>
          <w:tblCellMar>
            <w:top w:w="0" w:type="dxa"/>
            <w:left w:w="108" w:type="dxa"/>
            <w:bottom w:w="0" w:type="dxa"/>
            <w:right w:w="108" w:type="dxa"/>
          </w:tblCellMar>
        </w:tblPrEx>
        <w:trPr>
          <w:jc w:val="center"/>
        </w:trPr>
        <w:tc>
          <w:tcPr>
            <w:tcW w:w="868" w:type="dxa"/>
            <w:tcBorders>
              <w:top w:val="single" w:color="auto" w:sz="4" w:space="0"/>
              <w:left w:val="single" w:color="auto" w:sz="4" w:space="0"/>
              <w:right w:val="single" w:color="auto" w:sz="4" w:space="0"/>
            </w:tcBorders>
            <w:vAlign w:val="center"/>
          </w:tcPr>
          <w:p w14:paraId="33D56448">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26</w:t>
            </w:r>
          </w:p>
        </w:tc>
        <w:tc>
          <w:tcPr>
            <w:tcW w:w="2130" w:type="dxa"/>
            <w:gridSpan w:val="2"/>
            <w:tcBorders>
              <w:top w:val="single" w:color="auto" w:sz="4" w:space="0"/>
              <w:left w:val="single" w:color="auto" w:sz="4" w:space="0"/>
              <w:right w:val="single" w:color="auto" w:sz="4" w:space="0"/>
            </w:tcBorders>
            <w:vAlign w:val="center"/>
          </w:tcPr>
          <w:p w14:paraId="5B23E2D1">
            <w:pPr>
              <w:keepNext w:val="0"/>
              <w:keepLines w:val="0"/>
              <w:pageBreakBefore w:val="0"/>
              <w:kinsoku/>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是否授权评标委员会确定中标人</w:t>
            </w:r>
          </w:p>
        </w:tc>
        <w:tc>
          <w:tcPr>
            <w:tcW w:w="7529" w:type="dxa"/>
            <w:tcBorders>
              <w:top w:val="single" w:color="auto" w:sz="4" w:space="0"/>
              <w:left w:val="single" w:color="auto" w:sz="4" w:space="0"/>
              <w:right w:val="single" w:color="auto" w:sz="4" w:space="0"/>
            </w:tcBorders>
            <w:vAlign w:val="center"/>
          </w:tcPr>
          <w:p w14:paraId="3ABD3DB3">
            <w:pPr>
              <w:keepNext w:val="0"/>
              <w:keepLines w:val="0"/>
              <w:pageBreakBefore w:val="0"/>
              <w:widowControl/>
              <w:kinsoku/>
              <w:overflowPunct/>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否</w:t>
            </w:r>
          </w:p>
        </w:tc>
      </w:tr>
      <w:tr w14:paraId="63291BE4">
        <w:tblPrEx>
          <w:tblCellMar>
            <w:top w:w="0" w:type="dxa"/>
            <w:left w:w="108" w:type="dxa"/>
            <w:bottom w:w="0" w:type="dxa"/>
            <w:right w:w="108" w:type="dxa"/>
          </w:tblCellMar>
        </w:tblPrEx>
        <w:trPr>
          <w:jc w:val="center"/>
        </w:trPr>
        <w:tc>
          <w:tcPr>
            <w:tcW w:w="868" w:type="dxa"/>
            <w:tcBorders>
              <w:top w:val="single" w:color="auto" w:sz="4" w:space="0"/>
              <w:left w:val="single" w:color="auto" w:sz="4" w:space="0"/>
              <w:right w:val="single" w:color="auto" w:sz="4" w:space="0"/>
            </w:tcBorders>
            <w:vAlign w:val="center"/>
          </w:tcPr>
          <w:p w14:paraId="3CA056BA">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27</w:t>
            </w:r>
          </w:p>
        </w:tc>
        <w:tc>
          <w:tcPr>
            <w:tcW w:w="2130" w:type="dxa"/>
            <w:gridSpan w:val="2"/>
            <w:tcBorders>
              <w:top w:val="single" w:color="auto" w:sz="4" w:space="0"/>
              <w:left w:val="single" w:color="auto" w:sz="4" w:space="0"/>
              <w:right w:val="single" w:color="auto" w:sz="4" w:space="0"/>
            </w:tcBorders>
            <w:vAlign w:val="center"/>
          </w:tcPr>
          <w:p w14:paraId="4B1073F2">
            <w:pPr>
              <w:keepNext w:val="0"/>
              <w:keepLines w:val="0"/>
              <w:pageBreakBefore w:val="0"/>
              <w:kinsoku/>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中标结果公示媒介</w:t>
            </w:r>
          </w:p>
        </w:tc>
        <w:tc>
          <w:tcPr>
            <w:tcW w:w="7529" w:type="dxa"/>
            <w:tcBorders>
              <w:top w:val="single" w:color="auto" w:sz="4" w:space="0"/>
              <w:left w:val="single" w:color="auto" w:sz="4" w:space="0"/>
              <w:right w:val="single" w:color="auto" w:sz="4" w:space="0"/>
            </w:tcBorders>
            <w:vAlign w:val="center"/>
          </w:tcPr>
          <w:p w14:paraId="41B295D5">
            <w:pPr>
              <w:keepNext w:val="0"/>
              <w:keepLines w:val="0"/>
              <w:pageBreakBefore w:val="0"/>
              <w:widowControl/>
              <w:kinsoku/>
              <w:overflowPunct/>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公示媒介：同招标公告发布媒介</w:t>
            </w:r>
          </w:p>
          <w:p w14:paraId="5EBA81CE">
            <w:pPr>
              <w:keepNext w:val="0"/>
              <w:keepLines w:val="0"/>
              <w:pageBreakBefore w:val="0"/>
              <w:widowControl/>
              <w:kinsoku/>
              <w:overflowPunct/>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公示期限：1日</w:t>
            </w:r>
          </w:p>
        </w:tc>
      </w:tr>
      <w:tr w14:paraId="1314FC43">
        <w:tblPrEx>
          <w:tblCellMar>
            <w:top w:w="0" w:type="dxa"/>
            <w:left w:w="108" w:type="dxa"/>
            <w:bottom w:w="0" w:type="dxa"/>
            <w:right w:w="108" w:type="dxa"/>
          </w:tblCellMar>
        </w:tblPrEx>
        <w:trPr>
          <w:jc w:val="center"/>
        </w:trPr>
        <w:tc>
          <w:tcPr>
            <w:tcW w:w="868" w:type="dxa"/>
            <w:tcBorders>
              <w:top w:val="single" w:color="auto" w:sz="4" w:space="0"/>
              <w:left w:val="single" w:color="auto" w:sz="4" w:space="0"/>
              <w:right w:val="single" w:color="auto" w:sz="4" w:space="0"/>
            </w:tcBorders>
            <w:vAlign w:val="center"/>
          </w:tcPr>
          <w:p w14:paraId="0CAD511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28</w:t>
            </w:r>
          </w:p>
        </w:tc>
        <w:tc>
          <w:tcPr>
            <w:tcW w:w="2130" w:type="dxa"/>
            <w:gridSpan w:val="2"/>
            <w:tcBorders>
              <w:top w:val="single" w:color="auto" w:sz="4" w:space="0"/>
              <w:left w:val="single" w:color="auto" w:sz="4" w:space="0"/>
              <w:right w:val="single" w:color="auto" w:sz="4" w:space="0"/>
            </w:tcBorders>
            <w:vAlign w:val="center"/>
          </w:tcPr>
          <w:p w14:paraId="00986C5B">
            <w:pPr>
              <w:keepNext w:val="0"/>
              <w:keepLines w:val="0"/>
              <w:pageBreakBefore w:val="0"/>
              <w:kinsoku/>
              <w:wordWrap/>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中标通知书发出形式</w:t>
            </w:r>
          </w:p>
        </w:tc>
        <w:tc>
          <w:tcPr>
            <w:tcW w:w="7529" w:type="dxa"/>
            <w:tcBorders>
              <w:top w:val="single" w:color="auto" w:sz="4" w:space="0"/>
              <w:left w:val="single" w:color="auto" w:sz="4" w:space="0"/>
              <w:right w:val="single" w:color="auto" w:sz="4" w:space="0"/>
            </w:tcBorders>
            <w:vAlign w:val="center"/>
          </w:tcPr>
          <w:p w14:paraId="020A58C5">
            <w:pPr>
              <w:keepNext w:val="0"/>
              <w:keepLines w:val="0"/>
              <w:pageBreakBefore w:val="0"/>
              <w:widowControl/>
              <w:kinsoku/>
              <w:wordWrap/>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数据电文</w:t>
            </w:r>
          </w:p>
        </w:tc>
      </w:tr>
      <w:tr w14:paraId="7C747C0B">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29136B1F">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29</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9DFC78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履约担保</w:t>
            </w:r>
          </w:p>
        </w:tc>
        <w:tc>
          <w:tcPr>
            <w:tcW w:w="7529" w:type="dxa"/>
            <w:tcBorders>
              <w:top w:val="single" w:color="auto" w:sz="4" w:space="0"/>
              <w:left w:val="single" w:color="auto" w:sz="4" w:space="0"/>
              <w:bottom w:val="single" w:color="auto" w:sz="4" w:space="0"/>
              <w:right w:val="single" w:color="auto" w:sz="4" w:space="0"/>
            </w:tcBorders>
            <w:vAlign w:val="center"/>
          </w:tcPr>
          <w:p w14:paraId="6807BF89">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不收取</w:t>
            </w:r>
          </w:p>
        </w:tc>
      </w:tr>
      <w:tr w14:paraId="1A738413">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4F2B416C">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8D5393C">
            <w:pPr>
              <w:keepNext w:val="0"/>
              <w:keepLines w:val="0"/>
              <w:pageBreakBefore w:val="0"/>
              <w:kinsoku/>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签订合同</w:t>
            </w:r>
          </w:p>
        </w:tc>
        <w:tc>
          <w:tcPr>
            <w:tcW w:w="7529" w:type="dxa"/>
            <w:tcBorders>
              <w:top w:val="single" w:color="auto" w:sz="4" w:space="0"/>
              <w:left w:val="single" w:color="auto" w:sz="4" w:space="0"/>
              <w:bottom w:val="single" w:color="auto" w:sz="4" w:space="0"/>
              <w:right w:val="single" w:color="auto" w:sz="4" w:space="0"/>
            </w:tcBorders>
            <w:vAlign w:val="top"/>
          </w:tcPr>
          <w:p w14:paraId="1E208699">
            <w:pPr>
              <w:keepNext w:val="0"/>
              <w:keepLines w:val="0"/>
              <w:pageBreakBefore w:val="0"/>
              <w:kinsoku/>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中标通知书发出之日起，3个日历天内应委派代表与招标人联系办理履约担保并商讨书面合同签订等事宜；30个日历天内足额交纳履约保证金并根据招标文件和中标人的投标文件订立书面合同。中标人无正当理由拒签合同的，招标人将依据招投标相关法律法规进行处理；给招标人造成的损失，中标人还应当予以赔偿。</w:t>
            </w:r>
          </w:p>
        </w:tc>
      </w:tr>
      <w:tr w14:paraId="5C8B4C92">
        <w:tblPrEx>
          <w:tblCellMar>
            <w:top w:w="0" w:type="dxa"/>
            <w:left w:w="108" w:type="dxa"/>
            <w:bottom w:w="0" w:type="dxa"/>
            <w:right w:w="108" w:type="dxa"/>
          </w:tblCellMar>
        </w:tblPrEx>
        <w:trPr>
          <w:trHeight w:val="90" w:hRule="atLeast"/>
          <w:jc w:val="center"/>
        </w:trPr>
        <w:tc>
          <w:tcPr>
            <w:tcW w:w="10527" w:type="dxa"/>
            <w:gridSpan w:val="4"/>
            <w:tcBorders>
              <w:top w:val="single" w:color="auto" w:sz="4" w:space="0"/>
              <w:left w:val="single" w:color="auto" w:sz="4" w:space="0"/>
              <w:bottom w:val="single" w:color="auto" w:sz="4" w:space="0"/>
              <w:right w:val="single" w:color="auto" w:sz="4" w:space="0"/>
            </w:tcBorders>
            <w:vAlign w:val="center"/>
          </w:tcPr>
          <w:p w14:paraId="22A6DE59">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需要补充的其他内容</w:t>
            </w:r>
          </w:p>
        </w:tc>
      </w:tr>
      <w:tr w14:paraId="0EAA8378">
        <w:tblPrEx>
          <w:tblCellMar>
            <w:top w:w="0" w:type="dxa"/>
            <w:left w:w="108" w:type="dxa"/>
            <w:bottom w:w="0" w:type="dxa"/>
            <w:right w:w="108" w:type="dxa"/>
          </w:tblCellMar>
        </w:tblPrEx>
        <w:trPr>
          <w:trHeight w:val="90" w:hRule="atLeast"/>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1763174F">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电子招标投标</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3D0923B4">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是</w:t>
            </w:r>
            <w:r>
              <w:rPr>
                <w:rFonts w:hint="eastAsia" w:asciiTheme="minorEastAsia" w:hAnsiTheme="minorEastAsia" w:eastAsiaTheme="minorEastAsia" w:cstheme="minorEastAsia"/>
                <w:color w:val="auto"/>
                <w:sz w:val="21"/>
                <w:szCs w:val="21"/>
                <w:highlight w:val="none"/>
              </w:rPr>
              <w:t>，具体要求：按招标文件规定。</w:t>
            </w:r>
          </w:p>
        </w:tc>
      </w:tr>
      <w:tr w14:paraId="44ED8C55">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72B644CC">
            <w:pPr>
              <w:keepNext w:val="0"/>
              <w:keepLines w:val="0"/>
              <w:pageBreakBefore w:val="0"/>
              <w:kinsoku/>
              <w:wordWrap/>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招标代理服务费</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4FCEA6E1">
            <w:pPr>
              <w:keepNext w:val="0"/>
              <w:keepLines w:val="0"/>
              <w:pageBreakBefore w:val="0"/>
              <w:kinsoku/>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代理服务费具体金额：</w:t>
            </w:r>
            <w:r>
              <w:rPr>
                <w:rFonts w:hint="eastAsia" w:asciiTheme="minorEastAsia" w:hAnsiTheme="minorEastAsia" w:eastAsiaTheme="minorEastAsia" w:cstheme="minorEastAsia"/>
                <w:color w:val="auto"/>
                <w:kern w:val="0"/>
                <w:sz w:val="21"/>
                <w:szCs w:val="21"/>
                <w:highlight w:val="none"/>
                <w:u w:val="single"/>
                <w:lang w:val="en-US" w:eastAsia="zh-CN"/>
              </w:rPr>
              <w:t>3300</w:t>
            </w:r>
            <w:r>
              <w:rPr>
                <w:rFonts w:hint="eastAsia" w:asciiTheme="minorEastAsia" w:hAnsiTheme="minorEastAsia" w:eastAsiaTheme="minorEastAsia" w:cstheme="minorEastAsia"/>
                <w:color w:val="auto"/>
                <w:kern w:val="0"/>
                <w:sz w:val="21"/>
                <w:szCs w:val="21"/>
                <w:highlight w:val="none"/>
              </w:rPr>
              <w:t>元</w:t>
            </w:r>
            <w:r>
              <w:rPr>
                <w:rFonts w:hint="eastAsia" w:asciiTheme="minorEastAsia" w:hAnsiTheme="minorEastAsia" w:eastAsiaTheme="minorEastAsia" w:cstheme="minorEastAsia"/>
                <w:color w:val="auto"/>
                <w:kern w:val="0"/>
                <w:sz w:val="21"/>
                <w:szCs w:val="21"/>
                <w:highlight w:val="none"/>
                <w:lang w:eastAsia="zh-CN"/>
              </w:rPr>
              <w:t>（参照计价格[2002]1980号文件</w:t>
            </w:r>
            <w:r>
              <w:rPr>
                <w:rFonts w:hint="eastAsia" w:asciiTheme="minorEastAsia" w:hAnsiTheme="minorEastAsia" w:eastAsiaTheme="minorEastAsia" w:cstheme="minorEastAsia"/>
                <w:color w:val="auto"/>
                <w:kern w:val="0"/>
                <w:sz w:val="21"/>
                <w:szCs w:val="21"/>
                <w:highlight w:val="none"/>
                <w:lang w:val="en-US" w:eastAsia="zh-CN"/>
              </w:rPr>
              <w:t>50%</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w:t>
            </w:r>
          </w:p>
          <w:p w14:paraId="56857A6A">
            <w:pPr>
              <w:keepNext w:val="0"/>
              <w:keepLines w:val="0"/>
              <w:pageBreakBefore w:val="0"/>
              <w:kinsoku/>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代理服务费支付主体</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kern w:val="0"/>
                <w:sz w:val="21"/>
                <w:szCs w:val="21"/>
                <w:highlight w:val="none"/>
              </w:rPr>
              <w:t>中标人</w:t>
            </w:r>
          </w:p>
        </w:tc>
      </w:tr>
      <w:tr w14:paraId="06105E45">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0848E885">
            <w:pPr>
              <w:keepNext w:val="0"/>
              <w:keepLines w:val="0"/>
              <w:pageBreakBefore w:val="0"/>
              <w:kinsoku/>
              <w:wordWrap/>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专家评审劳务费</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1DD6A9E5">
            <w:pPr>
              <w:keepNext w:val="0"/>
              <w:keepLines w:val="0"/>
              <w:pageBreakBefore w:val="0"/>
              <w:kinsoku/>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费用或支付标准：以实际发生费用为准</w:t>
            </w:r>
          </w:p>
          <w:p w14:paraId="5785329E">
            <w:pPr>
              <w:pStyle w:val="44"/>
              <w:keepNext w:val="0"/>
              <w:keepLines w:val="0"/>
              <w:pageBreakBefore w:val="0"/>
              <w:kinsoku/>
              <w:overflowPunct/>
              <w:autoSpaceDE/>
              <w:autoSpaceDN/>
              <w:bidi w:val="0"/>
              <w:spacing w:line="520" w:lineRule="exact"/>
              <w:ind w:left="0" w:leftChars="0" w:firstLine="0" w:firstLineChars="0"/>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sz w:val="21"/>
                <w:szCs w:val="21"/>
                <w:highlight w:val="none"/>
              </w:rPr>
              <w:t>支付主体：</w:t>
            </w:r>
            <w:r>
              <w:rPr>
                <w:rFonts w:hint="eastAsia" w:asciiTheme="minorEastAsia" w:hAnsiTheme="minorEastAsia" w:eastAsiaTheme="minorEastAsia" w:cstheme="minorEastAsia"/>
                <w:color w:val="auto"/>
                <w:sz w:val="21"/>
                <w:szCs w:val="21"/>
                <w:highlight w:val="none"/>
                <w:lang w:val="en-US" w:eastAsia="zh-CN"/>
              </w:rPr>
              <w:t>招标人</w:t>
            </w:r>
          </w:p>
        </w:tc>
      </w:tr>
      <w:tr w14:paraId="4B5FF69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31509F33">
            <w:pPr>
              <w:keepNext w:val="0"/>
              <w:keepLines w:val="0"/>
              <w:pageBreakBefore w:val="0"/>
              <w:kinsoku/>
              <w:wordWrap/>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解释权</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6825A893">
            <w:pPr>
              <w:pStyle w:val="119"/>
              <w:keepNext w:val="0"/>
              <w:keepLines w:val="0"/>
              <w:pageBreakBefore w:val="0"/>
              <w:kinsoku/>
              <w:wordWrap/>
              <w:overflowPunct/>
              <w:autoSpaceDE/>
              <w:autoSpaceDN/>
              <w:bidi w:val="0"/>
              <w:adjustRightInd w:val="0"/>
              <w:snapToGrid w:val="0"/>
              <w:spacing w:line="520" w:lineRule="exact"/>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1.构成本招标文 件的各个组成文件应互为解释，互为说明；</w:t>
            </w:r>
          </w:p>
          <w:p w14:paraId="1EDAA598">
            <w:pPr>
              <w:pStyle w:val="119"/>
              <w:keepNext w:val="0"/>
              <w:keepLines w:val="0"/>
              <w:pageBreakBefore w:val="0"/>
              <w:kinsoku/>
              <w:wordWrap/>
              <w:overflowPunct/>
              <w:autoSpaceDE/>
              <w:autoSpaceDN/>
              <w:bidi w:val="0"/>
              <w:adjustRightInd w:val="0"/>
              <w:snapToGrid w:val="0"/>
              <w:spacing w:line="520" w:lineRule="exact"/>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2.同一组成文件中就同一事项的规定或约定不一致的，以编排顺序在后者为准；</w:t>
            </w:r>
          </w:p>
          <w:p w14:paraId="2316AE66">
            <w:pPr>
              <w:pStyle w:val="119"/>
              <w:keepNext w:val="0"/>
              <w:keepLines w:val="0"/>
              <w:pageBreakBefore w:val="0"/>
              <w:tabs>
                <w:tab w:val="left" w:pos="351"/>
              </w:tabs>
              <w:kinsoku/>
              <w:wordWrap/>
              <w:overflowPunct/>
              <w:autoSpaceDE/>
              <w:autoSpaceDN/>
              <w:bidi w:val="0"/>
              <w:adjustRightInd w:val="0"/>
              <w:snapToGrid w:val="0"/>
              <w:spacing w:line="520" w:lineRule="exact"/>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3.如有不明确或不一致，构成合同文件组成内容的，以合同文件约定内容为准，且以专用合同条款约定的合同文件优先顺序解释；</w:t>
            </w:r>
          </w:p>
          <w:p w14:paraId="5E5F702D">
            <w:pPr>
              <w:pStyle w:val="119"/>
              <w:keepNext w:val="0"/>
              <w:keepLines w:val="0"/>
              <w:pageBreakBefore w:val="0"/>
              <w:tabs>
                <w:tab w:val="left" w:pos="354"/>
              </w:tabs>
              <w:kinsoku/>
              <w:wordWrap/>
              <w:overflowPunct/>
              <w:autoSpaceDE/>
              <w:autoSpaceDN/>
              <w:bidi w:val="0"/>
              <w:adjustRightInd w:val="0"/>
              <w:snapToGrid w:val="0"/>
              <w:spacing w:line="520" w:lineRule="exact"/>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4.系统中提供的表格（或格式文件）与招标文件中不一致时，以招标文件中提供的为准；</w:t>
            </w:r>
          </w:p>
          <w:p w14:paraId="212B79FA">
            <w:pPr>
              <w:pStyle w:val="119"/>
              <w:keepNext w:val="0"/>
              <w:keepLines w:val="0"/>
              <w:pageBreakBefore w:val="0"/>
              <w:tabs>
                <w:tab w:val="left" w:pos="636"/>
              </w:tabs>
              <w:kinsoku/>
              <w:wordWrap/>
              <w:overflowPunct/>
              <w:autoSpaceDE/>
              <w:autoSpaceDN/>
              <w:bidi w:val="0"/>
              <w:adjustRightInd w:val="0"/>
              <w:snapToGrid w:val="0"/>
              <w:spacing w:line="520" w:lineRule="exact"/>
              <w:jc w:val="left"/>
              <w:textAlignment w:val="auto"/>
              <w:rPr>
                <w:rFonts w:hint="eastAsia" w:asciiTheme="minorEastAsia" w:hAnsiTheme="minorEastAsia" w:eastAsiaTheme="minorEastAsia" w:cstheme="minorEastAsia"/>
                <w:strike/>
                <w:color w:val="auto"/>
                <w:sz w:val="21"/>
                <w:szCs w:val="21"/>
                <w:highlight w:val="none"/>
              </w:rPr>
            </w:pPr>
            <w:r>
              <w:rPr>
                <w:rFonts w:hint="eastAsia" w:asciiTheme="minorEastAsia" w:hAnsiTheme="minorEastAsia" w:eastAsiaTheme="minorEastAsia" w:cstheme="minorEastAsia"/>
                <w:bCs/>
                <w:color w:val="auto"/>
                <w:kern w:val="2"/>
                <w:sz w:val="21"/>
                <w:szCs w:val="21"/>
                <w:highlight w:val="none"/>
                <w:lang w:val="en-US" w:eastAsia="zh-CN" w:bidi="ar-SA"/>
              </w:rPr>
              <w:t>5.按本款前述规定仍不能形成结论的，由招标人负责解释。</w:t>
            </w:r>
          </w:p>
        </w:tc>
      </w:tr>
      <w:tr w14:paraId="768E8C0F">
        <w:tblPrEx>
          <w:tblCellMar>
            <w:top w:w="0" w:type="dxa"/>
            <w:left w:w="108" w:type="dxa"/>
            <w:bottom w:w="0" w:type="dxa"/>
            <w:right w:w="108" w:type="dxa"/>
          </w:tblCellMar>
        </w:tblPrEx>
        <w:trPr>
          <w:trHeight w:val="90" w:hRule="atLeast"/>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36C74B8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人员配备要求</w:t>
            </w:r>
            <w:r>
              <w:rPr>
                <w:rFonts w:hint="eastAsia" w:asciiTheme="minorEastAsia" w:hAnsiTheme="minorEastAsia" w:eastAsiaTheme="minorEastAsia" w:cstheme="minorEastAsia"/>
                <w:color w:val="auto"/>
                <w:sz w:val="21"/>
                <w:szCs w:val="21"/>
                <w:highlight w:val="none"/>
                <w:lang w:val="en-US" w:eastAsia="zh-CN"/>
              </w:rPr>
              <w:t>及在岗</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56966E49">
            <w:pPr>
              <w:keepNext w:val="0"/>
              <w:keepLines w:val="0"/>
              <w:pageBreakBefore w:val="0"/>
              <w:kinsoku/>
              <w:wordWrap/>
              <w:overflowPunct/>
              <w:topLinePunct w:val="0"/>
              <w:autoSpaceDE/>
              <w:autoSpaceDN/>
              <w:bidi w:val="0"/>
              <w:snapToGrid w:val="0"/>
              <w:spacing w:line="520" w:lineRule="exact"/>
              <w:jc w:val="left"/>
              <w:textAlignment w:val="auto"/>
              <w:rPr>
                <w:rFonts w:hint="eastAsia" w:asciiTheme="minorEastAsia" w:hAnsiTheme="minorEastAsia" w:eastAsiaTheme="minorEastAsia" w:cstheme="minorEastAsia"/>
                <w:b/>
                <w:bCs/>
                <w:color w:val="auto"/>
                <w:sz w:val="21"/>
                <w:szCs w:val="21"/>
                <w:highlight w:val="none"/>
                <w:u w:val="none"/>
                <w:lang w:val="en-US" w:eastAsia="zh-CN"/>
              </w:rPr>
            </w:pPr>
            <w:r>
              <w:rPr>
                <w:rFonts w:hint="eastAsia" w:asciiTheme="minorEastAsia" w:hAnsiTheme="minorEastAsia" w:eastAsiaTheme="minorEastAsia" w:cstheme="minorEastAsia"/>
                <w:b/>
                <w:bCs/>
                <w:color w:val="auto"/>
                <w:sz w:val="21"/>
                <w:szCs w:val="21"/>
                <w:highlight w:val="none"/>
                <w:u w:val="none"/>
                <w:lang w:val="en-US" w:eastAsia="zh-CN"/>
              </w:rPr>
              <w:t>1.除项目负责人外，还须配备满足下列要求的项目组成员（不得少于5人）</w:t>
            </w:r>
            <w:r>
              <w:rPr>
                <w:rFonts w:hint="eastAsia" w:asciiTheme="minorEastAsia" w:hAnsiTheme="minorEastAsia" w:eastAsiaTheme="minorEastAsia" w:cstheme="minorEastAsia"/>
                <w:b/>
                <w:bCs/>
                <w:color w:val="auto"/>
                <w:sz w:val="21"/>
                <w:szCs w:val="21"/>
                <w:highlight w:val="none"/>
              </w:rPr>
              <w:t>：</w:t>
            </w:r>
          </w:p>
          <w:p w14:paraId="1CB4F6EC">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asciiTheme="minorEastAsia" w:hAnsiTheme="minorEastAsia" w:eastAsiaTheme="minorEastAsia" w:cstheme="minorEastAsia"/>
                <w:b/>
                <w:bCs/>
                <w:color w:val="auto"/>
                <w:kern w:val="2"/>
                <w:sz w:val="21"/>
                <w:szCs w:val="21"/>
                <w:highlight w:val="none"/>
                <w:u w:val="none"/>
                <w:lang w:val="en-US" w:eastAsia="zh-CN" w:bidi="ar-SA"/>
              </w:rPr>
            </w:pPr>
            <w:r>
              <w:rPr>
                <w:rFonts w:hint="eastAsia" w:asciiTheme="minorEastAsia" w:hAnsiTheme="minorEastAsia" w:eastAsiaTheme="minorEastAsia" w:cstheme="minorEastAsia"/>
                <w:b/>
                <w:bCs/>
                <w:color w:val="auto"/>
                <w:kern w:val="2"/>
                <w:sz w:val="21"/>
                <w:szCs w:val="21"/>
                <w:highlight w:val="none"/>
                <w:u w:val="none"/>
                <w:lang w:val="en-US" w:eastAsia="zh-CN" w:bidi="ar-SA"/>
              </w:rPr>
              <w:t>（1）不少于3名注册在投标单位的土木建筑工程专业注册造价工程师（或原注册造价工程师）（具有相关证书）。</w:t>
            </w:r>
          </w:p>
          <w:p w14:paraId="401FFA67">
            <w:pPr>
              <w:pStyle w:val="44"/>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Theme="minorEastAsia" w:hAnsiTheme="minorEastAsia" w:eastAsiaTheme="minorEastAsia" w:cstheme="minorEastAsia"/>
                <w:b/>
                <w:bCs/>
                <w:color w:val="auto"/>
                <w:kern w:val="2"/>
                <w:sz w:val="21"/>
                <w:szCs w:val="21"/>
                <w:highlight w:val="none"/>
                <w:u w:val="none"/>
                <w:lang w:val="en-US" w:eastAsia="zh-CN" w:bidi="ar-SA"/>
              </w:rPr>
            </w:pPr>
            <w:r>
              <w:rPr>
                <w:rFonts w:hint="eastAsia" w:asciiTheme="minorEastAsia" w:hAnsiTheme="minorEastAsia" w:eastAsiaTheme="minorEastAsia" w:cstheme="minorEastAsia"/>
                <w:b/>
                <w:bCs/>
                <w:color w:val="auto"/>
                <w:kern w:val="2"/>
                <w:sz w:val="21"/>
                <w:szCs w:val="21"/>
                <w:highlight w:val="none"/>
                <w:u w:val="none"/>
                <w:lang w:val="en-US" w:eastAsia="zh-CN" w:bidi="ar-SA"/>
              </w:rPr>
              <w:t>（2）不少于2名注册在投标单位的安装工程专业注册造价工程师（或原注册造价工程师）（具有相关证书）。</w:t>
            </w:r>
          </w:p>
          <w:p w14:paraId="53F0770B">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asciiTheme="minorEastAsia" w:hAnsiTheme="minorEastAsia" w:eastAsiaTheme="minorEastAsia" w:cstheme="minorEastAsia"/>
                <w:b/>
                <w:bCs/>
                <w:color w:val="auto"/>
                <w:kern w:val="2"/>
                <w:sz w:val="21"/>
                <w:szCs w:val="21"/>
                <w:highlight w:val="none"/>
                <w:u w:val="none"/>
                <w:lang w:val="en-US" w:eastAsia="zh-CN" w:bidi="ar-SA"/>
              </w:rPr>
            </w:pPr>
            <w:r>
              <w:rPr>
                <w:rFonts w:hint="eastAsia" w:asciiTheme="minorEastAsia" w:hAnsiTheme="minorEastAsia" w:eastAsiaTheme="minorEastAsia" w:cstheme="minorEastAsia"/>
                <w:b/>
                <w:bCs/>
                <w:color w:val="auto"/>
                <w:kern w:val="2"/>
                <w:sz w:val="21"/>
                <w:szCs w:val="21"/>
                <w:highlight w:val="none"/>
                <w:u w:val="none"/>
                <w:lang w:val="en-US" w:eastAsia="zh-CN" w:bidi="ar-SA"/>
              </w:rPr>
              <w:t>（3）以上人员配备为最低配备标准要求，在后期项目实施过程中，项目单位可根据施工现场情况增加或调整人员数量和相关专业，费用不予调整。</w:t>
            </w:r>
          </w:p>
          <w:p w14:paraId="57452B00">
            <w:pPr>
              <w:pStyle w:val="44"/>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Theme="minorEastAsia" w:hAnsiTheme="minorEastAsia" w:eastAsiaTheme="minorEastAsia" w:cstheme="minorEastAsia"/>
                <w:b/>
                <w:bCs/>
                <w:color w:val="auto"/>
                <w:sz w:val="21"/>
                <w:szCs w:val="21"/>
                <w:highlight w:val="none"/>
                <w:u w:val="none"/>
                <w:lang w:val="en-US" w:eastAsia="zh-CN"/>
              </w:rPr>
            </w:pPr>
            <w:r>
              <w:rPr>
                <w:rFonts w:hint="eastAsia" w:asciiTheme="minorEastAsia" w:hAnsiTheme="minorEastAsia" w:eastAsiaTheme="minorEastAsia" w:cstheme="minorEastAsia"/>
                <w:b/>
                <w:bCs/>
                <w:color w:val="auto"/>
                <w:sz w:val="21"/>
                <w:szCs w:val="21"/>
                <w:highlight w:val="none"/>
                <w:u w:val="none"/>
                <w:lang w:val="en-US" w:eastAsia="zh-CN"/>
              </w:rPr>
              <w:t>注：上述人员投标时均须提供相应证书及社保部门出具的本单位（或其不具备独立法人资格的分支机构）为其缴纳的投标前近三个月连续的养老保险证明（含官网在线打印件，证明文件两个月内有效），投标人是事业单位的，暂未缴纳社保的，须由其主管部门出具证明。</w:t>
            </w:r>
          </w:p>
          <w:p w14:paraId="42261F9F">
            <w:pPr>
              <w:keepNext w:val="0"/>
              <w:keepLines w:val="0"/>
              <w:pageBreakBefore w:val="0"/>
              <w:kinsoku/>
              <w:wordWrap/>
              <w:overflowPunct/>
              <w:topLinePunct w:val="0"/>
              <w:autoSpaceDE/>
              <w:autoSpaceDN/>
              <w:bidi w:val="0"/>
              <w:snapToGrid w:val="0"/>
              <w:spacing w:line="520" w:lineRule="exact"/>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u w:val="none"/>
                <w:lang w:val="en-US" w:eastAsia="zh-CN"/>
              </w:rPr>
              <w:t>2.项目组成员非特殊原因一律不得更换，确需更换的必须经招标人认可，更换人员的条件必须高于或等同于原先人员的资历。项目负责人变更处罚5万元每次，项目组其他人员变更处罚2万元每人每次。</w:t>
            </w:r>
          </w:p>
        </w:tc>
      </w:tr>
      <w:tr w14:paraId="2CD27263">
        <w:tblPrEx>
          <w:tblCellMar>
            <w:top w:w="0" w:type="dxa"/>
            <w:left w:w="108" w:type="dxa"/>
            <w:bottom w:w="0" w:type="dxa"/>
            <w:right w:w="108" w:type="dxa"/>
          </w:tblCellMar>
        </w:tblPrEx>
        <w:trPr>
          <w:trHeight w:val="90" w:hRule="atLeast"/>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2B3468E5">
            <w:pPr>
              <w:keepNext w:val="0"/>
              <w:keepLines w:val="0"/>
              <w:pageBreakBefore w:val="0"/>
              <w:widowControl/>
              <w:kinsoku/>
              <w:overflowPunct/>
              <w:topLinePunct w:val="0"/>
              <w:autoSpaceDE/>
              <w:autoSpaceDN/>
              <w:bidi w:val="0"/>
              <w:spacing w:line="520" w:lineRule="exact"/>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其他要求</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32564A6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val="en-US" w:eastAsia="zh-CN" w:bidi="ar"/>
              </w:rPr>
              <w:t xml:space="preserve">1.投标人需了解当地造价管理部门的相关规定和造价政策，项目负责人能熟练掌握使用常用的计量计价软件。 </w:t>
            </w:r>
          </w:p>
          <w:p w14:paraId="55A3300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bidi="ar"/>
              </w:rPr>
              <w:t xml:space="preserve">2.中标价格（费率）包干使用，中标人不得因“设计变更、施工标段划分调整、市场变化、规范和标准调整等一切可预见和不可预见因素”向招标人提出调整。中标价格（费率）在合同实施期间不因市场和政策变化因素而变动。 </w:t>
            </w:r>
          </w:p>
        </w:tc>
      </w:tr>
      <w:tr w14:paraId="5204EBEF">
        <w:tblPrEx>
          <w:tblCellMar>
            <w:top w:w="0" w:type="dxa"/>
            <w:left w:w="108" w:type="dxa"/>
            <w:bottom w:w="0" w:type="dxa"/>
            <w:right w:w="108" w:type="dxa"/>
          </w:tblCellMar>
        </w:tblPrEx>
        <w:trPr>
          <w:trHeight w:val="90" w:hRule="atLeast"/>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23F95FDA">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约谈制度</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563A001A">
            <w:pPr>
              <w:keepNext w:val="0"/>
              <w:keepLines w:val="0"/>
              <w:pageBreakBefore w:val="0"/>
              <w:kinsoku/>
              <w:overflowPunct/>
              <w:autoSpaceDE/>
              <w:autoSpaceDN/>
              <w:bidi w:val="0"/>
              <w:spacing w:line="52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项目公示期满，下发中标通知书前，中标单位必须按照招标单位的规定参加项目实施前约谈，中标单位的法人代表或负责人（公司副总以上）和项目负责人必须参加约谈会议。</w:t>
            </w:r>
          </w:p>
          <w:p w14:paraId="18139C39">
            <w:pPr>
              <w:keepNext w:val="0"/>
              <w:keepLines w:val="0"/>
              <w:pageBreakBefore w:val="0"/>
              <w:kinsoku/>
              <w:overflowPunct/>
              <w:autoSpaceDE/>
              <w:autoSpaceDN/>
              <w:bidi w:val="0"/>
              <w:spacing w:line="52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注：中标单位的法人代表参加约谈的，参与会议时须提供有效身份证明和职务任命文件；中标单位的负责人（公司副总以上）参加约谈的，参与会议时须提供授权委托书、有效身份证明和职务任命文件，以及社保部门出具的本单位为其缴纳的养老保险证明（证明文件两个月内有效）。</w:t>
            </w:r>
          </w:p>
        </w:tc>
      </w:tr>
      <w:tr w14:paraId="105B63ED">
        <w:tblPrEx>
          <w:tblCellMar>
            <w:top w:w="0" w:type="dxa"/>
            <w:left w:w="108" w:type="dxa"/>
            <w:bottom w:w="0" w:type="dxa"/>
            <w:right w:w="108" w:type="dxa"/>
          </w:tblCellMar>
        </w:tblPrEx>
        <w:trPr>
          <w:trHeight w:val="430" w:hRule="atLeast"/>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70761FC1">
            <w:pPr>
              <w:keepNext w:val="0"/>
              <w:keepLines w:val="0"/>
              <w:pageBreakBefore w:val="0"/>
              <w:widowControl/>
              <w:kinsoku/>
              <w:overflowPunct/>
              <w:autoSpaceDE/>
              <w:autoSpaceDN/>
              <w:bidi w:val="0"/>
              <w:spacing w:line="52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评标过程中的澄清、说明或补正</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4C32C652">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color w:val="auto"/>
                <w:kern w:val="2"/>
                <w:sz w:val="21"/>
                <w:szCs w:val="21"/>
                <w:highlight w:val="none"/>
                <w:lang w:val="zh-CN"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w:t>
            </w:r>
            <w:r>
              <w:rPr>
                <w:rFonts w:hint="eastAsia" w:asciiTheme="minorEastAsia" w:hAnsiTheme="minorEastAsia" w:eastAsiaTheme="minorEastAsia" w:cstheme="minorEastAsia"/>
                <w:b w:val="0"/>
                <w:bCs w:val="0"/>
                <w:color w:val="auto"/>
                <w:kern w:val="2"/>
                <w:sz w:val="21"/>
                <w:szCs w:val="21"/>
                <w:highlight w:val="none"/>
                <w:lang w:val="zh-CN" w:eastAsia="zh-CN" w:bidi="ar-SA"/>
              </w:rPr>
              <w:t>评标委员会通过网上招投标系统将需要澄清、说明或补正的内容以询标函的形式发送给投标人，投标人应安排专人登录网上招投标系统并保持在线状态，以便及时接收评标委员会可能发出的询标函。</w:t>
            </w:r>
          </w:p>
          <w:p w14:paraId="5D79C0EB">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2.</w:t>
            </w:r>
            <w:r>
              <w:rPr>
                <w:rFonts w:hint="eastAsia" w:asciiTheme="minorEastAsia" w:hAnsiTheme="minorEastAsia" w:eastAsiaTheme="minorEastAsia" w:cstheme="minorEastAsia"/>
                <w:b w:val="0"/>
                <w:bCs w:val="0"/>
                <w:color w:val="auto"/>
                <w:kern w:val="2"/>
                <w:sz w:val="21"/>
                <w:szCs w:val="21"/>
                <w:highlight w:val="none"/>
                <w:lang w:val="zh-CN" w:eastAsia="zh-CN" w:bidi="ar-SA"/>
              </w:rPr>
              <w:t>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1A0CD3B0">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2E0FC487">
            <w:pPr>
              <w:keepNext w:val="0"/>
              <w:keepLines w:val="0"/>
              <w:pageBreakBefore w:val="0"/>
              <w:widowControl/>
              <w:kinsoku/>
              <w:overflowPunct/>
              <w:autoSpaceDE/>
              <w:autoSpaceDN/>
              <w:bidi w:val="0"/>
              <w:spacing w:line="52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其他</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7FF34DF4">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rPr>
              <w:t>项目</w:t>
            </w:r>
            <w:r>
              <w:rPr>
                <w:rFonts w:hint="eastAsia" w:asciiTheme="minorEastAsia" w:hAnsiTheme="minorEastAsia" w:eastAsiaTheme="minorEastAsia" w:cstheme="minorEastAsia"/>
                <w:color w:val="auto"/>
                <w:sz w:val="21"/>
                <w:szCs w:val="21"/>
                <w:highlight w:val="none"/>
                <w:lang w:val="en-US" w:eastAsia="zh-CN"/>
              </w:rPr>
              <w:t>负责人</w:t>
            </w:r>
            <w:r>
              <w:rPr>
                <w:rFonts w:hint="eastAsia" w:asciiTheme="minorEastAsia" w:hAnsiTheme="minorEastAsia" w:eastAsiaTheme="minorEastAsia" w:cstheme="minorEastAsia"/>
                <w:color w:val="auto"/>
                <w:sz w:val="21"/>
                <w:szCs w:val="21"/>
                <w:highlight w:val="none"/>
                <w:lang w:val="en-US"/>
              </w:rPr>
              <w:t>必须是投标人本单位工作人员，提供虚假资料谋取中标将被依法处罚。</w:t>
            </w:r>
            <w:r>
              <w:rPr>
                <w:rFonts w:hint="eastAsia" w:asciiTheme="minorEastAsia" w:hAnsiTheme="minorEastAsia" w:eastAsiaTheme="minorEastAsia" w:cstheme="minorEastAsia"/>
                <w:color w:val="auto"/>
                <w:sz w:val="21"/>
                <w:szCs w:val="21"/>
                <w:highlight w:val="none"/>
                <w:lang w:val="zh-CN"/>
              </w:rPr>
              <w:t>投标人对所提交的投标人或拟派项目经理业绩、投标人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w:t>
            </w:r>
            <w:r>
              <w:rPr>
                <w:rFonts w:hint="eastAsia" w:asciiTheme="minorEastAsia" w:hAnsiTheme="minorEastAsia" w:eastAsiaTheme="minorEastAsia" w:cstheme="minorEastAsia"/>
                <w:color w:val="auto"/>
                <w:sz w:val="21"/>
                <w:szCs w:val="21"/>
                <w:highlight w:val="none"/>
                <w:lang w:val="en-US"/>
              </w:rPr>
              <w:t>滁州市</w:t>
            </w:r>
            <w:r>
              <w:rPr>
                <w:rFonts w:hint="eastAsia" w:asciiTheme="minorEastAsia" w:hAnsiTheme="minorEastAsia" w:eastAsiaTheme="minorEastAsia" w:cstheme="minorEastAsia"/>
                <w:color w:val="auto"/>
                <w:sz w:val="21"/>
                <w:szCs w:val="21"/>
                <w:highlight w:val="none"/>
                <w:lang w:val="zh-CN"/>
              </w:rPr>
              <w:t>公共资源交易监督管理局）依法处理。</w:t>
            </w:r>
          </w:p>
          <w:p w14:paraId="21AD09A5">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zh-CN"/>
              </w:rPr>
              <w:t>中标人未履行下述义务的，</w:t>
            </w:r>
            <w:r>
              <w:rPr>
                <w:rFonts w:hint="eastAsia" w:asciiTheme="minorEastAsia" w:hAnsiTheme="minorEastAsia" w:eastAsiaTheme="minorEastAsia" w:cstheme="minorEastAsia"/>
                <w:color w:val="auto"/>
                <w:sz w:val="21"/>
                <w:szCs w:val="21"/>
                <w:highlight w:val="none"/>
              </w:rPr>
              <w:t>滁州市</w:t>
            </w:r>
            <w:r>
              <w:rPr>
                <w:rFonts w:hint="eastAsia" w:asciiTheme="minorEastAsia" w:hAnsiTheme="minorEastAsia" w:eastAsiaTheme="minorEastAsia" w:cstheme="minorEastAsia"/>
                <w:color w:val="auto"/>
                <w:sz w:val="21"/>
                <w:szCs w:val="21"/>
                <w:highlight w:val="none"/>
                <w:lang w:val="zh-CN"/>
              </w:rPr>
              <w:t>公共资源交易监督管理局将依法对中标人进行处理，追究相关责任：</w:t>
            </w:r>
          </w:p>
          <w:p w14:paraId="27EB8F75">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①招标文件载明在规定期限内中标人应领取《中标通知书》，若中标人未在规定期限内领取《中标通知书》，招标人有权取消中标人中标资格，并将相关违约行为报送监管部门，实施信用惩戒；</w:t>
            </w:r>
          </w:p>
          <w:p w14:paraId="6E6B0831">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②中标人应在规定期限内提交履约担保并与招标人签订合同， 若中标人未能在规定期限内提交履约担保或签订合同，招标人有权取消中标人中标资格，并将相关违约行为报送监管部门，记不良行为记录，实施信用惩戒；</w:t>
            </w:r>
          </w:p>
          <w:p w14:paraId="628C6492">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③合同签订后，中标人存在规定时间内不组织人员进场开工、不履行供货安装义务等情况，招标人有权解除合同，并追究违约责任，同时将相关违约行为报送监管部门，记不良行为记录， 实施信用惩戒；</w:t>
            </w:r>
          </w:p>
          <w:p w14:paraId="3ED1D1E5">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④中标人中标后被监管部门查实存在违法行为，不满足中标条件的，中标无效，并做好项目后续工作；</w:t>
            </w:r>
          </w:p>
          <w:p w14:paraId="71A4D0BE">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zh-CN"/>
              </w:rPr>
              <w:t>⑤中标人在中标项目发生投诉、信访举报案件、履约存在争议时，拒绝协助配合执法部门调查案件的，招标人可以取消其中标资格或解除合同。</w:t>
            </w:r>
          </w:p>
        </w:tc>
      </w:tr>
      <w:tr w14:paraId="7536C8CA">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5506E799">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友情提示</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06FB74CC">
            <w:pPr>
              <w:keepNext w:val="0"/>
              <w:keepLines w:val="0"/>
              <w:pageBreakBefore w:val="0"/>
              <w:kinsoku/>
              <w:overflowPunct/>
              <w:autoSpaceDE/>
              <w:autoSpaceDN/>
              <w:bidi w:val="0"/>
              <w:spacing w:line="52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加密投标文件上传到系统后，需要投标企业和招标代理公司在投标截止时间后共同解锁，不存在商务报价等投标信息通过系统泄密的风险；投标截止时间前，已上传的投标文件也可以撤回修改。集中到投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tc>
      </w:tr>
    </w:tbl>
    <w:p w14:paraId="2B6926D3">
      <w:pPr>
        <w:rPr>
          <w:rFonts w:ascii="宋体" w:cs="宋体"/>
          <w:color w:val="auto"/>
          <w:sz w:val="24"/>
          <w:highlight w:val="none"/>
        </w:rPr>
      </w:pPr>
      <w:bookmarkStart w:id="66" w:name="_Toc35425053"/>
      <w:bookmarkStart w:id="67" w:name="_Toc35424887"/>
      <w:bookmarkStart w:id="68" w:name="_Toc15058846"/>
      <w:bookmarkStart w:id="69" w:name="_Toc5813"/>
      <w:r>
        <w:rPr>
          <w:rFonts w:ascii="宋体" w:cs="宋体"/>
          <w:color w:val="auto"/>
          <w:sz w:val="24"/>
          <w:highlight w:val="none"/>
        </w:rPr>
        <w:br w:type="page"/>
      </w:r>
    </w:p>
    <w:p w14:paraId="06C8DD94">
      <w:pPr>
        <w:pStyle w:val="3"/>
        <w:spacing w:beforeLines="50" w:afterLines="50"/>
        <w:ind w:firstLine="482"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rPr>
        <w:t>总则</w:t>
      </w:r>
      <w:bookmarkEnd w:id="56"/>
      <w:bookmarkEnd w:id="57"/>
      <w:bookmarkEnd w:id="58"/>
      <w:bookmarkEnd w:id="59"/>
      <w:bookmarkEnd w:id="60"/>
      <w:bookmarkEnd w:id="61"/>
      <w:bookmarkEnd w:id="62"/>
      <w:bookmarkEnd w:id="63"/>
      <w:bookmarkEnd w:id="64"/>
      <w:bookmarkEnd w:id="66"/>
      <w:bookmarkEnd w:id="67"/>
      <w:bookmarkEnd w:id="68"/>
      <w:bookmarkEnd w:id="69"/>
    </w:p>
    <w:p w14:paraId="3752156F">
      <w:pPr>
        <w:pStyle w:val="3"/>
        <w:ind w:firstLine="422" w:firstLineChars="200"/>
        <w:rPr>
          <w:rFonts w:ascii="宋体" w:hAnsi="宋体" w:eastAsia="宋体" w:cs="宋体"/>
          <w:color w:val="auto"/>
          <w:kern w:val="44"/>
          <w:highlight w:val="none"/>
        </w:rPr>
      </w:pPr>
      <w:bookmarkStart w:id="70" w:name="_Toc296602421"/>
      <w:bookmarkStart w:id="71" w:name="_Toc247085690"/>
      <w:bookmarkStart w:id="72" w:name="_Toc35424888"/>
      <w:bookmarkStart w:id="73" w:name="_Toc179632547"/>
      <w:bookmarkStart w:id="74" w:name="_Toc152042306"/>
      <w:bookmarkStart w:id="75" w:name="_Toc246996919"/>
      <w:bookmarkStart w:id="76" w:name="_Toc144974498"/>
      <w:bookmarkStart w:id="77" w:name="_Toc4678"/>
      <w:bookmarkStart w:id="78" w:name="_Toc35425054"/>
      <w:bookmarkStart w:id="79" w:name="_Toc15058847"/>
      <w:bookmarkStart w:id="80" w:name="_Toc246996176"/>
      <w:bookmarkStart w:id="81" w:name="_Toc506107270"/>
      <w:bookmarkStart w:id="82" w:name="_Toc324404816"/>
      <w:bookmarkStart w:id="83" w:name="_Toc152045530"/>
      <w:r>
        <w:rPr>
          <w:rFonts w:ascii="宋体" w:hAnsi="宋体" w:eastAsia="宋体" w:cs="宋体"/>
          <w:color w:val="auto"/>
          <w:kern w:val="44"/>
          <w:highlight w:val="none"/>
        </w:rPr>
        <w:t xml:space="preserve">1.1 </w:t>
      </w:r>
      <w:r>
        <w:rPr>
          <w:rFonts w:hint="eastAsia" w:ascii="宋体" w:hAnsi="宋体" w:eastAsia="宋体" w:cs="宋体"/>
          <w:color w:val="auto"/>
          <w:kern w:val="44"/>
          <w:highlight w:val="none"/>
        </w:rPr>
        <w:t>项目概况</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28D14F5E">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1.1.1</w:t>
      </w:r>
      <w:r>
        <w:rPr>
          <w:rFonts w:hint="eastAsia" w:ascii="宋体" w:hAnsi="宋体" w:cs="宋体"/>
          <w:color w:val="auto"/>
          <w:szCs w:val="21"/>
          <w:highlight w:val="none"/>
        </w:rPr>
        <w:t>根据《中华人民共和国招标投标法》《中华人民共和国招标投标法实施条例》等有关法律、法规和规章的规定，本招标项目已具备招标条件，现对本项目进行招标。</w:t>
      </w:r>
    </w:p>
    <w:p w14:paraId="23FC174A">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1.1.2 </w:t>
      </w:r>
      <w:r>
        <w:rPr>
          <w:rFonts w:hint="eastAsia" w:ascii="宋体" w:hAnsi="宋体" w:cs="宋体"/>
          <w:color w:val="auto"/>
          <w:szCs w:val="21"/>
          <w:highlight w:val="none"/>
        </w:rPr>
        <w:t>本招标项目招标人：见投标人须知前附表。</w:t>
      </w:r>
    </w:p>
    <w:p w14:paraId="20571011">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1.1.3 </w:t>
      </w:r>
      <w:r>
        <w:rPr>
          <w:rFonts w:hint="eastAsia" w:ascii="宋体" w:hAnsi="宋体" w:cs="宋体"/>
          <w:color w:val="auto"/>
          <w:szCs w:val="21"/>
          <w:highlight w:val="none"/>
        </w:rPr>
        <w:t>本招标项目招标代理机构：见投标人须知前附表。</w:t>
      </w:r>
    </w:p>
    <w:p w14:paraId="6942B87C">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1.1.4 </w:t>
      </w:r>
      <w:r>
        <w:rPr>
          <w:rFonts w:hint="eastAsia" w:ascii="宋体" w:hAnsi="宋体" w:cs="宋体"/>
          <w:color w:val="auto"/>
          <w:szCs w:val="21"/>
          <w:highlight w:val="none"/>
        </w:rPr>
        <w:t>本招标项目名称：见投标人须知前附表。</w:t>
      </w:r>
    </w:p>
    <w:p w14:paraId="3D640BA0">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1.1.5 </w:t>
      </w:r>
      <w:r>
        <w:rPr>
          <w:rFonts w:hint="eastAsia" w:ascii="宋体" w:hAnsi="宋体" w:cs="宋体"/>
          <w:color w:val="auto"/>
          <w:szCs w:val="21"/>
          <w:highlight w:val="none"/>
        </w:rPr>
        <w:t>本招标项目建设地点：见投标人须知前附表。</w:t>
      </w:r>
    </w:p>
    <w:p w14:paraId="5676632E">
      <w:pPr>
        <w:pStyle w:val="3"/>
        <w:ind w:firstLine="422" w:firstLineChars="200"/>
        <w:rPr>
          <w:rFonts w:ascii="宋体" w:hAnsi="宋体" w:eastAsia="宋体" w:cs="宋体"/>
          <w:color w:val="auto"/>
          <w:highlight w:val="none"/>
        </w:rPr>
      </w:pPr>
      <w:bookmarkStart w:id="84" w:name="_Toc179632548"/>
      <w:bookmarkStart w:id="85" w:name="_Toc144974499"/>
      <w:bookmarkStart w:id="86" w:name="_Toc7142"/>
      <w:bookmarkStart w:id="87" w:name="_Toc152045531"/>
      <w:bookmarkStart w:id="88" w:name="_Toc15058848"/>
      <w:bookmarkStart w:id="89" w:name="_Toc35425055"/>
      <w:bookmarkStart w:id="90" w:name="_Toc296602422"/>
      <w:bookmarkStart w:id="91" w:name="_Toc246996177"/>
      <w:bookmarkStart w:id="92" w:name="_Toc506107271"/>
      <w:bookmarkStart w:id="93" w:name="_Toc152042307"/>
      <w:bookmarkStart w:id="94" w:name="_Toc324404817"/>
      <w:bookmarkStart w:id="95" w:name="_Toc246996920"/>
      <w:bookmarkStart w:id="96" w:name="_Toc35424889"/>
      <w:bookmarkStart w:id="97" w:name="_Toc247085691"/>
      <w:r>
        <w:rPr>
          <w:rFonts w:ascii="宋体" w:hAnsi="宋体" w:eastAsia="宋体" w:cs="宋体"/>
          <w:color w:val="auto"/>
          <w:highlight w:val="none"/>
        </w:rPr>
        <w:t xml:space="preserve">1.2 </w:t>
      </w:r>
      <w:r>
        <w:rPr>
          <w:rFonts w:hint="eastAsia" w:ascii="宋体" w:hAnsi="宋体" w:eastAsia="宋体" w:cs="宋体"/>
          <w:color w:val="auto"/>
          <w:highlight w:val="none"/>
        </w:rPr>
        <w:t>资金来源和落实情况</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41221D0B">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1.2.1 </w:t>
      </w:r>
      <w:r>
        <w:rPr>
          <w:rFonts w:hint="eastAsia" w:ascii="宋体" w:hAnsi="宋体" w:cs="宋体"/>
          <w:color w:val="auto"/>
          <w:szCs w:val="21"/>
          <w:highlight w:val="none"/>
        </w:rPr>
        <w:t>本招标项目的资金来源及出资比例：见投标人须知前附表。</w:t>
      </w:r>
    </w:p>
    <w:p w14:paraId="26A3AA6B">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1.2.2 </w:t>
      </w:r>
      <w:r>
        <w:rPr>
          <w:rFonts w:hint="eastAsia" w:ascii="宋体" w:hAnsi="宋体" w:cs="宋体"/>
          <w:color w:val="auto"/>
          <w:szCs w:val="21"/>
          <w:highlight w:val="none"/>
        </w:rPr>
        <w:t>本招标项目的资金落实情况：见投标人须知前附表。</w:t>
      </w:r>
    </w:p>
    <w:p w14:paraId="60F3F54D">
      <w:pPr>
        <w:pStyle w:val="3"/>
        <w:ind w:firstLine="422" w:firstLineChars="200"/>
        <w:rPr>
          <w:rFonts w:ascii="宋体" w:hAnsi="宋体" w:eastAsia="宋体" w:cs="宋体"/>
          <w:color w:val="auto"/>
          <w:highlight w:val="none"/>
        </w:rPr>
      </w:pPr>
      <w:bookmarkStart w:id="98" w:name="_Toc247085692"/>
      <w:bookmarkStart w:id="99" w:name="_Toc296602423"/>
      <w:bookmarkStart w:id="100" w:name="_Toc35424890"/>
      <w:bookmarkStart w:id="101" w:name="_Toc6330"/>
      <w:bookmarkStart w:id="102" w:name="_Toc152045532"/>
      <w:bookmarkStart w:id="103" w:name="_Toc15058849"/>
      <w:bookmarkStart w:id="104" w:name="_Toc152042308"/>
      <w:bookmarkStart w:id="105" w:name="_Toc246996178"/>
      <w:bookmarkStart w:id="106" w:name="_Toc144974500"/>
      <w:bookmarkStart w:id="107" w:name="_Toc324404818"/>
      <w:bookmarkStart w:id="108" w:name="_Toc35425056"/>
      <w:bookmarkStart w:id="109" w:name="_Toc179632549"/>
      <w:bookmarkStart w:id="110" w:name="_Toc506107272"/>
      <w:bookmarkStart w:id="111" w:name="_Toc246996921"/>
      <w:r>
        <w:rPr>
          <w:rFonts w:ascii="宋体" w:hAnsi="宋体" w:eastAsia="宋体" w:cs="宋体"/>
          <w:color w:val="auto"/>
          <w:highlight w:val="none"/>
        </w:rPr>
        <w:t xml:space="preserve">1.3 </w:t>
      </w:r>
      <w:r>
        <w:rPr>
          <w:rFonts w:hint="eastAsia" w:ascii="宋体" w:hAnsi="宋体" w:eastAsia="宋体" w:cs="宋体"/>
          <w:color w:val="auto"/>
          <w:highlight w:val="none"/>
        </w:rPr>
        <w:t>招标范围、服务期限、质量要求</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73E4CD91">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1.3.1 </w:t>
      </w:r>
      <w:r>
        <w:rPr>
          <w:rFonts w:hint="eastAsia" w:ascii="宋体" w:hAnsi="宋体" w:cs="宋体"/>
          <w:color w:val="auto"/>
          <w:szCs w:val="21"/>
          <w:highlight w:val="none"/>
        </w:rPr>
        <w:t>本次招标范围：见投标人须知前附表。</w:t>
      </w:r>
    </w:p>
    <w:p w14:paraId="3C07D0A2">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1.3.2 </w:t>
      </w:r>
      <w:r>
        <w:rPr>
          <w:rFonts w:hint="eastAsia" w:ascii="宋体" w:hAnsi="宋体" w:cs="宋体"/>
          <w:color w:val="auto"/>
          <w:szCs w:val="21"/>
          <w:highlight w:val="none"/>
        </w:rPr>
        <w:t>本招标项目的服务期限：见投标人须知前附表。</w:t>
      </w:r>
    </w:p>
    <w:p w14:paraId="23C3FCE8">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1.3.3 </w:t>
      </w:r>
      <w:r>
        <w:rPr>
          <w:rFonts w:hint="eastAsia" w:ascii="宋体" w:hAnsi="宋体" w:cs="宋体"/>
          <w:color w:val="auto"/>
          <w:szCs w:val="21"/>
          <w:highlight w:val="none"/>
        </w:rPr>
        <w:t>本招标项目的质量要求：见投标人须知前附表。</w:t>
      </w:r>
    </w:p>
    <w:p w14:paraId="69AC265E">
      <w:pPr>
        <w:pStyle w:val="3"/>
        <w:ind w:firstLine="422" w:firstLineChars="200"/>
        <w:rPr>
          <w:rFonts w:ascii="宋体" w:hAnsi="宋体" w:eastAsia="宋体" w:cs="宋体"/>
          <w:color w:val="auto"/>
          <w:highlight w:val="none"/>
        </w:rPr>
      </w:pPr>
      <w:bookmarkStart w:id="112" w:name="_Toc246996179"/>
      <w:bookmarkStart w:id="113" w:name="_Toc144974502"/>
      <w:bookmarkStart w:id="114" w:name="_Toc35425057"/>
      <w:bookmarkStart w:id="115" w:name="_Toc179632551"/>
      <w:bookmarkStart w:id="116" w:name="_Toc26897"/>
      <w:bookmarkStart w:id="117" w:name="_Toc152045534"/>
      <w:bookmarkStart w:id="118" w:name="_Toc247085693"/>
      <w:bookmarkStart w:id="119" w:name="_Toc152042310"/>
      <w:bookmarkStart w:id="120" w:name="_Toc15058850"/>
      <w:bookmarkStart w:id="121" w:name="_Toc35424891"/>
      <w:bookmarkStart w:id="122" w:name="_Toc246996922"/>
      <w:bookmarkStart w:id="123" w:name="_Toc324404819"/>
      <w:bookmarkStart w:id="124" w:name="_Toc506107273"/>
      <w:bookmarkStart w:id="125" w:name="_Toc296602424"/>
      <w:r>
        <w:rPr>
          <w:rFonts w:ascii="宋体" w:hAnsi="宋体" w:eastAsia="宋体" w:cs="宋体"/>
          <w:color w:val="auto"/>
          <w:highlight w:val="none"/>
        </w:rPr>
        <w:t xml:space="preserve">1.4 </w:t>
      </w:r>
      <w:r>
        <w:rPr>
          <w:rFonts w:hint="eastAsia" w:ascii="宋体" w:hAnsi="宋体" w:eastAsia="宋体" w:cs="宋体"/>
          <w:color w:val="auto"/>
          <w:highlight w:val="none"/>
        </w:rPr>
        <w:t>投标人资格要求</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24A77A66">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1.4.1 </w:t>
      </w:r>
      <w:r>
        <w:rPr>
          <w:rFonts w:hint="eastAsia" w:ascii="宋体" w:hAnsi="宋体" w:cs="宋体"/>
          <w:color w:val="auto"/>
          <w:szCs w:val="21"/>
          <w:highlight w:val="none"/>
        </w:rPr>
        <w:t>投标人应具备承担本项目的资质条件、能力和信誉。</w:t>
      </w:r>
    </w:p>
    <w:p w14:paraId="678C61D0">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（1）资质条件：见投标人须知前附表；</w:t>
      </w:r>
    </w:p>
    <w:p w14:paraId="5B50D659">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（2）信誉要求：见投标人须知前附表；</w:t>
      </w:r>
    </w:p>
    <w:p w14:paraId="4EB86390">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（3）项目</w:t>
      </w:r>
      <w:r>
        <w:rPr>
          <w:rFonts w:hint="eastAsia" w:ascii="宋体" w:hAnsi="宋体" w:cs="宋体"/>
          <w:color w:val="auto"/>
          <w:szCs w:val="21"/>
          <w:highlight w:val="none"/>
          <w:lang w:val="en-US" w:eastAsia="zh-CN"/>
        </w:rPr>
        <w:t>负责人</w:t>
      </w:r>
      <w:r>
        <w:rPr>
          <w:rFonts w:hint="eastAsia" w:ascii="宋体" w:hAnsi="宋体" w:cs="宋体"/>
          <w:color w:val="auto"/>
          <w:szCs w:val="21"/>
          <w:highlight w:val="none"/>
        </w:rPr>
        <w:t>资格：见投标人须知前附表；</w:t>
      </w:r>
    </w:p>
    <w:p w14:paraId="65FFFFD9">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（4）其他要求：见投标人须知前附表。</w:t>
      </w:r>
    </w:p>
    <w:p w14:paraId="1A4AA64B">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1.4.2 投标人须知前附表规定接受联合体投标的，除应符合本章第1.4.1项和投标人须知前附表的要求外，还应遵守以下规定： </w:t>
      </w:r>
    </w:p>
    <w:p w14:paraId="27893AEB">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（1）联合体各方应按招标文件提供的格式签订联合体协议书，明确联合体各方权利义务，并承诺就中标项目向招标人承担连带责任；</w:t>
      </w:r>
    </w:p>
    <w:p w14:paraId="7BE20D21">
      <w:pPr>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（2）联合体各方不得再以自己名义单独或参加其他联合体在同一标段中投标。</w:t>
      </w:r>
    </w:p>
    <w:p w14:paraId="17783FA9">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ascii="宋体" w:hAnsi="宋体" w:cs="宋体"/>
          <w:color w:val="auto"/>
          <w:szCs w:val="21"/>
          <w:highlight w:val="none"/>
        </w:rPr>
        <w:t>1.4.</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投标人（包括联合体各成员）不得与本标段相关单位存在下列关联关系：</w:t>
      </w:r>
    </w:p>
    <w:p w14:paraId="3CC0B380">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802922B">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A2C3BC4">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10F908E0">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52D16B09">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D73BDD8">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（6）为本标段的监理人；</w:t>
      </w:r>
    </w:p>
    <w:p w14:paraId="7348617A">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3CBB8DC1">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F475781">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（9）与本标段的监理人或代建人或招标代理机构同为一个法定代表人；</w:t>
      </w:r>
    </w:p>
    <w:p w14:paraId="576A2AB2">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（10）与本标段的监理人或代建人或招标代理机构存在控股或参股关系；</w:t>
      </w:r>
    </w:p>
    <w:p w14:paraId="4E74F5DB">
      <w:pPr>
        <w:widowControl w:val="0"/>
        <w:kinsoku/>
        <w:wordWrap/>
        <w:overflowPunct/>
        <w:topLinePunct w:val="0"/>
        <w:autoSpaceDE/>
        <w:autoSpaceDN/>
        <w:bidi w:val="0"/>
        <w:adjustRightInd w:val="0"/>
        <w:snapToGrid w:val="0"/>
        <w:spacing w:line="44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3920DC30">
      <w:pPr>
        <w:pStyle w:val="3"/>
        <w:ind w:firstLine="422" w:firstLineChars="200"/>
        <w:rPr>
          <w:rFonts w:ascii="宋体" w:hAnsi="宋体" w:eastAsia="宋体" w:cs="宋体"/>
          <w:color w:val="auto"/>
          <w:highlight w:val="none"/>
        </w:rPr>
      </w:pPr>
      <w:bookmarkStart w:id="126" w:name="_Toc15058851"/>
      <w:bookmarkStart w:id="127" w:name="_Toc247085694"/>
      <w:bookmarkStart w:id="128" w:name="_Toc152045535"/>
      <w:bookmarkStart w:id="129" w:name="_Toc10179"/>
      <w:bookmarkStart w:id="130" w:name="_Toc179632552"/>
      <w:bookmarkStart w:id="131" w:name="_Toc506107274"/>
      <w:bookmarkStart w:id="132" w:name="_Toc296602425"/>
      <w:bookmarkStart w:id="133" w:name="_Toc152042311"/>
      <w:bookmarkStart w:id="134" w:name="_Toc246996180"/>
      <w:bookmarkStart w:id="135" w:name="_Toc144974503"/>
      <w:bookmarkStart w:id="136" w:name="_Toc35425058"/>
      <w:bookmarkStart w:id="137" w:name="_Toc246996923"/>
      <w:bookmarkStart w:id="138" w:name="_Toc324404820"/>
      <w:bookmarkStart w:id="139" w:name="_Toc35424892"/>
      <w:r>
        <w:rPr>
          <w:rFonts w:ascii="宋体" w:hAnsi="宋体" w:eastAsia="宋体" w:cs="宋体"/>
          <w:color w:val="auto"/>
          <w:highlight w:val="none"/>
        </w:rPr>
        <w:t xml:space="preserve">1.5 </w:t>
      </w:r>
      <w:r>
        <w:rPr>
          <w:rFonts w:hint="eastAsia" w:ascii="宋体" w:hAnsi="宋体" w:eastAsia="宋体" w:cs="宋体"/>
          <w:color w:val="auto"/>
          <w:highlight w:val="none"/>
        </w:rPr>
        <w:t>费用承担</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3011471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投标人准备和参加投标活动发生的费用自理。</w:t>
      </w:r>
    </w:p>
    <w:p w14:paraId="0EE79A85">
      <w:pPr>
        <w:pStyle w:val="3"/>
        <w:ind w:firstLine="422" w:firstLineChars="200"/>
        <w:rPr>
          <w:rFonts w:ascii="宋体" w:hAnsi="宋体" w:eastAsia="宋体" w:cs="宋体"/>
          <w:color w:val="auto"/>
          <w:highlight w:val="none"/>
        </w:rPr>
      </w:pPr>
      <w:bookmarkStart w:id="140" w:name="_Toc4092"/>
      <w:bookmarkStart w:id="141" w:name="_Toc35425059"/>
      <w:bookmarkStart w:id="142" w:name="_Toc246996181"/>
      <w:bookmarkStart w:id="143" w:name="_Toc324404821"/>
      <w:bookmarkStart w:id="144" w:name="_Toc179632553"/>
      <w:bookmarkStart w:id="145" w:name="_Toc296602426"/>
      <w:bookmarkStart w:id="146" w:name="_Toc35424893"/>
      <w:bookmarkStart w:id="147" w:name="_Toc246996924"/>
      <w:bookmarkStart w:id="148" w:name="_Toc506107275"/>
      <w:bookmarkStart w:id="149" w:name="_Toc15058852"/>
      <w:bookmarkStart w:id="150" w:name="_Toc152045536"/>
      <w:bookmarkStart w:id="151" w:name="_Toc144974504"/>
      <w:bookmarkStart w:id="152" w:name="_Toc152042312"/>
      <w:bookmarkStart w:id="153" w:name="_Toc247085695"/>
      <w:r>
        <w:rPr>
          <w:rFonts w:ascii="宋体" w:hAnsi="宋体" w:eastAsia="宋体" w:cs="宋体"/>
          <w:color w:val="auto"/>
          <w:highlight w:val="none"/>
        </w:rPr>
        <w:t xml:space="preserve">1.6 </w:t>
      </w:r>
      <w:r>
        <w:rPr>
          <w:rFonts w:hint="eastAsia" w:ascii="宋体" w:hAnsi="宋体" w:eastAsia="宋体" w:cs="宋体"/>
          <w:color w:val="auto"/>
          <w:highlight w:val="none"/>
        </w:rPr>
        <w:t>保密</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53931C4D">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参与招标投标活动的各方应对招标文件和投标文件中的商业和技术等秘密保密，违者应对由此造成的后果承担法律责任。</w:t>
      </w:r>
      <w:r>
        <w:rPr>
          <w:rFonts w:ascii="宋体" w:hAnsi="宋体" w:cs="宋体"/>
          <w:color w:val="auto"/>
          <w:szCs w:val="21"/>
          <w:highlight w:val="none"/>
        </w:rPr>
        <w:t xml:space="preserve"> </w:t>
      </w:r>
    </w:p>
    <w:p w14:paraId="46C7CA54">
      <w:pPr>
        <w:pStyle w:val="3"/>
        <w:ind w:firstLine="422" w:firstLineChars="200"/>
        <w:rPr>
          <w:rFonts w:ascii="宋体" w:hAnsi="宋体" w:eastAsia="宋体" w:cs="宋体"/>
          <w:color w:val="auto"/>
          <w:highlight w:val="none"/>
        </w:rPr>
      </w:pPr>
      <w:bookmarkStart w:id="154" w:name="_Toc144974505"/>
      <w:bookmarkStart w:id="155" w:name="_Toc246996925"/>
      <w:bookmarkStart w:id="156" w:name="_Toc35424894"/>
      <w:bookmarkStart w:id="157" w:name="_Toc247085696"/>
      <w:bookmarkStart w:id="158" w:name="_Toc179632554"/>
      <w:bookmarkStart w:id="159" w:name="_Toc324404822"/>
      <w:bookmarkStart w:id="160" w:name="_Toc152045537"/>
      <w:bookmarkStart w:id="161" w:name="_Toc296602427"/>
      <w:bookmarkStart w:id="162" w:name="_Toc35425060"/>
      <w:bookmarkStart w:id="163" w:name="_Toc506107276"/>
      <w:bookmarkStart w:id="164" w:name="_Toc4119"/>
      <w:bookmarkStart w:id="165" w:name="_Toc246996182"/>
      <w:bookmarkStart w:id="166" w:name="_Toc15058853"/>
      <w:bookmarkStart w:id="167" w:name="_Toc152042313"/>
      <w:r>
        <w:rPr>
          <w:rFonts w:ascii="宋体" w:hAnsi="宋体" w:eastAsia="宋体" w:cs="宋体"/>
          <w:color w:val="auto"/>
          <w:highlight w:val="none"/>
        </w:rPr>
        <w:t xml:space="preserve">1.7 </w:t>
      </w:r>
      <w:r>
        <w:rPr>
          <w:rFonts w:hint="eastAsia" w:ascii="宋体" w:hAnsi="宋体" w:eastAsia="宋体" w:cs="宋体"/>
          <w:color w:val="auto"/>
          <w:highlight w:val="none"/>
        </w:rPr>
        <w:t>语言</w:t>
      </w:r>
      <w:bookmarkEnd w:id="154"/>
      <w:r>
        <w:rPr>
          <w:rFonts w:hint="eastAsia" w:ascii="宋体" w:hAnsi="宋体" w:eastAsia="宋体" w:cs="宋体"/>
          <w:color w:val="auto"/>
          <w:highlight w:val="none"/>
        </w:rPr>
        <w:t>文字</w:t>
      </w:r>
      <w:bookmarkEnd w:id="155"/>
      <w:bookmarkEnd w:id="156"/>
      <w:bookmarkEnd w:id="157"/>
      <w:bookmarkEnd w:id="158"/>
      <w:bookmarkEnd w:id="159"/>
      <w:bookmarkEnd w:id="160"/>
      <w:bookmarkEnd w:id="161"/>
      <w:bookmarkEnd w:id="162"/>
      <w:bookmarkEnd w:id="163"/>
      <w:bookmarkEnd w:id="164"/>
      <w:bookmarkEnd w:id="165"/>
      <w:bookmarkEnd w:id="166"/>
      <w:bookmarkEnd w:id="167"/>
    </w:p>
    <w:p w14:paraId="167DF06F">
      <w:pPr>
        <w:spacing w:line="440" w:lineRule="exact"/>
        <w:ind w:firstLine="420" w:firstLineChars="200"/>
        <w:jc w:val="left"/>
        <w:rPr>
          <w:rFonts w:ascii="宋体" w:cs="宋体"/>
          <w:color w:val="auto"/>
          <w:szCs w:val="21"/>
          <w:highlight w:val="none"/>
        </w:rPr>
      </w:pPr>
      <w:bookmarkStart w:id="168" w:name="_Toc179632555"/>
      <w:bookmarkStart w:id="169" w:name="_Toc152042314"/>
      <w:bookmarkStart w:id="170" w:name="_Toc246996183"/>
      <w:bookmarkStart w:id="171" w:name="_Toc144974506"/>
      <w:bookmarkStart w:id="172" w:name="_Toc152045538"/>
      <w:bookmarkStart w:id="173" w:name="_Toc246996926"/>
      <w:bookmarkStart w:id="174" w:name="_Toc247085697"/>
      <w:r>
        <w:rPr>
          <w:rFonts w:hint="eastAsia" w:ascii="宋体" w:hAnsi="宋体" w:cs="宋体"/>
          <w:color w:val="auto"/>
          <w:szCs w:val="21"/>
          <w:highlight w:val="none"/>
        </w:rPr>
        <w:t>招标投标文件使用的语言文字为中文。专用术语使用外文的，应附有中文注释。</w:t>
      </w:r>
    </w:p>
    <w:p w14:paraId="1E94EC30">
      <w:pPr>
        <w:pStyle w:val="3"/>
        <w:ind w:firstLine="422" w:firstLineChars="200"/>
        <w:rPr>
          <w:rFonts w:ascii="宋体" w:hAnsi="宋体" w:eastAsia="宋体" w:cs="宋体"/>
          <w:color w:val="auto"/>
          <w:highlight w:val="none"/>
        </w:rPr>
      </w:pPr>
      <w:bookmarkStart w:id="175" w:name="_Toc15058854"/>
      <w:bookmarkStart w:id="176" w:name="_Toc296602428"/>
      <w:bookmarkStart w:id="177" w:name="_Toc35424895"/>
      <w:bookmarkStart w:id="178" w:name="_Toc506107277"/>
      <w:bookmarkStart w:id="179" w:name="_Toc35425061"/>
      <w:bookmarkStart w:id="180" w:name="_Toc13408"/>
      <w:bookmarkStart w:id="181" w:name="_Toc324404823"/>
      <w:r>
        <w:rPr>
          <w:rFonts w:ascii="宋体" w:hAnsi="宋体" w:eastAsia="宋体" w:cs="宋体"/>
          <w:color w:val="auto"/>
          <w:highlight w:val="none"/>
        </w:rPr>
        <w:t xml:space="preserve">1.8 </w:t>
      </w:r>
      <w:r>
        <w:rPr>
          <w:rFonts w:hint="eastAsia" w:ascii="宋体" w:hAnsi="宋体" w:eastAsia="宋体" w:cs="宋体"/>
          <w:color w:val="auto"/>
          <w:highlight w:val="none"/>
        </w:rPr>
        <w:t>计量单位</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04594FE5">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30F34351">
      <w:pPr>
        <w:pStyle w:val="3"/>
        <w:ind w:firstLine="422" w:firstLineChars="200"/>
        <w:rPr>
          <w:rFonts w:ascii="宋体" w:hAnsi="宋体" w:eastAsia="宋体" w:cs="宋体"/>
          <w:color w:val="auto"/>
          <w:highlight w:val="none"/>
        </w:rPr>
      </w:pPr>
      <w:bookmarkStart w:id="182" w:name="_Toc11493"/>
      <w:bookmarkStart w:id="183" w:name="_Toc35424896"/>
      <w:bookmarkStart w:id="184" w:name="_Toc35425062"/>
      <w:bookmarkStart w:id="185" w:name="_Toc247592876"/>
      <w:bookmarkStart w:id="186" w:name="_Toc296602429"/>
      <w:bookmarkStart w:id="187" w:name="_Toc247527563"/>
      <w:bookmarkStart w:id="188" w:name="_Toc152042315"/>
      <w:bookmarkStart w:id="189" w:name="_Toc15058855"/>
      <w:bookmarkStart w:id="190" w:name="_Toc506107278"/>
      <w:bookmarkStart w:id="191" w:name="_Toc144974507"/>
      <w:bookmarkStart w:id="192" w:name="_Toc152045539"/>
      <w:bookmarkStart w:id="193" w:name="_Toc324404824"/>
      <w:bookmarkStart w:id="194" w:name="_Toc247513962"/>
      <w:r>
        <w:rPr>
          <w:rFonts w:ascii="宋体" w:hAnsi="宋体" w:eastAsia="宋体" w:cs="宋体"/>
          <w:color w:val="auto"/>
          <w:highlight w:val="none"/>
        </w:rPr>
        <w:t xml:space="preserve">1.9 </w:t>
      </w:r>
      <w:r>
        <w:rPr>
          <w:rFonts w:hint="eastAsia" w:ascii="宋体" w:hAnsi="宋体" w:eastAsia="宋体" w:cs="宋体"/>
          <w:color w:val="auto"/>
          <w:highlight w:val="none"/>
        </w:rPr>
        <w:t>踏勘现场</w:t>
      </w:r>
      <w:bookmarkEnd w:id="182"/>
      <w:bookmarkEnd w:id="183"/>
      <w:bookmarkEnd w:id="184"/>
      <w:bookmarkEnd w:id="185"/>
      <w:bookmarkEnd w:id="186"/>
      <w:bookmarkEnd w:id="187"/>
      <w:bookmarkEnd w:id="188"/>
      <w:bookmarkEnd w:id="189"/>
      <w:bookmarkEnd w:id="190"/>
      <w:bookmarkEnd w:id="191"/>
      <w:bookmarkEnd w:id="192"/>
      <w:bookmarkEnd w:id="193"/>
      <w:bookmarkEnd w:id="194"/>
    </w:p>
    <w:p w14:paraId="2C35B876">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bookmarkStart w:id="195" w:name="_Toc152045540"/>
      <w:bookmarkStart w:id="196" w:name="_Toc506107279"/>
      <w:bookmarkStart w:id="197" w:name="_Toc247592877"/>
      <w:bookmarkStart w:id="198" w:name="_Toc152042316"/>
      <w:bookmarkStart w:id="199" w:name="_Toc247527564"/>
      <w:bookmarkStart w:id="200" w:name="_Toc15058856"/>
      <w:bookmarkStart w:id="201" w:name="_Toc22954"/>
      <w:bookmarkStart w:id="202" w:name="_Toc35424897"/>
      <w:bookmarkStart w:id="203" w:name="_Toc324404825"/>
      <w:bookmarkStart w:id="204" w:name="_Toc296602430"/>
      <w:bookmarkStart w:id="205" w:name="_Toc144974508"/>
      <w:bookmarkStart w:id="206" w:name="_Toc35425063"/>
      <w:bookmarkStart w:id="207" w:name="_Toc247513963"/>
      <w:r>
        <w:rPr>
          <w:rFonts w:hint="eastAsia" w:ascii="宋体" w:hAnsi="宋体" w:cs="宋体"/>
          <w:color w:val="auto"/>
          <w:szCs w:val="21"/>
          <w:highlight w:val="none"/>
        </w:rPr>
        <w:t xml:space="preserve">1.9.1前附表规定组织踏勘现场的，招标人按投标人须知前附表规定的时间、地点组织投标人踏勘项目现场。部分投标人未按时参加踏勘现场的，不影响踏勘现场的正常进行。招标人不得组织单个或部分投标人踏勘项目现场。 </w:t>
      </w:r>
    </w:p>
    <w:p w14:paraId="2DA57392">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679EBA24">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454DD1CB">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44D48920">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2AB2B203">
      <w:pPr>
        <w:pStyle w:val="3"/>
        <w:ind w:firstLine="422" w:firstLineChars="200"/>
        <w:rPr>
          <w:rFonts w:ascii="宋体" w:hAnsi="宋体" w:eastAsia="宋体" w:cs="宋体"/>
          <w:color w:val="auto"/>
          <w:highlight w:val="none"/>
        </w:rPr>
      </w:pPr>
      <w:r>
        <w:rPr>
          <w:rFonts w:ascii="宋体" w:hAnsi="宋体" w:eastAsia="宋体" w:cs="宋体"/>
          <w:color w:val="auto"/>
          <w:highlight w:val="none"/>
        </w:rPr>
        <w:t xml:space="preserve">1.10 </w:t>
      </w:r>
      <w:r>
        <w:rPr>
          <w:rFonts w:hint="eastAsia" w:ascii="宋体" w:hAnsi="宋体" w:eastAsia="宋体" w:cs="宋体"/>
          <w:color w:val="auto"/>
          <w:highlight w:val="none"/>
        </w:rPr>
        <w:t>投标预备会</w:t>
      </w:r>
      <w:bookmarkEnd w:id="195"/>
      <w:bookmarkEnd w:id="196"/>
      <w:bookmarkEnd w:id="197"/>
      <w:bookmarkEnd w:id="198"/>
      <w:bookmarkEnd w:id="199"/>
      <w:bookmarkEnd w:id="200"/>
      <w:bookmarkEnd w:id="201"/>
      <w:bookmarkEnd w:id="202"/>
      <w:bookmarkEnd w:id="203"/>
      <w:bookmarkEnd w:id="204"/>
      <w:bookmarkEnd w:id="205"/>
      <w:bookmarkEnd w:id="206"/>
      <w:bookmarkEnd w:id="207"/>
    </w:p>
    <w:p w14:paraId="25AFEA9F">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42CC94EA">
      <w:pPr>
        <w:widowControl w:val="0"/>
        <w:kinsoku/>
        <w:wordWrap/>
        <w:overflowPunct/>
        <w:topLinePunct w:val="0"/>
        <w:autoSpaceDE/>
        <w:autoSpaceDN/>
        <w:bidi w:val="0"/>
        <w:adjustRightInd w:val="0"/>
        <w:snapToGrid w:val="0"/>
        <w:spacing w:line="44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55E232B">
      <w:pPr>
        <w:pStyle w:val="3"/>
        <w:ind w:firstLine="422" w:firstLineChars="200"/>
        <w:rPr>
          <w:rFonts w:ascii="宋体" w:hAnsi="宋体" w:eastAsia="宋体" w:cs="宋体"/>
          <w:color w:val="auto"/>
          <w:highlight w:val="none"/>
        </w:rPr>
      </w:pPr>
      <w:bookmarkStart w:id="208" w:name="_Toc35424898"/>
      <w:bookmarkStart w:id="209" w:name="_Toc35425064"/>
      <w:bookmarkStart w:id="210" w:name="_Toc15058857"/>
      <w:bookmarkStart w:id="211" w:name="_Toc296602431"/>
      <w:bookmarkStart w:id="212" w:name="_Toc32016"/>
      <w:bookmarkStart w:id="213" w:name="_Toc506107280"/>
      <w:bookmarkStart w:id="214" w:name="_Toc324404826"/>
      <w:r>
        <w:rPr>
          <w:rFonts w:ascii="宋体" w:hAnsi="宋体" w:eastAsia="宋体" w:cs="宋体"/>
          <w:color w:val="auto"/>
          <w:highlight w:val="none"/>
        </w:rPr>
        <w:t xml:space="preserve">1.11 </w:t>
      </w:r>
      <w:r>
        <w:rPr>
          <w:rFonts w:hint="eastAsia" w:ascii="宋体" w:hAnsi="宋体" w:eastAsia="宋体" w:cs="宋体"/>
          <w:color w:val="auto"/>
          <w:highlight w:val="none"/>
        </w:rPr>
        <w:t>偏离</w:t>
      </w:r>
      <w:bookmarkEnd w:id="208"/>
      <w:bookmarkEnd w:id="209"/>
      <w:bookmarkEnd w:id="210"/>
      <w:bookmarkEnd w:id="211"/>
      <w:bookmarkEnd w:id="212"/>
      <w:bookmarkEnd w:id="213"/>
      <w:bookmarkEnd w:id="214"/>
    </w:p>
    <w:p w14:paraId="591519CB">
      <w:pPr>
        <w:spacing w:line="440" w:lineRule="exact"/>
        <w:ind w:firstLine="420" w:firstLineChars="200"/>
        <w:jc w:val="left"/>
        <w:rPr>
          <w:rFonts w:hint="eastAsia" w:ascii="宋体" w:hAnsi="宋体" w:cs="宋体"/>
          <w:color w:val="auto"/>
          <w:szCs w:val="21"/>
          <w:highlight w:val="none"/>
        </w:rPr>
      </w:pPr>
      <w:bookmarkStart w:id="215" w:name="_Toc246996930"/>
      <w:bookmarkStart w:id="216" w:name="_Toc246996187"/>
      <w:bookmarkStart w:id="217" w:name="_Toc152042318"/>
      <w:bookmarkStart w:id="218" w:name="_Toc15058858"/>
      <w:bookmarkStart w:id="219" w:name="_Toc247085701"/>
      <w:bookmarkStart w:id="220" w:name="_Toc35424899"/>
      <w:bookmarkStart w:id="221" w:name="_Toc144974510"/>
      <w:bookmarkStart w:id="222" w:name="_Toc35425065"/>
      <w:bookmarkStart w:id="223" w:name="_Toc4012"/>
      <w:bookmarkStart w:id="224" w:name="_Toc179632560"/>
      <w:bookmarkStart w:id="225" w:name="_Toc152045542"/>
      <w:bookmarkStart w:id="226" w:name="_Toc324404827"/>
      <w:bookmarkStart w:id="227" w:name="_Toc506107281"/>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.1投标文件偏离招标文件某些要求，视为投标文件存在偏差。偏差包括重大偏差和细微偏差。</w:t>
      </w:r>
    </w:p>
    <w:p w14:paraId="4A63962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.2投标文件应对招标文件的实质性要求和条件作出满足性或更有利于招标人的响应，否则，视为投标文件存在重大偏差，投标人的投标将被否决。</w:t>
      </w:r>
    </w:p>
    <w:p w14:paraId="6BFF362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7771EF9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.3投标文件中的下列偏差为细微偏差：</w:t>
      </w:r>
    </w:p>
    <w:p w14:paraId="0F9FEB6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0580395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7801A64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.4评标委员会对投标文件中的细微偏差按如下规定处理：</w:t>
      </w:r>
    </w:p>
    <w:p w14:paraId="05BE5B4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对于本章第 1.1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1598EC3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对于本章第 1.1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 项（2）目所述的细微偏差，可要求投标人对细微偏差进行澄清。</w:t>
      </w:r>
    </w:p>
    <w:p w14:paraId="1ED30EEC">
      <w:pPr>
        <w:pStyle w:val="3"/>
        <w:spacing w:beforeLines="50" w:afterLines="50"/>
        <w:ind w:firstLine="482"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rPr>
        <w:t>招标文件</w:t>
      </w:r>
      <w:bookmarkEnd w:id="215"/>
      <w:bookmarkEnd w:id="216"/>
      <w:bookmarkEnd w:id="217"/>
      <w:bookmarkEnd w:id="218"/>
      <w:bookmarkEnd w:id="219"/>
      <w:bookmarkEnd w:id="220"/>
      <w:bookmarkEnd w:id="221"/>
      <w:bookmarkEnd w:id="222"/>
      <w:bookmarkEnd w:id="223"/>
      <w:bookmarkEnd w:id="224"/>
      <w:bookmarkEnd w:id="225"/>
      <w:bookmarkEnd w:id="226"/>
      <w:bookmarkEnd w:id="227"/>
    </w:p>
    <w:p w14:paraId="7FC5F09E">
      <w:pPr>
        <w:pStyle w:val="3"/>
        <w:ind w:firstLine="422" w:firstLineChars="200"/>
        <w:rPr>
          <w:rFonts w:ascii="宋体" w:hAnsi="宋体" w:eastAsia="宋体" w:cs="宋体"/>
          <w:color w:val="auto"/>
          <w:highlight w:val="none"/>
        </w:rPr>
      </w:pPr>
      <w:bookmarkStart w:id="228" w:name="_Toc144974511"/>
      <w:bookmarkStart w:id="229" w:name="_Toc247085702"/>
      <w:bookmarkStart w:id="230" w:name="_Toc13213"/>
      <w:bookmarkStart w:id="231" w:name="_Toc246996931"/>
      <w:bookmarkStart w:id="232" w:name="_Toc152045543"/>
      <w:bookmarkStart w:id="233" w:name="_Toc324404828"/>
      <w:bookmarkStart w:id="234" w:name="_Toc506107282"/>
      <w:bookmarkStart w:id="235" w:name="_Toc179632561"/>
      <w:bookmarkStart w:id="236" w:name="_Toc35425066"/>
      <w:bookmarkStart w:id="237" w:name="_Toc35424900"/>
      <w:bookmarkStart w:id="238" w:name="_Toc296602433"/>
      <w:bookmarkStart w:id="239" w:name="_Toc152042319"/>
      <w:bookmarkStart w:id="240" w:name="_Toc15058859"/>
      <w:bookmarkStart w:id="241" w:name="_Toc246996188"/>
      <w:r>
        <w:rPr>
          <w:rFonts w:ascii="宋体" w:hAnsi="宋体" w:eastAsia="宋体" w:cs="宋体"/>
          <w:color w:val="auto"/>
          <w:highlight w:val="none"/>
        </w:rPr>
        <w:t xml:space="preserve">2.1 </w:t>
      </w:r>
      <w:r>
        <w:rPr>
          <w:rFonts w:hint="eastAsia" w:ascii="宋体" w:hAnsi="宋体" w:eastAsia="宋体" w:cs="宋体"/>
          <w:color w:val="auto"/>
          <w:highlight w:val="none"/>
        </w:rPr>
        <w:t>招标文件的组成</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4A61E0BD">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2.1.1 </w:t>
      </w:r>
      <w:r>
        <w:rPr>
          <w:rFonts w:hint="eastAsia" w:ascii="宋体" w:hAnsi="宋体" w:cs="宋体"/>
          <w:color w:val="auto"/>
          <w:szCs w:val="21"/>
          <w:highlight w:val="none"/>
        </w:rPr>
        <w:t>本招标文件包括：</w:t>
      </w:r>
    </w:p>
    <w:p w14:paraId="5813EA15">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）招标公告；</w:t>
      </w:r>
    </w:p>
    <w:p w14:paraId="5E4F500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）投标人须知；</w:t>
      </w:r>
    </w:p>
    <w:p w14:paraId="65E7CCBB">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）资格审查办法</w:t>
      </w:r>
    </w:p>
    <w:p w14:paraId="2606CC06">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）评标办法；</w:t>
      </w:r>
    </w:p>
    <w:p w14:paraId="06872C8D">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）合同条款及格式；</w:t>
      </w:r>
    </w:p>
    <w:p w14:paraId="29DF9B5B">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）投标文件格式；</w:t>
      </w:r>
    </w:p>
    <w:p w14:paraId="0D220E82">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）投标人须知前附表规定的其他材料。</w:t>
      </w:r>
    </w:p>
    <w:p w14:paraId="6C42B4FC">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2.1.2 </w:t>
      </w:r>
      <w:r>
        <w:rPr>
          <w:rFonts w:hint="eastAsia" w:ascii="宋体" w:hAnsi="宋体" w:cs="宋体"/>
          <w:color w:val="auto"/>
          <w:szCs w:val="21"/>
          <w:highlight w:val="none"/>
        </w:rPr>
        <w:t>根据本章第</w:t>
      </w:r>
      <w:r>
        <w:rPr>
          <w:rFonts w:ascii="宋体" w:hAnsi="宋体" w:cs="宋体"/>
          <w:color w:val="auto"/>
          <w:szCs w:val="21"/>
          <w:highlight w:val="none"/>
        </w:rPr>
        <w:t>1.10</w:t>
      </w:r>
      <w:r>
        <w:rPr>
          <w:rFonts w:hint="eastAsia" w:ascii="宋体" w:hAnsi="宋体" w:cs="宋体"/>
          <w:color w:val="auto"/>
          <w:szCs w:val="21"/>
          <w:highlight w:val="none"/>
        </w:rPr>
        <w:t>款、第</w:t>
      </w:r>
      <w:r>
        <w:rPr>
          <w:rFonts w:ascii="宋体" w:hAnsi="宋体" w:cs="宋体"/>
          <w:color w:val="auto"/>
          <w:szCs w:val="21"/>
          <w:highlight w:val="none"/>
        </w:rPr>
        <w:t>2.2</w:t>
      </w:r>
      <w:r>
        <w:rPr>
          <w:rFonts w:hint="eastAsia" w:ascii="宋体" w:hAnsi="宋体" w:cs="宋体"/>
          <w:color w:val="auto"/>
          <w:szCs w:val="21"/>
          <w:highlight w:val="none"/>
        </w:rPr>
        <w:t>款和第</w:t>
      </w:r>
      <w:r>
        <w:rPr>
          <w:rFonts w:ascii="宋体" w:hAnsi="宋体" w:cs="宋体"/>
          <w:color w:val="auto"/>
          <w:szCs w:val="21"/>
          <w:highlight w:val="none"/>
        </w:rPr>
        <w:t>2.3</w:t>
      </w:r>
      <w:r>
        <w:rPr>
          <w:rFonts w:hint="eastAsia" w:ascii="宋体" w:hAnsi="宋体" w:cs="宋体"/>
          <w:color w:val="auto"/>
          <w:szCs w:val="21"/>
          <w:highlight w:val="none"/>
        </w:rPr>
        <w:t>款对招标文件所作的澄清、修改，构成招标文件的组成部分。</w:t>
      </w:r>
    </w:p>
    <w:p w14:paraId="69D6113F">
      <w:pPr>
        <w:pStyle w:val="3"/>
        <w:ind w:firstLine="422" w:firstLineChars="200"/>
        <w:rPr>
          <w:rFonts w:ascii="宋体" w:hAnsi="宋体" w:eastAsia="宋体" w:cs="宋体"/>
          <w:color w:val="auto"/>
          <w:highlight w:val="none"/>
        </w:rPr>
      </w:pPr>
      <w:bookmarkStart w:id="242" w:name="_Toc247085703"/>
      <w:bookmarkStart w:id="243" w:name="_Toc324404829"/>
      <w:bookmarkStart w:id="244" w:name="_Toc35424901"/>
      <w:bookmarkStart w:id="245" w:name="_Toc179632562"/>
      <w:bookmarkStart w:id="246" w:name="_Toc506107283"/>
      <w:bookmarkStart w:id="247" w:name="_Toc246996189"/>
      <w:bookmarkStart w:id="248" w:name="_Toc152042320"/>
      <w:bookmarkStart w:id="249" w:name="_Toc152045544"/>
      <w:bookmarkStart w:id="250" w:name="_Toc296602434"/>
      <w:bookmarkStart w:id="251" w:name="_Toc246996932"/>
      <w:bookmarkStart w:id="252" w:name="_Toc144974512"/>
      <w:bookmarkStart w:id="253" w:name="_Toc15058860"/>
      <w:bookmarkStart w:id="254" w:name="_Toc32239"/>
      <w:bookmarkStart w:id="255" w:name="_Toc35425067"/>
      <w:r>
        <w:rPr>
          <w:rFonts w:ascii="宋体" w:hAnsi="宋体" w:eastAsia="宋体" w:cs="宋体"/>
          <w:color w:val="auto"/>
          <w:highlight w:val="none"/>
        </w:rPr>
        <w:t xml:space="preserve">2.2 </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Fonts w:hint="eastAsia" w:ascii="宋体" w:hAnsi="宋体" w:eastAsia="宋体" w:cs="宋体"/>
          <w:color w:val="auto"/>
          <w:highlight w:val="none"/>
        </w:rPr>
        <w:t>招标文件的异议</w:t>
      </w:r>
      <w:r>
        <w:rPr>
          <w:rFonts w:ascii="宋体" w:hAnsi="宋体" w:eastAsia="宋体" w:cs="宋体"/>
          <w:color w:val="auto"/>
          <w:highlight w:val="none"/>
        </w:rPr>
        <w:t xml:space="preserve"> </w:t>
      </w:r>
    </w:p>
    <w:p w14:paraId="5D64A7E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 </w:t>
      </w:r>
    </w:p>
    <w:p w14:paraId="79E43FFB">
      <w:pPr>
        <w:pStyle w:val="3"/>
        <w:ind w:firstLine="422" w:firstLineChars="200"/>
        <w:rPr>
          <w:rFonts w:ascii="宋体" w:hAnsi="宋体" w:eastAsia="宋体" w:cs="宋体"/>
          <w:color w:val="auto"/>
          <w:highlight w:val="none"/>
        </w:rPr>
      </w:pPr>
      <w:bookmarkStart w:id="256" w:name="_Toc35425068"/>
      <w:bookmarkStart w:id="257" w:name="_Toc15058861"/>
      <w:bookmarkStart w:id="258" w:name="_Toc152042321"/>
      <w:bookmarkStart w:id="259" w:name="_Toc246996190"/>
      <w:bookmarkStart w:id="260" w:name="_Toc152045545"/>
      <w:bookmarkStart w:id="261" w:name="_Toc246996933"/>
      <w:bookmarkStart w:id="262" w:name="_Toc247085704"/>
      <w:bookmarkStart w:id="263" w:name="_Toc24633"/>
      <w:bookmarkStart w:id="264" w:name="_Toc35424902"/>
      <w:bookmarkStart w:id="265" w:name="_Toc144974513"/>
      <w:bookmarkStart w:id="266" w:name="_Toc179632563"/>
      <w:bookmarkStart w:id="267" w:name="_Toc324404830"/>
      <w:bookmarkStart w:id="268" w:name="_Toc296602435"/>
      <w:bookmarkStart w:id="269" w:name="_Toc506107284"/>
      <w:r>
        <w:rPr>
          <w:rFonts w:ascii="宋体" w:hAnsi="宋体" w:eastAsia="宋体" w:cs="宋体"/>
          <w:color w:val="auto"/>
          <w:highlight w:val="none"/>
        </w:rPr>
        <w:t xml:space="preserve">2.3 </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Pr>
          <w:rFonts w:hint="eastAsia" w:ascii="宋体" w:hAnsi="宋体" w:eastAsia="宋体" w:cs="宋体"/>
          <w:color w:val="auto"/>
          <w:highlight w:val="none"/>
        </w:rPr>
        <w:t>招标文件的澄清</w:t>
      </w:r>
    </w:p>
    <w:p w14:paraId="26CD792C">
      <w:pPr>
        <w:spacing w:line="440" w:lineRule="exact"/>
        <w:ind w:firstLine="420" w:firstLineChars="200"/>
        <w:jc w:val="left"/>
        <w:rPr>
          <w:rFonts w:hint="eastAsia" w:ascii="宋体" w:hAnsi="宋体" w:eastAsia="宋体" w:cs="宋体"/>
          <w:color w:val="auto"/>
          <w:szCs w:val="21"/>
          <w:highlight w:val="none"/>
        </w:rPr>
      </w:pPr>
      <w:bookmarkStart w:id="270" w:name="_Toc324404831"/>
      <w:bookmarkStart w:id="271" w:name="_Toc15058862"/>
      <w:bookmarkStart w:id="272" w:name="_Toc35425069"/>
      <w:bookmarkStart w:id="273" w:name="_Toc35424903"/>
      <w:bookmarkStart w:id="274" w:name="_Toc2696"/>
      <w:r>
        <w:rPr>
          <w:rFonts w:hint="eastAsia" w:ascii="宋体" w:hAnsi="宋体" w:eastAsia="宋体" w:cs="宋体"/>
          <w:color w:val="auto"/>
          <w:szCs w:val="21"/>
          <w:highlight w:val="none"/>
        </w:rPr>
        <w:t>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65F40B03">
      <w:pPr>
        <w:pStyle w:val="3"/>
        <w:ind w:firstLine="422" w:firstLineChars="200"/>
        <w:rPr>
          <w:rFonts w:ascii="宋体" w:hAnsi="宋体" w:eastAsia="宋体" w:cs="宋体"/>
          <w:color w:val="auto"/>
          <w:highlight w:val="none"/>
        </w:rPr>
      </w:pPr>
      <w:r>
        <w:rPr>
          <w:rFonts w:ascii="宋体" w:hAnsi="宋体" w:eastAsia="宋体" w:cs="宋体"/>
          <w:color w:val="auto"/>
          <w:highlight w:val="none"/>
        </w:rPr>
        <w:t>2.4</w:t>
      </w:r>
      <w:bookmarkEnd w:id="270"/>
      <w:r>
        <w:rPr>
          <w:rFonts w:hint="eastAsia" w:ascii="宋体" w:hAnsi="宋体" w:eastAsia="宋体" w:cs="宋体"/>
          <w:color w:val="auto"/>
          <w:highlight w:val="none"/>
        </w:rPr>
        <w:t>最高投标限价</w:t>
      </w:r>
      <w:bookmarkEnd w:id="271"/>
      <w:bookmarkEnd w:id="272"/>
      <w:bookmarkEnd w:id="273"/>
      <w:bookmarkEnd w:id="274"/>
    </w:p>
    <w:p w14:paraId="142E49BA">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2.4.1</w:t>
      </w:r>
      <w:r>
        <w:rPr>
          <w:rFonts w:hint="eastAsia" w:ascii="宋体" w:hAnsi="宋体" w:cs="宋体"/>
          <w:color w:val="auto"/>
          <w:szCs w:val="21"/>
          <w:highlight w:val="none"/>
        </w:rPr>
        <w:t>最高投标限价的作用和说明</w:t>
      </w:r>
    </w:p>
    <w:p w14:paraId="49F539FE">
      <w:pPr>
        <w:spacing w:line="440" w:lineRule="exact"/>
        <w:ind w:firstLine="420" w:firstLineChars="200"/>
        <w:jc w:val="left"/>
        <w:rPr>
          <w:rFonts w:ascii="宋体" w:cs="宋体"/>
          <w:color w:val="auto"/>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highlight w:val="none"/>
        </w:rPr>
        <w:t>投标人的投标报价不得超过最高投标限价</w:t>
      </w:r>
      <w:r>
        <w:rPr>
          <w:rFonts w:hint="eastAsia" w:ascii="宋体" w:hAnsi="宋体" w:cs="宋体"/>
          <w:color w:val="auto"/>
          <w:szCs w:val="21"/>
          <w:highlight w:val="none"/>
        </w:rPr>
        <w:t>（费率）</w:t>
      </w:r>
      <w:r>
        <w:rPr>
          <w:rFonts w:hint="eastAsia" w:ascii="宋体" w:hAnsi="宋体" w:cs="宋体"/>
          <w:color w:val="auto"/>
          <w:highlight w:val="none"/>
        </w:rPr>
        <w:t>，最高投标限价</w:t>
      </w:r>
      <w:r>
        <w:rPr>
          <w:rFonts w:hint="eastAsia" w:ascii="宋体" w:hAnsi="宋体" w:cs="宋体"/>
          <w:color w:val="auto"/>
          <w:szCs w:val="21"/>
          <w:highlight w:val="none"/>
        </w:rPr>
        <w:t>（费率）</w:t>
      </w:r>
      <w:r>
        <w:rPr>
          <w:rFonts w:hint="eastAsia" w:ascii="宋体" w:hAnsi="宋体" w:cs="宋体"/>
          <w:color w:val="auto"/>
          <w:highlight w:val="none"/>
        </w:rPr>
        <w:t>的发布时间及方式在投标人须知前附表中载明。</w:t>
      </w:r>
    </w:p>
    <w:p w14:paraId="161BF54D">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）投标人对最高投标限价（费率）有异议的，可在</w:t>
      </w:r>
      <w:r>
        <w:rPr>
          <w:rFonts w:hint="eastAsia" w:ascii="宋体" w:hAnsi="宋体" w:cs="宋体"/>
          <w:color w:val="auto"/>
          <w:highlight w:val="none"/>
        </w:rPr>
        <w:t>投标人须知前附表规定的时间内向招标人提出异议，</w:t>
      </w:r>
      <w:r>
        <w:rPr>
          <w:rFonts w:hint="eastAsia" w:ascii="宋体" w:hAnsi="宋体" w:cs="宋体"/>
          <w:color w:val="auto"/>
          <w:szCs w:val="21"/>
          <w:highlight w:val="none"/>
        </w:rPr>
        <w:t>未在规定时间内提出异议的或投标人提出异议经招标人复核后的最高投标限价（费率），视为合理有效。</w:t>
      </w:r>
    </w:p>
    <w:p w14:paraId="73083D66">
      <w:pPr>
        <w:pStyle w:val="3"/>
        <w:spacing w:beforeLines="50" w:afterLines="50"/>
        <w:ind w:firstLine="482" w:firstLineChars="200"/>
        <w:rPr>
          <w:rFonts w:ascii="宋体" w:hAnsi="宋体" w:eastAsia="宋体" w:cs="宋体"/>
          <w:color w:val="auto"/>
          <w:sz w:val="24"/>
          <w:szCs w:val="24"/>
          <w:highlight w:val="none"/>
        </w:rPr>
      </w:pPr>
      <w:bookmarkStart w:id="275" w:name="_Toc247085705"/>
      <w:bookmarkStart w:id="276" w:name="_Toc35425070"/>
      <w:bookmarkStart w:id="277" w:name="_Toc6464"/>
      <w:bookmarkStart w:id="278" w:name="_Toc35424904"/>
      <w:bookmarkStart w:id="279" w:name="_Toc179632564"/>
      <w:bookmarkStart w:id="280" w:name="_Toc246996191"/>
      <w:bookmarkStart w:id="281" w:name="_Toc246996934"/>
      <w:bookmarkStart w:id="282" w:name="_Toc144974514"/>
      <w:bookmarkStart w:id="283" w:name="_Toc506107285"/>
      <w:bookmarkStart w:id="284" w:name="_Toc152045546"/>
      <w:bookmarkStart w:id="285" w:name="_Toc152042322"/>
      <w:bookmarkStart w:id="286" w:name="_Toc324404832"/>
      <w:bookmarkStart w:id="287" w:name="_Toc15058863"/>
      <w:r>
        <w:rPr>
          <w:rFonts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rPr>
        <w:t>投标文件</w:t>
      </w:r>
      <w:bookmarkEnd w:id="275"/>
      <w:bookmarkEnd w:id="276"/>
      <w:bookmarkEnd w:id="277"/>
      <w:bookmarkEnd w:id="278"/>
      <w:bookmarkEnd w:id="279"/>
      <w:bookmarkEnd w:id="280"/>
      <w:bookmarkEnd w:id="281"/>
      <w:bookmarkEnd w:id="282"/>
      <w:bookmarkEnd w:id="283"/>
      <w:bookmarkEnd w:id="284"/>
      <w:bookmarkEnd w:id="285"/>
      <w:bookmarkEnd w:id="286"/>
      <w:bookmarkEnd w:id="287"/>
    </w:p>
    <w:p w14:paraId="791AB0E4">
      <w:pPr>
        <w:pStyle w:val="3"/>
        <w:ind w:firstLine="422" w:firstLineChars="200"/>
        <w:rPr>
          <w:rFonts w:ascii="宋体" w:hAnsi="宋体" w:eastAsia="宋体" w:cs="宋体"/>
          <w:color w:val="auto"/>
          <w:highlight w:val="none"/>
        </w:rPr>
      </w:pPr>
      <w:bookmarkStart w:id="288" w:name="_Toc144974515"/>
      <w:bookmarkStart w:id="289" w:name="_Toc15058864"/>
      <w:bookmarkStart w:id="290" w:name="_Toc506107286"/>
      <w:bookmarkStart w:id="291" w:name="_Toc246996935"/>
      <w:bookmarkStart w:id="292" w:name="_Toc247085706"/>
      <w:bookmarkStart w:id="293" w:name="_Toc157"/>
      <w:bookmarkStart w:id="294" w:name="_Toc35424905"/>
      <w:bookmarkStart w:id="295" w:name="_Toc152045547"/>
      <w:bookmarkStart w:id="296" w:name="_Toc296602437"/>
      <w:bookmarkStart w:id="297" w:name="_Toc179632565"/>
      <w:bookmarkStart w:id="298" w:name="_Toc152042323"/>
      <w:bookmarkStart w:id="299" w:name="_Toc35425071"/>
      <w:bookmarkStart w:id="300" w:name="_Toc324404833"/>
      <w:bookmarkStart w:id="301" w:name="_Toc246996192"/>
      <w:r>
        <w:rPr>
          <w:rFonts w:ascii="宋体" w:hAnsi="宋体" w:eastAsia="宋体" w:cs="宋体"/>
          <w:color w:val="auto"/>
          <w:highlight w:val="none"/>
        </w:rPr>
        <w:t xml:space="preserve">3.1 </w:t>
      </w:r>
      <w:r>
        <w:rPr>
          <w:rFonts w:hint="eastAsia" w:ascii="宋体" w:hAnsi="宋体" w:eastAsia="宋体" w:cs="宋体"/>
          <w:color w:val="auto"/>
          <w:highlight w:val="none"/>
        </w:rPr>
        <w:t>投标文件的组成</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5CB7A56F">
      <w:pPr>
        <w:spacing w:line="440" w:lineRule="exact"/>
        <w:ind w:firstLine="420" w:firstLineChars="200"/>
        <w:jc w:val="left"/>
        <w:rPr>
          <w:rFonts w:hint="eastAsia" w:ascii="宋体" w:hAnsi="宋体" w:eastAsia="宋体" w:cs="宋体"/>
          <w:color w:val="auto"/>
          <w:highlight w:val="none"/>
          <w:lang w:val="en-US" w:eastAsia="zh-CN"/>
        </w:rPr>
      </w:pPr>
      <w:bookmarkStart w:id="302" w:name="_Toc35424906"/>
      <w:bookmarkStart w:id="303" w:name="_Toc247085707"/>
      <w:bookmarkStart w:id="304" w:name="_Toc6829"/>
      <w:bookmarkStart w:id="305" w:name="_Toc296602438"/>
      <w:bookmarkStart w:id="306" w:name="_Toc152045548"/>
      <w:bookmarkStart w:id="307" w:name="_Toc152042324"/>
      <w:bookmarkStart w:id="308" w:name="_Toc506107287"/>
      <w:bookmarkStart w:id="309" w:name="_Toc246996193"/>
      <w:bookmarkStart w:id="310" w:name="_Toc144974516"/>
      <w:bookmarkStart w:id="311" w:name="_Toc15058865"/>
      <w:bookmarkStart w:id="312" w:name="_Toc246996936"/>
      <w:bookmarkStart w:id="313" w:name="_Toc179632566"/>
      <w:bookmarkStart w:id="314" w:name="_Toc324404834"/>
      <w:bookmarkStart w:id="315" w:name="_Toc35425072"/>
      <w:r>
        <w:rPr>
          <w:rFonts w:hint="eastAsia" w:ascii="宋体" w:hAnsi="宋体" w:cs="宋体"/>
          <w:color w:val="auto"/>
          <w:szCs w:val="21"/>
          <w:highlight w:val="none"/>
        </w:rPr>
        <w:t>投标文件的具体组成部分及材料要求详见本招标文件第五章“投标文件格式”。</w:t>
      </w:r>
    </w:p>
    <w:p w14:paraId="5DDD97E9">
      <w:pPr>
        <w:pStyle w:val="3"/>
        <w:ind w:firstLine="422" w:firstLineChars="200"/>
        <w:rPr>
          <w:rFonts w:ascii="宋体" w:hAnsi="宋体" w:eastAsia="宋体" w:cs="宋体"/>
          <w:color w:val="auto"/>
          <w:highlight w:val="none"/>
        </w:rPr>
      </w:pPr>
      <w:r>
        <w:rPr>
          <w:rFonts w:ascii="宋体" w:hAnsi="宋体" w:eastAsia="宋体" w:cs="宋体"/>
          <w:color w:val="auto"/>
          <w:highlight w:val="none"/>
        </w:rPr>
        <w:t xml:space="preserve">3.2 </w:t>
      </w:r>
      <w:r>
        <w:rPr>
          <w:rFonts w:hint="eastAsia" w:ascii="宋体" w:hAnsi="宋体" w:eastAsia="宋体" w:cs="宋体"/>
          <w:color w:val="auto"/>
          <w:highlight w:val="none"/>
        </w:rPr>
        <w:t>投标报价</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41BF0892">
      <w:pPr>
        <w:spacing w:line="440" w:lineRule="exact"/>
        <w:ind w:firstLine="420" w:firstLineChars="200"/>
        <w:jc w:val="left"/>
        <w:rPr>
          <w:rFonts w:ascii="宋体" w:cs="宋体"/>
          <w:color w:val="auto"/>
          <w:highlight w:val="none"/>
        </w:rPr>
      </w:pPr>
      <w:bookmarkStart w:id="316" w:name="_Toc324404835"/>
      <w:bookmarkStart w:id="317" w:name="_Toc152042325"/>
      <w:bookmarkStart w:id="318" w:name="_Toc296602439"/>
      <w:bookmarkStart w:id="319" w:name="_Toc246996194"/>
      <w:bookmarkStart w:id="320" w:name="_Toc144974517"/>
      <w:bookmarkStart w:id="321" w:name="_Toc152045549"/>
      <w:bookmarkStart w:id="322" w:name="_Toc247085708"/>
      <w:bookmarkStart w:id="323" w:name="_Toc179632567"/>
      <w:bookmarkStart w:id="324" w:name="_Toc246996937"/>
      <w:r>
        <w:rPr>
          <w:rFonts w:ascii="宋体" w:hAnsi="宋体" w:cs="宋体"/>
          <w:color w:val="auto"/>
          <w:highlight w:val="none"/>
        </w:rPr>
        <w:t>3.2.1</w:t>
      </w:r>
      <w:r>
        <w:rPr>
          <w:rFonts w:hint="eastAsia" w:ascii="宋体" w:hAnsi="宋体" w:cs="宋体"/>
          <w:color w:val="auto"/>
          <w:highlight w:val="none"/>
        </w:rPr>
        <w:t>投标人的投标报价不得超过最高投标限价</w:t>
      </w:r>
      <w:r>
        <w:rPr>
          <w:rFonts w:hint="eastAsia" w:ascii="宋体" w:hAnsi="宋体" w:cs="宋体"/>
          <w:color w:val="auto"/>
          <w:szCs w:val="21"/>
          <w:highlight w:val="none"/>
        </w:rPr>
        <w:t>（费率）</w:t>
      </w:r>
      <w:r>
        <w:rPr>
          <w:rFonts w:hint="eastAsia" w:ascii="宋体" w:hAnsi="宋体" w:cs="宋体"/>
          <w:color w:val="auto"/>
          <w:highlight w:val="none"/>
        </w:rPr>
        <w:t>，最高投标限价</w:t>
      </w:r>
      <w:r>
        <w:rPr>
          <w:rFonts w:hint="eastAsia" w:ascii="宋体" w:hAnsi="宋体" w:cs="宋体"/>
          <w:color w:val="auto"/>
          <w:szCs w:val="21"/>
          <w:highlight w:val="none"/>
        </w:rPr>
        <w:t>（费率）</w:t>
      </w:r>
      <w:r>
        <w:rPr>
          <w:rFonts w:hint="eastAsia" w:ascii="宋体" w:hAnsi="宋体" w:cs="宋体"/>
          <w:color w:val="auto"/>
          <w:highlight w:val="none"/>
        </w:rPr>
        <w:t>的发布时间及方式在投标人须知前附表中载明。</w:t>
      </w:r>
    </w:p>
    <w:p w14:paraId="13643264">
      <w:pPr>
        <w:spacing w:line="440" w:lineRule="exact"/>
        <w:ind w:firstLine="420" w:firstLineChars="200"/>
        <w:jc w:val="left"/>
        <w:rPr>
          <w:rFonts w:ascii="宋体" w:cs="宋体"/>
          <w:color w:val="auto"/>
          <w:highlight w:val="none"/>
        </w:rPr>
      </w:pPr>
      <w:r>
        <w:rPr>
          <w:rFonts w:ascii="宋体" w:hAnsi="宋体" w:cs="宋体"/>
          <w:color w:val="auto"/>
          <w:highlight w:val="none"/>
        </w:rPr>
        <w:t>3.2.2</w:t>
      </w:r>
      <w:r>
        <w:rPr>
          <w:rFonts w:hint="eastAsia" w:ascii="宋体" w:hAnsi="宋体" w:cs="宋体"/>
          <w:color w:val="auto"/>
          <w:highlight w:val="none"/>
        </w:rPr>
        <w:t>投标报价应由法定代表人或被授权人签署。</w:t>
      </w:r>
    </w:p>
    <w:p w14:paraId="2ACA5050">
      <w:pPr>
        <w:spacing w:line="440" w:lineRule="exact"/>
        <w:ind w:left="15" w:leftChars="7" w:firstLine="420" w:firstLineChars="200"/>
        <w:jc w:val="left"/>
        <w:rPr>
          <w:rFonts w:ascii="宋体" w:cs="宋体"/>
          <w:color w:val="auto"/>
          <w:highlight w:val="none"/>
        </w:rPr>
      </w:pPr>
      <w:r>
        <w:rPr>
          <w:rFonts w:ascii="宋体" w:hAnsi="宋体" w:cs="宋体"/>
          <w:color w:val="auto"/>
          <w:highlight w:val="none"/>
        </w:rPr>
        <w:t>3.2.3</w:t>
      </w:r>
      <w:r>
        <w:rPr>
          <w:rFonts w:hint="eastAsia" w:ascii="宋体" w:hAnsi="宋体" w:cs="宋体"/>
          <w:color w:val="auto"/>
          <w:highlight w:val="none"/>
        </w:rPr>
        <w:t>投标人的投标报价应为项目招标范围内</w:t>
      </w:r>
      <w:r>
        <w:rPr>
          <w:rFonts w:hint="eastAsia" w:ascii="宋体" w:hAnsi="宋体" w:cs="宋体"/>
          <w:color w:val="auto"/>
          <w:highlight w:val="none"/>
          <w:lang w:val="en-US" w:eastAsia="zh-CN"/>
        </w:rPr>
        <w:t>服务</w:t>
      </w:r>
      <w:r>
        <w:rPr>
          <w:rFonts w:hint="eastAsia" w:ascii="宋体" w:hAnsi="宋体" w:cs="宋体"/>
          <w:color w:val="auto"/>
          <w:highlight w:val="none"/>
        </w:rPr>
        <w:t>单位所提供的全部服务工作内容所需的全部费用，包含所有成本、利润和税金等全部费用。</w:t>
      </w:r>
    </w:p>
    <w:p w14:paraId="159C03EB">
      <w:pPr>
        <w:spacing w:line="440" w:lineRule="exact"/>
        <w:ind w:firstLine="420" w:firstLineChars="200"/>
        <w:jc w:val="left"/>
        <w:rPr>
          <w:rFonts w:ascii="宋体" w:cs="宋体"/>
          <w:color w:val="auto"/>
          <w:szCs w:val="21"/>
          <w:highlight w:val="none"/>
        </w:rPr>
      </w:pPr>
      <w:r>
        <w:rPr>
          <w:rFonts w:ascii="宋体" w:hAnsi="宋体" w:cs="宋体"/>
          <w:color w:val="auto"/>
          <w:highlight w:val="none"/>
        </w:rPr>
        <w:t>3.2.4</w:t>
      </w:r>
      <w:r>
        <w:rPr>
          <w:rFonts w:hint="eastAsia" w:ascii="宋体" w:hAnsi="宋体" w:cs="宋体"/>
          <w:color w:val="auto"/>
          <w:highlight w:val="none"/>
        </w:rPr>
        <w:t>不论任何原因导致的工期延长，招标人均不再补偿</w:t>
      </w:r>
      <w:r>
        <w:rPr>
          <w:rFonts w:hint="eastAsia" w:ascii="宋体" w:hAnsi="宋体" w:cs="宋体"/>
          <w:color w:val="auto"/>
          <w:highlight w:val="none"/>
          <w:lang w:val="en-US" w:eastAsia="zh-CN"/>
        </w:rPr>
        <w:t>服务</w:t>
      </w:r>
      <w:r>
        <w:rPr>
          <w:rFonts w:hint="eastAsia" w:ascii="宋体" w:hAnsi="宋体" w:cs="宋体"/>
          <w:color w:val="auto"/>
          <w:highlight w:val="none"/>
        </w:rPr>
        <w:t>费用。</w:t>
      </w:r>
    </w:p>
    <w:p w14:paraId="358F1203">
      <w:pPr>
        <w:pStyle w:val="3"/>
        <w:ind w:firstLine="422" w:firstLineChars="200"/>
        <w:rPr>
          <w:rFonts w:ascii="宋体" w:hAnsi="宋体" w:eastAsia="宋体" w:cs="宋体"/>
          <w:color w:val="auto"/>
          <w:highlight w:val="none"/>
        </w:rPr>
      </w:pPr>
      <w:bookmarkStart w:id="325" w:name="_Toc506107288"/>
      <w:bookmarkStart w:id="326" w:name="_Toc31735"/>
      <w:bookmarkStart w:id="327" w:name="_Toc15058866"/>
      <w:bookmarkStart w:id="328" w:name="_Toc35425073"/>
      <w:bookmarkStart w:id="329" w:name="_Toc35424907"/>
      <w:r>
        <w:rPr>
          <w:rFonts w:ascii="宋体" w:hAnsi="宋体" w:eastAsia="宋体" w:cs="宋体"/>
          <w:color w:val="auto"/>
          <w:highlight w:val="none"/>
        </w:rPr>
        <w:t xml:space="preserve">3.3 </w:t>
      </w:r>
      <w:r>
        <w:rPr>
          <w:rFonts w:hint="eastAsia" w:ascii="宋体" w:hAnsi="宋体" w:eastAsia="宋体" w:cs="宋体"/>
          <w:color w:val="auto"/>
          <w:highlight w:val="none"/>
        </w:rPr>
        <w:t>投标有效期</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7B971CFC">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3.3.1</w:t>
      </w:r>
      <w:r>
        <w:rPr>
          <w:rFonts w:hint="eastAsia" w:ascii="宋体" w:hAnsi="宋体" w:cs="宋体"/>
          <w:color w:val="auto"/>
          <w:szCs w:val="21"/>
          <w:highlight w:val="none"/>
        </w:rPr>
        <w:t>除投标人须知前附表另有规定外，投标有效期为</w:t>
      </w:r>
      <w:r>
        <w:rPr>
          <w:rFonts w:ascii="宋体" w:hAnsi="宋体" w:cs="宋体"/>
          <w:color w:val="auto"/>
          <w:szCs w:val="21"/>
          <w:highlight w:val="none"/>
        </w:rPr>
        <w:t>90</w:t>
      </w:r>
      <w:r>
        <w:rPr>
          <w:rFonts w:hint="eastAsia" w:ascii="宋体" w:hAnsi="宋体" w:cs="宋体"/>
          <w:color w:val="auto"/>
          <w:szCs w:val="21"/>
          <w:highlight w:val="none"/>
        </w:rPr>
        <w:t>天。</w:t>
      </w:r>
    </w:p>
    <w:p w14:paraId="4BCB3501">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3.3.2</w:t>
      </w:r>
      <w:r>
        <w:rPr>
          <w:rFonts w:hint="eastAsia" w:ascii="宋体" w:hAnsi="宋体" w:cs="宋体"/>
          <w:color w:val="auto"/>
          <w:szCs w:val="21"/>
          <w:highlight w:val="none"/>
        </w:rPr>
        <w:t>在投标有效期内，投标人撤销或修改其投标文件的，应承担招标文件和法律规定的责任。</w:t>
      </w:r>
    </w:p>
    <w:p w14:paraId="04EB23A6">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3.3.3</w:t>
      </w:r>
      <w:r>
        <w:rPr>
          <w:rFonts w:hint="eastAsia" w:ascii="宋体" w:hAnsi="宋体" w:cs="宋体"/>
          <w:color w:val="auto"/>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8C83066">
      <w:pPr>
        <w:pStyle w:val="3"/>
        <w:ind w:firstLine="422" w:firstLineChars="200"/>
        <w:rPr>
          <w:rFonts w:ascii="宋体" w:hAnsi="宋体" w:eastAsia="宋体" w:cs="宋体"/>
          <w:color w:val="auto"/>
          <w:highlight w:val="none"/>
        </w:rPr>
      </w:pPr>
      <w:bookmarkStart w:id="330" w:name="_Toc324404836"/>
      <w:bookmarkStart w:id="331" w:name="_Toc247085709"/>
      <w:bookmarkStart w:id="332" w:name="_Toc152045550"/>
      <w:bookmarkStart w:id="333" w:name="_Toc35424908"/>
      <w:bookmarkStart w:id="334" w:name="_Toc246996195"/>
      <w:bookmarkStart w:id="335" w:name="_Toc506107289"/>
      <w:bookmarkStart w:id="336" w:name="_Toc152042326"/>
      <w:bookmarkStart w:id="337" w:name="_Toc35425074"/>
      <w:bookmarkStart w:id="338" w:name="_Toc15058867"/>
      <w:bookmarkStart w:id="339" w:name="_Toc144974518"/>
      <w:bookmarkStart w:id="340" w:name="_Toc179632568"/>
      <w:bookmarkStart w:id="341" w:name="_Toc246996938"/>
      <w:bookmarkStart w:id="342" w:name="_Toc296602440"/>
      <w:bookmarkStart w:id="343" w:name="_Toc10714"/>
      <w:r>
        <w:rPr>
          <w:rFonts w:ascii="宋体" w:hAnsi="宋体" w:eastAsia="宋体" w:cs="宋体"/>
          <w:color w:val="auto"/>
          <w:highlight w:val="none"/>
        </w:rPr>
        <w:t xml:space="preserve">3.4 </w:t>
      </w:r>
      <w:r>
        <w:rPr>
          <w:rFonts w:hint="eastAsia" w:ascii="宋体" w:hAnsi="宋体" w:eastAsia="宋体" w:cs="宋体"/>
          <w:color w:val="auto"/>
          <w:highlight w:val="none"/>
        </w:rPr>
        <w:t>投标保证金</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0588382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3.4.1投标人须知前附表规定递交投标保证金的，投标人在递交投标文件的同时，应按投标人须知前附表规定的金额、担保形式和第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章“投标文件格式”规定的或者事先经过招标人认可的保证金格式递交保证金，并作为其投标文件的组成部分。</w:t>
      </w:r>
    </w:p>
    <w:p w14:paraId="504450D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 3.3.3 项的规定延长了投标有效期，则投标保证金的有效期也相应延长。</w:t>
      </w:r>
    </w:p>
    <w:p w14:paraId="3ADA96B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3.4.2 投标人不按本章第3.4.1项要求提交投标保证金的，评标委员会将否决其投标。</w:t>
      </w:r>
    </w:p>
    <w:p w14:paraId="60050F3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3.4.3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6763E99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3.4.4 有下列情形之一的，投标保证金将不予退还： </w:t>
      </w:r>
    </w:p>
    <w:p w14:paraId="79FEBE07">
      <w:pPr>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B9AA584">
      <w:pPr>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658A1C4B">
      <w:pPr>
        <w:widowControl w:val="0"/>
        <w:kinsoku/>
        <w:wordWrap/>
        <w:overflowPunct/>
        <w:topLinePunct w:val="0"/>
        <w:autoSpaceDE/>
        <w:autoSpaceDN/>
        <w:bidi w:val="0"/>
        <w:adjustRightInd w:val="0"/>
        <w:snapToGrid w:val="0"/>
        <w:spacing w:line="44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3.4.5 投标保证金按《</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"https://www.chuzhou.gov.cn/group1/M00/12/83/CpYI8mGDiKqAD_IkAAEIAMLVghw186.doc" \t "_blank" </w:instrText>
      </w:r>
      <w:r>
        <w:rPr>
          <w:rFonts w:ascii="宋体" w:hAnsi="宋体" w:cs="宋体"/>
          <w:color w:val="auto"/>
          <w:szCs w:val="21"/>
          <w:highlight w:val="none"/>
        </w:rPr>
        <w:fldChar w:fldCharType="separate"/>
      </w:r>
      <w:r>
        <w:rPr>
          <w:rFonts w:hint="eastAsia" w:ascii="宋体" w:hAnsi="宋体" w:cs="宋体"/>
          <w:color w:val="auto"/>
          <w:szCs w:val="21"/>
          <w:highlight w:val="none"/>
        </w:rPr>
        <w:t>滁州市公共资源交易投标保证金管理规定</w:t>
      </w:r>
      <w:r>
        <w:rPr>
          <w:rFonts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50DA98AC">
      <w:pPr>
        <w:pStyle w:val="3"/>
        <w:ind w:firstLine="422" w:firstLineChars="200"/>
        <w:rPr>
          <w:rFonts w:ascii="宋体" w:hAnsi="宋体" w:eastAsia="宋体" w:cs="宋体"/>
          <w:color w:val="auto"/>
          <w:highlight w:val="none"/>
        </w:rPr>
      </w:pPr>
      <w:bookmarkStart w:id="344" w:name="_Toc506107290"/>
      <w:bookmarkStart w:id="345" w:name="_Toc15058868"/>
      <w:bookmarkStart w:id="346" w:name="_Toc19037"/>
      <w:bookmarkStart w:id="347" w:name="_Toc35424909"/>
      <w:bookmarkStart w:id="348" w:name="_Toc296602442"/>
      <w:bookmarkStart w:id="349" w:name="_Toc35425075"/>
      <w:bookmarkStart w:id="350" w:name="_Toc324404837"/>
      <w:bookmarkStart w:id="351" w:name="_Toc246996940"/>
      <w:bookmarkStart w:id="352" w:name="_Toc247085711"/>
      <w:bookmarkStart w:id="353" w:name="_Toc246996197"/>
      <w:bookmarkStart w:id="354" w:name="_Toc152042329"/>
      <w:bookmarkStart w:id="355" w:name="_Toc144974521"/>
      <w:bookmarkStart w:id="356" w:name="_Toc152045553"/>
      <w:bookmarkStart w:id="357" w:name="_Toc179632571"/>
      <w:r>
        <w:rPr>
          <w:rFonts w:ascii="宋体" w:hAnsi="宋体" w:eastAsia="宋体" w:cs="宋体"/>
          <w:color w:val="auto"/>
          <w:highlight w:val="none"/>
        </w:rPr>
        <w:t>3.5</w:t>
      </w:r>
      <w:r>
        <w:rPr>
          <w:rFonts w:hint="eastAsia" w:ascii="宋体" w:hAnsi="宋体" w:eastAsia="宋体" w:cs="宋体"/>
          <w:color w:val="auto"/>
          <w:highlight w:val="none"/>
        </w:rPr>
        <w:t>投标文件的编制</w:t>
      </w:r>
      <w:bookmarkEnd w:id="344"/>
      <w:bookmarkEnd w:id="345"/>
      <w:bookmarkEnd w:id="346"/>
      <w:bookmarkEnd w:id="347"/>
      <w:bookmarkEnd w:id="348"/>
      <w:bookmarkEnd w:id="349"/>
      <w:bookmarkEnd w:id="350"/>
    </w:p>
    <w:p w14:paraId="55E2FAD3">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3.5.1</w:t>
      </w:r>
      <w:r>
        <w:rPr>
          <w:rFonts w:hint="eastAsia" w:ascii="宋体" w:hAnsi="宋体" w:cs="宋体"/>
          <w:color w:val="auto"/>
          <w:szCs w:val="21"/>
          <w:highlight w:val="none"/>
        </w:rPr>
        <w:t>投标文件应按第五章“投标文件格式”进行编写，如有必要，可以增加附页，作为投标文件的组成部分。</w:t>
      </w:r>
    </w:p>
    <w:p w14:paraId="7CC7558E">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3.5.2 </w:t>
      </w:r>
      <w:r>
        <w:rPr>
          <w:rFonts w:hint="eastAsia" w:ascii="宋体" w:hAnsi="宋体" w:cs="宋体"/>
          <w:color w:val="auto"/>
          <w:szCs w:val="21"/>
          <w:highlight w:val="none"/>
        </w:rPr>
        <w:t>投标文件应当对招标文件有关服务期限、投标有效期、质量要求、技术标准和要求、招标范围等实质性内容作出响应。</w:t>
      </w:r>
    </w:p>
    <w:bookmarkEnd w:id="351"/>
    <w:bookmarkEnd w:id="352"/>
    <w:bookmarkEnd w:id="353"/>
    <w:bookmarkEnd w:id="354"/>
    <w:bookmarkEnd w:id="355"/>
    <w:bookmarkEnd w:id="356"/>
    <w:bookmarkEnd w:id="357"/>
    <w:p w14:paraId="27C6977F">
      <w:pPr>
        <w:spacing w:line="440" w:lineRule="exact"/>
        <w:ind w:firstLine="420" w:firstLineChars="200"/>
        <w:jc w:val="left"/>
        <w:rPr>
          <w:rFonts w:ascii="宋体" w:cs="宋体"/>
          <w:color w:val="auto"/>
          <w:szCs w:val="21"/>
          <w:highlight w:val="none"/>
        </w:rPr>
      </w:pPr>
      <w:bookmarkStart w:id="358" w:name="_Toc246996942"/>
      <w:bookmarkStart w:id="359" w:name="_Toc152042331"/>
      <w:bookmarkStart w:id="360" w:name="_Toc144974523"/>
      <w:bookmarkStart w:id="361" w:name="_Toc179632573"/>
      <w:bookmarkStart w:id="362" w:name="_Toc247085713"/>
      <w:bookmarkStart w:id="363" w:name="_Toc152045555"/>
      <w:bookmarkStart w:id="364" w:name="_Toc246996199"/>
      <w:bookmarkStart w:id="365" w:name="_Toc324404838"/>
      <w:r>
        <w:rPr>
          <w:rFonts w:ascii="宋体" w:hAnsi="宋体" w:cs="宋体"/>
          <w:color w:val="auto"/>
          <w:szCs w:val="21"/>
          <w:highlight w:val="none"/>
        </w:rPr>
        <w:t>3.5.3</w:t>
      </w:r>
      <w:r>
        <w:rPr>
          <w:rFonts w:hint="eastAsia" w:ascii="宋体" w:hAnsi="宋体" w:cs="宋体"/>
          <w:color w:val="auto"/>
          <w:szCs w:val="21"/>
          <w:highlight w:val="none"/>
        </w:rPr>
        <w:t>本次投标不需要提供纸质投标文件，投标人应按照电子招标投标的要求，在投标人的电子系统中制作、签章、上传加密的电子投标文件。</w:t>
      </w:r>
    </w:p>
    <w:p w14:paraId="7C8AB26E">
      <w:pPr>
        <w:spacing w:line="440" w:lineRule="exact"/>
        <w:ind w:firstLine="420" w:firstLineChars="200"/>
        <w:jc w:val="left"/>
        <w:rPr>
          <w:rFonts w:hint="eastAsia" w:ascii="宋体" w:hAnsi="宋体" w:cs="宋体"/>
          <w:color w:val="auto"/>
          <w:szCs w:val="21"/>
          <w:highlight w:val="none"/>
        </w:rPr>
      </w:pPr>
      <w:bookmarkStart w:id="366" w:name="_Toc15058869"/>
      <w:bookmarkStart w:id="367" w:name="_Toc19455"/>
      <w:bookmarkStart w:id="368" w:name="_Toc35424910"/>
      <w:bookmarkStart w:id="369" w:name="_Toc506107291"/>
      <w:bookmarkStart w:id="370" w:name="_Toc35425076"/>
      <w:r>
        <w:rPr>
          <w:rFonts w:hint="eastAsia" w:ascii="宋体" w:hAnsi="宋体" w:cs="宋体"/>
          <w:bCs/>
          <w:snapToGrid w:val="0"/>
          <w:color w:val="auto"/>
          <w:kern w:val="0"/>
          <w:szCs w:val="21"/>
          <w:highlight w:val="none"/>
        </w:rPr>
        <w:t>3.5.</w:t>
      </w:r>
      <w:r>
        <w:rPr>
          <w:rFonts w:hint="eastAsia" w:ascii="宋体" w:hAnsi="宋体" w:cs="宋体"/>
          <w:bCs/>
          <w:snapToGrid w:val="0"/>
          <w:color w:val="auto"/>
          <w:kern w:val="0"/>
          <w:szCs w:val="21"/>
          <w:highlight w:val="none"/>
          <w:lang w:val="en-US" w:eastAsia="zh-CN"/>
        </w:rPr>
        <w:t>4</w:t>
      </w:r>
      <w:r>
        <w:rPr>
          <w:rFonts w:hint="eastAsia" w:ascii="宋体" w:hAnsi="宋体" w:cs="宋体"/>
          <w:bCs/>
          <w:snapToGrid w:val="0"/>
          <w:color w:val="auto"/>
          <w:kern w:val="0"/>
          <w:szCs w:val="21"/>
          <w:highlight w:val="none"/>
        </w:rPr>
        <w:t>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cs="宋体"/>
          <w:b/>
          <w:snapToGrid w:val="0"/>
          <w:color w:val="auto"/>
          <w:kern w:val="0"/>
          <w:szCs w:val="21"/>
          <w:highlight w:val="none"/>
        </w:rPr>
        <w:t>如果签订合同后发现中标人提供了虚假材料，招标人有权解除合同</w:t>
      </w:r>
      <w:r>
        <w:rPr>
          <w:rFonts w:hint="eastAsia" w:ascii="宋体" w:hAnsi="宋体" w:cs="宋体"/>
          <w:bCs/>
          <w:snapToGrid w:val="0"/>
          <w:color w:val="auto"/>
          <w:kern w:val="0"/>
          <w:szCs w:val="21"/>
          <w:highlight w:val="none"/>
        </w:rPr>
        <w:t>。同时招标人将投标人上述弄虚作假行为上报公共资源交易监督管理部门处理。</w:t>
      </w:r>
    </w:p>
    <w:p w14:paraId="6F7944C7">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投标文件的制作应满足以下规定：</w:t>
      </w:r>
    </w:p>
    <w:p w14:paraId="5EAFFCB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（1）投标文件由投标人使用电子交易系统提供的“投标文件制作工具”制作生成。“投标文件制作工具”可以通过电子交易系统下载。</w:t>
      </w:r>
    </w:p>
    <w:p w14:paraId="73E3C6B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招标文件中“签章”是指签字或盖章。</w:t>
      </w:r>
      <w:r>
        <w:rPr>
          <w:rFonts w:hint="eastAsia" w:ascii="宋体" w:hAnsi="宋体" w:cs="宋体"/>
          <w:color w:val="auto"/>
          <w:szCs w:val="21"/>
          <w:highlight w:val="none"/>
        </w:rPr>
        <w:t>在第五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661C920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48B3A62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（4）投标文件制作的具体方法详见“投标文件制作工具”中的帮助文档。</w:t>
      </w:r>
    </w:p>
    <w:p w14:paraId="4DBC0589">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3.5.</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p>
    <w:p w14:paraId="1EAEC19A">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3.5.</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6F800077">
      <w:pPr>
        <w:pStyle w:val="3"/>
        <w:spacing w:beforeLines="50" w:afterLines="50"/>
        <w:ind w:firstLine="482"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投标</w:t>
      </w:r>
      <w:bookmarkEnd w:id="358"/>
      <w:bookmarkEnd w:id="359"/>
      <w:bookmarkEnd w:id="360"/>
      <w:bookmarkEnd w:id="361"/>
      <w:bookmarkEnd w:id="362"/>
      <w:bookmarkEnd w:id="363"/>
      <w:bookmarkEnd w:id="364"/>
      <w:bookmarkEnd w:id="365"/>
      <w:bookmarkEnd w:id="366"/>
      <w:bookmarkEnd w:id="367"/>
      <w:bookmarkEnd w:id="368"/>
      <w:bookmarkEnd w:id="369"/>
      <w:bookmarkEnd w:id="370"/>
    </w:p>
    <w:p w14:paraId="7895A6E4">
      <w:pPr>
        <w:pStyle w:val="3"/>
        <w:ind w:firstLine="422" w:firstLineChars="200"/>
        <w:rPr>
          <w:rFonts w:ascii="宋体" w:hAnsi="宋体" w:eastAsia="宋体" w:cs="宋体"/>
          <w:color w:val="auto"/>
          <w:highlight w:val="none"/>
        </w:rPr>
      </w:pPr>
      <w:bookmarkStart w:id="371" w:name="_Toc78803346"/>
      <w:bookmarkStart w:id="372" w:name="_Toc15058870"/>
      <w:bookmarkStart w:id="373" w:name="_Toc35424911"/>
      <w:bookmarkStart w:id="374" w:name="_Toc14473"/>
      <w:bookmarkStart w:id="375" w:name="_Toc35425077"/>
      <w:bookmarkStart w:id="376" w:name="_Toc35424915"/>
      <w:bookmarkStart w:id="377" w:name="_Toc247085717"/>
      <w:bookmarkStart w:id="378" w:name="_Toc29639"/>
      <w:bookmarkStart w:id="379" w:name="_Toc506107295"/>
      <w:bookmarkStart w:id="380" w:name="_Toc324404842"/>
      <w:bookmarkStart w:id="381" w:name="_Toc144974527"/>
      <w:bookmarkStart w:id="382" w:name="_Toc15058874"/>
      <w:bookmarkStart w:id="383" w:name="_Toc152042335"/>
      <w:bookmarkStart w:id="384" w:name="_Toc152045559"/>
      <w:bookmarkStart w:id="385" w:name="_Toc179632577"/>
      <w:bookmarkStart w:id="386" w:name="_Toc246996203"/>
      <w:bookmarkStart w:id="387" w:name="_Toc246996946"/>
      <w:bookmarkStart w:id="388" w:name="_Toc35425081"/>
      <w:r>
        <w:rPr>
          <w:rFonts w:hint="eastAsia" w:ascii="宋体" w:hAnsi="宋体" w:eastAsia="宋体" w:cs="宋体"/>
          <w:color w:val="auto"/>
          <w:highlight w:val="none"/>
        </w:rPr>
        <w:t>4.1投标文件上传</w:t>
      </w:r>
      <w:bookmarkEnd w:id="371"/>
      <w:bookmarkEnd w:id="372"/>
      <w:bookmarkEnd w:id="373"/>
      <w:bookmarkEnd w:id="374"/>
      <w:bookmarkEnd w:id="375"/>
    </w:p>
    <w:p w14:paraId="11D43367">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4.1.1请投标人通过系统下载投标工具制作投标文件，并利用CA数字证书进行上传投标文件，上传已加密的投标文件，务必通过此方式上传投标文件。</w:t>
      </w:r>
    </w:p>
    <w:p w14:paraId="43B2745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4.1.2投标人在投标文件编制、签章、上传过程中如有任何操作的疑问请及时联系技术支持，电话：0550-3801701。</w:t>
      </w:r>
    </w:p>
    <w:p w14:paraId="6F18C3DC">
      <w:pPr>
        <w:pStyle w:val="3"/>
        <w:ind w:firstLine="422" w:firstLineChars="200"/>
        <w:rPr>
          <w:rFonts w:hint="eastAsia" w:ascii="宋体" w:hAnsi="宋体" w:eastAsia="宋体" w:cs="宋体"/>
          <w:color w:val="auto"/>
          <w:highlight w:val="none"/>
        </w:rPr>
      </w:pPr>
      <w:bookmarkStart w:id="389" w:name="_Toc246996200"/>
      <w:bookmarkStart w:id="390" w:name="_Toc296602444"/>
      <w:bookmarkStart w:id="391" w:name="_Toc246996943"/>
      <w:bookmarkStart w:id="392" w:name="_Toc35425078"/>
      <w:bookmarkStart w:id="393" w:name="_Toc506107292"/>
      <w:bookmarkStart w:id="394" w:name="_Toc144974524"/>
      <w:bookmarkStart w:id="395" w:name="_Toc35424912"/>
      <w:bookmarkStart w:id="396" w:name="_Toc152045556"/>
      <w:bookmarkStart w:id="397" w:name="_Toc15058871"/>
      <w:bookmarkStart w:id="398" w:name="_Toc324404839"/>
      <w:bookmarkStart w:id="399" w:name="_Toc179632574"/>
      <w:bookmarkStart w:id="400" w:name="_Toc3526"/>
      <w:bookmarkStart w:id="401" w:name="_Toc152042332"/>
      <w:bookmarkStart w:id="402" w:name="_Toc247085714"/>
      <w:r>
        <w:rPr>
          <w:rFonts w:hint="eastAsia" w:ascii="宋体" w:hAnsi="宋体" w:eastAsia="宋体" w:cs="宋体"/>
          <w:color w:val="auto"/>
          <w:highlight w:val="none"/>
        </w:rPr>
        <w:t>4.2投标文件的密封和标记</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7A665CD5">
      <w:pPr>
        <w:spacing w:line="440" w:lineRule="exact"/>
        <w:ind w:firstLine="420" w:firstLineChars="200"/>
        <w:jc w:val="left"/>
        <w:rPr>
          <w:rFonts w:ascii="宋体" w:hAnsi="宋体" w:cs="宋体"/>
          <w:color w:val="auto"/>
          <w:szCs w:val="21"/>
          <w:highlight w:val="none"/>
        </w:rPr>
      </w:pPr>
      <w:bookmarkStart w:id="403" w:name="_Toc246996201"/>
      <w:bookmarkStart w:id="404" w:name="_Toc179632575"/>
      <w:bookmarkStart w:id="405" w:name="_Toc152042333"/>
      <w:bookmarkStart w:id="406" w:name="_Toc246996944"/>
      <w:bookmarkStart w:id="407" w:name="_Toc324404840"/>
      <w:bookmarkStart w:id="408" w:name="_Toc144974525"/>
      <w:bookmarkStart w:id="409" w:name="_Toc247085715"/>
      <w:bookmarkStart w:id="410" w:name="_Toc296602445"/>
      <w:bookmarkStart w:id="411" w:name="_Toc152045557"/>
      <w:r>
        <w:rPr>
          <w:rFonts w:hint="eastAsia" w:ascii="宋体" w:hAnsi="宋体" w:cs="宋体"/>
          <w:color w:val="auto"/>
          <w:szCs w:val="21"/>
          <w:highlight w:val="none"/>
        </w:rPr>
        <w:t>4.2.1投标文件应按照本章第3.5.</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项要求制作并加密，否则招标人不予接收，以投标人在投标截止时间前网上递交的电子投标文件为准。</w:t>
      </w:r>
    </w:p>
    <w:p w14:paraId="7E5C0671">
      <w:pPr>
        <w:pStyle w:val="3"/>
        <w:ind w:firstLine="422" w:firstLineChars="200"/>
        <w:rPr>
          <w:rFonts w:hint="eastAsia" w:ascii="宋体" w:hAnsi="宋体" w:eastAsia="宋体" w:cs="宋体"/>
          <w:color w:val="auto"/>
          <w:highlight w:val="none"/>
        </w:rPr>
      </w:pPr>
      <w:bookmarkStart w:id="412" w:name="_Toc15058872"/>
      <w:bookmarkStart w:id="413" w:name="_Toc12275"/>
      <w:bookmarkStart w:id="414" w:name="_Toc35424913"/>
      <w:bookmarkStart w:id="415" w:name="_Toc35425079"/>
      <w:bookmarkStart w:id="416" w:name="_Toc506107293"/>
      <w:r>
        <w:rPr>
          <w:rFonts w:hint="eastAsia" w:ascii="宋体" w:hAnsi="宋体" w:eastAsia="宋体" w:cs="宋体"/>
          <w:color w:val="auto"/>
          <w:highlight w:val="none"/>
        </w:rPr>
        <w:t>4.3 投标文件的递交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52F371B7">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4.3.1 投标人应在投标截止时间前将加密投标文件上传至电子交易系统。</w:t>
      </w:r>
    </w:p>
    <w:p w14:paraId="241002F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4.3.</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除投标人须知前附表另有规定外，投标人所递交的投标文件不予退还。</w:t>
      </w:r>
    </w:p>
    <w:p w14:paraId="1517251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 投标人应当在投标截止时间前完成投标文件的网上递交， 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3AA78237">
      <w:pPr>
        <w:pStyle w:val="3"/>
        <w:ind w:firstLine="422" w:firstLineChars="200"/>
        <w:rPr>
          <w:rFonts w:hint="eastAsia" w:ascii="宋体" w:hAnsi="宋体" w:eastAsia="宋体" w:cs="宋体"/>
          <w:color w:val="auto"/>
          <w:highlight w:val="none"/>
        </w:rPr>
      </w:pPr>
      <w:bookmarkStart w:id="417" w:name="_Toc296602446"/>
      <w:bookmarkStart w:id="418" w:name="_Toc506107294"/>
      <w:bookmarkStart w:id="419" w:name="_Toc144974526"/>
      <w:bookmarkStart w:id="420" w:name="_Toc247085716"/>
      <w:bookmarkStart w:id="421" w:name="_Toc152045558"/>
      <w:bookmarkStart w:id="422" w:name="_Toc246996202"/>
      <w:bookmarkStart w:id="423" w:name="_Toc35424914"/>
      <w:bookmarkStart w:id="424" w:name="_Toc35425080"/>
      <w:bookmarkStart w:id="425" w:name="_Toc19572"/>
      <w:bookmarkStart w:id="426" w:name="_Toc15058873"/>
      <w:bookmarkStart w:id="427" w:name="_Toc78803347"/>
      <w:bookmarkStart w:id="428" w:name="_Toc179632576"/>
      <w:bookmarkStart w:id="429" w:name="_Toc324404841"/>
      <w:bookmarkStart w:id="430" w:name="_Toc246996945"/>
      <w:bookmarkStart w:id="431" w:name="_Toc152042334"/>
      <w:r>
        <w:rPr>
          <w:rFonts w:hint="eastAsia" w:ascii="宋体" w:hAnsi="宋体" w:eastAsia="宋体" w:cs="宋体"/>
          <w:color w:val="auto"/>
          <w:highlight w:val="none"/>
        </w:rPr>
        <w:t>4.4 投标文件的修改与撤回</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462BCD3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4.4.1 在规定的投标截止时间前，投标人可以自行从网上招投标系统撤回已递交的投标文件，并可修改后重新加密上传，开标时以投标截止时间前投标人最终上传的投标文件为准。</w:t>
      </w:r>
    </w:p>
    <w:p w14:paraId="26D9AE57">
      <w:pPr>
        <w:pStyle w:val="3"/>
        <w:spacing w:beforeLines="50" w:afterLines="50"/>
        <w:ind w:firstLine="482"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5. </w:t>
      </w:r>
      <w:r>
        <w:rPr>
          <w:rFonts w:hint="eastAsia" w:ascii="宋体" w:hAnsi="宋体" w:eastAsia="宋体" w:cs="宋体"/>
          <w:color w:val="auto"/>
          <w:sz w:val="24"/>
          <w:szCs w:val="24"/>
          <w:highlight w:val="none"/>
        </w:rPr>
        <w:t>开标</w:t>
      </w:r>
      <w:bookmarkEnd w:id="376"/>
      <w:bookmarkEnd w:id="377"/>
      <w:bookmarkEnd w:id="378"/>
      <w:bookmarkEnd w:id="379"/>
      <w:bookmarkEnd w:id="380"/>
      <w:bookmarkEnd w:id="381"/>
      <w:bookmarkEnd w:id="382"/>
      <w:bookmarkEnd w:id="383"/>
      <w:bookmarkEnd w:id="384"/>
      <w:bookmarkEnd w:id="385"/>
      <w:bookmarkEnd w:id="386"/>
      <w:bookmarkEnd w:id="387"/>
      <w:bookmarkEnd w:id="388"/>
    </w:p>
    <w:p w14:paraId="6B6F6C2C">
      <w:pPr>
        <w:pStyle w:val="3"/>
        <w:ind w:firstLine="422" w:firstLineChars="200"/>
        <w:rPr>
          <w:rFonts w:ascii="宋体" w:hAnsi="宋体" w:eastAsia="宋体" w:cs="宋体"/>
          <w:color w:val="auto"/>
          <w:highlight w:val="none"/>
        </w:rPr>
      </w:pPr>
      <w:bookmarkStart w:id="432" w:name="_Toc296602448"/>
      <w:bookmarkStart w:id="433" w:name="_Toc13691"/>
      <w:bookmarkStart w:id="434" w:name="_Toc35424916"/>
      <w:bookmarkStart w:id="435" w:name="_Toc144974528"/>
      <w:bookmarkStart w:id="436" w:name="_Toc179632578"/>
      <w:bookmarkStart w:id="437" w:name="_Toc15058875"/>
      <w:bookmarkStart w:id="438" w:name="_Toc246996947"/>
      <w:bookmarkStart w:id="439" w:name="_Toc152042336"/>
      <w:bookmarkStart w:id="440" w:name="_Toc324404843"/>
      <w:bookmarkStart w:id="441" w:name="_Toc152045560"/>
      <w:bookmarkStart w:id="442" w:name="_Toc35425082"/>
      <w:bookmarkStart w:id="443" w:name="_Toc246996204"/>
      <w:bookmarkStart w:id="444" w:name="_Toc506107296"/>
      <w:bookmarkStart w:id="445" w:name="_Toc247085718"/>
      <w:r>
        <w:rPr>
          <w:rFonts w:ascii="宋体" w:hAnsi="宋体" w:eastAsia="宋体" w:cs="宋体"/>
          <w:color w:val="auto"/>
          <w:highlight w:val="none"/>
        </w:rPr>
        <w:t xml:space="preserve">5.1 </w:t>
      </w:r>
      <w:r>
        <w:rPr>
          <w:rFonts w:hint="eastAsia" w:ascii="宋体" w:hAnsi="宋体" w:eastAsia="宋体" w:cs="宋体"/>
          <w:color w:val="auto"/>
          <w:highlight w:val="none"/>
        </w:rPr>
        <w:t>开标时间和地点</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6C7A7112">
      <w:pPr>
        <w:spacing w:line="440" w:lineRule="exact"/>
        <w:ind w:firstLine="420" w:firstLineChars="200"/>
        <w:jc w:val="left"/>
        <w:rPr>
          <w:rFonts w:hint="eastAsia" w:ascii="宋体" w:hAnsi="宋体" w:eastAsia="宋体" w:cs="宋体"/>
          <w:color w:val="auto"/>
          <w:szCs w:val="21"/>
          <w:highlight w:val="none"/>
        </w:rPr>
      </w:pPr>
      <w:bookmarkStart w:id="446" w:name="_Toc296602449"/>
      <w:bookmarkStart w:id="447" w:name="_Toc152042337"/>
      <w:bookmarkStart w:id="448" w:name="_Toc152045561"/>
      <w:bookmarkStart w:id="449" w:name="_Toc324404844"/>
      <w:bookmarkStart w:id="450" w:name="_Toc246996205"/>
      <w:bookmarkStart w:id="451" w:name="_Toc506107297"/>
      <w:bookmarkStart w:id="452" w:name="_Toc15058876"/>
      <w:bookmarkStart w:id="453" w:name="_Toc144974529"/>
      <w:bookmarkStart w:id="454" w:name="_Toc35425083"/>
      <w:bookmarkStart w:id="455" w:name="_Toc32451"/>
      <w:bookmarkStart w:id="456" w:name="_Toc179632579"/>
      <w:bookmarkStart w:id="457" w:name="_Toc246996948"/>
      <w:bookmarkStart w:id="458" w:name="_Toc247085719"/>
      <w:bookmarkStart w:id="459" w:name="_Toc35424917"/>
      <w:r>
        <w:rPr>
          <w:rFonts w:hint="eastAsia" w:ascii="宋体" w:hAnsi="宋体" w:eastAsia="宋体" w:cs="宋体"/>
          <w:color w:val="auto"/>
          <w:szCs w:val="21"/>
          <w:highlight w:val="none"/>
        </w:rPr>
        <w:t>招标人在投标人须知前附表规定的投标截止时间（开标时间）和地点通过电子交易系统公开开标。</w:t>
      </w:r>
    </w:p>
    <w:p w14:paraId="211D8C9D">
      <w:pPr>
        <w:pStyle w:val="3"/>
        <w:ind w:firstLine="422" w:firstLineChars="200"/>
        <w:rPr>
          <w:rFonts w:ascii="宋体" w:hAnsi="宋体" w:eastAsia="宋体" w:cs="宋体"/>
          <w:color w:val="auto"/>
          <w:highlight w:val="none"/>
        </w:rPr>
      </w:pPr>
      <w:r>
        <w:rPr>
          <w:rFonts w:ascii="宋体" w:hAnsi="宋体" w:eastAsia="宋体" w:cs="宋体"/>
          <w:color w:val="auto"/>
          <w:highlight w:val="none"/>
        </w:rPr>
        <w:t xml:space="preserve">5.2 </w:t>
      </w:r>
      <w:r>
        <w:rPr>
          <w:rFonts w:hint="eastAsia" w:ascii="宋体" w:hAnsi="宋体" w:eastAsia="宋体" w:cs="宋体"/>
          <w:color w:val="auto"/>
          <w:highlight w:val="none"/>
        </w:rPr>
        <w:t>开标程序</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6012035D">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主持人按下列程序进行开标：</w:t>
      </w:r>
      <w:bookmarkStart w:id="460" w:name="_Toc324404845"/>
      <w:bookmarkStart w:id="461" w:name="_Toc296602450"/>
    </w:p>
    <w:p w14:paraId="49CB6C5E">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snapToGrid w:val="0"/>
          <w:color w:val="auto"/>
          <w:kern w:val="0"/>
          <w:szCs w:val="21"/>
          <w:highlight w:val="none"/>
        </w:rPr>
      </w:pPr>
      <w:bookmarkStart w:id="462" w:name="_Toc35424918"/>
      <w:bookmarkStart w:id="463" w:name="_Toc35425084"/>
      <w:bookmarkStart w:id="464" w:name="_Toc506107298"/>
      <w:bookmarkStart w:id="465" w:name="_Toc15058883"/>
      <w:bookmarkStart w:id="466" w:name="_Toc5999"/>
      <w:r>
        <w:rPr>
          <w:rFonts w:hint="eastAsia" w:ascii="宋体" w:hAnsi="宋体" w:cs="宋体"/>
          <w:bCs/>
          <w:snapToGrid w:val="0"/>
          <w:color w:val="auto"/>
          <w:kern w:val="0"/>
          <w:szCs w:val="21"/>
          <w:highlight w:val="none"/>
        </w:rPr>
        <w:t>（1）公布在投标截止时间前通过电子交易系统完成投标文件递交的投标人名称；</w:t>
      </w:r>
    </w:p>
    <w:p w14:paraId="137050C9">
      <w:pPr>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（2）投标人在投标截止时间后在投标人须知前附表规定的解密时间内完成投标文件的解密工作；</w:t>
      </w:r>
    </w:p>
    <w:p w14:paraId="449C9F9A">
      <w:pPr>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（3）</w:t>
      </w:r>
      <w:r>
        <w:rPr>
          <w:rFonts w:hint="eastAsia" w:ascii="宋体" w:hAnsi="宋体" w:cs="宋体"/>
          <w:bCs/>
          <w:snapToGrid w:val="0"/>
          <w:color w:val="auto"/>
          <w:kern w:val="0"/>
          <w:szCs w:val="21"/>
          <w:highlight w:val="none"/>
        </w:rPr>
        <w:t>招标人或招标代理机构完成解密工作，导入并读取所有成功解密的投标文件；</w:t>
      </w:r>
    </w:p>
    <w:p w14:paraId="6B5C9E32">
      <w:pPr>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（4）按投标人须知前附表规定公布投标人名称、标段名称、投标报价、质量目标、工期及其他内容；</w:t>
      </w:r>
    </w:p>
    <w:p w14:paraId="69D602FB">
      <w:pPr>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（5）开标结束。</w:t>
      </w:r>
    </w:p>
    <w:p w14:paraId="132405EE">
      <w:pPr>
        <w:pStyle w:val="3"/>
        <w:ind w:firstLine="422" w:firstLineChars="200"/>
        <w:rPr>
          <w:rFonts w:ascii="宋体" w:hAnsi="宋体" w:eastAsia="宋体" w:cs="宋体"/>
          <w:color w:val="auto"/>
          <w:highlight w:val="none"/>
        </w:rPr>
      </w:pPr>
      <w:r>
        <w:rPr>
          <w:rFonts w:ascii="宋体" w:hAnsi="宋体" w:eastAsia="宋体" w:cs="宋体"/>
          <w:color w:val="auto"/>
          <w:highlight w:val="none"/>
        </w:rPr>
        <w:t xml:space="preserve">5.3 </w:t>
      </w:r>
      <w:r>
        <w:rPr>
          <w:rFonts w:hint="eastAsia" w:ascii="宋体" w:hAnsi="宋体" w:eastAsia="宋体" w:cs="宋体"/>
          <w:color w:val="auto"/>
          <w:highlight w:val="none"/>
        </w:rPr>
        <w:t>开标异议</w:t>
      </w:r>
      <w:bookmarkEnd w:id="460"/>
      <w:bookmarkEnd w:id="461"/>
      <w:bookmarkEnd w:id="462"/>
      <w:bookmarkEnd w:id="463"/>
      <w:bookmarkEnd w:id="464"/>
      <w:bookmarkEnd w:id="465"/>
      <w:bookmarkEnd w:id="466"/>
    </w:p>
    <w:p w14:paraId="292F2D7B">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投标人对开标有异议的，应当在开标时提出，招标人当场作出答复，并制作记录。异议与答复应通过电子交易系统进行。</w:t>
      </w:r>
    </w:p>
    <w:p w14:paraId="03BCFA7E">
      <w:pPr>
        <w:pStyle w:val="3"/>
        <w:spacing w:beforeLines="50" w:afterLines="50"/>
        <w:ind w:firstLine="482" w:firstLineChars="200"/>
        <w:rPr>
          <w:rFonts w:ascii="宋体" w:hAnsi="宋体" w:eastAsia="宋体" w:cs="宋体"/>
          <w:color w:val="auto"/>
          <w:sz w:val="24"/>
          <w:szCs w:val="24"/>
          <w:highlight w:val="none"/>
        </w:rPr>
      </w:pPr>
      <w:bookmarkStart w:id="467" w:name="_Toc144974530"/>
      <w:bookmarkStart w:id="468" w:name="_Toc247085720"/>
      <w:bookmarkStart w:id="469" w:name="_Toc152042338"/>
      <w:bookmarkStart w:id="470" w:name="_Toc506107299"/>
      <w:bookmarkStart w:id="471" w:name="_Toc179632580"/>
      <w:bookmarkStart w:id="472" w:name="_Toc246996949"/>
      <w:bookmarkStart w:id="473" w:name="_Toc152045562"/>
      <w:bookmarkStart w:id="474" w:name="_Toc246996206"/>
      <w:bookmarkStart w:id="475" w:name="_Toc15058884"/>
      <w:bookmarkStart w:id="476" w:name="_Toc35425085"/>
      <w:bookmarkStart w:id="477" w:name="_Toc35424919"/>
      <w:bookmarkStart w:id="478" w:name="_Toc20689"/>
      <w:bookmarkStart w:id="479" w:name="_Toc324404846"/>
      <w:r>
        <w:rPr>
          <w:rFonts w:ascii="宋体" w:hAnsi="宋体" w:eastAsia="宋体" w:cs="宋体"/>
          <w:color w:val="auto"/>
          <w:sz w:val="24"/>
          <w:szCs w:val="24"/>
          <w:highlight w:val="none"/>
        </w:rPr>
        <w:t xml:space="preserve">6. </w:t>
      </w:r>
      <w:r>
        <w:rPr>
          <w:rFonts w:hint="eastAsia" w:ascii="宋体" w:hAnsi="宋体" w:eastAsia="宋体" w:cs="宋体"/>
          <w:color w:val="auto"/>
          <w:sz w:val="24"/>
          <w:szCs w:val="24"/>
          <w:highlight w:val="none"/>
        </w:rPr>
        <w:t>评标</w:t>
      </w:r>
      <w:bookmarkEnd w:id="467"/>
      <w:bookmarkEnd w:id="468"/>
      <w:bookmarkEnd w:id="469"/>
      <w:bookmarkEnd w:id="470"/>
      <w:bookmarkEnd w:id="471"/>
      <w:bookmarkEnd w:id="472"/>
      <w:bookmarkEnd w:id="473"/>
      <w:bookmarkEnd w:id="474"/>
      <w:bookmarkEnd w:id="475"/>
      <w:bookmarkEnd w:id="476"/>
      <w:bookmarkEnd w:id="477"/>
      <w:bookmarkEnd w:id="478"/>
      <w:bookmarkEnd w:id="479"/>
    </w:p>
    <w:p w14:paraId="7A97D739">
      <w:pPr>
        <w:pStyle w:val="3"/>
        <w:ind w:firstLine="422" w:firstLineChars="200"/>
        <w:rPr>
          <w:rFonts w:ascii="宋体" w:hAnsi="宋体" w:eastAsia="宋体" w:cs="宋体"/>
          <w:color w:val="auto"/>
          <w:highlight w:val="none"/>
        </w:rPr>
      </w:pPr>
      <w:bookmarkStart w:id="480" w:name="_Toc14249"/>
      <w:bookmarkStart w:id="481" w:name="_Toc247085721"/>
      <w:bookmarkStart w:id="482" w:name="_Toc144974531"/>
      <w:bookmarkStart w:id="483" w:name="_Toc246996950"/>
      <w:bookmarkStart w:id="484" w:name="_Toc35425086"/>
      <w:bookmarkStart w:id="485" w:name="_Toc506107300"/>
      <w:bookmarkStart w:id="486" w:name="_Toc152042339"/>
      <w:bookmarkStart w:id="487" w:name="_Toc179632581"/>
      <w:bookmarkStart w:id="488" w:name="_Toc152045563"/>
      <w:bookmarkStart w:id="489" w:name="_Toc15058885"/>
      <w:bookmarkStart w:id="490" w:name="_Toc246996207"/>
      <w:bookmarkStart w:id="491" w:name="_Toc296602452"/>
      <w:bookmarkStart w:id="492" w:name="_Toc35424920"/>
      <w:bookmarkStart w:id="493" w:name="_Toc324404847"/>
      <w:r>
        <w:rPr>
          <w:rFonts w:ascii="宋体" w:hAnsi="宋体" w:eastAsia="宋体" w:cs="宋体"/>
          <w:color w:val="auto"/>
          <w:highlight w:val="none"/>
        </w:rPr>
        <w:t xml:space="preserve">6.1 </w:t>
      </w:r>
      <w:r>
        <w:rPr>
          <w:rFonts w:hint="eastAsia" w:ascii="宋体" w:hAnsi="宋体" w:eastAsia="宋体" w:cs="宋体"/>
          <w:color w:val="auto"/>
          <w:highlight w:val="none"/>
        </w:rPr>
        <w:t>评标委员会</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327AD54A">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6.1.1 </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49C3506">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6.1.2 </w:t>
      </w:r>
      <w:r>
        <w:rPr>
          <w:rFonts w:hint="eastAsia" w:ascii="宋体" w:hAnsi="宋体" w:cs="宋体"/>
          <w:color w:val="auto"/>
          <w:szCs w:val="21"/>
          <w:highlight w:val="none"/>
        </w:rPr>
        <w:t>评标委员会成员有下列情形之一的，应当回避：</w:t>
      </w:r>
    </w:p>
    <w:p w14:paraId="02E6EDA2">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0D4B7B52">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04575CC3">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28845AD6">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6C6F0276">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50249894">
      <w:pPr>
        <w:pStyle w:val="44"/>
        <w:widowControl w:val="0"/>
        <w:kinsoku/>
        <w:wordWrap/>
        <w:overflowPunct/>
        <w:topLinePunct w:val="0"/>
        <w:autoSpaceDE/>
        <w:autoSpaceDN/>
        <w:bidi w:val="0"/>
        <w:adjustRightInd w:val="0"/>
        <w:snapToGrid w:val="0"/>
        <w:spacing w:after="0" w:line="440" w:lineRule="exact"/>
        <w:ind w:left="0" w:leftChars="0"/>
        <w:textAlignment w:val="auto"/>
        <w:rPr>
          <w:rFonts w:hint="eastAsia"/>
          <w:color w:val="auto"/>
          <w:highlight w:val="none"/>
        </w:rPr>
      </w:pPr>
      <w:bookmarkStart w:id="494" w:name="_Toc296602453"/>
      <w:bookmarkStart w:id="495" w:name="_Toc246996208"/>
      <w:bookmarkStart w:id="496" w:name="_Toc144974532"/>
      <w:bookmarkStart w:id="497" w:name="_Toc179632582"/>
      <w:bookmarkStart w:id="498" w:name="_Toc324404848"/>
      <w:bookmarkStart w:id="499" w:name="_Toc247085722"/>
      <w:bookmarkStart w:id="500" w:name="_Toc35425087"/>
      <w:bookmarkStart w:id="501" w:name="_Toc246996951"/>
      <w:bookmarkStart w:id="502" w:name="_Toc35424921"/>
      <w:bookmarkStart w:id="503" w:name="_Toc152042340"/>
      <w:bookmarkStart w:id="504" w:name="_Toc12948"/>
      <w:bookmarkStart w:id="505" w:name="_Toc506107301"/>
      <w:bookmarkStart w:id="506" w:name="_Toc15058886"/>
      <w:bookmarkStart w:id="507" w:name="_Toc152045564"/>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7EF8A1A9">
      <w:pPr>
        <w:pStyle w:val="3"/>
        <w:ind w:firstLine="422" w:firstLineChars="200"/>
        <w:rPr>
          <w:rFonts w:ascii="宋体" w:hAnsi="宋体" w:eastAsia="宋体" w:cs="宋体"/>
          <w:color w:val="auto"/>
          <w:highlight w:val="none"/>
        </w:rPr>
      </w:pPr>
      <w:r>
        <w:rPr>
          <w:rFonts w:ascii="宋体" w:hAnsi="宋体" w:eastAsia="宋体" w:cs="宋体"/>
          <w:color w:val="auto"/>
          <w:highlight w:val="none"/>
        </w:rPr>
        <w:t xml:space="preserve">6.2 </w:t>
      </w:r>
      <w:r>
        <w:rPr>
          <w:rFonts w:hint="eastAsia" w:ascii="宋体" w:hAnsi="宋体" w:eastAsia="宋体" w:cs="宋体"/>
          <w:color w:val="auto"/>
          <w:highlight w:val="none"/>
        </w:rPr>
        <w:t>评标原则</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2F67AD35">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评标活动遵循公平、公正、科学和择优的原则。</w:t>
      </w:r>
    </w:p>
    <w:p w14:paraId="6F72A6C3">
      <w:pPr>
        <w:pStyle w:val="3"/>
        <w:ind w:firstLine="422" w:firstLineChars="200"/>
        <w:rPr>
          <w:rFonts w:ascii="宋体" w:hAnsi="宋体" w:eastAsia="宋体" w:cs="宋体"/>
          <w:color w:val="auto"/>
          <w:highlight w:val="none"/>
        </w:rPr>
      </w:pPr>
      <w:bookmarkStart w:id="508" w:name="_Toc152042341"/>
      <w:bookmarkStart w:id="509" w:name="_Toc506107302"/>
      <w:bookmarkStart w:id="510" w:name="_Toc14892"/>
      <w:bookmarkStart w:id="511" w:name="_Toc324404849"/>
      <w:bookmarkStart w:id="512" w:name="_Toc179632583"/>
      <w:bookmarkStart w:id="513" w:name="_Toc246996209"/>
      <w:bookmarkStart w:id="514" w:name="_Toc296602454"/>
      <w:bookmarkStart w:id="515" w:name="_Toc152045565"/>
      <w:bookmarkStart w:id="516" w:name="_Toc35424922"/>
      <w:bookmarkStart w:id="517" w:name="_Toc35425088"/>
      <w:bookmarkStart w:id="518" w:name="_Toc246996952"/>
      <w:bookmarkStart w:id="519" w:name="_Toc15058887"/>
      <w:bookmarkStart w:id="520" w:name="_Toc247085723"/>
      <w:bookmarkStart w:id="521" w:name="_Toc144974533"/>
      <w:r>
        <w:rPr>
          <w:rFonts w:ascii="宋体" w:hAnsi="宋体" w:eastAsia="宋体" w:cs="宋体"/>
          <w:color w:val="auto"/>
          <w:highlight w:val="none"/>
        </w:rPr>
        <w:t xml:space="preserve">6.3 </w:t>
      </w:r>
      <w:r>
        <w:rPr>
          <w:rFonts w:hint="eastAsia" w:ascii="宋体" w:hAnsi="宋体" w:eastAsia="宋体" w:cs="宋体"/>
          <w:color w:val="auto"/>
          <w:highlight w:val="none"/>
        </w:rPr>
        <w:t>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7BBA43BC">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bookmarkStart w:id="522" w:name="_Toc179632584"/>
      <w:bookmarkStart w:id="523" w:name="_Toc152042342"/>
      <w:bookmarkStart w:id="524" w:name="_Toc324404850"/>
      <w:bookmarkStart w:id="525" w:name="_Toc247085724"/>
      <w:bookmarkStart w:id="526" w:name="_Toc246996953"/>
      <w:bookmarkStart w:id="527" w:name="_Toc144974534"/>
      <w:bookmarkStart w:id="528" w:name="_Toc152045566"/>
      <w:bookmarkStart w:id="529" w:name="_Toc246996210"/>
      <w:r>
        <w:rPr>
          <w:rFonts w:hint="eastAsia" w:ascii="宋体" w:hAnsi="宋体" w:cs="宋体"/>
          <w:color w:val="auto"/>
          <w:szCs w:val="21"/>
          <w:highlight w:val="none"/>
        </w:rPr>
        <w:t>6.3.1评标委员会按照第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章“评标办法”规定的方法、评审因素、标准和程序对投标文件进行评审。第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章“评标办法”没有规定的方法、评审因素和标准，不作为评标依据。</w:t>
      </w:r>
    </w:p>
    <w:p w14:paraId="0C0066D9">
      <w:pPr>
        <w:widowControl w:val="0"/>
        <w:kinsoku/>
        <w:wordWrap/>
        <w:overflowPunct/>
        <w:topLinePunct w:val="0"/>
        <w:autoSpaceDE/>
        <w:autoSpaceDN/>
        <w:bidi w:val="0"/>
        <w:adjustRightInd w:val="0"/>
        <w:snapToGrid w:val="0"/>
        <w:spacing w:line="44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39C5B526">
      <w:pPr>
        <w:pStyle w:val="3"/>
        <w:spacing w:beforeLines="50" w:afterLines="50"/>
        <w:ind w:firstLine="482" w:firstLineChars="200"/>
        <w:rPr>
          <w:rFonts w:ascii="宋体" w:hAnsi="宋体" w:eastAsia="宋体" w:cs="宋体"/>
          <w:color w:val="auto"/>
          <w:sz w:val="24"/>
          <w:szCs w:val="24"/>
          <w:highlight w:val="none"/>
        </w:rPr>
      </w:pPr>
      <w:bookmarkStart w:id="530" w:name="_Toc35425089"/>
      <w:bookmarkStart w:id="531" w:name="_Toc26182"/>
      <w:bookmarkStart w:id="532" w:name="_Toc35424923"/>
      <w:bookmarkStart w:id="533" w:name="_Toc506107303"/>
      <w:bookmarkStart w:id="534" w:name="_Toc15058888"/>
      <w:r>
        <w:rPr>
          <w:rFonts w:ascii="宋体" w:hAnsi="宋体" w:eastAsia="宋体" w:cs="宋体"/>
          <w:color w:val="auto"/>
          <w:sz w:val="24"/>
          <w:szCs w:val="24"/>
          <w:highlight w:val="none"/>
        </w:rPr>
        <w:t xml:space="preserve">7. </w:t>
      </w:r>
      <w:r>
        <w:rPr>
          <w:rFonts w:hint="eastAsia" w:ascii="宋体" w:hAnsi="宋体" w:eastAsia="宋体" w:cs="宋体"/>
          <w:color w:val="auto"/>
          <w:sz w:val="24"/>
          <w:szCs w:val="24"/>
          <w:highlight w:val="none"/>
        </w:rPr>
        <w:t>合同授予</w:t>
      </w:r>
      <w:bookmarkEnd w:id="522"/>
      <w:bookmarkEnd w:id="523"/>
      <w:bookmarkEnd w:id="524"/>
      <w:bookmarkEnd w:id="525"/>
      <w:bookmarkEnd w:id="526"/>
      <w:bookmarkEnd w:id="527"/>
      <w:bookmarkEnd w:id="528"/>
      <w:bookmarkEnd w:id="529"/>
      <w:bookmarkEnd w:id="530"/>
      <w:bookmarkEnd w:id="531"/>
      <w:bookmarkEnd w:id="532"/>
      <w:bookmarkEnd w:id="533"/>
      <w:bookmarkEnd w:id="534"/>
    </w:p>
    <w:p w14:paraId="33D11DDD">
      <w:pPr>
        <w:pStyle w:val="3"/>
        <w:ind w:firstLine="422" w:firstLineChars="200"/>
        <w:rPr>
          <w:rFonts w:hint="eastAsia" w:ascii="宋体" w:hAnsi="宋体" w:eastAsia="宋体" w:cs="宋体"/>
          <w:color w:val="auto"/>
          <w:highlight w:val="none"/>
        </w:rPr>
      </w:pPr>
      <w:bookmarkStart w:id="535" w:name="_Toc15058890"/>
      <w:bookmarkStart w:id="536" w:name="_Toc83301726"/>
      <w:bookmarkStart w:id="537" w:name="_Toc506107305"/>
      <w:bookmarkStart w:id="538" w:name="_Toc296602457"/>
      <w:bookmarkStart w:id="539" w:name="_Toc60061472"/>
      <w:bookmarkStart w:id="540" w:name="_Toc95223374"/>
      <w:bookmarkStart w:id="541" w:name="_Toc324404852"/>
      <w:bookmarkStart w:id="542" w:name="_Toc6833"/>
      <w:bookmarkStart w:id="543" w:name="_Toc247085726"/>
      <w:bookmarkStart w:id="544" w:name="_Toc324404853"/>
      <w:bookmarkStart w:id="545" w:name="_Toc152045568"/>
      <w:bookmarkStart w:id="546" w:name="_Toc246996212"/>
      <w:bookmarkStart w:id="547" w:name="_Toc35424926"/>
      <w:bookmarkStart w:id="548" w:name="_Toc152042344"/>
      <w:bookmarkStart w:id="549" w:name="_Toc35425092"/>
      <w:bookmarkStart w:id="550" w:name="_Toc144974536"/>
      <w:bookmarkStart w:id="551" w:name="_Toc296602458"/>
      <w:bookmarkStart w:id="552" w:name="_Toc246996955"/>
      <w:bookmarkStart w:id="553" w:name="_Toc179632586"/>
      <w:r>
        <w:rPr>
          <w:rFonts w:hint="eastAsia" w:ascii="宋体" w:hAnsi="宋体" w:eastAsia="宋体" w:cs="宋体"/>
          <w:color w:val="auto"/>
          <w:highlight w:val="none"/>
        </w:rPr>
        <w:t>7.1 中标候选人公示</w:t>
      </w:r>
      <w:bookmarkEnd w:id="535"/>
      <w:bookmarkEnd w:id="536"/>
      <w:bookmarkEnd w:id="537"/>
      <w:bookmarkEnd w:id="538"/>
      <w:bookmarkEnd w:id="539"/>
      <w:bookmarkEnd w:id="540"/>
      <w:bookmarkEnd w:id="541"/>
    </w:p>
    <w:p w14:paraId="386D422C">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bookmarkStart w:id="554" w:name="_Toc60061473"/>
      <w:r>
        <w:rPr>
          <w:rFonts w:hint="eastAsia" w:ascii="宋体" w:hAnsi="宋体" w:cs="宋体"/>
          <w:color w:val="auto"/>
          <w:szCs w:val="21"/>
          <w:highlight w:val="none"/>
        </w:rPr>
        <w:t>招标人在收到评标报告之日起3日内，按照投标人须知前附表规定的公示媒介和期限依法公示。中标候选人，公示期不得少于3日。</w:t>
      </w:r>
    </w:p>
    <w:p w14:paraId="42F04A3A">
      <w:pPr>
        <w:pStyle w:val="3"/>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628F06E2">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投标人或其他利害关系人对评标结果有异议的，应在中标候选人公示期间提出。招标人将在收到异议之日起3日内作出答复；作出答复前，将暂停招标投标活动。</w:t>
      </w:r>
    </w:p>
    <w:p w14:paraId="186DD909">
      <w:pPr>
        <w:pStyle w:val="3"/>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58DDCB46">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p w14:paraId="24A8680A">
      <w:pPr>
        <w:pStyle w:val="3"/>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7.4 业绩奖项公示</w:t>
      </w:r>
      <w:bookmarkEnd w:id="554"/>
    </w:p>
    <w:p w14:paraId="73089EBD">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招标人对中标候选人的得分业绩和奖项进行公示。</w:t>
      </w:r>
    </w:p>
    <w:p w14:paraId="4864F6E0">
      <w:pPr>
        <w:pStyle w:val="3"/>
        <w:ind w:firstLine="422" w:firstLineChars="200"/>
        <w:rPr>
          <w:rFonts w:hint="eastAsia" w:ascii="宋体" w:hAnsi="宋体" w:eastAsia="宋体" w:cs="宋体"/>
          <w:color w:val="auto"/>
          <w:highlight w:val="none"/>
        </w:rPr>
      </w:pPr>
      <w:bookmarkStart w:id="555" w:name="_Toc95223375"/>
      <w:bookmarkStart w:id="556" w:name="_Toc83301727"/>
      <w:bookmarkStart w:id="557" w:name="_Toc60061474"/>
      <w:bookmarkStart w:id="558" w:name="_Toc506107306"/>
      <w:bookmarkStart w:id="559" w:name="_Toc15058891"/>
      <w:r>
        <w:rPr>
          <w:rFonts w:hint="eastAsia" w:ascii="宋体" w:hAnsi="宋体" w:eastAsia="宋体" w:cs="宋体"/>
          <w:color w:val="auto"/>
          <w:highlight w:val="none"/>
        </w:rPr>
        <w:t>7.5 定标</w:t>
      </w:r>
      <w:bookmarkEnd w:id="555"/>
      <w:bookmarkEnd w:id="556"/>
    </w:p>
    <w:p w14:paraId="4BD131D2">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招标人确定排名第一的中标候选人为中标人。排名第一的中标候选人放弃中标、因不可抗力不能履行合同、不按照招标文件要求提交履约保证金，或者被查实存在影响中标结果的违法行为等情形，不符合中标条件的，投标保证金不予退还，招标人可以按照评标委员会提出的中标候选人名单排序依次确定其他中标候选人为中标人，也可以重新招标。</w:t>
      </w:r>
    </w:p>
    <w:p w14:paraId="1D6D3E62">
      <w:pPr>
        <w:pStyle w:val="3"/>
        <w:ind w:firstLine="422" w:firstLineChars="200"/>
        <w:rPr>
          <w:rFonts w:hint="eastAsia" w:ascii="宋体" w:hAnsi="宋体" w:eastAsia="宋体" w:cs="宋体"/>
          <w:color w:val="auto"/>
          <w:highlight w:val="none"/>
        </w:rPr>
      </w:pPr>
      <w:bookmarkStart w:id="560" w:name="_Toc83301728"/>
      <w:bookmarkStart w:id="561" w:name="_Toc95223376"/>
      <w:r>
        <w:rPr>
          <w:rFonts w:hint="eastAsia" w:ascii="宋体" w:hAnsi="宋体" w:eastAsia="宋体" w:cs="宋体"/>
          <w:color w:val="auto"/>
          <w:highlight w:val="none"/>
        </w:rPr>
        <w:t>7.6 中标通知</w:t>
      </w:r>
      <w:bookmarkEnd w:id="557"/>
      <w:bookmarkEnd w:id="558"/>
      <w:bookmarkEnd w:id="559"/>
      <w:bookmarkEnd w:id="560"/>
      <w:bookmarkEnd w:id="561"/>
    </w:p>
    <w:p w14:paraId="00B294DB">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在本招标文件规定的投标有效期内，招标人以数据电文形式向中标人发出中标通知书，同时将中标结果通知未中标的投标人。</w:t>
      </w:r>
    </w:p>
    <w:p w14:paraId="0E002D1E">
      <w:pPr>
        <w:pStyle w:val="3"/>
        <w:ind w:firstLine="422" w:firstLineChars="200"/>
        <w:rPr>
          <w:rFonts w:hint="eastAsia" w:ascii="宋体" w:hAnsi="宋体" w:eastAsia="宋体" w:cs="宋体"/>
          <w:color w:val="auto"/>
          <w:highlight w:val="none"/>
        </w:rPr>
      </w:pPr>
      <w:bookmarkStart w:id="562" w:name="_Toc95223377"/>
      <w:r>
        <w:rPr>
          <w:rFonts w:hint="eastAsia" w:ascii="宋体" w:hAnsi="宋体" w:eastAsia="宋体" w:cs="宋体"/>
          <w:color w:val="auto"/>
          <w:highlight w:val="none"/>
        </w:rPr>
        <w:t>7.7 中标结果公示</w:t>
      </w:r>
      <w:bookmarkEnd w:id="562"/>
    </w:p>
    <w:p w14:paraId="0336D872">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招标人在确定中标人之日起3日内，按照投标人须知前附表规定的公示媒介和期限依法公示中标结果。</w:t>
      </w:r>
    </w:p>
    <w:p w14:paraId="120B9AD9">
      <w:pPr>
        <w:pStyle w:val="3"/>
        <w:ind w:firstLine="422" w:firstLineChars="200"/>
        <w:rPr>
          <w:rFonts w:hint="eastAsia" w:ascii="宋体" w:hAnsi="宋体" w:eastAsia="宋体" w:cs="宋体"/>
          <w:color w:val="auto"/>
          <w:highlight w:val="none"/>
        </w:rPr>
      </w:pPr>
      <w:bookmarkStart w:id="563" w:name="_Toc152045569"/>
      <w:bookmarkStart w:id="564" w:name="_Toc95223378"/>
      <w:bookmarkStart w:id="565" w:name="_Toc324404854"/>
      <w:bookmarkStart w:id="566" w:name="_Toc247085727"/>
      <w:bookmarkStart w:id="567" w:name="_Toc83301730"/>
      <w:bookmarkStart w:id="568" w:name="_Toc506107307"/>
      <w:bookmarkStart w:id="569" w:name="_Toc152042345"/>
      <w:bookmarkStart w:id="570" w:name="_Toc246996213"/>
      <w:bookmarkStart w:id="571" w:name="_Toc246996956"/>
      <w:bookmarkStart w:id="572" w:name="_Toc15058892"/>
      <w:bookmarkStart w:id="573" w:name="_Toc179632587"/>
      <w:bookmarkStart w:id="574" w:name="_Toc144974537"/>
      <w:bookmarkStart w:id="575" w:name="_Toc296602459"/>
      <w:bookmarkStart w:id="576" w:name="_Toc60061476"/>
      <w:r>
        <w:rPr>
          <w:rFonts w:hint="eastAsia" w:ascii="宋体" w:hAnsi="宋体" w:eastAsia="宋体" w:cs="宋体"/>
          <w:color w:val="auto"/>
          <w:highlight w:val="none"/>
        </w:rPr>
        <w:t>7.8 履约担保</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538390F1">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7.8.1在签订合同前，中标人应按投标人须知前附表规定的担保形式和招标文件第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章“合同条款及格式”规定的或者事先经过招标人书面认可的履约担保格式向招标人提交履约担保。</w:t>
      </w:r>
      <w:r>
        <w:rPr>
          <w:rFonts w:hint="eastAsia"/>
          <w:color w:val="auto"/>
          <w:highlight w:val="none"/>
        </w:rPr>
        <w:t>联合体中标的，其履约担保应符合投标人须知前附表规定的金额、担保形式和招标文件第</w:t>
      </w:r>
      <w:r>
        <w:rPr>
          <w:rFonts w:hint="eastAsia"/>
          <w:color w:val="auto"/>
          <w:highlight w:val="none"/>
          <w:lang w:val="en-US" w:eastAsia="zh-CN"/>
        </w:rPr>
        <w:t>四</w:t>
      </w:r>
      <w:r>
        <w:rPr>
          <w:rFonts w:hint="eastAsia"/>
          <w:color w:val="auto"/>
          <w:highlight w:val="none"/>
        </w:rPr>
        <w:t>章“合同条款及格式”规定的履约担保格式要求。</w:t>
      </w:r>
    </w:p>
    <w:p w14:paraId="6D449AC3">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74960A11">
      <w:pPr>
        <w:pStyle w:val="3"/>
        <w:ind w:firstLine="422" w:firstLineChars="200"/>
        <w:rPr>
          <w:rFonts w:hint="eastAsia" w:ascii="宋体" w:hAnsi="宋体" w:eastAsia="宋体" w:cs="宋体"/>
          <w:color w:val="auto"/>
          <w:highlight w:val="none"/>
        </w:rPr>
      </w:pPr>
      <w:bookmarkStart w:id="577" w:name="_Toc179632588"/>
      <w:bookmarkStart w:id="578" w:name="_Toc247085728"/>
      <w:bookmarkStart w:id="579" w:name="_Toc506107308"/>
      <w:bookmarkStart w:id="580" w:name="_Toc152042346"/>
      <w:bookmarkStart w:id="581" w:name="_Toc296602460"/>
      <w:bookmarkStart w:id="582" w:name="_Toc95223379"/>
      <w:bookmarkStart w:id="583" w:name="_Toc83301731"/>
      <w:bookmarkStart w:id="584" w:name="_Toc15058893"/>
      <w:bookmarkStart w:id="585" w:name="_Toc152045570"/>
      <w:bookmarkStart w:id="586" w:name="_Toc324404855"/>
      <w:bookmarkStart w:id="587" w:name="_Toc60061477"/>
      <w:bookmarkStart w:id="588" w:name="_Toc246996957"/>
      <w:bookmarkStart w:id="589" w:name="_Toc246996214"/>
      <w:bookmarkStart w:id="590" w:name="_Toc144974538"/>
      <w:r>
        <w:rPr>
          <w:rFonts w:hint="eastAsia" w:ascii="宋体" w:hAnsi="宋体" w:eastAsia="宋体" w:cs="宋体"/>
          <w:color w:val="auto"/>
          <w:highlight w:val="none"/>
        </w:rPr>
        <w:t>7.9 签订合同</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3A1B9A61">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7.9.1本招标工程的合同将授予按本须知第7.6款规定所确定的中标人。</w:t>
      </w:r>
    </w:p>
    <w:bookmarkEnd w:id="542"/>
    <w:bookmarkEnd w:id="543"/>
    <w:bookmarkEnd w:id="544"/>
    <w:bookmarkEnd w:id="545"/>
    <w:bookmarkEnd w:id="546"/>
    <w:bookmarkEnd w:id="547"/>
    <w:bookmarkEnd w:id="548"/>
    <w:bookmarkEnd w:id="549"/>
    <w:bookmarkEnd w:id="550"/>
    <w:bookmarkEnd w:id="551"/>
    <w:bookmarkEnd w:id="552"/>
    <w:bookmarkEnd w:id="553"/>
    <w:p w14:paraId="41130E6B">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color w:val="auto"/>
          <w:szCs w:val="21"/>
          <w:highlight w:val="none"/>
        </w:rPr>
      </w:pPr>
      <w:bookmarkStart w:id="591" w:name="_Toc15058894"/>
      <w:bookmarkStart w:id="592" w:name="_Toc506107309"/>
      <w:bookmarkStart w:id="593" w:name="_Toc324404856"/>
      <w:r>
        <w:rPr>
          <w:rFonts w:hint="eastAsia" w:ascii="宋体" w:hAnsi="宋体" w:cs="宋体"/>
          <w:bCs/>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48DCF394">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7.9.3发出中标通知书后，招标人无正当理由拒签合同的，招标人向中标人退还投标保证金；给中标人造成损失的，还应当赔偿损失。</w:t>
      </w:r>
    </w:p>
    <w:p w14:paraId="5F5BC916">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7.9.4除法定情形外，建设工程合同履行期间项目</w:t>
      </w:r>
      <w:r>
        <w:rPr>
          <w:rFonts w:hint="eastAsia" w:ascii="宋体" w:hAnsi="宋体" w:cs="宋体"/>
          <w:bCs/>
          <w:color w:val="auto"/>
          <w:szCs w:val="21"/>
          <w:highlight w:val="none"/>
          <w:lang w:val="en-US" w:eastAsia="zh-CN"/>
        </w:rPr>
        <w:t>负责人</w:t>
      </w:r>
      <w:r>
        <w:rPr>
          <w:rFonts w:hint="eastAsia" w:ascii="宋体" w:hAnsi="宋体" w:cs="宋体"/>
          <w:bCs/>
          <w:color w:val="auto"/>
          <w:szCs w:val="21"/>
          <w:highlight w:val="none"/>
        </w:rPr>
        <w:t>不得更换。项目</w:t>
      </w:r>
      <w:r>
        <w:rPr>
          <w:rFonts w:hint="eastAsia" w:ascii="宋体" w:hAnsi="宋体" w:cs="宋体"/>
          <w:bCs/>
          <w:color w:val="auto"/>
          <w:szCs w:val="21"/>
          <w:highlight w:val="none"/>
          <w:lang w:val="en-US" w:eastAsia="zh-CN"/>
        </w:rPr>
        <w:t>负责人</w:t>
      </w:r>
      <w:r>
        <w:rPr>
          <w:rFonts w:hint="eastAsia" w:ascii="宋体" w:hAnsi="宋体" w:cs="宋体"/>
          <w:bCs/>
          <w:color w:val="auto"/>
          <w:szCs w:val="21"/>
          <w:highlight w:val="none"/>
        </w:rPr>
        <w:t>确需变更的，应根据招标文件要求，变更后的项目</w:t>
      </w:r>
      <w:r>
        <w:rPr>
          <w:rFonts w:hint="eastAsia" w:ascii="宋体" w:hAnsi="宋体" w:cs="宋体"/>
          <w:bCs/>
          <w:color w:val="auto"/>
          <w:szCs w:val="21"/>
          <w:highlight w:val="none"/>
          <w:lang w:val="en-US" w:eastAsia="zh-CN"/>
        </w:rPr>
        <w:t>负责人</w:t>
      </w:r>
      <w:r>
        <w:rPr>
          <w:rFonts w:hint="eastAsia" w:ascii="宋体" w:hAnsi="宋体" w:cs="宋体"/>
          <w:bCs/>
          <w:color w:val="auto"/>
          <w:szCs w:val="21"/>
          <w:highlight w:val="none"/>
        </w:rPr>
        <w:t>不低于投标文件中拟派项目</w:t>
      </w:r>
      <w:r>
        <w:rPr>
          <w:rFonts w:hint="eastAsia" w:ascii="宋体" w:hAnsi="宋体" w:cs="宋体"/>
          <w:bCs/>
          <w:color w:val="auto"/>
          <w:szCs w:val="21"/>
          <w:highlight w:val="none"/>
          <w:lang w:val="en-US" w:eastAsia="zh-CN"/>
        </w:rPr>
        <w:t>负责人</w:t>
      </w:r>
      <w:r>
        <w:rPr>
          <w:rFonts w:hint="eastAsia" w:ascii="宋体" w:hAnsi="宋体" w:cs="宋体"/>
          <w:bCs/>
          <w:color w:val="auto"/>
          <w:szCs w:val="21"/>
          <w:highlight w:val="none"/>
        </w:rPr>
        <w:t>的资格条件。</w:t>
      </w:r>
    </w:p>
    <w:p w14:paraId="7EEB1CCD">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color w:val="auto"/>
          <w:highlight w:val="none"/>
        </w:rPr>
        <w:t>7.9.5</w:t>
      </w:r>
      <w:r>
        <w:rPr>
          <w:rFonts w:hint="eastAsia" w:ascii="宋体" w:hAnsi="宋体" w:cs="宋体"/>
          <w:bCs/>
          <w:snapToGrid w:val="0"/>
          <w:color w:val="auto"/>
          <w:kern w:val="0"/>
          <w:szCs w:val="21"/>
          <w:highlight w:val="none"/>
        </w:rPr>
        <w:t>联合体中标的，联合体各方应当共同与招标人签订合同，就中标项目向招标人承担连带责任。</w:t>
      </w:r>
    </w:p>
    <w:p w14:paraId="3C19D4E4">
      <w:pPr>
        <w:pStyle w:val="3"/>
        <w:spacing w:beforeLines="50" w:afterLines="50"/>
        <w:ind w:firstLine="482" w:firstLineChars="200"/>
        <w:rPr>
          <w:rFonts w:hint="eastAsia" w:ascii="宋体" w:hAnsi="宋体" w:eastAsia="宋体" w:cs="宋体"/>
          <w:color w:val="auto"/>
          <w:sz w:val="24"/>
          <w:szCs w:val="24"/>
          <w:highlight w:val="none"/>
        </w:rPr>
      </w:pPr>
      <w:bookmarkStart w:id="594" w:name="_Toc83301732"/>
      <w:bookmarkStart w:id="595" w:name="_Toc179632589"/>
      <w:bookmarkStart w:id="596" w:name="_Toc95223381"/>
      <w:bookmarkStart w:id="597" w:name="_Toc152045571"/>
      <w:bookmarkStart w:id="598" w:name="_Toc60061478"/>
      <w:bookmarkStart w:id="599" w:name="_Toc152042347"/>
      <w:bookmarkStart w:id="600" w:name="_Toc144974539"/>
      <w:bookmarkStart w:id="601" w:name="_Toc35424931"/>
      <w:bookmarkStart w:id="602" w:name="_Toc35425097"/>
      <w:bookmarkStart w:id="603" w:name="_Toc29809"/>
      <w:r>
        <w:rPr>
          <w:rFonts w:hint="eastAsia" w:ascii="宋体" w:hAnsi="宋体" w:eastAsia="宋体" w:cs="宋体"/>
          <w:color w:val="auto"/>
          <w:sz w:val="24"/>
          <w:szCs w:val="24"/>
          <w:highlight w:val="none"/>
        </w:rPr>
        <w:t>8. 重新招标和不再招标</w:t>
      </w:r>
      <w:bookmarkEnd w:id="594"/>
      <w:bookmarkEnd w:id="595"/>
      <w:bookmarkEnd w:id="596"/>
      <w:bookmarkEnd w:id="597"/>
      <w:bookmarkEnd w:id="598"/>
      <w:bookmarkEnd w:id="599"/>
      <w:bookmarkEnd w:id="600"/>
    </w:p>
    <w:p w14:paraId="4F62C6F8">
      <w:pPr>
        <w:pStyle w:val="4"/>
        <w:widowControl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04" w:name="_Toc179632590"/>
      <w:bookmarkStart w:id="605" w:name="_Toc95223382"/>
      <w:bookmarkStart w:id="606" w:name="_Toc144974540"/>
      <w:bookmarkStart w:id="607" w:name="_Toc152045572"/>
      <w:bookmarkStart w:id="608" w:name="_Toc60061479"/>
      <w:bookmarkStart w:id="609" w:name="_Toc83301733"/>
      <w:bookmarkStart w:id="610" w:name="_Toc152042348"/>
      <w:r>
        <w:rPr>
          <w:rFonts w:hint="eastAsia" w:ascii="宋体" w:hAnsi="宋体" w:eastAsia="宋体" w:cs="宋体"/>
          <w:b/>
          <w:bCs/>
          <w:color w:val="auto"/>
          <w:kern w:val="2"/>
          <w:sz w:val="21"/>
          <w:szCs w:val="32"/>
          <w:highlight w:val="none"/>
          <w:lang w:val="en-US" w:eastAsia="zh-CN" w:bidi="ar-SA"/>
        </w:rPr>
        <w:t>8.1 重新招标</w:t>
      </w:r>
      <w:bookmarkEnd w:id="604"/>
      <w:bookmarkEnd w:id="605"/>
      <w:bookmarkEnd w:id="606"/>
      <w:bookmarkEnd w:id="607"/>
      <w:bookmarkEnd w:id="608"/>
      <w:bookmarkEnd w:id="609"/>
      <w:bookmarkEnd w:id="610"/>
    </w:p>
    <w:p w14:paraId="7F82CA2A">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依法必须招标的项目有下列情形之一的，招标人将重新招标：</w:t>
      </w:r>
    </w:p>
    <w:p w14:paraId="64943434">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（1）投标截止时间止，投标人少于3个的；</w:t>
      </w:r>
    </w:p>
    <w:p w14:paraId="21E1E306">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（2）经评标委员会评审后否决所有投标的；</w:t>
      </w:r>
    </w:p>
    <w:p w14:paraId="3843D6CB">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（3）中标候选人均未与招标人签订合同的；</w:t>
      </w:r>
    </w:p>
    <w:p w14:paraId="761A878A">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（4）法律、法规规定的其他情形。</w:t>
      </w:r>
    </w:p>
    <w:p w14:paraId="1DCB2F1D">
      <w:pPr>
        <w:pStyle w:val="4"/>
        <w:widowControl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11" w:name="_Toc60061480"/>
      <w:bookmarkStart w:id="612" w:name="_Toc95223383"/>
      <w:bookmarkStart w:id="613" w:name="_Toc83301734"/>
      <w:bookmarkStart w:id="614" w:name="_Toc152042349"/>
      <w:bookmarkStart w:id="615" w:name="_Toc179632591"/>
      <w:bookmarkStart w:id="616" w:name="_Toc144974541"/>
      <w:bookmarkStart w:id="617" w:name="_Toc152045573"/>
      <w:r>
        <w:rPr>
          <w:rFonts w:hint="eastAsia" w:ascii="宋体" w:hAnsi="宋体" w:eastAsia="宋体" w:cs="宋体"/>
          <w:b/>
          <w:bCs/>
          <w:color w:val="auto"/>
          <w:kern w:val="2"/>
          <w:sz w:val="21"/>
          <w:szCs w:val="32"/>
          <w:highlight w:val="none"/>
          <w:lang w:val="en-US" w:eastAsia="zh-CN" w:bidi="ar-SA"/>
        </w:rPr>
        <w:t>8.2 不再招标</w:t>
      </w:r>
      <w:bookmarkEnd w:id="611"/>
      <w:bookmarkEnd w:id="612"/>
      <w:bookmarkEnd w:id="613"/>
      <w:bookmarkEnd w:id="614"/>
      <w:bookmarkEnd w:id="615"/>
      <w:bookmarkEnd w:id="616"/>
      <w:bookmarkEnd w:id="617"/>
    </w:p>
    <w:p w14:paraId="0FFE1A76">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重新招标后投标人仍少于3个或者所有投标被否决的，属于必须审批或核准的工程建设项目，经原审批或核准部门批准后不再进行招标。</w:t>
      </w:r>
    </w:p>
    <w:p w14:paraId="68FC2947">
      <w:pPr>
        <w:pStyle w:val="3"/>
        <w:spacing w:beforeLines="50" w:afterLines="50"/>
        <w:ind w:firstLine="482" w:firstLineChars="200"/>
        <w:rPr>
          <w:rFonts w:hint="eastAsia" w:ascii="宋体" w:hAnsi="宋体" w:eastAsia="宋体" w:cs="宋体"/>
          <w:color w:val="auto"/>
          <w:sz w:val="24"/>
          <w:szCs w:val="24"/>
          <w:highlight w:val="none"/>
        </w:rPr>
      </w:pPr>
      <w:bookmarkStart w:id="618" w:name="_Toc83301735"/>
      <w:bookmarkStart w:id="619" w:name="_Toc95223384"/>
      <w:bookmarkStart w:id="620" w:name="_Toc60061481"/>
      <w:r>
        <w:rPr>
          <w:rFonts w:hint="eastAsia" w:ascii="宋体" w:hAnsi="宋体" w:eastAsia="宋体" w:cs="宋体"/>
          <w:color w:val="auto"/>
          <w:sz w:val="24"/>
          <w:szCs w:val="24"/>
          <w:highlight w:val="none"/>
        </w:rPr>
        <w:t>9. 纪律和监督</w:t>
      </w:r>
      <w:bookmarkEnd w:id="618"/>
      <w:bookmarkEnd w:id="619"/>
      <w:bookmarkEnd w:id="620"/>
    </w:p>
    <w:p w14:paraId="779A8C91">
      <w:pPr>
        <w:pStyle w:val="4"/>
        <w:widowControl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21" w:name="_Toc83301736"/>
      <w:bookmarkStart w:id="622" w:name="_Toc60061482"/>
      <w:bookmarkStart w:id="623" w:name="_Toc95223385"/>
      <w:r>
        <w:rPr>
          <w:rFonts w:hint="eastAsia" w:ascii="宋体" w:hAnsi="宋体" w:eastAsia="宋体" w:cs="宋体"/>
          <w:b/>
          <w:bCs/>
          <w:color w:val="auto"/>
          <w:kern w:val="2"/>
          <w:sz w:val="21"/>
          <w:szCs w:val="32"/>
          <w:highlight w:val="none"/>
          <w:lang w:val="en-US" w:eastAsia="zh-CN" w:bidi="ar-SA"/>
        </w:rPr>
        <w:t>9.1 对招标人的纪律要求</w:t>
      </w:r>
      <w:bookmarkEnd w:id="621"/>
      <w:bookmarkEnd w:id="622"/>
      <w:bookmarkEnd w:id="623"/>
    </w:p>
    <w:p w14:paraId="6495EDAB">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招标人不得</w:t>
      </w:r>
      <w:r>
        <w:rPr>
          <w:rFonts w:hint="eastAsia" w:ascii="宋体" w:hAnsi="宋体" w:cs="宋体"/>
          <w:color w:val="auto"/>
          <w:szCs w:val="21"/>
          <w:highlight w:val="none"/>
          <w:lang w:val="en-US" w:eastAsia="zh-CN"/>
        </w:rPr>
        <w:t>泄露</w:t>
      </w:r>
      <w:r>
        <w:rPr>
          <w:rFonts w:hint="eastAsia" w:ascii="宋体" w:hAnsi="宋体" w:cs="宋体"/>
          <w:color w:val="auto"/>
          <w:szCs w:val="21"/>
          <w:highlight w:val="none"/>
        </w:rPr>
        <w:t>招标投标活动中应当保密的情况和资料，不得与投标人串通损害国家利益、社会公共利益或者他人合法权益。</w:t>
      </w:r>
    </w:p>
    <w:p w14:paraId="420B0850">
      <w:pPr>
        <w:pStyle w:val="4"/>
        <w:widowControl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24" w:name="_Toc95223386"/>
      <w:bookmarkStart w:id="625" w:name="_Toc60061483"/>
      <w:bookmarkStart w:id="626" w:name="_Toc83301737"/>
      <w:r>
        <w:rPr>
          <w:rFonts w:hint="eastAsia" w:ascii="宋体" w:hAnsi="宋体" w:eastAsia="宋体" w:cs="宋体"/>
          <w:b/>
          <w:bCs/>
          <w:color w:val="auto"/>
          <w:kern w:val="2"/>
          <w:sz w:val="21"/>
          <w:szCs w:val="32"/>
          <w:highlight w:val="none"/>
          <w:lang w:val="en-US" w:eastAsia="zh-CN" w:bidi="ar-SA"/>
        </w:rPr>
        <w:t>9.2 对投标人的纪律要求</w:t>
      </w:r>
      <w:bookmarkEnd w:id="624"/>
      <w:bookmarkEnd w:id="625"/>
      <w:bookmarkEnd w:id="626"/>
    </w:p>
    <w:p w14:paraId="20B26E57">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F9CCE93">
      <w:pPr>
        <w:pStyle w:val="4"/>
        <w:widowControl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27" w:name="_Toc83301738"/>
      <w:bookmarkStart w:id="628" w:name="_Toc95223387"/>
      <w:bookmarkStart w:id="629" w:name="_Toc60061484"/>
      <w:r>
        <w:rPr>
          <w:rFonts w:hint="eastAsia" w:ascii="宋体" w:hAnsi="宋体" w:eastAsia="宋体" w:cs="宋体"/>
          <w:b/>
          <w:bCs/>
          <w:color w:val="auto"/>
          <w:kern w:val="2"/>
          <w:sz w:val="21"/>
          <w:szCs w:val="32"/>
          <w:highlight w:val="none"/>
          <w:lang w:val="en-US" w:eastAsia="zh-CN" w:bidi="ar-SA"/>
        </w:rPr>
        <w:t>9.3 对评标委员会成员的纪律要求</w:t>
      </w:r>
      <w:bookmarkEnd w:id="627"/>
      <w:bookmarkEnd w:id="628"/>
      <w:bookmarkEnd w:id="629"/>
    </w:p>
    <w:p w14:paraId="12E9B85B">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14:paraId="537599BA">
      <w:pPr>
        <w:pStyle w:val="4"/>
        <w:widowControl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30" w:name="_Toc60061485"/>
      <w:bookmarkStart w:id="631" w:name="_Toc95223388"/>
      <w:bookmarkStart w:id="632" w:name="_Toc83301739"/>
      <w:r>
        <w:rPr>
          <w:rFonts w:hint="eastAsia" w:ascii="宋体" w:hAnsi="宋体" w:eastAsia="宋体" w:cs="宋体"/>
          <w:b/>
          <w:bCs/>
          <w:color w:val="auto"/>
          <w:kern w:val="2"/>
          <w:sz w:val="21"/>
          <w:szCs w:val="32"/>
          <w:highlight w:val="none"/>
          <w:lang w:val="en-US" w:eastAsia="zh-CN" w:bidi="ar-SA"/>
        </w:rPr>
        <w:t>9.4 对与评标活动有关的工作人员的纪律要求</w:t>
      </w:r>
      <w:bookmarkEnd w:id="630"/>
      <w:bookmarkEnd w:id="631"/>
      <w:bookmarkEnd w:id="632"/>
    </w:p>
    <w:p w14:paraId="76F3E71E">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69C5EED">
      <w:pPr>
        <w:pStyle w:val="4"/>
        <w:widowControl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33" w:name="_Toc83301740"/>
      <w:bookmarkStart w:id="634" w:name="_Toc95223389"/>
      <w:bookmarkStart w:id="635" w:name="_Toc60061486"/>
      <w:r>
        <w:rPr>
          <w:rFonts w:hint="eastAsia" w:ascii="宋体" w:hAnsi="宋体" w:eastAsia="宋体" w:cs="宋体"/>
          <w:b/>
          <w:bCs/>
          <w:color w:val="auto"/>
          <w:kern w:val="2"/>
          <w:sz w:val="21"/>
          <w:szCs w:val="32"/>
          <w:highlight w:val="none"/>
          <w:lang w:val="en-US" w:eastAsia="zh-CN" w:bidi="ar-SA"/>
        </w:rPr>
        <w:t>9.5 投诉</w:t>
      </w:r>
      <w:bookmarkEnd w:id="633"/>
      <w:bookmarkEnd w:id="634"/>
      <w:bookmarkEnd w:id="635"/>
    </w:p>
    <w:p w14:paraId="1FFEE72D">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1C3EAED4">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9.5.2投标人和其他利害关系人对招标文件、开标和评标结果事项投诉的，应当按照投标人须知的规定先向招标人提出异议。异议答复期间不计算在第9.5.1</w:t>
      </w:r>
      <w:r>
        <w:rPr>
          <w:rFonts w:hint="eastAsia"/>
          <w:color w:val="auto"/>
          <w:highlight w:val="none"/>
        </w:rPr>
        <w:t>项</w:t>
      </w:r>
      <w:r>
        <w:rPr>
          <w:rFonts w:hint="eastAsia" w:ascii="宋体" w:hAnsi="宋体" w:cs="宋体"/>
          <w:color w:val="auto"/>
          <w:szCs w:val="21"/>
          <w:highlight w:val="none"/>
        </w:rPr>
        <w:t>规定的期限内。</w:t>
      </w:r>
    </w:p>
    <w:p w14:paraId="5E83670E">
      <w:pPr>
        <w:pStyle w:val="3"/>
        <w:spacing w:beforeLines="50" w:afterLines="50"/>
        <w:ind w:firstLine="482" w:firstLineChars="200"/>
        <w:rPr>
          <w:rFonts w:hint="eastAsia" w:ascii="宋体" w:hAnsi="宋体" w:eastAsia="宋体" w:cs="宋体"/>
          <w:color w:val="auto"/>
          <w:sz w:val="24"/>
          <w:szCs w:val="24"/>
          <w:highlight w:val="none"/>
        </w:rPr>
      </w:pPr>
      <w:bookmarkStart w:id="636" w:name="_Toc95223390"/>
      <w:bookmarkStart w:id="637" w:name="_Toc83301741"/>
      <w:bookmarkStart w:id="638" w:name="_Toc60061487"/>
      <w:r>
        <w:rPr>
          <w:rFonts w:hint="eastAsia" w:ascii="宋体" w:hAnsi="宋体" w:eastAsia="宋体" w:cs="宋体"/>
          <w:color w:val="auto"/>
          <w:sz w:val="24"/>
          <w:szCs w:val="24"/>
          <w:highlight w:val="none"/>
        </w:rPr>
        <w:t>10.需要补充的其他内容</w:t>
      </w:r>
      <w:bookmarkEnd w:id="636"/>
      <w:bookmarkEnd w:id="637"/>
      <w:bookmarkEnd w:id="638"/>
      <w:bookmarkStart w:id="639" w:name="_Toc60061488"/>
    </w:p>
    <w:p w14:paraId="4F0CA207">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需要补充的其他内容：见投标人须知前附表。</w:t>
      </w:r>
      <w:bookmarkEnd w:id="639"/>
    </w:p>
    <w:p w14:paraId="479B3811">
      <w:pPr>
        <w:pStyle w:val="3"/>
        <w:spacing w:beforeLines="50" w:afterLines="50"/>
        <w:ind w:firstLine="482" w:firstLineChars="200"/>
        <w:rPr>
          <w:rFonts w:ascii="宋体" w:hAnsi="宋体" w:eastAsia="宋体" w:cs="宋体"/>
          <w:color w:val="auto"/>
          <w:sz w:val="24"/>
          <w:szCs w:val="24"/>
          <w:highlight w:val="none"/>
        </w:rPr>
      </w:pPr>
    </w:p>
    <w:bookmarkEnd w:id="591"/>
    <w:bookmarkEnd w:id="592"/>
    <w:bookmarkEnd w:id="593"/>
    <w:bookmarkEnd w:id="601"/>
    <w:bookmarkEnd w:id="602"/>
    <w:bookmarkEnd w:id="603"/>
    <w:p w14:paraId="04110C89">
      <w:pPr>
        <w:pStyle w:val="2"/>
        <w:rPr>
          <w:color w:val="auto"/>
          <w:highlight w:val="none"/>
        </w:rPr>
      </w:pPr>
      <w:bookmarkStart w:id="640" w:name="_Toc324404864"/>
      <w:bookmarkStart w:id="641" w:name="_Toc15058902"/>
      <w:bookmarkStart w:id="642" w:name="_Toc35424939"/>
      <w:bookmarkStart w:id="643" w:name="_Toc506107317"/>
      <w:bookmarkStart w:id="644" w:name="_Toc35425105"/>
      <w:bookmarkStart w:id="645" w:name="_Toc296602475"/>
      <w:r>
        <w:rPr>
          <w:color w:val="auto"/>
          <w:highlight w:val="none"/>
        </w:rPr>
        <w:br w:type="page"/>
      </w:r>
      <w:bookmarkStart w:id="646" w:name="_Toc18840"/>
      <w:r>
        <w:rPr>
          <w:rFonts w:hint="eastAsia" w:ascii="Arial" w:hAnsi="Arial"/>
          <w:color w:val="auto"/>
          <w:kern w:val="0"/>
          <w:sz w:val="32"/>
          <w:szCs w:val="32"/>
          <w:highlight w:val="none"/>
        </w:rPr>
        <w:t>第二章</w:t>
      </w:r>
      <w:r>
        <w:rPr>
          <w:rFonts w:ascii="Arial" w:hAnsi="Arial"/>
          <w:color w:val="auto"/>
          <w:kern w:val="0"/>
          <w:sz w:val="32"/>
          <w:szCs w:val="32"/>
          <w:highlight w:val="none"/>
        </w:rPr>
        <w:t xml:space="preserve"> </w:t>
      </w:r>
      <w:r>
        <w:rPr>
          <w:rFonts w:hint="eastAsia" w:ascii="Arial" w:hAnsi="Arial"/>
          <w:color w:val="auto"/>
          <w:kern w:val="0"/>
          <w:sz w:val="32"/>
          <w:szCs w:val="32"/>
          <w:highlight w:val="none"/>
        </w:rPr>
        <w:t>资格审查</w:t>
      </w:r>
      <w:bookmarkEnd w:id="640"/>
      <w:r>
        <w:rPr>
          <w:rFonts w:hint="eastAsia" w:ascii="Arial" w:hAnsi="Arial"/>
          <w:color w:val="auto"/>
          <w:kern w:val="0"/>
          <w:sz w:val="32"/>
          <w:szCs w:val="32"/>
          <w:highlight w:val="none"/>
        </w:rPr>
        <w:t>办法</w:t>
      </w:r>
      <w:bookmarkEnd w:id="641"/>
      <w:bookmarkEnd w:id="642"/>
      <w:bookmarkEnd w:id="643"/>
      <w:bookmarkEnd w:id="644"/>
      <w:bookmarkEnd w:id="646"/>
    </w:p>
    <w:p w14:paraId="2086FAA1">
      <w:pPr>
        <w:spacing w:beforeLines="50" w:afterLines="50" w:line="440" w:lineRule="exact"/>
        <w:jc w:val="center"/>
        <w:rPr>
          <w:rFonts w:ascii="宋体" w:cs="宋体"/>
          <w:b/>
          <w:bCs/>
          <w:color w:val="auto"/>
          <w:sz w:val="28"/>
          <w:szCs w:val="22"/>
          <w:highlight w:val="none"/>
        </w:rPr>
      </w:pPr>
      <w:bookmarkStart w:id="647" w:name="_Toc506107318"/>
      <w:bookmarkStart w:id="648" w:name="_Toc35425106"/>
      <w:bookmarkStart w:id="649" w:name="_Toc35424940"/>
      <w:bookmarkStart w:id="650" w:name="_Toc15058903"/>
      <w:bookmarkStart w:id="651" w:name="_Toc324404865"/>
      <w:r>
        <w:rPr>
          <w:rFonts w:hint="eastAsia" w:ascii="宋体" w:hAnsi="宋体" w:cs="宋体"/>
          <w:b/>
          <w:bCs/>
          <w:color w:val="auto"/>
          <w:sz w:val="28"/>
          <w:szCs w:val="22"/>
          <w:highlight w:val="none"/>
        </w:rPr>
        <w:t>资格审查办法前附表</w:t>
      </w:r>
      <w:bookmarkEnd w:id="647"/>
      <w:bookmarkEnd w:id="648"/>
      <w:bookmarkEnd w:id="649"/>
      <w:bookmarkEnd w:id="650"/>
      <w:bookmarkEnd w:id="651"/>
    </w:p>
    <w:p w14:paraId="04B02072">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5"/>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5377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vAlign w:val="center"/>
          </w:tcPr>
          <w:p w14:paraId="26463134">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序号</w:t>
            </w:r>
          </w:p>
        </w:tc>
        <w:tc>
          <w:tcPr>
            <w:tcW w:w="6183" w:type="dxa"/>
            <w:vAlign w:val="center"/>
          </w:tcPr>
          <w:p w14:paraId="25B79E53">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审查内容</w:t>
            </w:r>
          </w:p>
        </w:tc>
        <w:tc>
          <w:tcPr>
            <w:tcW w:w="1860" w:type="dxa"/>
            <w:vAlign w:val="center"/>
          </w:tcPr>
          <w:p w14:paraId="1269DF3E">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评审标准</w:t>
            </w:r>
          </w:p>
        </w:tc>
      </w:tr>
      <w:tr w14:paraId="5F4A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vAlign w:val="center"/>
          </w:tcPr>
          <w:p w14:paraId="0D83ACD2">
            <w:pPr>
              <w:spacing w:line="440" w:lineRule="exact"/>
              <w:jc w:val="center"/>
              <w:rPr>
                <w:rFonts w:ascii="宋体" w:cs="宋体"/>
                <w:color w:val="auto"/>
                <w:szCs w:val="21"/>
                <w:highlight w:val="none"/>
              </w:rPr>
            </w:pPr>
            <w:r>
              <w:rPr>
                <w:rFonts w:ascii="宋体" w:hAnsi="宋体" w:cs="宋体"/>
                <w:color w:val="auto"/>
                <w:szCs w:val="21"/>
                <w:highlight w:val="none"/>
              </w:rPr>
              <w:t>1</w:t>
            </w:r>
          </w:p>
        </w:tc>
        <w:tc>
          <w:tcPr>
            <w:tcW w:w="1258" w:type="dxa"/>
            <w:vMerge w:val="restart"/>
            <w:vAlign w:val="center"/>
          </w:tcPr>
          <w:p w14:paraId="3933FFED">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审查资料</w:t>
            </w:r>
          </w:p>
        </w:tc>
        <w:tc>
          <w:tcPr>
            <w:tcW w:w="6183" w:type="dxa"/>
            <w:vAlign w:val="center"/>
          </w:tcPr>
          <w:p w14:paraId="2B5ABA68">
            <w:pPr>
              <w:spacing w:line="440" w:lineRule="exact"/>
              <w:rPr>
                <w:rFonts w:ascii="宋体" w:cs="宋体"/>
                <w:color w:val="auto"/>
                <w:szCs w:val="21"/>
                <w:highlight w:val="none"/>
              </w:rPr>
            </w:pPr>
            <w:r>
              <w:rPr>
                <w:rFonts w:hint="eastAsia" w:ascii="宋体" w:hAnsi="宋体" w:cs="宋体"/>
                <w:color w:val="auto"/>
                <w:szCs w:val="21"/>
                <w:highlight w:val="none"/>
              </w:rPr>
              <w:t>法定代表人身份证明和本人有效身份证</w:t>
            </w:r>
            <w:r>
              <w:rPr>
                <w:rFonts w:ascii="宋体" w:hAnsi="宋体" w:cs="宋体"/>
                <w:color w:val="auto"/>
                <w:szCs w:val="21"/>
                <w:highlight w:val="none"/>
              </w:rPr>
              <w:t>(</w:t>
            </w:r>
            <w:r>
              <w:rPr>
                <w:rFonts w:hint="eastAsia" w:ascii="宋体" w:hAnsi="宋体" w:cs="宋体"/>
                <w:color w:val="auto"/>
                <w:szCs w:val="21"/>
                <w:highlight w:val="none"/>
              </w:rPr>
              <w:t>或法定代表人授权委托书和委托代理人有效身份证</w:t>
            </w:r>
            <w:r>
              <w:rPr>
                <w:rFonts w:ascii="宋体" w:hAnsi="宋体" w:cs="宋体"/>
                <w:color w:val="auto"/>
                <w:szCs w:val="21"/>
                <w:highlight w:val="none"/>
              </w:rPr>
              <w:t>)</w:t>
            </w:r>
          </w:p>
        </w:tc>
        <w:tc>
          <w:tcPr>
            <w:tcW w:w="1860" w:type="dxa"/>
            <w:vAlign w:val="center"/>
          </w:tcPr>
          <w:p w14:paraId="15FD4FAB">
            <w:pPr>
              <w:spacing w:line="440" w:lineRule="exact"/>
              <w:jc w:val="center"/>
              <w:rPr>
                <w:rFonts w:ascii="宋体" w:cs="宋体"/>
                <w:b/>
                <w:color w:val="auto"/>
                <w:szCs w:val="21"/>
                <w:highlight w:val="none"/>
              </w:rPr>
            </w:pPr>
            <w:r>
              <w:rPr>
                <w:rFonts w:hint="eastAsia" w:ascii="宋体" w:hAnsi="宋体" w:cs="宋体"/>
                <w:b/>
                <w:color w:val="auto"/>
                <w:szCs w:val="21"/>
                <w:highlight w:val="none"/>
              </w:rPr>
              <w:t>检验电子标书</w:t>
            </w:r>
          </w:p>
        </w:tc>
      </w:tr>
      <w:tr w14:paraId="6D54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vAlign w:val="center"/>
          </w:tcPr>
          <w:p w14:paraId="578D7020">
            <w:pPr>
              <w:spacing w:line="440" w:lineRule="exact"/>
              <w:jc w:val="center"/>
              <w:rPr>
                <w:rFonts w:ascii="宋体" w:cs="宋体"/>
                <w:color w:val="auto"/>
                <w:szCs w:val="21"/>
                <w:highlight w:val="none"/>
              </w:rPr>
            </w:pPr>
          </w:p>
        </w:tc>
        <w:tc>
          <w:tcPr>
            <w:tcW w:w="1258" w:type="dxa"/>
            <w:vMerge w:val="continue"/>
            <w:vAlign w:val="center"/>
          </w:tcPr>
          <w:p w14:paraId="5989C9D8">
            <w:pPr>
              <w:spacing w:line="440" w:lineRule="exact"/>
              <w:jc w:val="center"/>
              <w:rPr>
                <w:rFonts w:ascii="宋体" w:cs="宋体"/>
                <w:b/>
                <w:bCs/>
                <w:color w:val="auto"/>
                <w:szCs w:val="21"/>
                <w:highlight w:val="none"/>
              </w:rPr>
            </w:pPr>
          </w:p>
        </w:tc>
        <w:tc>
          <w:tcPr>
            <w:tcW w:w="6183" w:type="dxa"/>
            <w:vAlign w:val="center"/>
          </w:tcPr>
          <w:p w14:paraId="37EFB527">
            <w:pPr>
              <w:spacing w:line="440" w:lineRule="exact"/>
              <w:rPr>
                <w:rFonts w:ascii="宋体" w:cs="宋体"/>
                <w:color w:val="auto"/>
                <w:szCs w:val="21"/>
                <w:highlight w:val="none"/>
              </w:rPr>
            </w:pPr>
            <w:r>
              <w:rPr>
                <w:rFonts w:hint="eastAsia" w:ascii="宋体" w:hAnsi="宋体" w:cs="宋体"/>
                <w:color w:val="auto"/>
                <w:szCs w:val="21"/>
                <w:highlight w:val="none"/>
                <w:lang w:eastAsia="zh-CN"/>
              </w:rPr>
              <w:t>诚信投标承诺书（或《公共信用信息报告（无违法违规证明版或核查版）》）（</w:t>
            </w:r>
            <w:r>
              <w:rPr>
                <w:rFonts w:hint="eastAsia" w:ascii="宋体" w:hAnsi="宋体" w:cs="宋体"/>
                <w:color w:val="auto"/>
                <w:szCs w:val="21"/>
                <w:highlight w:val="none"/>
                <w:lang w:val="en-US" w:eastAsia="zh-CN"/>
              </w:rPr>
              <w:t>格式见附件）</w:t>
            </w:r>
          </w:p>
        </w:tc>
        <w:tc>
          <w:tcPr>
            <w:tcW w:w="1860" w:type="dxa"/>
            <w:vMerge w:val="restart"/>
            <w:vAlign w:val="center"/>
          </w:tcPr>
          <w:p w14:paraId="625EDF1E">
            <w:pPr>
              <w:spacing w:line="440" w:lineRule="exact"/>
              <w:jc w:val="center"/>
              <w:rPr>
                <w:rFonts w:ascii="宋体" w:cs="宋体"/>
                <w:b/>
                <w:color w:val="auto"/>
                <w:szCs w:val="21"/>
                <w:highlight w:val="none"/>
              </w:rPr>
            </w:pPr>
            <w:r>
              <w:rPr>
                <w:rFonts w:hint="eastAsia" w:ascii="宋体" w:hAnsi="宋体" w:cs="宋体"/>
                <w:b/>
                <w:color w:val="auto"/>
                <w:szCs w:val="21"/>
                <w:highlight w:val="none"/>
              </w:rPr>
              <w:t>检验电子标书</w:t>
            </w:r>
          </w:p>
        </w:tc>
      </w:tr>
      <w:tr w14:paraId="617A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vAlign w:val="center"/>
          </w:tcPr>
          <w:p w14:paraId="641E7F3A">
            <w:pPr>
              <w:spacing w:line="440" w:lineRule="exact"/>
              <w:jc w:val="center"/>
              <w:rPr>
                <w:rFonts w:ascii="宋体" w:cs="宋体"/>
                <w:color w:val="auto"/>
                <w:szCs w:val="21"/>
                <w:highlight w:val="none"/>
              </w:rPr>
            </w:pPr>
          </w:p>
        </w:tc>
        <w:tc>
          <w:tcPr>
            <w:tcW w:w="1258" w:type="dxa"/>
            <w:vMerge w:val="continue"/>
            <w:vAlign w:val="center"/>
          </w:tcPr>
          <w:p w14:paraId="6E061634">
            <w:pPr>
              <w:spacing w:line="440" w:lineRule="exact"/>
              <w:jc w:val="center"/>
              <w:rPr>
                <w:rFonts w:ascii="宋体" w:cs="宋体"/>
                <w:b/>
                <w:bCs/>
                <w:color w:val="auto"/>
                <w:szCs w:val="21"/>
                <w:highlight w:val="none"/>
              </w:rPr>
            </w:pPr>
          </w:p>
        </w:tc>
        <w:tc>
          <w:tcPr>
            <w:tcW w:w="6183" w:type="dxa"/>
            <w:vAlign w:val="center"/>
          </w:tcPr>
          <w:p w14:paraId="2341E649">
            <w:pPr>
              <w:spacing w:line="440" w:lineRule="exact"/>
              <w:rPr>
                <w:rFonts w:ascii="宋体" w:cs="宋体"/>
                <w:color w:val="auto"/>
                <w:szCs w:val="21"/>
                <w:highlight w:val="none"/>
              </w:rPr>
            </w:pPr>
            <w:r>
              <w:rPr>
                <w:rFonts w:hint="eastAsia" w:ascii="宋体" w:hAnsi="宋体" w:cs="宋体"/>
                <w:color w:val="auto"/>
                <w:szCs w:val="21"/>
                <w:highlight w:val="none"/>
              </w:rPr>
              <w:t>企业营业执照</w:t>
            </w:r>
          </w:p>
        </w:tc>
        <w:tc>
          <w:tcPr>
            <w:tcW w:w="1860" w:type="dxa"/>
            <w:vMerge w:val="continue"/>
            <w:vAlign w:val="center"/>
          </w:tcPr>
          <w:p w14:paraId="4979D12C">
            <w:pPr>
              <w:spacing w:line="440" w:lineRule="exact"/>
              <w:rPr>
                <w:rFonts w:ascii="宋体" w:cs="宋体"/>
                <w:b/>
                <w:color w:val="auto"/>
                <w:szCs w:val="21"/>
                <w:highlight w:val="none"/>
              </w:rPr>
            </w:pPr>
          </w:p>
        </w:tc>
      </w:tr>
      <w:tr w14:paraId="2DFAA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vAlign w:val="center"/>
          </w:tcPr>
          <w:p w14:paraId="24C9D5B4">
            <w:pPr>
              <w:spacing w:line="440" w:lineRule="exact"/>
              <w:jc w:val="center"/>
              <w:rPr>
                <w:rFonts w:ascii="宋体" w:cs="宋体"/>
                <w:color w:val="auto"/>
                <w:szCs w:val="21"/>
                <w:highlight w:val="none"/>
              </w:rPr>
            </w:pPr>
          </w:p>
        </w:tc>
        <w:tc>
          <w:tcPr>
            <w:tcW w:w="1258" w:type="dxa"/>
            <w:vMerge w:val="continue"/>
            <w:vAlign w:val="center"/>
          </w:tcPr>
          <w:p w14:paraId="252943B9">
            <w:pPr>
              <w:spacing w:line="440" w:lineRule="exact"/>
              <w:jc w:val="center"/>
              <w:rPr>
                <w:rFonts w:ascii="宋体" w:cs="宋体"/>
                <w:b/>
                <w:bCs/>
                <w:color w:val="auto"/>
                <w:szCs w:val="21"/>
                <w:highlight w:val="none"/>
              </w:rPr>
            </w:pPr>
          </w:p>
        </w:tc>
        <w:tc>
          <w:tcPr>
            <w:tcW w:w="6183" w:type="dxa"/>
            <w:vAlign w:val="center"/>
          </w:tcPr>
          <w:p w14:paraId="15036B64">
            <w:pPr>
              <w:spacing w:line="440" w:lineRule="exact"/>
              <w:rPr>
                <w:rFonts w:hint="default" w:ascii="宋体" w:eastAsia="宋体" w:cs="宋体"/>
                <w:color w:val="auto"/>
                <w:szCs w:val="21"/>
                <w:highlight w:val="none"/>
                <w:lang w:val="en-US" w:eastAsia="zh-CN"/>
              </w:rPr>
            </w:pPr>
            <w:r>
              <w:rPr>
                <w:rFonts w:hint="eastAsia" w:ascii="宋体" w:hAnsi="宋体" w:cs="宋体"/>
                <w:color w:val="auto"/>
                <w:highlight w:val="none"/>
              </w:rPr>
              <w:t>拟派</w:t>
            </w:r>
            <w:r>
              <w:rPr>
                <w:rFonts w:hint="eastAsia" w:ascii="宋体" w:hAnsi="宋体" w:cs="宋体"/>
                <w:color w:val="auto"/>
                <w:szCs w:val="21"/>
                <w:highlight w:val="none"/>
              </w:rPr>
              <w:t>项目负责人有效</w:t>
            </w:r>
            <w:r>
              <w:rPr>
                <w:rFonts w:hint="eastAsia" w:ascii="宋体" w:hAnsi="宋体" w:cs="宋体"/>
                <w:color w:val="auto"/>
                <w:highlight w:val="none"/>
              </w:rPr>
              <w:t>身份证</w:t>
            </w:r>
            <w:r>
              <w:rPr>
                <w:rFonts w:hint="eastAsia" w:ascii="宋体" w:hAnsi="宋体" w:cs="宋体"/>
                <w:color w:val="auto"/>
                <w:highlight w:val="none"/>
                <w:lang w:eastAsia="zh-CN"/>
              </w:rPr>
              <w:t>、</w:t>
            </w:r>
            <w:r>
              <w:rPr>
                <w:rFonts w:hint="eastAsia" w:hAnsi="宋体" w:cs="宋体"/>
                <w:color w:val="auto"/>
                <w:szCs w:val="21"/>
                <w:highlight w:val="none"/>
                <w:lang w:val="en-US" w:eastAsia="zh-CN"/>
              </w:rPr>
              <w:t>高级工程师及以上职称证书</w:t>
            </w:r>
            <w:r>
              <w:rPr>
                <w:rFonts w:hint="eastAsia" w:hAnsi="宋体" w:cs="宋体"/>
                <w:color w:val="auto"/>
                <w:szCs w:val="21"/>
                <w:highlight w:val="none"/>
              </w:rPr>
              <w:t>和</w:t>
            </w:r>
            <w:r>
              <w:rPr>
                <w:rFonts w:hint="eastAsia" w:ascii="宋体" w:hAnsi="宋体" w:cs="宋体"/>
                <w:color w:val="auto"/>
                <w:highlight w:val="none"/>
              </w:rPr>
              <w:t>注册证书</w:t>
            </w:r>
          </w:p>
        </w:tc>
        <w:tc>
          <w:tcPr>
            <w:tcW w:w="1860" w:type="dxa"/>
            <w:vMerge w:val="continue"/>
            <w:vAlign w:val="center"/>
          </w:tcPr>
          <w:p w14:paraId="2C5F239D">
            <w:pPr>
              <w:spacing w:line="440" w:lineRule="exact"/>
              <w:rPr>
                <w:rFonts w:ascii="宋体" w:cs="宋体"/>
                <w:color w:val="auto"/>
                <w:szCs w:val="21"/>
                <w:highlight w:val="none"/>
              </w:rPr>
            </w:pPr>
          </w:p>
        </w:tc>
      </w:tr>
      <w:tr w14:paraId="2B9F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vAlign w:val="center"/>
          </w:tcPr>
          <w:p w14:paraId="2AA09A6F">
            <w:pPr>
              <w:spacing w:line="440" w:lineRule="exact"/>
              <w:jc w:val="center"/>
              <w:rPr>
                <w:rFonts w:ascii="宋体" w:cs="宋体"/>
                <w:color w:val="auto"/>
                <w:szCs w:val="21"/>
                <w:highlight w:val="none"/>
              </w:rPr>
            </w:pPr>
          </w:p>
        </w:tc>
        <w:tc>
          <w:tcPr>
            <w:tcW w:w="1258" w:type="dxa"/>
            <w:vMerge w:val="continue"/>
            <w:vAlign w:val="center"/>
          </w:tcPr>
          <w:p w14:paraId="47C9D09B">
            <w:pPr>
              <w:spacing w:line="440" w:lineRule="exact"/>
              <w:jc w:val="center"/>
              <w:rPr>
                <w:rFonts w:ascii="宋体" w:cs="宋体"/>
                <w:b/>
                <w:bCs/>
                <w:color w:val="auto"/>
                <w:szCs w:val="21"/>
                <w:highlight w:val="none"/>
              </w:rPr>
            </w:pPr>
          </w:p>
        </w:tc>
        <w:tc>
          <w:tcPr>
            <w:tcW w:w="6183" w:type="dxa"/>
          </w:tcPr>
          <w:p w14:paraId="1B539500">
            <w:pPr>
              <w:spacing w:line="440" w:lineRule="exact"/>
              <w:rPr>
                <w:rFonts w:hint="default" w:ascii="宋体" w:eastAsia="宋体" w:cs="宋体"/>
                <w:color w:val="auto"/>
                <w:highlight w:val="none"/>
                <w:lang w:val="en-US" w:eastAsia="zh-CN"/>
              </w:rPr>
            </w:pPr>
            <w:r>
              <w:rPr>
                <w:rFonts w:hint="eastAsia" w:ascii="宋体" w:cs="宋体"/>
                <w:color w:val="auto"/>
                <w:highlight w:val="none"/>
                <w:lang w:val="en-US" w:eastAsia="zh-CN"/>
              </w:rPr>
              <w:t>项目组成员名单（格式自拟）、人员有效身份证及证书</w:t>
            </w:r>
          </w:p>
        </w:tc>
        <w:tc>
          <w:tcPr>
            <w:tcW w:w="1860" w:type="dxa"/>
            <w:vMerge w:val="continue"/>
            <w:vAlign w:val="center"/>
          </w:tcPr>
          <w:p w14:paraId="025217FF">
            <w:pPr>
              <w:spacing w:line="440" w:lineRule="exact"/>
              <w:rPr>
                <w:rFonts w:ascii="宋体" w:cs="宋体"/>
                <w:color w:val="auto"/>
                <w:szCs w:val="21"/>
                <w:highlight w:val="none"/>
              </w:rPr>
            </w:pPr>
          </w:p>
        </w:tc>
      </w:tr>
      <w:tr w14:paraId="5F84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vAlign w:val="center"/>
          </w:tcPr>
          <w:p w14:paraId="193D901D">
            <w:pPr>
              <w:spacing w:line="440" w:lineRule="exact"/>
              <w:jc w:val="center"/>
              <w:rPr>
                <w:rFonts w:ascii="宋体" w:cs="宋体"/>
                <w:color w:val="auto"/>
                <w:szCs w:val="21"/>
                <w:highlight w:val="none"/>
              </w:rPr>
            </w:pPr>
          </w:p>
        </w:tc>
        <w:tc>
          <w:tcPr>
            <w:tcW w:w="1258" w:type="dxa"/>
            <w:vMerge w:val="continue"/>
            <w:vAlign w:val="center"/>
          </w:tcPr>
          <w:p w14:paraId="1948EE38">
            <w:pPr>
              <w:spacing w:line="440" w:lineRule="exact"/>
              <w:jc w:val="center"/>
              <w:rPr>
                <w:rFonts w:ascii="宋体" w:cs="宋体"/>
                <w:b/>
                <w:bCs/>
                <w:color w:val="auto"/>
                <w:szCs w:val="21"/>
                <w:highlight w:val="none"/>
              </w:rPr>
            </w:pPr>
          </w:p>
        </w:tc>
        <w:tc>
          <w:tcPr>
            <w:tcW w:w="6183" w:type="dxa"/>
            <w:vAlign w:val="center"/>
          </w:tcPr>
          <w:p w14:paraId="79875FD6">
            <w:pPr>
              <w:pStyle w:val="44"/>
              <w:spacing w:line="440" w:lineRule="exact"/>
              <w:ind w:left="0" w:leftChars="0" w:firstLine="0" w:firstLineChars="0"/>
              <w:jc w:val="left"/>
              <w:rPr>
                <w:rFonts w:hint="default" w:ascii="宋体" w:eastAsia="宋体" w:cs="宋体"/>
                <w:color w:val="auto"/>
                <w:szCs w:val="21"/>
                <w:highlight w:val="none"/>
                <w:lang w:val="en-US" w:eastAsia="zh-CN"/>
              </w:rPr>
            </w:pPr>
            <w:r>
              <w:rPr>
                <w:rFonts w:hint="eastAsia" w:ascii="宋体" w:hAnsi="宋体" w:cs="宋体"/>
                <w:color w:val="auto"/>
                <w:szCs w:val="21"/>
                <w:highlight w:val="none"/>
              </w:rPr>
              <w:t>投标人的法定代表人</w:t>
            </w:r>
            <w:r>
              <w:rPr>
                <w:rFonts w:ascii="宋体" w:hAnsi="宋体" w:cs="宋体"/>
                <w:color w:val="auto"/>
                <w:szCs w:val="21"/>
                <w:highlight w:val="none"/>
              </w:rPr>
              <w:t>(</w:t>
            </w:r>
            <w:r>
              <w:rPr>
                <w:rFonts w:hint="eastAsia" w:ascii="宋体" w:hAnsi="宋体" w:cs="宋体"/>
                <w:color w:val="auto"/>
                <w:szCs w:val="21"/>
                <w:highlight w:val="none"/>
              </w:rPr>
              <w:t>或委托代理人</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拟任项目负责人</w:t>
            </w:r>
            <w:r>
              <w:rPr>
                <w:rFonts w:hint="eastAsia" w:ascii="宋体" w:hAnsi="宋体" w:cs="宋体"/>
                <w:color w:val="auto"/>
                <w:szCs w:val="21"/>
                <w:highlight w:val="none"/>
                <w:lang w:val="en-US" w:eastAsia="zh-CN"/>
              </w:rPr>
              <w:t>及项目组成员</w:t>
            </w:r>
            <w:r>
              <w:rPr>
                <w:rFonts w:hint="eastAsia" w:ascii="宋体" w:hAnsi="宋体" w:cs="宋体"/>
                <w:color w:val="auto"/>
                <w:szCs w:val="21"/>
                <w:highlight w:val="none"/>
              </w:rPr>
              <w:t>须持有社保部门出具的本单位</w:t>
            </w:r>
            <w:r>
              <w:rPr>
                <w:rFonts w:hint="eastAsia" w:hAnsi="宋体" w:cs="宋体"/>
                <w:color w:val="auto"/>
                <w:szCs w:val="21"/>
                <w:highlight w:val="none"/>
                <w:lang w:eastAsia="zh-CN"/>
              </w:rPr>
              <w:t>（</w:t>
            </w:r>
            <w:r>
              <w:rPr>
                <w:rFonts w:hint="eastAsia" w:hAnsi="宋体" w:cs="宋体"/>
                <w:color w:val="auto"/>
                <w:szCs w:val="21"/>
                <w:highlight w:val="none"/>
                <w:lang w:val="en-US" w:eastAsia="zh-CN"/>
              </w:rPr>
              <w:t>或其不具备独立法人资格的分支机构）</w:t>
            </w:r>
            <w:r>
              <w:rPr>
                <w:rFonts w:hint="eastAsia" w:ascii="宋体" w:hAnsi="宋体" w:cs="宋体"/>
                <w:color w:val="auto"/>
                <w:szCs w:val="21"/>
                <w:highlight w:val="none"/>
              </w:rPr>
              <w:t>为其缴纳的投标前近</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tc>
        <w:tc>
          <w:tcPr>
            <w:tcW w:w="1860" w:type="dxa"/>
            <w:vMerge w:val="continue"/>
            <w:vAlign w:val="center"/>
          </w:tcPr>
          <w:p w14:paraId="5C06121F">
            <w:pPr>
              <w:spacing w:line="440" w:lineRule="exact"/>
              <w:rPr>
                <w:rFonts w:ascii="宋体" w:cs="宋体"/>
                <w:color w:val="auto"/>
                <w:szCs w:val="21"/>
                <w:highlight w:val="none"/>
              </w:rPr>
            </w:pPr>
          </w:p>
        </w:tc>
      </w:tr>
      <w:tr w14:paraId="4FE3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vAlign w:val="center"/>
          </w:tcPr>
          <w:p w14:paraId="553AFA41">
            <w:pPr>
              <w:spacing w:line="440" w:lineRule="exact"/>
              <w:jc w:val="center"/>
              <w:rPr>
                <w:rFonts w:ascii="宋体" w:cs="宋体"/>
                <w:color w:val="auto"/>
                <w:szCs w:val="21"/>
                <w:highlight w:val="none"/>
              </w:rPr>
            </w:pPr>
          </w:p>
        </w:tc>
        <w:tc>
          <w:tcPr>
            <w:tcW w:w="1258" w:type="dxa"/>
            <w:vMerge w:val="continue"/>
            <w:vAlign w:val="center"/>
          </w:tcPr>
          <w:p w14:paraId="0EC7D218">
            <w:pPr>
              <w:spacing w:line="440" w:lineRule="exact"/>
              <w:jc w:val="center"/>
              <w:rPr>
                <w:rFonts w:ascii="宋体" w:cs="宋体"/>
                <w:b/>
                <w:bCs/>
                <w:color w:val="auto"/>
                <w:szCs w:val="21"/>
                <w:highlight w:val="none"/>
              </w:rPr>
            </w:pPr>
          </w:p>
        </w:tc>
        <w:tc>
          <w:tcPr>
            <w:tcW w:w="6183" w:type="dxa"/>
            <w:vAlign w:val="center"/>
          </w:tcPr>
          <w:p w14:paraId="456B7D19">
            <w:pPr>
              <w:pStyle w:val="44"/>
              <w:spacing w:line="440" w:lineRule="exact"/>
              <w:ind w:left="0" w:leftChars="0" w:firstLine="0" w:firstLineChars="0"/>
              <w:jc w:val="left"/>
              <w:rPr>
                <w:rFonts w:hint="default"/>
                <w:b w:val="0"/>
                <w:bCs w:val="0"/>
                <w:color w:val="auto"/>
                <w:highlight w:val="none"/>
                <w:lang w:val="en-US"/>
              </w:rPr>
            </w:pPr>
            <w:r>
              <w:rPr>
                <w:rFonts w:hint="eastAsia" w:ascii="宋体" w:hAnsi="宋体" w:cs="宋体"/>
                <w:color w:val="auto"/>
                <w:szCs w:val="21"/>
                <w:highlight w:val="none"/>
                <w:lang w:val="en-US" w:eastAsia="zh-CN"/>
              </w:rPr>
              <w:t>服务承诺书（格式见附件）</w:t>
            </w:r>
          </w:p>
        </w:tc>
        <w:tc>
          <w:tcPr>
            <w:tcW w:w="1860" w:type="dxa"/>
            <w:vMerge w:val="continue"/>
            <w:vAlign w:val="center"/>
          </w:tcPr>
          <w:p w14:paraId="1D6538C4">
            <w:pPr>
              <w:spacing w:line="440" w:lineRule="exact"/>
              <w:rPr>
                <w:rFonts w:ascii="宋体" w:cs="宋体"/>
                <w:color w:val="auto"/>
                <w:szCs w:val="21"/>
                <w:highlight w:val="none"/>
              </w:rPr>
            </w:pPr>
          </w:p>
        </w:tc>
      </w:tr>
    </w:tbl>
    <w:p w14:paraId="2D226C00">
      <w:pPr>
        <w:spacing w:line="440" w:lineRule="exact"/>
        <w:ind w:firstLine="422" w:firstLineChars="200"/>
        <w:jc w:val="left"/>
        <w:rPr>
          <w:rFonts w:ascii="宋体" w:cs="宋体"/>
          <w:b/>
          <w:bCs/>
          <w:color w:val="auto"/>
          <w:szCs w:val="21"/>
          <w:highlight w:val="none"/>
        </w:rPr>
      </w:pPr>
      <w:r>
        <w:rPr>
          <w:rFonts w:hint="eastAsia" w:ascii="宋体" w:hAnsi="宋体" w:cs="宋体"/>
          <w:b/>
          <w:bCs/>
          <w:color w:val="auto"/>
          <w:szCs w:val="21"/>
          <w:highlight w:val="none"/>
        </w:rPr>
        <w:t>重要提示：</w:t>
      </w:r>
    </w:p>
    <w:p w14:paraId="1BB08572">
      <w:pPr>
        <w:spacing w:line="440" w:lineRule="exact"/>
        <w:ind w:firstLine="422" w:firstLineChars="200"/>
        <w:jc w:val="left"/>
        <w:rPr>
          <w:rFonts w:asci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1</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资格审查材料可以选择①上传到安徽省公共资源交易市场主体库中，制作投标文件时插上CA数字证书，从安徽省公共资源交易市场主体库中挑选相关材料，或按招标文件要求上传至指定位置；若所需材料无对应栏目，则将该材料上传至“其他所需材料”里，做电子投标文件时从“其他所需材料”里获取。请各投标人自行完善安徽省公共资源交易市场主体库中的单位信息，保证信息最新且有效。②或使用国家企业信用信息公示系统和全国建筑市场监管公共服务平台接口获取营业执照、建设工程相关证书等政务数据，投标人自行核验政务数据的准确性，对引用的政务数据承担责任。</w:t>
      </w:r>
    </w:p>
    <w:p w14:paraId="159BCF4E">
      <w:pPr>
        <w:spacing w:line="440" w:lineRule="exact"/>
        <w:ind w:firstLine="422" w:firstLineChars="200"/>
        <w:jc w:val="left"/>
        <w:rPr>
          <w:rFonts w:asci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2</w:t>
      </w:r>
      <w:r>
        <w:rPr>
          <w:rFonts w:hint="eastAsia" w:ascii="宋体" w:hAnsi="宋体" w:cs="宋体"/>
          <w:b/>
          <w:bCs/>
          <w:color w:val="auto"/>
          <w:szCs w:val="21"/>
          <w:highlight w:val="none"/>
        </w:rPr>
        <w:t>）评标专家在检验电子标书过程中，如果由于投标人自身原因导致评标专家无法查看并检验电子标书中以上相关资料的，视为无效标处理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即使投标人将原件携带至现场的，同样按无效标处理。</w:t>
      </w:r>
    </w:p>
    <w:p w14:paraId="1F6D48ED">
      <w:pPr>
        <w:pStyle w:val="3"/>
        <w:spacing w:beforeLines="50" w:afterLines="50"/>
        <w:ind w:firstLine="422" w:firstLineChars="200"/>
        <w:rPr>
          <w:rFonts w:ascii="宋体" w:hAnsi="宋体" w:eastAsia="宋体" w:cs="宋体"/>
          <w:color w:val="auto"/>
          <w:highlight w:val="none"/>
        </w:rPr>
      </w:pPr>
      <w:bookmarkStart w:id="652" w:name="_Toc27127"/>
      <w:bookmarkStart w:id="653" w:name="_Toc506107319"/>
      <w:bookmarkStart w:id="654" w:name="_Toc35424941"/>
      <w:bookmarkStart w:id="655" w:name="_Toc35425107"/>
      <w:bookmarkStart w:id="656" w:name="_Toc15058904"/>
      <w:bookmarkStart w:id="657" w:name="_Toc324404866"/>
      <w:r>
        <w:rPr>
          <w:rFonts w:ascii="宋体" w:hAnsi="宋体" w:eastAsia="宋体" w:cs="宋体"/>
          <w:color w:val="auto"/>
          <w:highlight w:val="none"/>
        </w:rPr>
        <w:t>1.</w:t>
      </w:r>
      <w:r>
        <w:rPr>
          <w:rFonts w:hint="eastAsia" w:ascii="宋体" w:hAnsi="宋体" w:eastAsia="宋体" w:cs="宋体"/>
          <w:color w:val="auto"/>
          <w:highlight w:val="none"/>
        </w:rPr>
        <w:t>审查资料</w:t>
      </w:r>
      <w:bookmarkEnd w:id="652"/>
      <w:bookmarkEnd w:id="653"/>
      <w:bookmarkEnd w:id="654"/>
      <w:bookmarkEnd w:id="655"/>
      <w:bookmarkEnd w:id="656"/>
      <w:bookmarkEnd w:id="657"/>
    </w:p>
    <w:p w14:paraId="6DF3B9D5">
      <w:pPr>
        <w:spacing w:line="440" w:lineRule="exact"/>
        <w:ind w:firstLine="420" w:firstLineChars="200"/>
        <w:jc w:val="left"/>
        <w:rPr>
          <w:rFonts w:ascii="宋体" w:cs="宋体"/>
          <w:color w:val="auto"/>
          <w:szCs w:val="21"/>
          <w:highlight w:val="none"/>
        </w:rPr>
      </w:pPr>
      <w:bookmarkStart w:id="658" w:name="_Toc15058905"/>
      <w:bookmarkStart w:id="659" w:name="_Toc324404867"/>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）法定代表人身份证明和本人有效身份证</w:t>
      </w:r>
      <w:r>
        <w:rPr>
          <w:rFonts w:ascii="宋体" w:hAnsi="宋体" w:cs="宋体"/>
          <w:color w:val="auto"/>
          <w:szCs w:val="21"/>
          <w:highlight w:val="none"/>
        </w:rPr>
        <w:t>(</w:t>
      </w:r>
      <w:r>
        <w:rPr>
          <w:rFonts w:hint="eastAsia" w:ascii="宋体" w:hAnsi="宋体" w:cs="宋体"/>
          <w:color w:val="auto"/>
          <w:szCs w:val="21"/>
          <w:highlight w:val="none"/>
        </w:rPr>
        <w:t>或法定代表人授权委托书和委托代理人有效身份证</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格式见附件）</w:t>
      </w:r>
      <w:r>
        <w:rPr>
          <w:rFonts w:hint="eastAsia" w:ascii="宋体" w:hAnsi="宋体" w:cs="宋体"/>
          <w:color w:val="auto"/>
          <w:szCs w:val="21"/>
          <w:highlight w:val="none"/>
        </w:rPr>
        <w:t>；</w:t>
      </w:r>
    </w:p>
    <w:p w14:paraId="3BA17234">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）诚信投标承诺书（或《公共信用信息报告（无违法违规证明版或核查版）》）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格式见附件）</w:t>
      </w:r>
      <w:r>
        <w:rPr>
          <w:rFonts w:hint="eastAsia" w:ascii="宋体" w:hAnsi="宋体" w:cs="宋体"/>
          <w:color w:val="auto"/>
          <w:szCs w:val="21"/>
          <w:highlight w:val="none"/>
        </w:rPr>
        <w:t>；</w:t>
      </w:r>
    </w:p>
    <w:p w14:paraId="7647D1E9">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）企业营业执照；</w:t>
      </w:r>
    </w:p>
    <w:p w14:paraId="1E07E52D">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）拟派</w:t>
      </w:r>
      <w:r>
        <w:rPr>
          <w:rFonts w:hint="eastAsia" w:ascii="宋体" w:hAnsi="宋体" w:cs="宋体"/>
          <w:color w:val="auto"/>
          <w:szCs w:val="21"/>
          <w:highlight w:val="none"/>
        </w:rPr>
        <w:t>项目负责人有效</w:t>
      </w:r>
      <w:r>
        <w:rPr>
          <w:rFonts w:hint="eastAsia" w:ascii="宋体" w:hAnsi="宋体" w:cs="宋体"/>
          <w:color w:val="auto"/>
          <w:highlight w:val="none"/>
        </w:rPr>
        <w:t>身份证</w:t>
      </w:r>
      <w:r>
        <w:rPr>
          <w:rFonts w:hint="eastAsia" w:ascii="宋体" w:hAnsi="宋体" w:cs="宋体"/>
          <w:color w:val="auto"/>
          <w:highlight w:val="none"/>
          <w:lang w:eastAsia="zh-CN"/>
        </w:rPr>
        <w:t>、</w:t>
      </w:r>
      <w:r>
        <w:rPr>
          <w:rFonts w:hint="eastAsia" w:hAnsi="宋体" w:cs="宋体"/>
          <w:color w:val="auto"/>
          <w:szCs w:val="21"/>
          <w:highlight w:val="none"/>
          <w:lang w:val="en-US" w:eastAsia="zh-CN"/>
        </w:rPr>
        <w:t>高级工程师及以上职称证书</w:t>
      </w:r>
      <w:r>
        <w:rPr>
          <w:rFonts w:hint="eastAsia" w:hAnsi="宋体" w:cs="宋体"/>
          <w:color w:val="auto"/>
          <w:szCs w:val="21"/>
          <w:highlight w:val="none"/>
        </w:rPr>
        <w:t>和</w:t>
      </w:r>
      <w:r>
        <w:rPr>
          <w:rFonts w:hint="eastAsia" w:ascii="宋体" w:hAnsi="宋体" w:cs="宋体"/>
          <w:color w:val="auto"/>
          <w:highlight w:val="none"/>
        </w:rPr>
        <w:t>注册证书；</w:t>
      </w:r>
    </w:p>
    <w:p w14:paraId="41A46FB0">
      <w:pPr>
        <w:spacing w:line="440" w:lineRule="exact"/>
        <w:ind w:firstLine="420" w:firstLineChars="200"/>
        <w:jc w:val="left"/>
        <w:rPr>
          <w:rFonts w:hint="eastAsia" w:asci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cs="宋体"/>
          <w:color w:val="auto"/>
          <w:highlight w:val="none"/>
          <w:lang w:val="en-US" w:eastAsia="zh-CN"/>
        </w:rPr>
        <w:t>项目组成员名单（格式自拟）、人员有效身份证及证书</w:t>
      </w:r>
      <w:r>
        <w:rPr>
          <w:rFonts w:hint="eastAsia" w:ascii="宋体" w:hAnsi="宋体" w:cs="宋体"/>
          <w:color w:val="auto"/>
          <w:szCs w:val="21"/>
          <w:highlight w:val="none"/>
          <w:lang w:eastAsia="zh-CN"/>
        </w:rPr>
        <w:t>；</w:t>
      </w:r>
    </w:p>
    <w:p w14:paraId="43FB0016">
      <w:pPr>
        <w:spacing w:line="440" w:lineRule="exact"/>
        <w:ind w:firstLine="420" w:firstLineChars="200"/>
        <w:jc w:val="left"/>
        <w:rPr>
          <w:rFonts w:ascii="宋体" w:cs="宋体"/>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）投标人的法定代表人</w:t>
      </w:r>
      <w:r>
        <w:rPr>
          <w:rFonts w:ascii="宋体" w:hAnsi="宋体" w:cs="宋体"/>
          <w:color w:val="auto"/>
          <w:szCs w:val="21"/>
          <w:highlight w:val="none"/>
        </w:rPr>
        <w:t>(</w:t>
      </w:r>
      <w:r>
        <w:rPr>
          <w:rFonts w:hint="eastAsia" w:ascii="宋体" w:hAnsi="宋体" w:cs="宋体"/>
          <w:color w:val="auto"/>
          <w:szCs w:val="21"/>
          <w:highlight w:val="none"/>
        </w:rPr>
        <w:t>或委托代理人</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拟任项目负责人</w:t>
      </w:r>
      <w:r>
        <w:rPr>
          <w:rFonts w:hint="eastAsia" w:ascii="宋体" w:hAnsi="宋体" w:cs="宋体"/>
          <w:color w:val="auto"/>
          <w:szCs w:val="21"/>
          <w:highlight w:val="none"/>
          <w:lang w:val="en-US" w:eastAsia="zh-CN"/>
        </w:rPr>
        <w:t>及项目组成员</w:t>
      </w:r>
      <w:r>
        <w:rPr>
          <w:rFonts w:hint="eastAsia" w:ascii="宋体" w:hAnsi="宋体" w:cs="宋体"/>
          <w:color w:val="auto"/>
          <w:szCs w:val="21"/>
          <w:highlight w:val="none"/>
        </w:rPr>
        <w:t>须持有社保部门出具的本单位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或其不具备独立法人资格的分支机构）</w:t>
      </w:r>
      <w:r>
        <w:rPr>
          <w:rFonts w:hint="eastAsia" w:ascii="宋体" w:hAnsi="宋体" w:cs="宋体"/>
          <w:color w:val="auto"/>
          <w:szCs w:val="21"/>
          <w:highlight w:val="none"/>
        </w:rPr>
        <w:t>为其缴纳的投标前近</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p w14:paraId="50E8BD97">
      <w:pPr>
        <w:spacing w:line="44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服务承诺书（格式见附件）</w:t>
      </w:r>
      <w:r>
        <w:rPr>
          <w:rFonts w:hint="eastAsia" w:ascii="宋体" w:hAnsi="宋体" w:cs="宋体"/>
          <w:color w:val="auto"/>
          <w:szCs w:val="21"/>
          <w:highlight w:val="none"/>
          <w:lang w:eastAsia="zh-CN"/>
        </w:rPr>
        <w:t>；</w:t>
      </w:r>
    </w:p>
    <w:p w14:paraId="72F5F7B0">
      <w:pPr>
        <w:spacing w:line="440" w:lineRule="exact"/>
        <w:ind w:firstLine="422" w:firstLineChars="200"/>
        <w:jc w:val="left"/>
        <w:rPr>
          <w:rFonts w:ascii="宋体" w:cs="宋体"/>
          <w:b/>
          <w:bCs/>
          <w:color w:val="auto"/>
          <w:highlight w:val="none"/>
        </w:rPr>
      </w:pPr>
      <w:r>
        <w:rPr>
          <w:rFonts w:hint="eastAsia" w:ascii="宋体" w:hAnsi="宋体" w:cs="宋体"/>
          <w:b/>
          <w:bCs/>
          <w:color w:val="auto"/>
          <w:highlight w:val="none"/>
        </w:rPr>
        <w:t>温馨提示：</w:t>
      </w:r>
      <w:bookmarkEnd w:id="658"/>
    </w:p>
    <w:p w14:paraId="175E9EEB">
      <w:pPr>
        <w:spacing w:line="440" w:lineRule="exact"/>
        <w:ind w:firstLine="420" w:firstLineChars="200"/>
        <w:jc w:val="left"/>
        <w:rPr>
          <w:rFonts w:hint="eastAsia" w:ascii="宋体" w:cs="宋体"/>
          <w:b w:val="0"/>
          <w:bCs w:val="0"/>
          <w:color w:val="auto"/>
          <w:highlight w:val="none"/>
        </w:rPr>
      </w:pPr>
      <w:bookmarkStart w:id="660" w:name="_Toc58229031"/>
      <w:bookmarkStart w:id="661" w:name="_Toc15058906"/>
      <w:r>
        <w:rPr>
          <w:rFonts w:hint="eastAsia" w:ascii="宋体" w:cs="宋体"/>
          <w:b w:val="0"/>
          <w:bCs w:val="0"/>
          <w:color w:val="auto"/>
          <w:highlight w:val="none"/>
        </w:rPr>
        <w:t>（1）</w:t>
      </w:r>
      <w:bookmarkEnd w:id="660"/>
      <w:bookmarkEnd w:id="661"/>
      <w:bookmarkStart w:id="662" w:name="_Toc58229032"/>
      <w:bookmarkStart w:id="663" w:name="_Toc15058907"/>
      <w:r>
        <w:rPr>
          <w:rFonts w:hint="eastAsia" w:ascii="宋体" w:cs="宋体"/>
          <w:b w:val="0"/>
          <w:bCs w:val="0"/>
          <w:color w:val="auto"/>
          <w:highlight w:val="none"/>
        </w:rPr>
        <w:t>请各投标人自行完善安徽省公共资源交易市场主体库中的单位基本信息，保证信息最新且有效。</w:t>
      </w:r>
    </w:p>
    <w:p w14:paraId="5E3DEE0E">
      <w:pPr>
        <w:spacing w:line="440" w:lineRule="exact"/>
        <w:ind w:firstLine="420" w:firstLineChars="200"/>
        <w:jc w:val="left"/>
        <w:rPr>
          <w:rFonts w:ascii="宋体" w:cs="宋体"/>
          <w:b w:val="0"/>
          <w:bCs w:val="0"/>
          <w:color w:val="auto"/>
          <w:highlight w:val="none"/>
        </w:rPr>
      </w:pPr>
      <w:r>
        <w:rPr>
          <w:rFonts w:hint="eastAsia" w:ascii="宋体" w:cs="宋体"/>
          <w:b w:val="0"/>
          <w:bCs w:val="0"/>
          <w:color w:val="auto"/>
          <w:highlight w:val="none"/>
        </w:rPr>
        <w:t>（2）请投标人认真准备投标文件资格审查资料,如评标专家在检验电子标书过程中，如果由于投标人自身原因导致评标专家无法查看并检验电子标书中相关资料的，视为无效标处理。即使投标人将原件携带至现场的，同样按无效标处理。</w:t>
      </w:r>
      <w:bookmarkEnd w:id="662"/>
      <w:bookmarkEnd w:id="663"/>
    </w:p>
    <w:p w14:paraId="0502AC3C">
      <w:pPr>
        <w:pStyle w:val="3"/>
        <w:spacing w:beforeLines="50" w:afterLines="50"/>
        <w:ind w:firstLine="422" w:firstLineChars="200"/>
        <w:rPr>
          <w:rFonts w:ascii="宋体" w:hAnsi="宋体" w:eastAsia="宋体" w:cs="宋体"/>
          <w:color w:val="auto"/>
          <w:highlight w:val="none"/>
        </w:rPr>
      </w:pPr>
      <w:bookmarkStart w:id="664" w:name="_Toc12549"/>
      <w:bookmarkStart w:id="665" w:name="_Toc15058909"/>
      <w:bookmarkStart w:id="666" w:name="_Toc35424942"/>
      <w:bookmarkStart w:id="667" w:name="_Toc35425108"/>
      <w:bookmarkStart w:id="668" w:name="_Toc506107320"/>
      <w:r>
        <w:rPr>
          <w:rFonts w:ascii="宋体" w:hAnsi="宋体" w:eastAsia="宋体" w:cs="宋体"/>
          <w:color w:val="auto"/>
          <w:highlight w:val="none"/>
        </w:rPr>
        <w:t>2.</w:t>
      </w:r>
      <w:r>
        <w:rPr>
          <w:rFonts w:hint="eastAsia" w:ascii="宋体" w:hAnsi="宋体" w:eastAsia="宋体" w:cs="宋体"/>
          <w:color w:val="auto"/>
          <w:highlight w:val="none"/>
        </w:rPr>
        <w:t>审查办法</w:t>
      </w:r>
      <w:bookmarkEnd w:id="659"/>
      <w:bookmarkEnd w:id="664"/>
      <w:bookmarkEnd w:id="665"/>
      <w:bookmarkEnd w:id="666"/>
      <w:bookmarkEnd w:id="667"/>
      <w:bookmarkEnd w:id="668"/>
    </w:p>
    <w:p w14:paraId="38E3D684">
      <w:pPr>
        <w:pStyle w:val="3"/>
        <w:spacing w:beforeLines="50" w:afterLines="50"/>
        <w:ind w:firstLine="420" w:firstLineChars="200"/>
        <w:rPr>
          <w:rFonts w:hint="eastAsia" w:ascii="宋体" w:hAnsi="宋体" w:eastAsia="宋体" w:cs="宋体"/>
          <w:b w:val="0"/>
          <w:bCs w:val="0"/>
          <w:color w:val="auto"/>
          <w:kern w:val="2"/>
          <w:sz w:val="21"/>
          <w:szCs w:val="21"/>
          <w:highlight w:val="none"/>
          <w:lang w:val="en-US" w:eastAsia="zh-CN" w:bidi="ar-SA"/>
        </w:rPr>
      </w:pPr>
      <w:bookmarkStart w:id="669" w:name="_Toc506107321"/>
      <w:bookmarkStart w:id="670" w:name="_Toc15626"/>
      <w:bookmarkStart w:id="671" w:name="_Toc324404868"/>
      <w:bookmarkStart w:id="672" w:name="_Toc35425109"/>
      <w:bookmarkStart w:id="673" w:name="_Toc35424943"/>
      <w:bookmarkStart w:id="674" w:name="_Toc15058910"/>
      <w:r>
        <w:rPr>
          <w:rFonts w:hint="eastAsia" w:ascii="宋体" w:hAnsi="宋体" w:eastAsia="宋体" w:cs="宋体"/>
          <w:b w:val="0"/>
          <w:bCs w:val="0"/>
          <w:color w:val="auto"/>
          <w:kern w:val="2"/>
          <w:sz w:val="21"/>
          <w:szCs w:val="21"/>
          <w:highlight w:val="none"/>
          <w:lang w:val="en-US" w:eastAsia="zh-CN" w:bidi="ar-SA"/>
        </w:rPr>
        <w:t>由资格审查委员会（评标委员会）按资格审查办法前附表中资格审查必要合格条件评审表要求对投标人审查资料进行核验。</w:t>
      </w:r>
    </w:p>
    <w:p w14:paraId="6958CAB0">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3.</w:t>
      </w:r>
      <w:r>
        <w:rPr>
          <w:rFonts w:hint="eastAsia" w:ascii="宋体" w:hAnsi="宋体" w:eastAsia="宋体" w:cs="宋体"/>
          <w:color w:val="auto"/>
          <w:highlight w:val="none"/>
        </w:rPr>
        <w:t>资格审查委员会和审查标准</w:t>
      </w:r>
      <w:bookmarkEnd w:id="669"/>
      <w:bookmarkEnd w:id="670"/>
      <w:bookmarkEnd w:id="671"/>
      <w:bookmarkEnd w:id="672"/>
      <w:bookmarkEnd w:id="673"/>
      <w:bookmarkEnd w:id="674"/>
    </w:p>
    <w:p w14:paraId="2B165CD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bookmarkStart w:id="675" w:name="_Toc324404869"/>
      <w:bookmarkStart w:id="676" w:name="_Toc35425110"/>
      <w:bookmarkStart w:id="677" w:name="_Toc35424944"/>
      <w:bookmarkStart w:id="678" w:name="_Toc15058911"/>
      <w:bookmarkStart w:id="679" w:name="_Toc10330"/>
      <w:bookmarkStart w:id="680" w:name="_Toc506107322"/>
      <w:r>
        <w:rPr>
          <w:rFonts w:hint="eastAsia" w:ascii="宋体" w:hAnsi="宋体" w:eastAsia="宋体" w:cs="宋体"/>
          <w:b w:val="0"/>
          <w:bCs w:val="0"/>
          <w:color w:val="auto"/>
          <w:kern w:val="2"/>
          <w:sz w:val="21"/>
          <w:szCs w:val="21"/>
          <w:highlight w:val="none"/>
          <w:lang w:val="en-US" w:eastAsia="zh-CN" w:bidi="ar-SA"/>
        </w:rPr>
        <w:t>3.1资格审查由招标人依法组建的资格审查委员会（或评标委员会）负责。审查标准见资格审查办法前附表。</w:t>
      </w:r>
    </w:p>
    <w:p w14:paraId="478E338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3.2由资格审查委员会（评标委员会）按资格审查办法前附表要求对投标人的审查资料进行核验。投标申请人有下列情形之一的，其资格审查为不合格： </w:t>
      </w:r>
    </w:p>
    <w:p w14:paraId="1248BCF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（1）未上传电子标书或电子标书经审查不合格；</w:t>
      </w:r>
    </w:p>
    <w:p w14:paraId="7785893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（2）联合体投标人没有提交联合体协议书；</w:t>
      </w:r>
    </w:p>
    <w:p w14:paraId="5AA575A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（3）保证金不按第</w:t>
      </w:r>
      <w:r>
        <w:rPr>
          <w:rFonts w:hint="eastAsia" w:ascii="宋体" w:hAnsi="宋体" w:cs="宋体"/>
          <w:b w:val="0"/>
          <w:bCs w:val="0"/>
          <w:color w:val="auto"/>
          <w:kern w:val="2"/>
          <w:sz w:val="21"/>
          <w:szCs w:val="21"/>
          <w:highlight w:val="none"/>
          <w:lang w:val="en-US" w:eastAsia="zh-CN" w:bidi="ar-SA"/>
        </w:rPr>
        <w:t>一</w:t>
      </w:r>
      <w:r>
        <w:rPr>
          <w:rFonts w:hint="eastAsia" w:ascii="宋体" w:hAnsi="宋体" w:eastAsia="宋体" w:cs="宋体"/>
          <w:b w:val="0"/>
          <w:bCs w:val="0"/>
          <w:color w:val="auto"/>
          <w:kern w:val="2"/>
          <w:sz w:val="21"/>
          <w:szCs w:val="21"/>
          <w:highlight w:val="none"/>
          <w:lang w:val="en-US" w:eastAsia="zh-CN" w:bidi="ar-SA"/>
        </w:rPr>
        <w:t xml:space="preserve">章“投标人须知”及其前附表要求提交投标保证金的； </w:t>
      </w:r>
    </w:p>
    <w:p w14:paraId="7C63693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（4）投标人未办理省主体库登记入库手续的；</w:t>
      </w:r>
    </w:p>
    <w:p w14:paraId="3DACE15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（5）投标人投标 MAC 地址一致的；</w:t>
      </w:r>
    </w:p>
    <w:p w14:paraId="5C0C4A4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（6）投标人申请开具电子保函 MAC 地址一致的；</w:t>
      </w:r>
    </w:p>
    <w:p w14:paraId="42F1B41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（7）投标人投标文件制作机器码、文件创建标识码及造价软件加密锁号信息雷同的；</w:t>
      </w:r>
    </w:p>
    <w:p w14:paraId="6669D8B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（8）法律、法规规定的其他情形。</w:t>
      </w:r>
    </w:p>
    <w:p w14:paraId="31E022D2">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4.</w:t>
      </w:r>
      <w:r>
        <w:rPr>
          <w:rFonts w:hint="eastAsia" w:ascii="宋体" w:hAnsi="宋体" w:eastAsia="宋体" w:cs="宋体"/>
          <w:color w:val="auto"/>
          <w:highlight w:val="none"/>
        </w:rPr>
        <w:t>审查结果</w:t>
      </w:r>
      <w:bookmarkEnd w:id="675"/>
      <w:bookmarkEnd w:id="676"/>
      <w:bookmarkEnd w:id="677"/>
      <w:bookmarkEnd w:id="678"/>
      <w:bookmarkEnd w:id="679"/>
      <w:bookmarkEnd w:id="680"/>
    </w:p>
    <w:p w14:paraId="447FE192">
      <w:pPr>
        <w:spacing w:line="440" w:lineRule="exact"/>
        <w:ind w:firstLine="420" w:firstLineChars="200"/>
        <w:jc w:val="left"/>
        <w:rPr>
          <w:rFonts w:asci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681" w:name="_Toc506107323"/>
    </w:p>
    <w:p w14:paraId="3B3F5555">
      <w:pPr>
        <w:pStyle w:val="2"/>
        <w:spacing w:beforeLines="50" w:afterLines="50"/>
        <w:rPr>
          <w:color w:val="auto"/>
          <w:highlight w:val="none"/>
        </w:rPr>
      </w:pPr>
      <w:bookmarkStart w:id="682" w:name="_Toc35425111"/>
      <w:bookmarkStart w:id="683" w:name="_Toc35424945"/>
      <w:bookmarkStart w:id="684" w:name="_Toc15058912"/>
      <w:r>
        <w:rPr>
          <w:color w:val="auto"/>
          <w:highlight w:val="none"/>
        </w:rPr>
        <w:br w:type="page"/>
      </w:r>
      <w:bookmarkStart w:id="685" w:name="_Toc24443"/>
      <w:r>
        <w:rPr>
          <w:rFonts w:hint="eastAsia" w:ascii="Arial" w:hAnsi="Arial"/>
          <w:color w:val="auto"/>
          <w:kern w:val="0"/>
          <w:sz w:val="32"/>
          <w:szCs w:val="32"/>
          <w:highlight w:val="none"/>
        </w:rPr>
        <w:t>第三章</w:t>
      </w:r>
      <w:r>
        <w:rPr>
          <w:rFonts w:ascii="Arial" w:hAnsi="Arial"/>
          <w:color w:val="auto"/>
          <w:kern w:val="0"/>
          <w:sz w:val="32"/>
          <w:szCs w:val="32"/>
          <w:highlight w:val="none"/>
        </w:rPr>
        <w:t xml:space="preserve"> </w:t>
      </w:r>
      <w:r>
        <w:rPr>
          <w:rFonts w:hint="eastAsia" w:ascii="Arial" w:hAnsi="Arial"/>
          <w:color w:val="auto"/>
          <w:kern w:val="0"/>
          <w:sz w:val="32"/>
          <w:szCs w:val="32"/>
          <w:highlight w:val="none"/>
        </w:rPr>
        <w:t>评标办法</w:t>
      </w:r>
      <w:bookmarkEnd w:id="645"/>
      <w:bookmarkEnd w:id="681"/>
      <w:bookmarkEnd w:id="682"/>
      <w:bookmarkEnd w:id="683"/>
      <w:bookmarkEnd w:id="684"/>
      <w:bookmarkEnd w:id="685"/>
    </w:p>
    <w:p w14:paraId="7453D6EF">
      <w:pPr>
        <w:spacing w:beforeLines="50" w:afterLines="50" w:line="440" w:lineRule="exact"/>
        <w:jc w:val="center"/>
        <w:rPr>
          <w:rFonts w:hint="eastAsia" w:ascii="宋体" w:hAnsi="宋体" w:cs="宋体"/>
          <w:b/>
          <w:bCs/>
          <w:color w:val="auto"/>
          <w:sz w:val="28"/>
          <w:szCs w:val="28"/>
          <w:highlight w:val="none"/>
        </w:rPr>
      </w:pPr>
      <w:bookmarkStart w:id="686" w:name="_Toc35425112"/>
      <w:bookmarkStart w:id="687" w:name="_Toc35424946"/>
      <w:r>
        <w:rPr>
          <w:rFonts w:hint="eastAsia" w:ascii="宋体" w:hAnsi="宋体" w:cs="宋体"/>
          <w:b/>
          <w:bCs/>
          <w:color w:val="auto"/>
          <w:sz w:val="28"/>
          <w:szCs w:val="28"/>
          <w:highlight w:val="none"/>
        </w:rPr>
        <w:t>评标办法前附表</w:t>
      </w:r>
      <w:bookmarkEnd w:id="686"/>
      <w:bookmarkEnd w:id="687"/>
    </w:p>
    <w:p w14:paraId="1771C386">
      <w:pPr>
        <w:pStyle w:val="44"/>
        <w:keepNext w:val="0"/>
        <w:keepLines w:val="0"/>
        <w:pageBreakBefore w:val="0"/>
        <w:kinsoku/>
        <w:wordWrap/>
        <w:overflowPunct/>
        <w:topLinePunct w:val="0"/>
        <w:autoSpaceDE/>
        <w:autoSpaceDN/>
        <w:bidi w:val="0"/>
        <w:adjustRightInd/>
        <w:snapToGrid/>
        <w:spacing w:line="540" w:lineRule="exact"/>
        <w:ind w:left="0" w:leftChars="0"/>
        <w:rPr>
          <w:rFonts w:hint="eastAsia" w:ascii="宋体" w:hAnsi="宋体" w:eastAsia="宋体" w:cs="宋体"/>
          <w:b/>
          <w:bCs/>
          <w:color w:val="auto"/>
          <w:highlight w:val="none"/>
        </w:rPr>
      </w:pPr>
      <w:r>
        <w:rPr>
          <w:rFonts w:hint="eastAsia" w:ascii="宋体" w:hAnsi="宋体" w:eastAsia="宋体" w:cs="宋体"/>
          <w:color w:val="auto"/>
          <w:highlight w:val="none"/>
        </w:rPr>
        <w:t>第一阶段，评标委员会对投标人依次进行资信文件审查，对均满足要求的投标人先进行除投标报价之外的评审因素打分，汇总后的得分按照从高到低进行排序（</w:t>
      </w:r>
      <w:r>
        <w:rPr>
          <w:rFonts w:hint="eastAsia" w:ascii="宋体" w:hAnsi="宋体" w:eastAsia="宋体" w:cs="宋体"/>
          <w:b/>
          <w:color w:val="auto"/>
          <w:highlight w:val="none"/>
        </w:rPr>
        <w:t>得分相同的并列，下一个排名顺延。如2个投标人并列第一，则第3个排名为第三名</w:t>
      </w:r>
      <w:r>
        <w:rPr>
          <w:rFonts w:hint="eastAsia" w:ascii="宋体" w:hAnsi="宋体" w:eastAsia="宋体" w:cs="宋体"/>
          <w:color w:val="auto"/>
          <w:highlight w:val="none"/>
        </w:rPr>
        <w:t>），选择总得分排前N个的投标人进入第二阶段评标，N取值为7。</w:t>
      </w:r>
      <w:r>
        <w:rPr>
          <w:rFonts w:hint="eastAsia" w:ascii="宋体" w:hAnsi="宋体" w:eastAsia="宋体" w:cs="宋体"/>
          <w:b/>
          <w:color w:val="auto"/>
          <w:highlight w:val="none"/>
        </w:rPr>
        <w:t>与第N个得分相同的一并进入第二阶段评标</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若通过资信</w:t>
      </w:r>
      <w:r>
        <w:rPr>
          <w:rFonts w:hint="eastAsia" w:hAnsi="宋体" w:cs="宋体"/>
          <w:color w:val="auto"/>
          <w:highlight w:val="none"/>
          <w:lang w:val="en-US" w:eastAsia="zh-CN"/>
        </w:rPr>
        <w:t>文件审查</w:t>
      </w:r>
      <w:r>
        <w:rPr>
          <w:rFonts w:hint="eastAsia" w:ascii="宋体" w:hAnsi="宋体" w:eastAsia="宋体" w:cs="宋体"/>
          <w:color w:val="auto"/>
          <w:highlight w:val="none"/>
          <w:lang w:val="en-US" w:eastAsia="zh-CN"/>
        </w:rPr>
        <w:t>的有效投标人＜7</w:t>
      </w:r>
      <w:r>
        <w:rPr>
          <w:rFonts w:hint="eastAsia" w:hAnsi="宋体" w:cs="宋体"/>
          <w:color w:val="auto"/>
          <w:highlight w:val="none"/>
          <w:lang w:val="en-US" w:eastAsia="zh-CN"/>
        </w:rPr>
        <w:t>个</w:t>
      </w:r>
      <w:r>
        <w:rPr>
          <w:rFonts w:hint="eastAsia" w:ascii="宋体" w:hAnsi="宋体" w:eastAsia="宋体" w:cs="宋体"/>
          <w:color w:val="auto"/>
          <w:highlight w:val="none"/>
          <w:lang w:val="en-US" w:eastAsia="zh-CN"/>
        </w:rPr>
        <w:t>且≥3</w:t>
      </w:r>
      <w:r>
        <w:rPr>
          <w:rFonts w:hint="eastAsia" w:hAnsi="宋体" w:cs="宋体"/>
          <w:color w:val="auto"/>
          <w:highlight w:val="none"/>
          <w:lang w:val="en-US" w:eastAsia="zh-CN"/>
        </w:rPr>
        <w:t>个</w:t>
      </w:r>
      <w:r>
        <w:rPr>
          <w:rFonts w:hint="eastAsia" w:ascii="宋体" w:hAnsi="宋体" w:eastAsia="宋体" w:cs="宋体"/>
          <w:color w:val="auto"/>
          <w:highlight w:val="none"/>
          <w:lang w:val="en-US" w:eastAsia="zh-CN"/>
        </w:rPr>
        <w:t>时，全部进入第二阶段评标；不足3个的，本项目流标。</w:t>
      </w:r>
    </w:p>
    <w:p w14:paraId="362B7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第二阶段，投标报价评审。评标委员会仅针对进入第二阶段的投标人商务标文件进行评审，评审过程中如出现无效投标，将替补至7个投标人，剩余投标人不足替补至7个的，至少替补至3个，否则本项目流标。以进入第二阶段的有效投标报价作为评标基准价计算范围。根据投标报价评审规则计算投标报价得分。确定中标候选人排序时，招标人按照各项评审因素的总得分从高到低进行排序，得分第一的投标人为第一中标候选人。如总得分相等，以投标报价低的优先，投标报价仍相等，由评标委员会主任委员或招标人随机抽取确定排名。</w:t>
      </w:r>
    </w:p>
    <w:p w14:paraId="45960F91">
      <w:pPr>
        <w:numPr>
          <w:ilvl w:val="0"/>
          <w:numId w:val="0"/>
        </w:numPr>
        <w:spacing w:beforeLines="50" w:afterLines="50" w:line="440" w:lineRule="exact"/>
        <w:ind w:left="2730" w:leftChars="0"/>
        <w:jc w:val="both"/>
        <w:rPr>
          <w:color w:val="auto"/>
          <w:highlight w:val="none"/>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资信标评分细则（满分</w:t>
      </w:r>
      <w:r>
        <w:rPr>
          <w:rFonts w:hint="eastAsia" w:ascii="宋体" w:hAnsi="宋体" w:cs="宋体"/>
          <w:b/>
          <w:bCs/>
          <w:color w:val="auto"/>
          <w:sz w:val="24"/>
          <w:highlight w:val="none"/>
          <w:lang w:val="en-US" w:eastAsia="zh-CN"/>
        </w:rPr>
        <w:t>12</w:t>
      </w:r>
      <w:r>
        <w:rPr>
          <w:rFonts w:hint="eastAsia" w:ascii="宋体" w:hAnsi="宋体" w:cs="宋体"/>
          <w:b/>
          <w:bCs/>
          <w:color w:val="auto"/>
          <w:sz w:val="24"/>
          <w:highlight w:val="none"/>
        </w:rPr>
        <w:t>分）</w:t>
      </w:r>
    </w:p>
    <w:tbl>
      <w:tblPr>
        <w:tblStyle w:val="46"/>
        <w:tblW w:w="10410"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8700"/>
      </w:tblGrid>
      <w:tr w14:paraId="6F79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vAlign w:val="center"/>
          </w:tcPr>
          <w:p w14:paraId="49E73C3C">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评审因素</w:t>
            </w:r>
          </w:p>
        </w:tc>
        <w:tc>
          <w:tcPr>
            <w:tcW w:w="8700" w:type="dxa"/>
            <w:vAlign w:val="center"/>
          </w:tcPr>
          <w:p w14:paraId="74D00162">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评审标准</w:t>
            </w:r>
          </w:p>
        </w:tc>
      </w:tr>
      <w:tr w14:paraId="16DF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vAlign w:val="center"/>
          </w:tcPr>
          <w:p w14:paraId="0713FF5A">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企业业绩</w:t>
            </w:r>
          </w:p>
          <w:p w14:paraId="3644B9D2">
            <w:pPr>
              <w:keepNext w:val="0"/>
              <w:keepLines w:val="0"/>
              <w:pageBreakBefore w:val="0"/>
              <w:widowControl w:val="0"/>
              <w:kinsoku/>
              <w:wordWrap/>
              <w:overflowPunct/>
              <w:topLinePunct w:val="0"/>
              <w:bidi w:val="0"/>
              <w:snapToGrid/>
              <w:spacing w:line="440" w:lineRule="exact"/>
              <w:jc w:val="center"/>
              <w:textAlignment w:val="auto"/>
              <w:rPr>
                <w:rFonts w:hint="eastAsia"/>
                <w:color w:val="auto"/>
                <w:highlight w:val="none"/>
                <w:lang w:val="en-US" w:eastAsia="zh-CN"/>
              </w:rPr>
            </w:pPr>
            <w:r>
              <w:rPr>
                <w:rFonts w:hint="eastAsia" w:ascii="宋体" w:hAnsi="宋体" w:eastAsia="宋体" w:cs="宋体"/>
                <w:b/>
                <w:bCs/>
                <w:color w:val="auto"/>
                <w:sz w:val="21"/>
                <w:szCs w:val="21"/>
                <w:highlight w:val="none"/>
                <w:lang w:val="en-US" w:eastAsia="zh-CN"/>
              </w:rPr>
              <w:t>（5分）</w:t>
            </w:r>
          </w:p>
        </w:tc>
        <w:tc>
          <w:tcPr>
            <w:tcW w:w="8700" w:type="dxa"/>
            <w:vAlign w:val="center"/>
          </w:tcPr>
          <w:p w14:paraId="60BD1020">
            <w:pPr>
              <w:keepNext w:val="0"/>
              <w:keepLines w:val="0"/>
              <w:pageBreakBefore w:val="0"/>
              <w:widowControl w:val="0"/>
              <w:kinsoku/>
              <w:wordWrap/>
              <w:overflowPunct/>
              <w:topLinePunct w:val="0"/>
              <w:bidi w:val="0"/>
              <w:adjustRightInd w:val="0"/>
              <w:snapToGrid/>
              <w:spacing w:line="44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投标人自20</w:t>
            </w:r>
            <w:r>
              <w:rPr>
                <w:rFonts w:hint="eastAsia" w:ascii="宋体" w:hAnsi="宋体" w:cs="宋体"/>
                <w:b/>
                <w:bCs/>
                <w:color w:val="auto"/>
                <w:sz w:val="21"/>
                <w:szCs w:val="21"/>
                <w:highlight w:val="none"/>
                <w:lang w:val="en-US" w:eastAsia="zh-CN"/>
              </w:rPr>
              <w:t>21</w:t>
            </w:r>
            <w:r>
              <w:rPr>
                <w:rFonts w:hint="eastAsia" w:ascii="宋体" w:hAnsi="宋体" w:eastAsia="宋体" w:cs="宋体"/>
                <w:b/>
                <w:bCs/>
                <w:color w:val="auto"/>
                <w:sz w:val="21"/>
                <w:szCs w:val="21"/>
                <w:highlight w:val="none"/>
                <w:lang w:val="en-US" w:eastAsia="zh-CN"/>
              </w:rPr>
              <w:t>年1月1日至投标截止日</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完成过</w:t>
            </w:r>
            <w:r>
              <w:rPr>
                <w:rFonts w:hint="eastAsia" w:ascii="宋体" w:hAnsi="宋体" w:cs="宋体"/>
                <w:b/>
                <w:bCs/>
                <w:color w:val="auto"/>
                <w:sz w:val="21"/>
                <w:szCs w:val="21"/>
                <w:highlight w:val="none"/>
                <w:lang w:val="en-US" w:eastAsia="zh-CN"/>
              </w:rPr>
              <w:t>金额为1亿元及以上工业厂房的工程造价咨询（须含工程量清单及最高投标限价编制服务）业绩</w:t>
            </w:r>
            <w:r>
              <w:rPr>
                <w:rFonts w:hint="eastAsia" w:ascii="宋体" w:hAnsi="宋体" w:eastAsia="宋体" w:cs="宋体"/>
                <w:b/>
                <w:bCs/>
                <w:color w:val="auto"/>
                <w:sz w:val="21"/>
                <w:szCs w:val="21"/>
                <w:highlight w:val="none"/>
                <w:lang w:val="en-US" w:eastAsia="zh-CN"/>
              </w:rPr>
              <w:t>的</w:t>
            </w:r>
            <w:r>
              <w:rPr>
                <w:rFonts w:hint="eastAsia" w:ascii="宋体" w:hAnsi="宋体" w:cs="宋体"/>
                <w:b/>
                <w:bCs/>
                <w:color w:val="auto"/>
                <w:sz w:val="21"/>
                <w:szCs w:val="21"/>
                <w:highlight w:val="none"/>
                <w:lang w:val="en-US" w:eastAsia="zh-CN"/>
              </w:rPr>
              <w:t>得5分，满分5分。</w:t>
            </w:r>
          </w:p>
          <w:p w14:paraId="5DEB08A5">
            <w:pPr>
              <w:pStyle w:val="44"/>
              <w:keepNext w:val="0"/>
              <w:keepLines w:val="0"/>
              <w:pageBreakBefore w:val="0"/>
              <w:widowControl w:val="0"/>
              <w:kinsoku/>
              <w:wordWrap/>
              <w:overflowPunct/>
              <w:topLinePunct w:val="0"/>
              <w:bidi w:val="0"/>
              <w:snapToGrid/>
              <w:spacing w:line="440" w:lineRule="exact"/>
              <w:ind w:left="0" w:leftChars="0" w:firstLine="0" w:firstLineChars="0"/>
              <w:textAlignment w:val="auto"/>
              <w:rPr>
                <w:rFonts w:hint="eastAsia" w:eastAsia="宋体"/>
                <w:color w:val="auto"/>
                <w:highlight w:val="none"/>
                <w:lang w:val="en-US" w:eastAsia="zh-CN"/>
              </w:rPr>
            </w:pPr>
            <w:r>
              <w:rPr>
                <w:rFonts w:hint="eastAsia" w:ascii="宋体" w:hAnsi="宋体" w:eastAsia="宋体" w:cs="宋体"/>
                <w:b w:val="0"/>
                <w:bCs w:val="0"/>
                <w:color w:val="auto"/>
                <w:sz w:val="21"/>
                <w:szCs w:val="21"/>
                <w:highlight w:val="none"/>
              </w:rPr>
              <w:t>注：须同时提供</w:t>
            </w:r>
            <w:r>
              <w:rPr>
                <w:rFonts w:hint="eastAsia" w:ascii="宋体" w:hAnsi="宋体" w:eastAsia="宋体" w:cs="宋体"/>
                <w:b w:val="0"/>
                <w:bCs w:val="0"/>
                <w:color w:val="auto"/>
                <w:sz w:val="21"/>
                <w:szCs w:val="21"/>
                <w:highlight w:val="none"/>
                <w:lang w:val="en-US" w:eastAsia="zh-CN"/>
              </w:rPr>
              <w:t>下列材料扫描件</w:t>
            </w:r>
            <w:r>
              <w:rPr>
                <w:rFonts w:hint="eastAsia" w:ascii="宋体" w:hAnsi="宋体" w:eastAsia="宋体" w:cs="宋体"/>
                <w:b w:val="0"/>
                <w:bCs w:val="0"/>
                <w:color w:val="auto"/>
                <w:sz w:val="21"/>
                <w:szCs w:val="21"/>
                <w:highlight w:val="none"/>
              </w:rPr>
              <w:t>①中标通知书（</w:t>
            </w:r>
            <w:r>
              <w:rPr>
                <w:rFonts w:hint="eastAsia" w:ascii="宋体" w:hAnsi="宋体" w:eastAsia="宋体" w:cs="宋体"/>
                <w:b w:val="0"/>
                <w:bCs w:val="0"/>
                <w:color w:val="auto"/>
                <w:kern w:val="0"/>
                <w:sz w:val="21"/>
                <w:szCs w:val="21"/>
                <w:highlight w:val="none"/>
              </w:rPr>
              <w:t>无中标通知书的项目，提供</w:t>
            </w:r>
            <w:r>
              <w:rPr>
                <w:rFonts w:hint="eastAsia" w:hAnsi="宋体" w:cs="宋体"/>
                <w:b w:val="0"/>
                <w:bCs w:val="0"/>
                <w:color w:val="auto"/>
                <w:kern w:val="0"/>
                <w:sz w:val="21"/>
                <w:szCs w:val="21"/>
                <w:highlight w:val="none"/>
                <w:lang w:val="en-US" w:eastAsia="zh-CN"/>
              </w:rPr>
              <w:t>造价</w:t>
            </w:r>
            <w:r>
              <w:rPr>
                <w:rFonts w:hint="eastAsia" w:ascii="宋体" w:hAnsi="宋体" w:eastAsia="宋体" w:cs="宋体"/>
                <w:b w:val="0"/>
                <w:bCs w:val="0"/>
                <w:color w:val="auto"/>
                <w:kern w:val="0"/>
                <w:sz w:val="21"/>
                <w:szCs w:val="21"/>
                <w:highlight w:val="none"/>
              </w:rPr>
              <w:t>通知书</w:t>
            </w:r>
            <w:r>
              <w:rPr>
                <w:rFonts w:hint="eastAsia" w:ascii="宋体" w:hAnsi="宋体" w:eastAsia="宋体" w:cs="宋体"/>
                <w:b w:val="0"/>
                <w:bCs w:val="0"/>
                <w:color w:val="auto"/>
                <w:kern w:val="0"/>
                <w:sz w:val="21"/>
                <w:szCs w:val="21"/>
                <w:highlight w:val="none"/>
                <w:lang w:val="en-US" w:eastAsia="zh-CN"/>
              </w:rPr>
              <w:t>或</w:t>
            </w:r>
            <w:r>
              <w:rPr>
                <w:rFonts w:hint="eastAsia" w:ascii="宋体" w:hAnsi="宋体" w:eastAsia="宋体" w:cs="宋体"/>
                <w:b w:val="0"/>
                <w:bCs w:val="0"/>
                <w:color w:val="auto"/>
                <w:kern w:val="0"/>
                <w:sz w:val="21"/>
                <w:szCs w:val="21"/>
                <w:highlight w:val="none"/>
              </w:rPr>
              <w:t>委托单位的证明材料并加盖委托单位公章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②咨询</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合同</w:t>
            </w:r>
            <w:r>
              <w:rPr>
                <w:rFonts w:hint="eastAsia" w:hAnsi="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若咨询服务合同为</w:t>
            </w:r>
            <w:r>
              <w:rPr>
                <w:rFonts w:hint="eastAsia" w:ascii="宋体" w:hAnsi="宋体" w:eastAsia="宋体" w:cs="宋体"/>
                <w:b w:val="0"/>
                <w:bCs w:val="0"/>
                <w:color w:val="auto"/>
                <w:kern w:val="0"/>
                <w:sz w:val="21"/>
                <w:szCs w:val="21"/>
                <w:highlight w:val="none"/>
                <w:lang w:eastAsia="zh-CN"/>
              </w:rPr>
              <w:t>框架合同，应同时提供</w:t>
            </w:r>
            <w:r>
              <w:rPr>
                <w:rFonts w:hint="eastAsia" w:ascii="宋体" w:hAnsi="宋体" w:eastAsia="宋体" w:cs="宋体"/>
                <w:b w:val="0"/>
                <w:bCs w:val="0"/>
                <w:color w:val="auto"/>
                <w:kern w:val="0"/>
                <w:sz w:val="21"/>
                <w:szCs w:val="21"/>
                <w:highlight w:val="none"/>
                <w:lang w:val="en-US" w:eastAsia="zh-CN"/>
              </w:rPr>
              <w:t>委托单位</w:t>
            </w:r>
            <w:r>
              <w:rPr>
                <w:rFonts w:hint="eastAsia" w:ascii="宋体" w:hAnsi="宋体" w:eastAsia="宋体" w:cs="宋体"/>
                <w:b w:val="0"/>
                <w:bCs w:val="0"/>
                <w:color w:val="auto"/>
                <w:kern w:val="0"/>
                <w:sz w:val="21"/>
                <w:szCs w:val="21"/>
                <w:highlight w:val="none"/>
                <w:lang w:eastAsia="zh-CN"/>
              </w:rPr>
              <w:t>出具的任务分配证明）</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③咨询成果报告（文件），咨询成果报告（文件）是指</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作为</w:t>
            </w:r>
            <w:r>
              <w:rPr>
                <w:rFonts w:hint="eastAsia" w:hAnsi="宋体" w:cs="宋体"/>
                <w:b w:val="0"/>
                <w:bCs w:val="0"/>
                <w:color w:val="auto"/>
                <w:sz w:val="21"/>
                <w:szCs w:val="21"/>
                <w:highlight w:val="none"/>
                <w:lang w:val="en-US" w:eastAsia="zh-CN"/>
              </w:rPr>
              <w:t>工程造价咨询</w:t>
            </w:r>
            <w:r>
              <w:rPr>
                <w:rFonts w:hint="eastAsia" w:ascii="宋体" w:hAnsi="宋体" w:eastAsia="宋体" w:cs="宋体"/>
                <w:b w:val="0"/>
                <w:bCs w:val="0"/>
                <w:color w:val="auto"/>
                <w:sz w:val="21"/>
                <w:szCs w:val="21"/>
                <w:highlight w:val="none"/>
              </w:rPr>
              <w:t>单位出具的经建设单位认可的</w:t>
            </w:r>
            <w:r>
              <w:rPr>
                <w:rFonts w:hint="eastAsia" w:hAnsi="宋体" w:cs="宋体"/>
                <w:b w:val="0"/>
                <w:bCs w:val="0"/>
                <w:color w:val="auto"/>
                <w:sz w:val="21"/>
                <w:szCs w:val="21"/>
                <w:highlight w:val="none"/>
                <w:lang w:val="en-US" w:eastAsia="zh-CN"/>
              </w:rPr>
              <w:t>成果文件</w:t>
            </w:r>
            <w:r>
              <w:rPr>
                <w:rFonts w:hint="eastAsia" w:ascii="宋体" w:hAnsi="宋体" w:eastAsia="宋体" w:cs="宋体"/>
                <w:b w:val="0"/>
                <w:bCs w:val="0"/>
                <w:color w:val="auto"/>
                <w:sz w:val="21"/>
                <w:szCs w:val="21"/>
                <w:highlight w:val="none"/>
              </w:rPr>
              <w:t>主要页面</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rPr>
              <w:t>时间以咨询成果报告（文件）出具时间为准，金额以咨询成果报告（文件）中载明的金额为准。若上述证明材料不能明确反映项目类型、项目规模等</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内容的，应另行提供委托单位出具并加盖其公章的证明材料。</w:t>
            </w:r>
          </w:p>
        </w:tc>
      </w:tr>
      <w:tr w14:paraId="5745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vAlign w:val="center"/>
          </w:tcPr>
          <w:p w14:paraId="11B07F9A">
            <w:pPr>
              <w:keepNext w:val="0"/>
              <w:keepLines w:val="0"/>
              <w:pageBreakBefore w:val="0"/>
              <w:widowControl w:val="0"/>
              <w:kinsoku/>
              <w:wordWrap/>
              <w:overflowPunct/>
              <w:topLinePunct w:val="0"/>
              <w:bidi w:val="0"/>
              <w:snapToGrid/>
              <w:spacing w:line="440" w:lineRule="exact"/>
              <w:jc w:val="center"/>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企业荣誉（5分）</w:t>
            </w:r>
          </w:p>
        </w:tc>
        <w:tc>
          <w:tcPr>
            <w:tcW w:w="8700" w:type="dxa"/>
            <w:vAlign w:val="center"/>
          </w:tcPr>
          <w:p w14:paraId="09975445">
            <w:pPr>
              <w:pStyle w:val="44"/>
              <w:keepNext w:val="0"/>
              <w:keepLines w:val="0"/>
              <w:pageBreakBefore w:val="0"/>
              <w:widowControl w:val="0"/>
              <w:numPr>
                <w:ilvl w:val="0"/>
                <w:numId w:val="0"/>
              </w:numPr>
              <w:kinsoku/>
              <w:wordWrap/>
              <w:overflowPunct/>
              <w:topLinePunct w:val="0"/>
              <w:bidi w:val="0"/>
              <w:snapToGrid/>
              <w:spacing w:line="500" w:lineRule="exact"/>
              <w:ind w:leftChars="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投标人自</w:t>
            </w:r>
            <w:r>
              <w:rPr>
                <w:rFonts w:hint="eastAsia" w:hAnsi="宋体" w:cs="宋体"/>
                <w:b/>
                <w:bCs/>
                <w:color w:val="auto"/>
                <w:sz w:val="21"/>
                <w:szCs w:val="21"/>
                <w:highlight w:val="none"/>
                <w:lang w:val="en-US" w:eastAsia="zh-CN"/>
              </w:rPr>
              <w:t>2021</w:t>
            </w:r>
            <w:r>
              <w:rPr>
                <w:rFonts w:hint="eastAsia" w:ascii="宋体" w:hAnsi="宋体" w:eastAsia="宋体" w:cs="宋体"/>
                <w:b/>
                <w:bCs/>
                <w:color w:val="auto"/>
                <w:sz w:val="21"/>
                <w:szCs w:val="21"/>
                <w:highlight w:val="none"/>
                <w:lang w:val="en-US" w:eastAsia="zh-CN"/>
              </w:rPr>
              <w:t>年1月1日至投标截止日</w:t>
            </w:r>
            <w:r>
              <w:rPr>
                <w:rFonts w:hint="eastAsia" w:hAnsi="宋体" w:cs="宋体"/>
                <w:b/>
                <w:bCs/>
                <w:color w:val="auto"/>
                <w:sz w:val="21"/>
                <w:szCs w:val="21"/>
                <w:highlight w:val="none"/>
                <w:lang w:val="en-US" w:eastAsia="zh-CN"/>
              </w:rPr>
              <w:t>，具有市级及以上财政或审计或造价主管部门（或协会）颁发的企业荣誉证书的得5分，满分5分。</w:t>
            </w:r>
            <w:r>
              <w:rPr>
                <w:rFonts w:hint="eastAsia" w:hAnsi="宋体" w:cs="宋体"/>
                <w:b/>
                <w:bCs/>
                <w:color w:val="auto"/>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bidi="ar-SA"/>
              </w:rPr>
              <w:t>注：1.提供荣誉证书（时间以证书颁发时间为准）或网站公示截图（以网站公示时间为准）。</w:t>
            </w:r>
          </w:p>
          <w:p w14:paraId="583CD7D3">
            <w:pPr>
              <w:keepNext w:val="0"/>
              <w:keepLines w:val="0"/>
              <w:pageBreakBefore w:val="0"/>
              <w:widowControl w:val="0"/>
              <w:kinsoku/>
              <w:wordWrap/>
              <w:overflowPunct/>
              <w:topLinePunct w:val="0"/>
              <w:bidi w:val="0"/>
              <w:snapToGrid/>
              <w:spacing w:line="500" w:lineRule="exact"/>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如为造价或跟踪审计相关协会（或学会）颁发的，还应符合下列要求:</w:t>
            </w:r>
          </w:p>
          <w:p w14:paraId="2BA99A18">
            <w:pPr>
              <w:pStyle w:val="226"/>
              <w:keepNext w:val="0"/>
              <w:keepLines w:val="0"/>
              <w:pageBreakBefore w:val="0"/>
              <w:widowControl w:val="0"/>
              <w:kinsoku/>
              <w:wordWrap/>
              <w:overflowPunct/>
              <w:topLinePunct w:val="0"/>
              <w:bidi w:val="0"/>
              <w:snapToGrid/>
              <w:spacing w:line="500" w:lineRule="exact"/>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hAnsi="宋体" w:cs="宋体"/>
                <w:b w:val="0"/>
                <w:bCs w:val="0"/>
                <w:color w:val="auto"/>
                <w:kern w:val="0"/>
                <w:sz w:val="21"/>
                <w:szCs w:val="21"/>
                <w:highlight w:val="none"/>
                <w:lang w:val="en-US" w:eastAsia="zh-CN"/>
              </w:rPr>
              <w:t>2.1</w:t>
            </w:r>
            <w:r>
              <w:rPr>
                <w:rFonts w:hint="eastAsia" w:ascii="宋体" w:hAnsi="宋体" w:eastAsia="宋体" w:cs="宋体"/>
                <w:b w:val="0"/>
                <w:bCs w:val="0"/>
                <w:color w:val="auto"/>
                <w:kern w:val="0"/>
                <w:sz w:val="21"/>
                <w:szCs w:val="21"/>
                <w:highlight w:val="none"/>
                <w:lang w:val="en-US" w:eastAsia="zh-CN" w:bidi="ar-SA"/>
              </w:rPr>
              <w:t>“国内依法登记注册”以中国社会组织政务服务平台中“全国社会组织信用信息公示平台（试运行）”查询结果为准。针对国内依法登记注册的行业协会（或学会）颁发的奖项、荣誉，</w:t>
            </w:r>
            <w:r>
              <w:rPr>
                <w:rFonts w:hint="eastAsia" w:ascii="宋体" w:hAnsi="宋体" w:eastAsia="宋体" w:cs="宋体"/>
                <w:b/>
                <w:bCs/>
                <w:color w:val="auto"/>
                <w:kern w:val="0"/>
                <w:sz w:val="21"/>
                <w:szCs w:val="21"/>
                <w:highlight w:val="none"/>
                <w:lang w:val="en-US" w:eastAsia="zh-CN" w:bidi="ar-SA"/>
              </w:rPr>
              <w:t xml:space="preserve">投标文件中须另行提供该协会在中国社会组织政务服务平台中“全国社会组织信用信息公示平台（试运行）”查询结果截图。 </w:t>
            </w:r>
          </w:p>
          <w:p w14:paraId="0887DA63">
            <w:pPr>
              <w:keepNext w:val="0"/>
              <w:keepLines w:val="0"/>
              <w:pageBreakBefore w:val="0"/>
              <w:widowControl w:val="0"/>
              <w:kinsoku/>
              <w:wordWrap/>
              <w:overflowPunct/>
              <w:topLinePunct w:val="0"/>
              <w:bidi w:val="0"/>
              <w:snapToGrid/>
              <w:spacing w:line="500" w:lineRule="exact"/>
              <w:jc w:val="left"/>
              <w:textAlignment w:val="auto"/>
              <w:rPr>
                <w:rFonts w:hint="default"/>
                <w:color w:val="auto"/>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 xml:space="preserve">2.2民政部公布的“离岸社团”、“山寨社团”或中国社会组织政务服务平台中“全国社会组织信用信息公示平台（试运行）”公示的“涉嫌非法社会组织”颁发的荣誉、奖励均无效。 </w:t>
            </w:r>
          </w:p>
        </w:tc>
      </w:tr>
      <w:tr w14:paraId="6DFE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vAlign w:val="center"/>
          </w:tcPr>
          <w:p w14:paraId="06F746B1">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项目人员配备</w:t>
            </w:r>
          </w:p>
          <w:p w14:paraId="7F05E749">
            <w:pPr>
              <w:keepNext w:val="0"/>
              <w:keepLines w:val="0"/>
              <w:pageBreakBefore w:val="0"/>
              <w:widowControl w:val="0"/>
              <w:kinsoku/>
              <w:wordWrap/>
              <w:overflowPunct/>
              <w:topLinePunct w:val="0"/>
              <w:bidi w:val="0"/>
              <w:snapToGrid/>
              <w:spacing w:line="440" w:lineRule="exact"/>
              <w:jc w:val="center"/>
              <w:textAlignment w:val="auto"/>
              <w:rPr>
                <w:rFonts w:hint="default"/>
                <w:color w:val="auto"/>
                <w:highlight w:val="none"/>
                <w:lang w:val="en-US" w:eastAsia="zh-CN"/>
              </w:rPr>
            </w:pPr>
            <w:r>
              <w:rPr>
                <w:rFonts w:hint="eastAsia" w:ascii="宋体" w:hAnsi="宋体" w:cs="宋体"/>
                <w:b/>
                <w:bCs/>
                <w:color w:val="auto"/>
                <w:sz w:val="21"/>
                <w:szCs w:val="21"/>
                <w:highlight w:val="none"/>
                <w:lang w:val="en-US" w:eastAsia="zh-CN"/>
              </w:rPr>
              <w:t>（2分）</w:t>
            </w:r>
          </w:p>
        </w:tc>
        <w:tc>
          <w:tcPr>
            <w:tcW w:w="8700" w:type="dxa"/>
            <w:vAlign w:val="center"/>
          </w:tcPr>
          <w:p w14:paraId="0C7EB9CD">
            <w:pPr>
              <w:pStyle w:val="14"/>
              <w:pageBreakBefore w:val="0"/>
              <w:kinsoku/>
              <w:wordWrap/>
              <w:overflowPunct/>
              <w:topLinePunct w:val="0"/>
              <w:autoSpaceDE/>
              <w:autoSpaceDN/>
              <w:bidi w:val="0"/>
              <w:spacing w:line="44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所配备的</w:t>
            </w:r>
            <w:r>
              <w:rPr>
                <w:rFonts w:hint="eastAsia" w:ascii="宋体" w:hAnsi="宋体" w:eastAsia="宋体" w:cs="宋体"/>
                <w:b/>
                <w:bCs/>
                <w:color w:val="auto"/>
                <w:sz w:val="21"/>
                <w:szCs w:val="21"/>
                <w:highlight w:val="none"/>
                <w:lang w:eastAsia="zh-CN"/>
              </w:rPr>
              <w:t>注册造价工程师</w:t>
            </w:r>
            <w:r>
              <w:rPr>
                <w:rFonts w:hint="eastAsia" w:ascii="宋体" w:hAnsi="宋体" w:eastAsia="宋体" w:cs="宋体"/>
                <w:b/>
                <w:bCs/>
                <w:color w:val="auto"/>
                <w:sz w:val="21"/>
                <w:szCs w:val="21"/>
                <w:highlight w:val="none"/>
              </w:rPr>
              <w:t>中</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除项目负责人外</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除具有造价师证书外</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具有工程类（或工程经济类）高级职称（社会化评审）或建筑工程类其他专业一级（国家级）注册资格的，每1人加1分，满分2分。社会化评审是指由当地人力资源和社会保障部门组织或者授权的相关部门组织，对社会各大企业技术人员开放，满足统一申报要求，统一参加评委评审（答辩），统一由官方网站公开公示评审结果，统一下证。</w:t>
            </w:r>
          </w:p>
          <w:p w14:paraId="391B7CB6">
            <w:pPr>
              <w:pStyle w:val="14"/>
              <w:pageBreakBefore w:val="0"/>
              <w:kinsoku/>
              <w:wordWrap/>
              <w:overflowPunct/>
              <w:topLinePunct w:val="0"/>
              <w:autoSpaceDE/>
              <w:autoSpaceDN/>
              <w:bidi w:val="0"/>
              <w:spacing w:line="440" w:lineRule="exact"/>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注：投标文件中提供证书扫描件。</w:t>
            </w:r>
          </w:p>
        </w:tc>
      </w:tr>
      <w:tr w14:paraId="109C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10" w:type="dxa"/>
            <w:gridSpan w:val="2"/>
            <w:vAlign w:val="center"/>
          </w:tcPr>
          <w:p w14:paraId="673BC347">
            <w:pPr>
              <w:pStyle w:val="44"/>
              <w:keepNext w:val="0"/>
              <w:keepLines w:val="0"/>
              <w:pageBreakBefore w:val="0"/>
              <w:widowControl w:val="0"/>
              <w:kinsoku/>
              <w:wordWrap/>
              <w:overflowPunct/>
              <w:topLinePunct w:val="0"/>
              <w:bidi w:val="0"/>
              <w:snapToGrid/>
              <w:spacing w:line="440" w:lineRule="exact"/>
              <w:ind w:left="0" w:leftChars="0"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注：投标人投标时只须提供1个评审业绩和1个评审</w:t>
            </w:r>
            <w:r>
              <w:rPr>
                <w:rFonts w:hint="eastAsia" w:hAnsi="宋体" w:cs="宋体"/>
                <w:b/>
                <w:bCs/>
                <w:color w:val="auto"/>
                <w:sz w:val="21"/>
                <w:szCs w:val="21"/>
                <w:highlight w:val="none"/>
                <w:lang w:val="en-US" w:eastAsia="zh-CN"/>
              </w:rPr>
              <w:t>荣誉</w:t>
            </w:r>
            <w:r>
              <w:rPr>
                <w:rFonts w:hint="eastAsia" w:ascii="宋体" w:hAnsi="宋体" w:eastAsia="宋体" w:cs="宋体"/>
                <w:b/>
                <w:bCs/>
                <w:color w:val="auto"/>
                <w:sz w:val="21"/>
                <w:szCs w:val="21"/>
                <w:highlight w:val="none"/>
                <w:lang w:val="en-US" w:eastAsia="zh-CN"/>
              </w:rPr>
              <w:t>，若投标人提供业绩奖项个数超过1个评审业绩和1个评审</w:t>
            </w:r>
            <w:r>
              <w:rPr>
                <w:rFonts w:hint="eastAsia" w:hAnsi="宋体" w:cs="宋体"/>
                <w:b/>
                <w:bCs/>
                <w:color w:val="auto"/>
                <w:sz w:val="21"/>
                <w:szCs w:val="21"/>
                <w:highlight w:val="none"/>
                <w:lang w:val="en-US" w:eastAsia="zh-CN"/>
              </w:rPr>
              <w:t>荣誉</w:t>
            </w:r>
            <w:r>
              <w:rPr>
                <w:rFonts w:hint="eastAsia" w:ascii="宋体" w:hAnsi="宋体" w:eastAsia="宋体" w:cs="宋体"/>
                <w:b/>
                <w:bCs/>
                <w:color w:val="auto"/>
                <w:sz w:val="21"/>
                <w:szCs w:val="21"/>
                <w:highlight w:val="none"/>
                <w:lang w:val="en-US" w:eastAsia="zh-CN"/>
              </w:rPr>
              <w:t>，则按照排列顺序从首个业绩和</w:t>
            </w:r>
            <w:r>
              <w:rPr>
                <w:rFonts w:hint="eastAsia" w:hAnsi="宋体" w:cs="宋体"/>
                <w:b/>
                <w:bCs/>
                <w:color w:val="auto"/>
                <w:sz w:val="21"/>
                <w:szCs w:val="21"/>
                <w:highlight w:val="none"/>
                <w:lang w:val="en-US" w:eastAsia="zh-CN"/>
              </w:rPr>
              <w:t>荣誉</w:t>
            </w:r>
            <w:r>
              <w:rPr>
                <w:rFonts w:hint="eastAsia" w:ascii="宋体" w:hAnsi="宋体" w:eastAsia="宋体" w:cs="宋体"/>
                <w:b/>
                <w:bCs/>
                <w:color w:val="auto"/>
                <w:sz w:val="21"/>
                <w:szCs w:val="21"/>
                <w:highlight w:val="none"/>
                <w:lang w:val="en-US" w:eastAsia="zh-CN"/>
              </w:rPr>
              <w:t>开始评审至对应数量，超出部分业绩和</w:t>
            </w:r>
            <w:r>
              <w:rPr>
                <w:rFonts w:hint="eastAsia" w:hAnsi="宋体" w:cs="宋体"/>
                <w:b/>
                <w:bCs/>
                <w:color w:val="auto"/>
                <w:sz w:val="21"/>
                <w:szCs w:val="21"/>
                <w:highlight w:val="none"/>
                <w:lang w:val="en-US" w:eastAsia="zh-CN"/>
              </w:rPr>
              <w:t>荣誉</w:t>
            </w:r>
            <w:r>
              <w:rPr>
                <w:rFonts w:hint="eastAsia" w:ascii="宋体" w:hAnsi="宋体" w:eastAsia="宋体" w:cs="宋体"/>
                <w:b/>
                <w:bCs/>
                <w:color w:val="auto"/>
                <w:sz w:val="21"/>
                <w:szCs w:val="21"/>
                <w:highlight w:val="none"/>
                <w:lang w:val="en-US" w:eastAsia="zh-CN"/>
              </w:rPr>
              <w:t>不进行评审。对应数量（1个）业绩和（1个）</w:t>
            </w:r>
            <w:r>
              <w:rPr>
                <w:rFonts w:hint="eastAsia" w:hAnsi="宋体" w:cs="宋体"/>
                <w:b/>
                <w:bCs/>
                <w:color w:val="auto"/>
                <w:sz w:val="21"/>
                <w:szCs w:val="21"/>
                <w:highlight w:val="none"/>
                <w:lang w:val="en-US" w:eastAsia="zh-CN"/>
              </w:rPr>
              <w:t>荣誉</w:t>
            </w:r>
            <w:r>
              <w:rPr>
                <w:rFonts w:hint="eastAsia" w:ascii="宋体" w:hAnsi="宋体" w:eastAsia="宋体" w:cs="宋体"/>
                <w:b/>
                <w:bCs/>
                <w:color w:val="auto"/>
                <w:sz w:val="21"/>
                <w:szCs w:val="21"/>
                <w:highlight w:val="none"/>
                <w:lang w:val="en-US" w:eastAsia="zh-CN"/>
              </w:rPr>
              <w:t>不符合招标文件要求，不得分的，不再补充评审超出部分业绩和</w:t>
            </w:r>
            <w:r>
              <w:rPr>
                <w:rFonts w:hint="eastAsia" w:hAnsi="宋体" w:cs="宋体"/>
                <w:b/>
                <w:bCs/>
                <w:color w:val="auto"/>
                <w:sz w:val="21"/>
                <w:szCs w:val="21"/>
                <w:highlight w:val="none"/>
                <w:lang w:val="en-US" w:eastAsia="zh-CN"/>
              </w:rPr>
              <w:t>荣誉</w:t>
            </w:r>
            <w:r>
              <w:rPr>
                <w:rFonts w:hint="eastAsia" w:ascii="宋体" w:hAnsi="宋体" w:eastAsia="宋体" w:cs="宋体"/>
                <w:b/>
                <w:bCs/>
                <w:color w:val="auto"/>
                <w:sz w:val="21"/>
                <w:szCs w:val="21"/>
                <w:highlight w:val="none"/>
                <w:lang w:val="en-US" w:eastAsia="zh-CN"/>
              </w:rPr>
              <w:t>。如：提供1个业绩和1个</w:t>
            </w:r>
            <w:r>
              <w:rPr>
                <w:rFonts w:hint="eastAsia" w:hAnsi="宋体" w:cs="宋体"/>
                <w:b/>
                <w:bCs/>
                <w:color w:val="auto"/>
                <w:sz w:val="21"/>
                <w:szCs w:val="21"/>
                <w:highlight w:val="none"/>
                <w:lang w:val="en-US" w:eastAsia="zh-CN"/>
              </w:rPr>
              <w:t>荣誉</w:t>
            </w:r>
            <w:r>
              <w:rPr>
                <w:rFonts w:hint="eastAsia" w:ascii="宋体" w:hAnsi="宋体" w:eastAsia="宋体" w:cs="宋体"/>
                <w:b/>
                <w:bCs/>
                <w:color w:val="auto"/>
                <w:sz w:val="21"/>
                <w:szCs w:val="21"/>
                <w:highlight w:val="none"/>
                <w:lang w:val="en-US" w:eastAsia="zh-CN"/>
              </w:rPr>
              <w:t>即得满分的，按照投标文件排序评审第一业绩和第一项</w:t>
            </w:r>
            <w:r>
              <w:rPr>
                <w:rFonts w:hint="eastAsia" w:hAnsi="宋体" w:cs="宋体"/>
                <w:b/>
                <w:bCs/>
                <w:color w:val="auto"/>
                <w:sz w:val="21"/>
                <w:szCs w:val="21"/>
                <w:highlight w:val="none"/>
                <w:lang w:val="en-US" w:eastAsia="zh-CN"/>
              </w:rPr>
              <w:t>荣誉</w:t>
            </w:r>
            <w:r>
              <w:rPr>
                <w:rFonts w:hint="eastAsia" w:ascii="宋体" w:hAnsi="宋体" w:eastAsia="宋体" w:cs="宋体"/>
                <w:b/>
                <w:bCs/>
                <w:color w:val="auto"/>
                <w:sz w:val="21"/>
                <w:szCs w:val="21"/>
                <w:highlight w:val="none"/>
                <w:lang w:val="en-US" w:eastAsia="zh-CN"/>
              </w:rPr>
              <w:t>，其余超出部分不再评审。</w:t>
            </w:r>
          </w:p>
        </w:tc>
      </w:tr>
    </w:tbl>
    <w:p w14:paraId="4BFD607E">
      <w:pPr>
        <w:spacing w:beforeLines="80" w:afterLines="80" w:line="440" w:lineRule="exact"/>
        <w:jc w:val="center"/>
        <w:rPr>
          <w:rFonts w:asci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二</w:t>
      </w:r>
      <w:r>
        <w:rPr>
          <w:rFonts w:hint="eastAsia" w:ascii="宋体" w:hAnsi="宋体" w:cs="宋体"/>
          <w:b/>
          <w:bCs/>
          <w:color w:val="auto"/>
          <w:sz w:val="24"/>
          <w:highlight w:val="none"/>
        </w:rPr>
        <w:t>）商务标评审</w:t>
      </w:r>
    </w:p>
    <w:tbl>
      <w:tblPr>
        <w:tblStyle w:val="45"/>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15"/>
        <w:gridCol w:w="945"/>
        <w:gridCol w:w="2158"/>
        <w:gridCol w:w="4727"/>
      </w:tblGrid>
      <w:tr w14:paraId="5ADB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71" w:type="dxa"/>
            <w:gridSpan w:val="3"/>
            <w:vAlign w:val="center"/>
          </w:tcPr>
          <w:p w14:paraId="4F5BC017">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条款号</w:t>
            </w:r>
          </w:p>
        </w:tc>
        <w:tc>
          <w:tcPr>
            <w:tcW w:w="2158" w:type="dxa"/>
            <w:vAlign w:val="center"/>
          </w:tcPr>
          <w:p w14:paraId="379C8498">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评审因素</w:t>
            </w:r>
          </w:p>
        </w:tc>
        <w:tc>
          <w:tcPr>
            <w:tcW w:w="4727" w:type="dxa"/>
            <w:vAlign w:val="center"/>
          </w:tcPr>
          <w:p w14:paraId="52C97D3C">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评审标准</w:t>
            </w:r>
          </w:p>
        </w:tc>
      </w:tr>
      <w:tr w14:paraId="3F82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1" w:type="dxa"/>
            <w:vMerge w:val="restart"/>
            <w:vAlign w:val="center"/>
          </w:tcPr>
          <w:p w14:paraId="2E895B28">
            <w:pPr>
              <w:spacing w:line="440" w:lineRule="exact"/>
              <w:jc w:val="center"/>
              <w:rPr>
                <w:rFonts w:ascii="宋体" w:cs="宋体"/>
                <w:color w:val="auto"/>
                <w:szCs w:val="21"/>
                <w:highlight w:val="none"/>
              </w:rPr>
            </w:pPr>
            <w:r>
              <w:rPr>
                <w:rFonts w:ascii="宋体" w:hAnsi="宋体" w:cs="宋体"/>
                <w:color w:val="auto"/>
                <w:szCs w:val="21"/>
                <w:highlight w:val="none"/>
              </w:rPr>
              <w:t>4.2.1</w:t>
            </w:r>
          </w:p>
        </w:tc>
        <w:tc>
          <w:tcPr>
            <w:tcW w:w="1860" w:type="dxa"/>
            <w:gridSpan w:val="2"/>
            <w:vMerge w:val="restart"/>
            <w:vAlign w:val="center"/>
          </w:tcPr>
          <w:p w14:paraId="6663CE83">
            <w:pPr>
              <w:spacing w:line="440" w:lineRule="exact"/>
              <w:jc w:val="center"/>
              <w:rPr>
                <w:rFonts w:ascii="宋体" w:cs="宋体"/>
                <w:color w:val="auto"/>
                <w:szCs w:val="21"/>
                <w:highlight w:val="none"/>
              </w:rPr>
            </w:pPr>
            <w:r>
              <w:rPr>
                <w:rFonts w:hint="eastAsia" w:ascii="宋体" w:hAnsi="宋体" w:cs="宋体"/>
                <w:color w:val="auto"/>
                <w:szCs w:val="21"/>
                <w:highlight w:val="none"/>
              </w:rPr>
              <w:t>形式评审标准</w:t>
            </w:r>
          </w:p>
        </w:tc>
        <w:tc>
          <w:tcPr>
            <w:tcW w:w="2158" w:type="dxa"/>
            <w:vAlign w:val="center"/>
          </w:tcPr>
          <w:p w14:paraId="53F33AEB">
            <w:pPr>
              <w:spacing w:line="440" w:lineRule="exact"/>
              <w:rPr>
                <w:rFonts w:ascii="宋体" w:cs="宋体"/>
                <w:color w:val="auto"/>
                <w:szCs w:val="21"/>
                <w:highlight w:val="none"/>
              </w:rPr>
            </w:pPr>
            <w:r>
              <w:rPr>
                <w:rFonts w:hint="eastAsia" w:ascii="宋体" w:hAnsi="宋体" w:cs="宋体"/>
                <w:color w:val="auto"/>
                <w:szCs w:val="21"/>
                <w:highlight w:val="none"/>
              </w:rPr>
              <w:t>投标函签字盖章</w:t>
            </w:r>
          </w:p>
        </w:tc>
        <w:tc>
          <w:tcPr>
            <w:tcW w:w="4727" w:type="dxa"/>
          </w:tcPr>
          <w:p w14:paraId="644B91EA">
            <w:pPr>
              <w:spacing w:line="440" w:lineRule="exact"/>
              <w:rPr>
                <w:rFonts w:ascii="宋体" w:cs="宋体"/>
                <w:color w:val="auto"/>
                <w:szCs w:val="21"/>
                <w:highlight w:val="none"/>
              </w:rPr>
            </w:pPr>
            <w:r>
              <w:rPr>
                <w:rFonts w:hint="eastAsia" w:ascii="宋体" w:hAnsi="宋体" w:cs="宋体"/>
                <w:color w:val="auto"/>
                <w:szCs w:val="21"/>
                <w:highlight w:val="none"/>
              </w:rPr>
              <w:t>有投标人及其法定代表人签章</w:t>
            </w:r>
          </w:p>
        </w:tc>
      </w:tr>
      <w:tr w14:paraId="5E8F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1" w:type="dxa"/>
            <w:vMerge w:val="continue"/>
          </w:tcPr>
          <w:p w14:paraId="6FB4BE48">
            <w:pPr>
              <w:spacing w:line="440" w:lineRule="exact"/>
              <w:rPr>
                <w:rFonts w:ascii="宋体" w:cs="宋体"/>
                <w:color w:val="auto"/>
                <w:szCs w:val="21"/>
                <w:highlight w:val="none"/>
              </w:rPr>
            </w:pPr>
          </w:p>
        </w:tc>
        <w:tc>
          <w:tcPr>
            <w:tcW w:w="1860" w:type="dxa"/>
            <w:gridSpan w:val="2"/>
            <w:vMerge w:val="continue"/>
          </w:tcPr>
          <w:p w14:paraId="01F18B43">
            <w:pPr>
              <w:spacing w:line="440" w:lineRule="exact"/>
              <w:rPr>
                <w:rFonts w:ascii="宋体" w:cs="宋体"/>
                <w:color w:val="auto"/>
                <w:szCs w:val="21"/>
                <w:highlight w:val="none"/>
              </w:rPr>
            </w:pPr>
          </w:p>
        </w:tc>
        <w:tc>
          <w:tcPr>
            <w:tcW w:w="2158" w:type="dxa"/>
            <w:vAlign w:val="center"/>
          </w:tcPr>
          <w:p w14:paraId="7D30C25C">
            <w:pPr>
              <w:spacing w:line="440" w:lineRule="exact"/>
              <w:rPr>
                <w:rFonts w:ascii="宋体" w:cs="宋体"/>
                <w:color w:val="auto"/>
                <w:szCs w:val="21"/>
                <w:highlight w:val="none"/>
              </w:rPr>
            </w:pPr>
            <w:r>
              <w:rPr>
                <w:rFonts w:hint="eastAsia" w:ascii="宋体" w:hAnsi="宋体" w:cs="宋体"/>
                <w:color w:val="auto"/>
                <w:szCs w:val="21"/>
                <w:highlight w:val="none"/>
              </w:rPr>
              <w:t>投标文件格式</w:t>
            </w:r>
          </w:p>
        </w:tc>
        <w:tc>
          <w:tcPr>
            <w:tcW w:w="4727" w:type="dxa"/>
          </w:tcPr>
          <w:p w14:paraId="6B5495B2">
            <w:pPr>
              <w:spacing w:line="440" w:lineRule="exact"/>
              <w:jc w:val="left"/>
              <w:rPr>
                <w:rFonts w:ascii="宋体" w:cs="宋体"/>
                <w:color w:val="auto"/>
                <w:szCs w:val="21"/>
                <w:highlight w:val="none"/>
              </w:rPr>
            </w:pPr>
            <w:r>
              <w:rPr>
                <w:rFonts w:hint="eastAsia" w:ascii="宋体" w:hAnsi="宋体" w:cs="宋体"/>
                <w:color w:val="auto"/>
                <w:szCs w:val="21"/>
                <w:highlight w:val="none"/>
              </w:rPr>
              <w:t>符合第五章“投标文件格式”的要求</w:t>
            </w:r>
          </w:p>
        </w:tc>
      </w:tr>
      <w:tr w14:paraId="1186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tcPr>
          <w:p w14:paraId="5AA4A857">
            <w:pPr>
              <w:spacing w:line="440" w:lineRule="exact"/>
              <w:rPr>
                <w:rFonts w:ascii="宋体" w:cs="宋体"/>
                <w:color w:val="auto"/>
                <w:szCs w:val="21"/>
                <w:highlight w:val="none"/>
              </w:rPr>
            </w:pPr>
          </w:p>
        </w:tc>
        <w:tc>
          <w:tcPr>
            <w:tcW w:w="1860" w:type="dxa"/>
            <w:gridSpan w:val="2"/>
            <w:vMerge w:val="continue"/>
          </w:tcPr>
          <w:p w14:paraId="0C53A8DC">
            <w:pPr>
              <w:spacing w:line="440" w:lineRule="exact"/>
              <w:rPr>
                <w:rFonts w:ascii="宋体" w:cs="宋体"/>
                <w:color w:val="auto"/>
                <w:szCs w:val="21"/>
                <w:highlight w:val="none"/>
              </w:rPr>
            </w:pPr>
          </w:p>
        </w:tc>
        <w:tc>
          <w:tcPr>
            <w:tcW w:w="2158" w:type="dxa"/>
            <w:vAlign w:val="center"/>
          </w:tcPr>
          <w:p w14:paraId="58468A02">
            <w:pPr>
              <w:spacing w:line="440" w:lineRule="exact"/>
              <w:rPr>
                <w:rFonts w:ascii="宋体" w:cs="宋体"/>
                <w:color w:val="auto"/>
                <w:szCs w:val="21"/>
                <w:highlight w:val="none"/>
              </w:rPr>
            </w:pPr>
            <w:r>
              <w:rPr>
                <w:rFonts w:hint="eastAsia" w:ascii="宋体" w:hAnsi="宋体" w:cs="宋体"/>
                <w:color w:val="auto"/>
                <w:szCs w:val="21"/>
                <w:highlight w:val="none"/>
              </w:rPr>
              <w:t>报价唯一</w:t>
            </w:r>
          </w:p>
        </w:tc>
        <w:tc>
          <w:tcPr>
            <w:tcW w:w="4727" w:type="dxa"/>
          </w:tcPr>
          <w:p w14:paraId="32C9AAA8">
            <w:pPr>
              <w:spacing w:line="440" w:lineRule="exact"/>
              <w:jc w:val="left"/>
              <w:rPr>
                <w:rFonts w:ascii="宋体" w:cs="宋体"/>
                <w:color w:val="auto"/>
                <w:szCs w:val="21"/>
                <w:highlight w:val="none"/>
              </w:rPr>
            </w:pPr>
            <w:r>
              <w:rPr>
                <w:rFonts w:hint="eastAsia" w:ascii="宋体" w:hAnsi="宋体" w:cs="宋体"/>
                <w:color w:val="auto"/>
                <w:szCs w:val="21"/>
                <w:highlight w:val="none"/>
              </w:rPr>
              <w:t>只能有一个报价</w:t>
            </w:r>
          </w:p>
        </w:tc>
      </w:tr>
      <w:tr w14:paraId="1073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1" w:type="dxa"/>
            <w:vMerge w:val="restart"/>
            <w:vAlign w:val="center"/>
          </w:tcPr>
          <w:p w14:paraId="4D422E04">
            <w:pPr>
              <w:spacing w:line="440" w:lineRule="exact"/>
              <w:jc w:val="center"/>
              <w:rPr>
                <w:rFonts w:ascii="宋体" w:cs="宋体"/>
                <w:color w:val="auto"/>
                <w:szCs w:val="21"/>
                <w:highlight w:val="none"/>
              </w:rPr>
            </w:pPr>
            <w:r>
              <w:rPr>
                <w:rFonts w:ascii="宋体" w:hAnsi="宋体" w:cs="宋体"/>
                <w:color w:val="auto"/>
                <w:szCs w:val="21"/>
                <w:highlight w:val="none"/>
              </w:rPr>
              <w:t>4.2.2</w:t>
            </w:r>
          </w:p>
        </w:tc>
        <w:tc>
          <w:tcPr>
            <w:tcW w:w="1860" w:type="dxa"/>
            <w:gridSpan w:val="2"/>
            <w:vMerge w:val="restart"/>
            <w:vAlign w:val="center"/>
          </w:tcPr>
          <w:p w14:paraId="1FF0A899">
            <w:pPr>
              <w:spacing w:line="440" w:lineRule="exact"/>
              <w:rPr>
                <w:rFonts w:ascii="宋体" w:cs="宋体"/>
                <w:color w:val="auto"/>
                <w:szCs w:val="21"/>
                <w:highlight w:val="none"/>
              </w:rPr>
            </w:pPr>
            <w:r>
              <w:rPr>
                <w:rFonts w:hint="eastAsia" w:ascii="宋体" w:hAnsi="宋体" w:cs="宋体"/>
                <w:color w:val="auto"/>
                <w:szCs w:val="21"/>
                <w:highlight w:val="none"/>
              </w:rPr>
              <w:t>响应性评审标准</w:t>
            </w:r>
          </w:p>
          <w:p w14:paraId="41B6C633">
            <w:pPr>
              <w:spacing w:line="440" w:lineRule="exact"/>
              <w:jc w:val="center"/>
              <w:rPr>
                <w:rFonts w:ascii="宋体" w:cs="宋体"/>
                <w:color w:val="auto"/>
                <w:szCs w:val="21"/>
                <w:highlight w:val="none"/>
              </w:rPr>
            </w:pPr>
          </w:p>
        </w:tc>
        <w:tc>
          <w:tcPr>
            <w:tcW w:w="2158" w:type="dxa"/>
            <w:vAlign w:val="center"/>
          </w:tcPr>
          <w:p w14:paraId="76BBCFB7">
            <w:pPr>
              <w:spacing w:line="440" w:lineRule="exact"/>
              <w:rPr>
                <w:rFonts w:ascii="宋体" w:cs="宋体"/>
                <w:color w:val="auto"/>
                <w:szCs w:val="21"/>
                <w:highlight w:val="none"/>
              </w:rPr>
            </w:pPr>
            <w:r>
              <w:rPr>
                <w:rFonts w:hint="eastAsia" w:ascii="宋体" w:hAnsi="宋体" w:cs="宋体"/>
                <w:color w:val="auto"/>
                <w:szCs w:val="21"/>
                <w:highlight w:val="none"/>
              </w:rPr>
              <w:t>服务期限</w:t>
            </w:r>
          </w:p>
        </w:tc>
        <w:tc>
          <w:tcPr>
            <w:tcW w:w="4727" w:type="dxa"/>
            <w:vAlign w:val="center"/>
          </w:tcPr>
          <w:p w14:paraId="3B5ADB0B">
            <w:pPr>
              <w:spacing w:line="440" w:lineRule="exact"/>
              <w:rPr>
                <w:rFonts w:ascii="宋体" w:cs="宋体"/>
                <w:color w:val="auto"/>
                <w:szCs w:val="21"/>
                <w:highlight w:val="none"/>
              </w:rPr>
            </w:pPr>
            <w:r>
              <w:rPr>
                <w:rFonts w:hint="eastAsia" w:ascii="宋体" w:hAnsi="宋体" w:cs="宋体"/>
                <w:color w:val="auto"/>
                <w:szCs w:val="21"/>
                <w:highlight w:val="none"/>
              </w:rPr>
              <w:t>符合投标须知前附表规定</w:t>
            </w:r>
          </w:p>
        </w:tc>
      </w:tr>
      <w:tr w14:paraId="2C4E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tcPr>
          <w:p w14:paraId="6C71BB1D">
            <w:pPr>
              <w:spacing w:line="440" w:lineRule="exact"/>
              <w:rPr>
                <w:rFonts w:ascii="宋体" w:cs="宋体"/>
                <w:color w:val="auto"/>
                <w:szCs w:val="21"/>
                <w:highlight w:val="none"/>
              </w:rPr>
            </w:pPr>
          </w:p>
        </w:tc>
        <w:tc>
          <w:tcPr>
            <w:tcW w:w="1860" w:type="dxa"/>
            <w:gridSpan w:val="2"/>
            <w:vMerge w:val="continue"/>
          </w:tcPr>
          <w:p w14:paraId="56A4E6F2">
            <w:pPr>
              <w:spacing w:line="440" w:lineRule="exact"/>
              <w:rPr>
                <w:rFonts w:ascii="宋体" w:cs="宋体"/>
                <w:color w:val="auto"/>
                <w:szCs w:val="21"/>
                <w:highlight w:val="none"/>
              </w:rPr>
            </w:pPr>
          </w:p>
        </w:tc>
        <w:tc>
          <w:tcPr>
            <w:tcW w:w="2158" w:type="dxa"/>
            <w:vAlign w:val="center"/>
          </w:tcPr>
          <w:p w14:paraId="6C11A206">
            <w:pPr>
              <w:spacing w:line="440" w:lineRule="exact"/>
              <w:rPr>
                <w:rFonts w:ascii="宋体" w:cs="宋体"/>
                <w:color w:val="auto"/>
                <w:szCs w:val="21"/>
                <w:highlight w:val="none"/>
              </w:rPr>
            </w:pPr>
            <w:r>
              <w:rPr>
                <w:rFonts w:hint="eastAsia" w:ascii="宋体" w:hAnsi="宋体" w:cs="宋体"/>
                <w:color w:val="auto"/>
                <w:szCs w:val="21"/>
                <w:highlight w:val="none"/>
              </w:rPr>
              <w:t>投标有效期</w:t>
            </w:r>
          </w:p>
        </w:tc>
        <w:tc>
          <w:tcPr>
            <w:tcW w:w="4727" w:type="dxa"/>
            <w:vAlign w:val="center"/>
          </w:tcPr>
          <w:p w14:paraId="2CEAD7B2">
            <w:pPr>
              <w:spacing w:line="440" w:lineRule="exact"/>
              <w:rPr>
                <w:rFonts w:ascii="宋体" w:cs="宋体"/>
                <w:color w:val="auto"/>
                <w:szCs w:val="21"/>
                <w:highlight w:val="none"/>
              </w:rPr>
            </w:pPr>
            <w:r>
              <w:rPr>
                <w:rFonts w:hint="eastAsia" w:ascii="宋体" w:hAnsi="宋体" w:cs="宋体"/>
                <w:color w:val="auto"/>
                <w:szCs w:val="21"/>
                <w:highlight w:val="none"/>
              </w:rPr>
              <w:t>符合投标须知前附表规定</w:t>
            </w:r>
          </w:p>
        </w:tc>
      </w:tr>
      <w:tr w14:paraId="6339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1" w:type="dxa"/>
            <w:vMerge w:val="continue"/>
          </w:tcPr>
          <w:p w14:paraId="5C25C698">
            <w:pPr>
              <w:spacing w:line="440" w:lineRule="exact"/>
              <w:rPr>
                <w:rFonts w:ascii="宋体" w:cs="宋体"/>
                <w:color w:val="auto"/>
                <w:szCs w:val="21"/>
                <w:highlight w:val="none"/>
              </w:rPr>
            </w:pPr>
          </w:p>
        </w:tc>
        <w:tc>
          <w:tcPr>
            <w:tcW w:w="1860" w:type="dxa"/>
            <w:gridSpan w:val="2"/>
            <w:vMerge w:val="continue"/>
          </w:tcPr>
          <w:p w14:paraId="12B67728">
            <w:pPr>
              <w:spacing w:line="440" w:lineRule="exact"/>
              <w:rPr>
                <w:rFonts w:ascii="宋体" w:cs="宋体"/>
                <w:color w:val="auto"/>
                <w:szCs w:val="21"/>
                <w:highlight w:val="none"/>
              </w:rPr>
            </w:pPr>
          </w:p>
        </w:tc>
        <w:tc>
          <w:tcPr>
            <w:tcW w:w="2158" w:type="dxa"/>
            <w:vAlign w:val="center"/>
          </w:tcPr>
          <w:p w14:paraId="153F9223">
            <w:pPr>
              <w:spacing w:line="440" w:lineRule="exact"/>
              <w:rPr>
                <w:rFonts w:ascii="宋体" w:cs="宋体"/>
                <w:color w:val="auto"/>
                <w:szCs w:val="21"/>
                <w:highlight w:val="none"/>
              </w:rPr>
            </w:pPr>
            <w:r>
              <w:rPr>
                <w:rFonts w:hint="eastAsia" w:ascii="宋体" w:hAnsi="宋体" w:cs="宋体"/>
                <w:color w:val="auto"/>
                <w:szCs w:val="21"/>
                <w:highlight w:val="none"/>
              </w:rPr>
              <w:t>工程质量</w:t>
            </w:r>
          </w:p>
        </w:tc>
        <w:tc>
          <w:tcPr>
            <w:tcW w:w="4727" w:type="dxa"/>
            <w:vAlign w:val="center"/>
          </w:tcPr>
          <w:p w14:paraId="754ABE6F">
            <w:pPr>
              <w:spacing w:line="440" w:lineRule="exact"/>
              <w:rPr>
                <w:rFonts w:ascii="宋体" w:cs="宋体"/>
                <w:color w:val="auto"/>
                <w:szCs w:val="21"/>
                <w:highlight w:val="none"/>
              </w:rPr>
            </w:pPr>
            <w:r>
              <w:rPr>
                <w:rFonts w:hint="eastAsia" w:ascii="宋体" w:hAnsi="宋体" w:cs="宋体"/>
                <w:color w:val="auto"/>
                <w:szCs w:val="21"/>
                <w:highlight w:val="none"/>
              </w:rPr>
              <w:t>符合投标须知前附表规定</w:t>
            </w:r>
          </w:p>
        </w:tc>
      </w:tr>
      <w:tr w14:paraId="4A69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1" w:type="dxa"/>
            <w:vMerge w:val="continue"/>
          </w:tcPr>
          <w:p w14:paraId="186E12B0">
            <w:pPr>
              <w:spacing w:line="440" w:lineRule="exact"/>
              <w:rPr>
                <w:rFonts w:ascii="宋体" w:cs="宋体"/>
                <w:color w:val="auto"/>
                <w:szCs w:val="21"/>
                <w:highlight w:val="none"/>
              </w:rPr>
            </w:pPr>
          </w:p>
        </w:tc>
        <w:tc>
          <w:tcPr>
            <w:tcW w:w="1860" w:type="dxa"/>
            <w:gridSpan w:val="2"/>
            <w:vMerge w:val="continue"/>
          </w:tcPr>
          <w:p w14:paraId="45DC7BF8">
            <w:pPr>
              <w:spacing w:line="440" w:lineRule="exact"/>
              <w:rPr>
                <w:rFonts w:ascii="宋体" w:cs="宋体"/>
                <w:color w:val="auto"/>
                <w:szCs w:val="21"/>
                <w:highlight w:val="none"/>
              </w:rPr>
            </w:pPr>
          </w:p>
        </w:tc>
        <w:tc>
          <w:tcPr>
            <w:tcW w:w="2158" w:type="dxa"/>
            <w:vAlign w:val="center"/>
          </w:tcPr>
          <w:p w14:paraId="61FB87DE">
            <w:pPr>
              <w:spacing w:line="440" w:lineRule="exact"/>
              <w:rPr>
                <w:rFonts w:ascii="宋体" w:cs="宋体"/>
                <w:color w:val="auto"/>
                <w:szCs w:val="21"/>
                <w:highlight w:val="none"/>
              </w:rPr>
            </w:pPr>
            <w:r>
              <w:rPr>
                <w:rFonts w:hint="eastAsia" w:ascii="宋体" w:hAnsi="宋体" w:cs="宋体"/>
                <w:color w:val="auto"/>
                <w:szCs w:val="21"/>
                <w:highlight w:val="none"/>
              </w:rPr>
              <w:t>投标文件内容</w:t>
            </w:r>
          </w:p>
        </w:tc>
        <w:tc>
          <w:tcPr>
            <w:tcW w:w="4727" w:type="dxa"/>
            <w:vAlign w:val="center"/>
          </w:tcPr>
          <w:p w14:paraId="31BADD6E">
            <w:pPr>
              <w:spacing w:line="440" w:lineRule="exact"/>
              <w:rPr>
                <w:rFonts w:ascii="宋体" w:cs="宋体"/>
                <w:color w:val="auto"/>
                <w:szCs w:val="21"/>
                <w:highlight w:val="none"/>
              </w:rPr>
            </w:pPr>
            <w:r>
              <w:rPr>
                <w:rFonts w:hint="eastAsia" w:ascii="宋体" w:hAnsi="宋体" w:cs="宋体"/>
                <w:color w:val="auto"/>
                <w:szCs w:val="21"/>
                <w:highlight w:val="none"/>
              </w:rPr>
              <w:t>符合投标须知前附表规定</w:t>
            </w:r>
          </w:p>
        </w:tc>
      </w:tr>
      <w:tr w14:paraId="0DD9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tcPr>
          <w:p w14:paraId="423BCCF5">
            <w:pPr>
              <w:spacing w:line="440" w:lineRule="exact"/>
              <w:rPr>
                <w:rFonts w:ascii="宋体" w:cs="宋体"/>
                <w:color w:val="auto"/>
                <w:szCs w:val="21"/>
                <w:highlight w:val="none"/>
              </w:rPr>
            </w:pPr>
          </w:p>
        </w:tc>
        <w:tc>
          <w:tcPr>
            <w:tcW w:w="1860" w:type="dxa"/>
            <w:gridSpan w:val="2"/>
            <w:vMerge w:val="continue"/>
          </w:tcPr>
          <w:p w14:paraId="34113177">
            <w:pPr>
              <w:spacing w:line="440" w:lineRule="exact"/>
              <w:rPr>
                <w:rFonts w:ascii="宋体" w:cs="宋体"/>
                <w:color w:val="auto"/>
                <w:szCs w:val="21"/>
                <w:highlight w:val="none"/>
              </w:rPr>
            </w:pPr>
          </w:p>
        </w:tc>
        <w:tc>
          <w:tcPr>
            <w:tcW w:w="2158" w:type="dxa"/>
            <w:vAlign w:val="center"/>
          </w:tcPr>
          <w:p w14:paraId="1C19E3D6">
            <w:pPr>
              <w:spacing w:line="440" w:lineRule="exact"/>
              <w:rPr>
                <w:rFonts w:ascii="宋体" w:cs="宋体"/>
                <w:color w:val="auto"/>
                <w:szCs w:val="21"/>
                <w:highlight w:val="none"/>
              </w:rPr>
            </w:pPr>
            <w:r>
              <w:rPr>
                <w:rFonts w:hint="eastAsia" w:ascii="宋体" w:hAnsi="宋体" w:cs="宋体"/>
                <w:color w:val="auto"/>
                <w:szCs w:val="21"/>
                <w:highlight w:val="none"/>
              </w:rPr>
              <w:t>投标报价（费率）</w:t>
            </w:r>
          </w:p>
        </w:tc>
        <w:tc>
          <w:tcPr>
            <w:tcW w:w="4727" w:type="dxa"/>
            <w:vAlign w:val="center"/>
          </w:tcPr>
          <w:p w14:paraId="09B5569B">
            <w:pPr>
              <w:spacing w:line="440" w:lineRule="exact"/>
              <w:rPr>
                <w:rFonts w:ascii="宋体" w:cs="宋体"/>
                <w:color w:val="auto"/>
                <w:szCs w:val="21"/>
                <w:highlight w:val="none"/>
              </w:rPr>
            </w:pPr>
            <w:r>
              <w:rPr>
                <w:rFonts w:hint="eastAsia" w:ascii="宋体" w:hAnsi="宋体" w:cs="宋体"/>
                <w:color w:val="auto"/>
                <w:szCs w:val="21"/>
                <w:highlight w:val="none"/>
              </w:rPr>
              <w:t>不高于最高投标限价（费率）</w:t>
            </w:r>
          </w:p>
        </w:tc>
      </w:tr>
      <w:tr w14:paraId="7916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726" w:type="dxa"/>
            <w:gridSpan w:val="2"/>
            <w:vAlign w:val="center"/>
          </w:tcPr>
          <w:p w14:paraId="5FE79BAB">
            <w:pPr>
              <w:spacing w:line="440" w:lineRule="exact"/>
              <w:ind w:right="252" w:rightChars="120"/>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报价（费率）（</w:t>
            </w:r>
            <w:r>
              <w:rPr>
                <w:rFonts w:hint="eastAsia" w:ascii="宋体" w:hAnsi="宋体" w:cs="宋体"/>
                <w:bCs/>
                <w:color w:val="auto"/>
                <w:szCs w:val="21"/>
                <w:highlight w:val="none"/>
                <w:lang w:val="en-US" w:eastAsia="zh-CN"/>
              </w:rPr>
              <w:t>88分）</w:t>
            </w:r>
          </w:p>
          <w:p w14:paraId="251E9E01">
            <w:pPr>
              <w:spacing w:line="440" w:lineRule="exact"/>
              <w:ind w:right="252" w:rightChars="120"/>
              <w:jc w:val="center"/>
              <w:rPr>
                <w:rFonts w:ascii="宋体" w:cs="宋体"/>
                <w:bCs/>
                <w:color w:val="auto"/>
                <w:szCs w:val="21"/>
                <w:highlight w:val="none"/>
              </w:rPr>
            </w:pPr>
            <w:r>
              <w:rPr>
                <w:rFonts w:hint="eastAsia" w:ascii="宋体" w:hAnsi="宋体" w:cs="宋体"/>
                <w:bCs/>
                <w:color w:val="auto"/>
                <w:szCs w:val="21"/>
                <w:highlight w:val="none"/>
                <w:lang w:val="en-US" w:eastAsia="zh-CN"/>
              </w:rPr>
              <w:t>注：</w:t>
            </w:r>
            <w:r>
              <w:rPr>
                <w:rFonts w:hint="eastAsia" w:ascii="宋体" w:hAnsi="宋体" w:cs="宋体"/>
                <w:bCs/>
                <w:color w:val="auto"/>
                <w:szCs w:val="21"/>
                <w:highlight w:val="none"/>
              </w:rPr>
              <w:t>基本分20分+竞争分</w:t>
            </w:r>
            <w:r>
              <w:rPr>
                <w:rFonts w:hint="eastAsia" w:ascii="宋体" w:hAnsi="宋体" w:cs="宋体"/>
                <w:bCs/>
                <w:color w:val="auto"/>
                <w:szCs w:val="21"/>
                <w:highlight w:val="none"/>
                <w:lang w:val="en-US" w:eastAsia="zh-CN"/>
              </w:rPr>
              <w:t>68</w:t>
            </w:r>
            <w:r>
              <w:rPr>
                <w:rFonts w:hint="eastAsia" w:ascii="宋体" w:hAnsi="宋体" w:cs="宋体"/>
                <w:bCs/>
                <w:color w:val="auto"/>
                <w:szCs w:val="21"/>
                <w:highlight w:val="none"/>
              </w:rPr>
              <w:t>分</w:t>
            </w:r>
          </w:p>
        </w:tc>
        <w:tc>
          <w:tcPr>
            <w:tcW w:w="7830" w:type="dxa"/>
            <w:gridSpan w:val="3"/>
            <w:vAlign w:val="center"/>
          </w:tcPr>
          <w:p w14:paraId="10B6D3B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1.评标基准价计算方法：</w:t>
            </w:r>
          </w:p>
          <w:p w14:paraId="64EB8EB4">
            <w:pPr>
              <w:pStyle w:val="44"/>
              <w:ind w:left="0" w:leftChars="0" w:firstLine="0" w:firstLineChars="0"/>
              <w:rPr>
                <w:rFonts w:hint="default"/>
                <w:color w:val="auto"/>
                <w:highlight w:val="none"/>
                <w:lang w:val="en-US" w:eastAsia="zh-CN"/>
              </w:rPr>
            </w:pPr>
            <w:r>
              <w:rPr>
                <w:rFonts w:hint="default"/>
                <w:color w:val="auto"/>
                <w:highlight w:val="none"/>
                <w:lang w:val="en-US" w:eastAsia="zh-CN"/>
              </w:rPr>
              <w:t>（1）投标报价不得高于最高投标限价，高于最高投标限价的为无效标；</w:t>
            </w:r>
          </w:p>
          <w:p w14:paraId="3AC067D0">
            <w:pPr>
              <w:pStyle w:val="44"/>
              <w:ind w:left="0" w:leftChars="0" w:firstLine="0" w:firstLineChars="0"/>
              <w:rPr>
                <w:rFonts w:hint="default"/>
                <w:color w:val="auto"/>
                <w:highlight w:val="none"/>
                <w:lang w:val="en-US" w:eastAsia="zh-CN"/>
              </w:rPr>
            </w:pPr>
            <w:r>
              <w:rPr>
                <w:rFonts w:hint="default"/>
                <w:color w:val="auto"/>
                <w:highlight w:val="none"/>
                <w:lang w:val="en-US" w:eastAsia="zh-CN"/>
              </w:rPr>
              <w:t>（2）</w:t>
            </w:r>
            <w:r>
              <w:rPr>
                <w:rFonts w:hint="eastAsia"/>
                <w:color w:val="auto"/>
                <w:highlight w:val="none"/>
                <w:lang w:val="en-US" w:eastAsia="zh-CN"/>
              </w:rPr>
              <w:t>入围第二阶段</w:t>
            </w:r>
            <w:r>
              <w:rPr>
                <w:rFonts w:hint="default"/>
                <w:color w:val="auto"/>
                <w:highlight w:val="none"/>
                <w:lang w:val="en-US" w:eastAsia="zh-CN"/>
              </w:rPr>
              <w:t>且投标报价不高于最高投标限价的所有</w:t>
            </w:r>
            <w:r>
              <w:rPr>
                <w:rFonts w:hint="eastAsia"/>
                <w:color w:val="auto"/>
                <w:highlight w:val="none"/>
                <w:lang w:val="en-US" w:eastAsia="zh-CN"/>
              </w:rPr>
              <w:t>入围的有效</w:t>
            </w:r>
            <w:r>
              <w:rPr>
                <w:rFonts w:hint="default"/>
                <w:color w:val="auto"/>
                <w:highlight w:val="none"/>
                <w:lang w:val="en-US" w:eastAsia="zh-CN"/>
              </w:rPr>
              <w:t>投标报价平均值（A1）乘以0.90得到修正值（B1），低于B1值（不含B1值）的报价视为可能影响合同履行的异常低价，异常低价按无效投标处理，其投标报价不参与评标基准价及平均值等的计算；</w:t>
            </w:r>
          </w:p>
          <w:p w14:paraId="79A1AD10">
            <w:pPr>
              <w:pStyle w:val="44"/>
              <w:ind w:left="0" w:leftChars="0" w:firstLine="0" w:firstLineChars="0"/>
              <w:rPr>
                <w:rFonts w:hint="default"/>
                <w:color w:val="auto"/>
                <w:highlight w:val="none"/>
                <w:lang w:val="en-US" w:eastAsia="zh-CN"/>
              </w:rPr>
            </w:pPr>
            <w:r>
              <w:rPr>
                <w:rFonts w:hint="default"/>
                <w:color w:val="auto"/>
                <w:highlight w:val="none"/>
                <w:lang w:val="en-US" w:eastAsia="zh-CN"/>
              </w:rPr>
              <w:t>（3）去除无效投标报价的各有效</w:t>
            </w:r>
            <w:r>
              <w:rPr>
                <w:rFonts w:hint="eastAsia"/>
                <w:color w:val="auto"/>
                <w:highlight w:val="none"/>
                <w:lang w:val="en-US" w:eastAsia="zh-CN"/>
              </w:rPr>
              <w:t>入围</w:t>
            </w:r>
            <w:r>
              <w:rPr>
                <w:rFonts w:hint="default"/>
                <w:color w:val="auto"/>
                <w:highlight w:val="none"/>
                <w:lang w:val="en-US" w:eastAsia="zh-CN"/>
              </w:rPr>
              <w:t>投标人的投标报价算术平均值（A2），大于A2值的所有有效</w:t>
            </w:r>
            <w:r>
              <w:rPr>
                <w:rFonts w:hint="eastAsia"/>
                <w:color w:val="auto"/>
                <w:highlight w:val="none"/>
                <w:lang w:val="en-US" w:eastAsia="zh-CN"/>
              </w:rPr>
              <w:t>入围</w:t>
            </w:r>
            <w:r>
              <w:rPr>
                <w:rFonts w:hint="default"/>
                <w:color w:val="auto"/>
                <w:highlight w:val="none"/>
                <w:lang w:val="en-US" w:eastAsia="zh-CN"/>
              </w:rPr>
              <w:t>投标报价为一组，计算该组报价的算术平均值（A3）；低于A2值（含A2值）的所有有效</w:t>
            </w:r>
            <w:r>
              <w:rPr>
                <w:rFonts w:hint="eastAsia"/>
                <w:color w:val="auto"/>
                <w:highlight w:val="none"/>
                <w:lang w:val="en-US" w:eastAsia="zh-CN"/>
              </w:rPr>
              <w:t>入围</w:t>
            </w:r>
            <w:r>
              <w:rPr>
                <w:rFonts w:hint="default"/>
                <w:color w:val="auto"/>
                <w:highlight w:val="none"/>
                <w:lang w:val="en-US" w:eastAsia="zh-CN"/>
              </w:rPr>
              <w:t>投标报价为另一组，计算该组报价的算术平均值（A4）。评标基准价J值按下列公式计算：</w:t>
            </w:r>
          </w:p>
          <w:p w14:paraId="0B825071">
            <w:pPr>
              <w:pStyle w:val="44"/>
              <w:ind w:left="0" w:leftChars="0" w:firstLine="0" w:firstLineChars="0"/>
              <w:rPr>
                <w:rFonts w:hint="default"/>
                <w:color w:val="auto"/>
                <w:highlight w:val="none"/>
                <w:lang w:val="en-US" w:eastAsia="zh-CN"/>
              </w:rPr>
            </w:pPr>
            <w:r>
              <w:rPr>
                <w:rFonts w:hint="default"/>
                <w:color w:val="auto"/>
                <w:highlight w:val="none"/>
                <w:lang w:val="en-US" w:eastAsia="zh-CN"/>
              </w:rPr>
              <w:t>J=最高投标限价×K1+A3×K2+A4×K3</w:t>
            </w:r>
          </w:p>
          <w:p w14:paraId="0023C647">
            <w:pPr>
              <w:pStyle w:val="44"/>
              <w:ind w:left="0" w:leftChars="0" w:firstLine="0" w:firstLineChars="0"/>
              <w:rPr>
                <w:rFonts w:hint="default"/>
                <w:color w:val="auto"/>
                <w:highlight w:val="none"/>
                <w:lang w:val="en-US" w:eastAsia="zh-CN"/>
              </w:rPr>
            </w:pPr>
            <w:r>
              <w:rPr>
                <w:rFonts w:hint="default"/>
                <w:color w:val="auto"/>
                <w:highlight w:val="none"/>
                <w:lang w:val="en-US" w:eastAsia="zh-CN"/>
              </w:rPr>
              <w:t>注：K1取30%-40%任一百分号前整数值，K2取30%-40%任一百分号前整数值，K3=1-K1-K2；K1、K2值开标现场随机抽取产生。</w:t>
            </w:r>
          </w:p>
          <w:p w14:paraId="0B6F047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2.根据各有效入围投标人的投标报价与评标基准价的差别进行评分。</w:t>
            </w:r>
          </w:p>
          <w:p w14:paraId="6310E68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（1）有效入围投标人报价不高于最高投标限价且不低于修正值（B1）的得20分，否则不得分；</w:t>
            </w:r>
          </w:p>
          <w:p w14:paraId="6262022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（2）当有效入围投标人报价高于评标基准价，每高0.1‰扣0.2分（计算公式为68-（投标报价-评标基准价）×0.2×10000），扣完68分为止。</w:t>
            </w:r>
          </w:p>
          <w:p w14:paraId="2E05A15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当有效入围投标人报价低于评标基准价，每低0.1‰扣0.2分（计算公式为68-（评标基准价-投标报价）×0.2×10000），扣完68分为止。</w:t>
            </w:r>
          </w:p>
          <w:p w14:paraId="70AE74E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color w:val="auto"/>
                <w:highlight w:val="none"/>
                <w:lang w:val="en-US"/>
              </w:rPr>
            </w:pPr>
            <w:r>
              <w:rPr>
                <w:rFonts w:hint="eastAsia" w:ascii="宋体" w:hAnsi="宋体" w:cs="宋体"/>
                <w:b/>
                <w:bCs/>
                <w:color w:val="auto"/>
                <w:highlight w:val="none"/>
                <w:lang w:val="en-US" w:eastAsia="zh-CN"/>
              </w:rPr>
              <w:t>注：按计算公式计算出的结果保留小数点后两位，第三位四舍五入。</w:t>
            </w:r>
          </w:p>
        </w:tc>
      </w:tr>
    </w:tbl>
    <w:p w14:paraId="695DEDF4">
      <w:pPr>
        <w:pStyle w:val="3"/>
        <w:spacing w:beforeLines="50" w:afterLines="50"/>
        <w:ind w:firstLine="422" w:firstLineChars="200"/>
        <w:rPr>
          <w:rFonts w:ascii="宋体" w:hAnsi="宋体" w:eastAsia="宋体" w:cs="宋体"/>
          <w:color w:val="auto"/>
          <w:highlight w:val="none"/>
        </w:rPr>
      </w:pPr>
      <w:bookmarkStart w:id="688" w:name="_Toc6491"/>
      <w:bookmarkStart w:id="689" w:name="_Toc324404872"/>
      <w:bookmarkStart w:id="690" w:name="_Toc15058913"/>
      <w:bookmarkStart w:id="691" w:name="_Toc179632607"/>
      <w:bookmarkStart w:id="692" w:name="_Toc35424947"/>
      <w:bookmarkStart w:id="693" w:name="_Toc144974556"/>
      <w:bookmarkStart w:id="694" w:name="_Toc246996232"/>
      <w:bookmarkStart w:id="695" w:name="_Toc246996975"/>
      <w:bookmarkStart w:id="696" w:name="_Toc35425113"/>
      <w:bookmarkStart w:id="697" w:name="_Toc152042366"/>
      <w:bookmarkStart w:id="698" w:name="_Toc152045589"/>
      <w:bookmarkStart w:id="699" w:name="_Toc506107324"/>
      <w:bookmarkStart w:id="700" w:name="_Toc247085747"/>
      <w:r>
        <w:rPr>
          <w:rFonts w:ascii="宋体" w:hAnsi="宋体" w:eastAsia="宋体" w:cs="宋体"/>
          <w:color w:val="auto"/>
          <w:highlight w:val="none"/>
        </w:rPr>
        <w:t xml:space="preserve">1. </w:t>
      </w:r>
      <w:r>
        <w:rPr>
          <w:rFonts w:hint="eastAsia" w:ascii="宋体" w:hAnsi="宋体" w:eastAsia="宋体" w:cs="宋体"/>
          <w:color w:val="auto"/>
          <w:highlight w:val="none"/>
        </w:rPr>
        <w:t>评标方法</w:t>
      </w:r>
      <w:bookmarkEnd w:id="688"/>
      <w:bookmarkEnd w:id="689"/>
      <w:bookmarkEnd w:id="690"/>
      <w:bookmarkEnd w:id="691"/>
      <w:bookmarkEnd w:id="692"/>
      <w:bookmarkEnd w:id="693"/>
      <w:bookmarkEnd w:id="694"/>
      <w:bookmarkEnd w:id="695"/>
      <w:bookmarkEnd w:id="696"/>
      <w:bookmarkEnd w:id="697"/>
      <w:bookmarkEnd w:id="698"/>
      <w:bookmarkEnd w:id="699"/>
      <w:bookmarkEnd w:id="700"/>
    </w:p>
    <w:p w14:paraId="3359FEEA">
      <w:pPr>
        <w:snapToGrid w:val="0"/>
        <w:spacing w:line="440" w:lineRule="exact"/>
        <w:ind w:right="252" w:rightChars="120" w:firstLine="420" w:firstLineChars="200"/>
        <w:jc w:val="left"/>
        <w:rPr>
          <w:rFonts w:ascii="宋体" w:cs="宋体"/>
          <w:color w:val="auto"/>
          <w:szCs w:val="21"/>
          <w:highlight w:val="none"/>
        </w:rPr>
      </w:pPr>
      <w:bookmarkStart w:id="701" w:name="_Toc324404873"/>
      <w:bookmarkStart w:id="702" w:name="_Toc179632608"/>
      <w:bookmarkStart w:id="703" w:name="_Toc246996976"/>
      <w:bookmarkStart w:id="704" w:name="_Toc152042367"/>
      <w:bookmarkStart w:id="705" w:name="_Toc246996233"/>
      <w:bookmarkStart w:id="706" w:name="_Toc152045590"/>
      <w:bookmarkStart w:id="707" w:name="_Toc144974557"/>
      <w:bookmarkStart w:id="708" w:name="_Toc296602478"/>
      <w:bookmarkStart w:id="709" w:name="_Toc247085748"/>
      <w:r>
        <w:rPr>
          <w:rFonts w:hint="eastAsia" w:ascii="宋体" w:hAnsi="宋体" w:cs="宋体"/>
          <w:color w:val="auto"/>
          <w:szCs w:val="21"/>
          <w:highlight w:val="none"/>
        </w:rPr>
        <w:t>本次评标采用综合评</w:t>
      </w:r>
      <w:r>
        <w:rPr>
          <w:rFonts w:hint="eastAsia" w:ascii="宋体" w:hAnsi="宋体" w:cs="宋体"/>
          <w:color w:val="auto"/>
          <w:szCs w:val="21"/>
          <w:highlight w:val="none"/>
          <w:lang w:val="en-US" w:eastAsia="zh-CN"/>
        </w:rPr>
        <w:t>分</w:t>
      </w:r>
      <w:r>
        <w:rPr>
          <w:rFonts w:hint="eastAsia" w:ascii="宋体" w:hAnsi="宋体" w:cs="宋体"/>
          <w:color w:val="auto"/>
          <w:szCs w:val="21"/>
          <w:highlight w:val="none"/>
        </w:rPr>
        <w:t>法。评标委员会对满足招标文件实质性要求的投标文件，按照本章规定的评分标准进行打分，并按总得分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资信及商务得分之和</w:t>
      </w:r>
      <w:r>
        <w:rPr>
          <w:rFonts w:hint="eastAsia" w:ascii="宋体" w:hAnsi="宋体" w:cs="宋体"/>
          <w:color w:val="auto"/>
          <w:szCs w:val="21"/>
          <w:highlight w:val="none"/>
          <w:lang w:eastAsia="zh-CN"/>
        </w:rPr>
        <w:t>）</w:t>
      </w:r>
      <w:r>
        <w:rPr>
          <w:rFonts w:hint="eastAsia" w:ascii="宋体" w:hAnsi="宋体" w:cs="宋体"/>
          <w:color w:val="auto"/>
          <w:szCs w:val="21"/>
          <w:highlight w:val="none"/>
        </w:rPr>
        <w:t>由高到低顺序推荐中标候选人应当不超过</w:t>
      </w:r>
      <w:r>
        <w:rPr>
          <w:rFonts w:ascii="宋体" w:hAnsi="宋体" w:cs="宋体"/>
          <w:color w:val="auto"/>
          <w:szCs w:val="21"/>
          <w:highlight w:val="none"/>
        </w:rPr>
        <w:t>3</w:t>
      </w:r>
      <w:r>
        <w:rPr>
          <w:rFonts w:hint="eastAsia" w:ascii="宋体" w:hAnsi="宋体" w:cs="宋体"/>
          <w:color w:val="auto"/>
          <w:szCs w:val="21"/>
          <w:highlight w:val="none"/>
        </w:rPr>
        <w:t>名，并标明排序（本项目推荐</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名中标候选人），但投标报价低于其成本的除外。总评分相等时，以投标报价低的优先；若投标报价也相等，由招标人或评标委员会主任委员抽签确定。</w:t>
      </w:r>
      <w:r>
        <w:rPr>
          <w:rFonts w:ascii="宋体" w:hAnsi="宋体" w:cs="宋体"/>
          <w:color w:val="auto"/>
          <w:szCs w:val="21"/>
          <w:highlight w:val="none"/>
        </w:rPr>
        <w:t xml:space="preserve"> </w:t>
      </w:r>
    </w:p>
    <w:p w14:paraId="29058AC2">
      <w:pPr>
        <w:snapToGrid w:val="0"/>
        <w:spacing w:line="440" w:lineRule="exact"/>
        <w:ind w:right="252" w:rightChars="120" w:firstLine="420" w:firstLineChars="200"/>
        <w:jc w:val="left"/>
        <w:rPr>
          <w:rFonts w:hint="eastAsia" w:ascii="宋体" w:hAnsi="宋体" w:cs="宋体"/>
          <w:color w:val="auto"/>
          <w:szCs w:val="21"/>
          <w:highlight w:val="none"/>
        </w:rPr>
      </w:pPr>
      <w:bookmarkStart w:id="710" w:name="_Toc506107325"/>
      <w:bookmarkStart w:id="711" w:name="_Toc15058914"/>
      <w:bookmarkStart w:id="712" w:name="_Toc35425114"/>
      <w:bookmarkStart w:id="713" w:name="_Toc11945"/>
      <w:bookmarkStart w:id="714" w:name="_Toc35424948"/>
      <w:r>
        <w:rPr>
          <w:rFonts w:hint="eastAsia" w:ascii="宋体" w:hAnsi="宋体" w:cs="宋体"/>
          <w:color w:val="auto"/>
          <w:szCs w:val="21"/>
          <w:highlight w:val="none"/>
        </w:rPr>
        <w:t>在专家评审结束后，根据评标委员会评审初步结论，由项目单位（代理机构）对预中标候选人、法定代表人及其项目</w:t>
      </w:r>
      <w:r>
        <w:rPr>
          <w:rFonts w:hint="eastAsia" w:ascii="宋体" w:hAnsi="宋体" w:cs="宋体"/>
          <w:color w:val="auto"/>
          <w:szCs w:val="21"/>
          <w:highlight w:val="none"/>
          <w:lang w:val="en-US" w:eastAsia="zh-CN"/>
        </w:rPr>
        <w:t>负责人</w:t>
      </w:r>
      <w:r>
        <w:rPr>
          <w:rFonts w:hint="eastAsia" w:ascii="宋体" w:hAnsi="宋体" w:cs="宋体"/>
          <w:color w:val="auto"/>
          <w:szCs w:val="21"/>
          <w:highlight w:val="none"/>
        </w:rPr>
        <w:t>是否存在</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值。</w:t>
      </w:r>
    </w:p>
    <w:p w14:paraId="2E05E5B1">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2.</w:t>
      </w:r>
      <w:r>
        <w:rPr>
          <w:rFonts w:hint="eastAsia" w:ascii="宋体" w:hAnsi="宋体" w:eastAsia="宋体" w:cs="宋体"/>
          <w:color w:val="auto"/>
          <w:highlight w:val="none"/>
        </w:rPr>
        <w:t>评标委员会的职责</w:t>
      </w:r>
      <w:bookmarkEnd w:id="701"/>
      <w:bookmarkEnd w:id="710"/>
      <w:bookmarkEnd w:id="711"/>
      <w:bookmarkEnd w:id="712"/>
      <w:bookmarkEnd w:id="713"/>
      <w:bookmarkEnd w:id="714"/>
    </w:p>
    <w:p w14:paraId="3D0C1577">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42361F9">
      <w:pPr>
        <w:pStyle w:val="3"/>
        <w:ind w:firstLine="420" w:firstLineChars="200"/>
        <w:rPr>
          <w:rFonts w:eastAsia="宋体"/>
          <w:color w:val="auto"/>
          <w:highlight w:val="none"/>
        </w:rPr>
      </w:pPr>
      <w:r>
        <w:rPr>
          <w:rFonts w:hint="eastAsia" w:ascii="宋体" w:hAnsi="宋体" w:eastAsia="宋体" w:cs="宋体"/>
          <w:b w:val="0"/>
          <w:bCs w:val="0"/>
          <w:color w:val="auto"/>
          <w:szCs w:val="21"/>
          <w:highlight w:val="none"/>
        </w:rPr>
        <w:t>评标委员会应加强对报价合理性审查。评标评审委员会认为投标人的报价明显低于其他通过符合性审查投标人的报价，有可能影响项目质量或者不能诚信履约的，应当要求其线上远程在开标大厅合理的时间内提供书面说明，必要时提交相关证明材料；投标人不能证明其报价合理性的，评标评审委员会应当将其作为无效投标处理。</w:t>
      </w:r>
    </w:p>
    <w:p w14:paraId="395DBF2B">
      <w:pPr>
        <w:pStyle w:val="3"/>
        <w:spacing w:beforeLines="50" w:afterLines="50"/>
        <w:ind w:firstLine="422" w:firstLineChars="200"/>
        <w:rPr>
          <w:rFonts w:ascii="宋体" w:hAnsi="宋体" w:eastAsia="宋体" w:cs="宋体"/>
          <w:color w:val="auto"/>
          <w:highlight w:val="none"/>
        </w:rPr>
      </w:pPr>
      <w:bookmarkStart w:id="715" w:name="_Toc35425115"/>
      <w:bookmarkStart w:id="716" w:name="_Toc35424949"/>
      <w:bookmarkStart w:id="717" w:name="_Toc506107326"/>
      <w:bookmarkStart w:id="718" w:name="_Toc324404874"/>
      <w:bookmarkStart w:id="719" w:name="_Toc17377"/>
      <w:bookmarkStart w:id="720" w:name="_Toc15058915"/>
      <w:r>
        <w:rPr>
          <w:rFonts w:ascii="宋体" w:hAnsi="宋体" w:eastAsia="宋体" w:cs="宋体"/>
          <w:color w:val="auto"/>
          <w:highlight w:val="none"/>
        </w:rPr>
        <w:t>3.</w:t>
      </w:r>
      <w:r>
        <w:rPr>
          <w:rFonts w:hint="eastAsia" w:ascii="宋体" w:hAnsi="宋体" w:eastAsia="宋体" w:cs="宋体"/>
          <w:color w:val="auto"/>
          <w:highlight w:val="none"/>
        </w:rPr>
        <w:t>评标程序</w:t>
      </w:r>
      <w:bookmarkEnd w:id="715"/>
      <w:bookmarkEnd w:id="716"/>
      <w:bookmarkEnd w:id="717"/>
      <w:bookmarkEnd w:id="718"/>
      <w:bookmarkEnd w:id="719"/>
      <w:bookmarkEnd w:id="720"/>
    </w:p>
    <w:p w14:paraId="162DE280">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评标先做准备工作，先进行资信评审，再进行商务标评审。</w:t>
      </w:r>
    </w:p>
    <w:p w14:paraId="06962B61">
      <w:pPr>
        <w:pStyle w:val="3"/>
        <w:ind w:firstLine="422" w:firstLineChars="200"/>
        <w:rPr>
          <w:rFonts w:ascii="宋体" w:hAnsi="宋体" w:eastAsia="宋体" w:cs="宋体"/>
          <w:color w:val="auto"/>
          <w:highlight w:val="none"/>
        </w:rPr>
      </w:pPr>
      <w:bookmarkStart w:id="721" w:name="_Toc35425116"/>
      <w:bookmarkStart w:id="722" w:name="_Toc15058916"/>
      <w:bookmarkStart w:id="723" w:name="_Toc35424950"/>
      <w:bookmarkStart w:id="724" w:name="_Toc27389"/>
      <w:r>
        <w:rPr>
          <w:rFonts w:ascii="宋体" w:hAnsi="宋体" w:eastAsia="宋体" w:cs="宋体"/>
          <w:color w:val="auto"/>
          <w:highlight w:val="none"/>
        </w:rPr>
        <w:t>3.1</w:t>
      </w:r>
      <w:r>
        <w:rPr>
          <w:rFonts w:hint="eastAsia" w:ascii="宋体" w:hAnsi="宋体" w:eastAsia="宋体" w:cs="宋体"/>
          <w:color w:val="auto"/>
          <w:highlight w:val="none"/>
        </w:rPr>
        <w:t>评标准备工作</w:t>
      </w:r>
      <w:bookmarkEnd w:id="721"/>
      <w:bookmarkEnd w:id="722"/>
      <w:bookmarkEnd w:id="723"/>
      <w:bookmarkEnd w:id="724"/>
    </w:p>
    <w:p w14:paraId="7FA65F3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评标委员会熟悉评标工作情况：</w:t>
      </w:r>
    </w:p>
    <w:p w14:paraId="67B5FD4B">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）阅读由招标人或者其委托的工程代理机构编制的招标项目情况材料。</w:t>
      </w:r>
    </w:p>
    <w:p w14:paraId="613E9BAA">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）阅读、研究招标文件和相关评标资料，获取评标所需要的重要信息和数据，至少应了解和熟悉以下内容：招标项目的范围和性质，招标文件规定的主要技术要求、标准和商务条款。</w:t>
      </w:r>
    </w:p>
    <w:p w14:paraId="43BA5398">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）熟悉招标文件规定的评标标准和评标方法及在评标过程中需要考虑的相关因素。</w:t>
      </w:r>
    </w:p>
    <w:p w14:paraId="128D4DD8">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）核对评标工作用表。</w:t>
      </w:r>
    </w:p>
    <w:p w14:paraId="52425833">
      <w:pPr>
        <w:pStyle w:val="3"/>
        <w:ind w:firstLine="422" w:firstLineChars="200"/>
        <w:rPr>
          <w:rFonts w:ascii="宋体" w:hAnsi="宋体" w:eastAsia="宋体" w:cs="宋体"/>
          <w:color w:val="auto"/>
          <w:highlight w:val="none"/>
        </w:rPr>
      </w:pPr>
      <w:bookmarkStart w:id="725" w:name="_Toc15058918"/>
      <w:bookmarkStart w:id="726" w:name="_Toc35424952"/>
      <w:bookmarkStart w:id="727" w:name="_Toc35425118"/>
      <w:bookmarkStart w:id="728" w:name="_Toc17468"/>
      <w:bookmarkStart w:id="729" w:name="_Toc11990"/>
      <w:bookmarkStart w:id="730" w:name="_Toc35425120"/>
      <w:bookmarkStart w:id="731" w:name="_Toc15058919"/>
      <w:bookmarkStart w:id="732" w:name="_Toc12200"/>
      <w:bookmarkStart w:id="733" w:name="_Toc506107327"/>
      <w:bookmarkStart w:id="734" w:name="_Toc324404875"/>
      <w:bookmarkStart w:id="735" w:name="_Toc35424954"/>
      <w:r>
        <w:rPr>
          <w:rFonts w:ascii="宋体" w:hAnsi="宋体" w:eastAsia="宋体" w:cs="宋体"/>
          <w:color w:val="auto"/>
          <w:highlight w:val="none"/>
        </w:rPr>
        <w:t>3.</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商务标评审</w:t>
      </w:r>
      <w:bookmarkEnd w:id="725"/>
      <w:bookmarkEnd w:id="726"/>
      <w:bookmarkEnd w:id="727"/>
      <w:bookmarkEnd w:id="728"/>
      <w:bookmarkEnd w:id="729"/>
    </w:p>
    <w:p w14:paraId="5107E762">
      <w:pPr>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详见商务标评审表。</w:t>
      </w:r>
    </w:p>
    <w:p w14:paraId="535F87D6">
      <w:pPr>
        <w:spacing w:line="440" w:lineRule="exact"/>
        <w:ind w:firstLine="422" w:firstLineChars="200"/>
        <w:rPr>
          <w:rFonts w:ascii="宋体" w:cs="宋体"/>
          <w:color w:val="auto"/>
          <w:szCs w:val="21"/>
          <w:highlight w:val="none"/>
        </w:rPr>
      </w:pPr>
      <w:bookmarkStart w:id="736" w:name="_Toc26895"/>
      <w:bookmarkStart w:id="737" w:name="_Toc18087"/>
      <w:bookmarkStart w:id="738" w:name="_Toc35424953"/>
      <w:bookmarkStart w:id="739" w:name="_Toc35425119"/>
      <w:r>
        <w:rPr>
          <w:rStyle w:val="66"/>
          <w:rFonts w:ascii="宋体" w:hAnsi="宋体" w:eastAsia="宋体" w:cs="宋体"/>
          <w:bCs/>
          <w:color w:val="auto"/>
          <w:sz w:val="21"/>
          <w:szCs w:val="32"/>
          <w:highlight w:val="none"/>
        </w:rPr>
        <w:t>3.</w:t>
      </w:r>
      <w:r>
        <w:rPr>
          <w:rStyle w:val="66"/>
          <w:rFonts w:hint="eastAsia" w:ascii="宋体" w:hAnsi="宋体" w:cs="宋体"/>
          <w:bCs/>
          <w:color w:val="auto"/>
          <w:sz w:val="21"/>
          <w:szCs w:val="32"/>
          <w:highlight w:val="none"/>
          <w:lang w:val="en-US"/>
        </w:rPr>
        <w:t>3</w:t>
      </w:r>
      <w:r>
        <w:rPr>
          <w:rStyle w:val="66"/>
          <w:rFonts w:hint="eastAsia" w:ascii="宋体" w:hAnsi="宋体" w:eastAsia="宋体" w:cs="宋体"/>
          <w:bCs/>
          <w:color w:val="auto"/>
          <w:sz w:val="21"/>
          <w:szCs w:val="32"/>
          <w:highlight w:val="none"/>
        </w:rPr>
        <w:t>推荐中标候选人</w:t>
      </w:r>
      <w:bookmarkEnd w:id="736"/>
      <w:bookmarkEnd w:id="737"/>
      <w:bookmarkEnd w:id="738"/>
      <w:bookmarkEnd w:id="739"/>
      <w:r>
        <w:rPr>
          <w:rFonts w:hint="eastAsia" w:ascii="宋体" w:hAnsi="宋体" w:cs="宋体"/>
          <w:b/>
          <w:bCs/>
          <w:color w:val="auto"/>
          <w:highlight w:val="none"/>
        </w:rPr>
        <w:t>：</w:t>
      </w:r>
      <w:r>
        <w:rPr>
          <w:rFonts w:hint="eastAsia" w:ascii="宋体" w:hAnsi="宋体" w:cs="宋体"/>
          <w:color w:val="auto"/>
          <w:highlight w:val="none"/>
        </w:rPr>
        <w:t>资信评审、商务标评审后，推荐</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2</w:t>
      </w:r>
      <w:r>
        <w:rPr>
          <w:rFonts w:ascii="宋体" w:hAnsi="宋体" w:cs="宋体"/>
          <w:color w:val="auto"/>
          <w:highlight w:val="none"/>
          <w:u w:val="single"/>
        </w:rPr>
        <w:t xml:space="preserve"> </w:t>
      </w:r>
      <w:r>
        <w:rPr>
          <w:rFonts w:hint="eastAsia" w:ascii="宋体" w:hAnsi="宋体" w:cs="宋体"/>
          <w:color w:val="auto"/>
          <w:highlight w:val="none"/>
        </w:rPr>
        <w:t>名中标候选人，并标明排序。</w:t>
      </w:r>
    </w:p>
    <w:p w14:paraId="26D4C089">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4.</w:t>
      </w:r>
      <w:r>
        <w:rPr>
          <w:rFonts w:hint="eastAsia" w:ascii="宋体" w:hAnsi="宋体" w:eastAsia="宋体" w:cs="宋体"/>
          <w:color w:val="auto"/>
          <w:highlight w:val="none"/>
        </w:rPr>
        <w:t>评审内容</w:t>
      </w:r>
      <w:bookmarkEnd w:id="730"/>
      <w:bookmarkEnd w:id="731"/>
      <w:bookmarkEnd w:id="732"/>
      <w:bookmarkEnd w:id="733"/>
      <w:bookmarkEnd w:id="734"/>
      <w:bookmarkEnd w:id="735"/>
    </w:p>
    <w:p w14:paraId="5BD226A1">
      <w:pPr>
        <w:pStyle w:val="3"/>
        <w:ind w:firstLine="422" w:firstLineChars="200"/>
        <w:rPr>
          <w:rFonts w:ascii="宋体" w:hAnsi="宋体" w:eastAsia="宋体" w:cs="宋体"/>
          <w:color w:val="auto"/>
          <w:highlight w:val="none"/>
        </w:rPr>
      </w:pPr>
      <w:bookmarkStart w:id="740" w:name="_Toc35425122"/>
      <w:bookmarkStart w:id="741" w:name="_Toc15058921"/>
      <w:bookmarkStart w:id="742" w:name="_Toc3531"/>
      <w:bookmarkStart w:id="743" w:name="_Toc35424956"/>
      <w:bookmarkStart w:id="744" w:name="_Toc324404876"/>
      <w:r>
        <w:rPr>
          <w:rFonts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商务标评审</w:t>
      </w:r>
      <w:bookmarkEnd w:id="740"/>
      <w:bookmarkEnd w:id="741"/>
      <w:bookmarkEnd w:id="742"/>
      <w:bookmarkEnd w:id="743"/>
    </w:p>
    <w:p w14:paraId="460E193A">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只有通过</w:t>
      </w:r>
      <w:r>
        <w:rPr>
          <w:rFonts w:hint="eastAsia" w:ascii="宋体" w:hAnsi="宋体" w:cs="宋体"/>
          <w:color w:val="auto"/>
          <w:highlight w:val="none"/>
          <w:lang w:val="en-US" w:eastAsia="zh-CN"/>
        </w:rPr>
        <w:t>资信</w:t>
      </w:r>
      <w:r>
        <w:rPr>
          <w:rFonts w:hint="eastAsia" w:ascii="宋体" w:hAnsi="宋体" w:cs="宋体"/>
          <w:color w:val="auto"/>
          <w:highlight w:val="none"/>
        </w:rPr>
        <w:t>标评审的投标才能够进入本阶段评审。</w:t>
      </w:r>
    </w:p>
    <w:p w14:paraId="759E2895">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.1</w:t>
      </w:r>
      <w:r>
        <w:rPr>
          <w:rFonts w:hint="eastAsia" w:ascii="宋体" w:hAnsi="宋体" w:cs="宋体"/>
          <w:color w:val="auto"/>
          <w:highlight w:val="none"/>
        </w:rPr>
        <w:t>形式性评审标准：见商务标评审表。</w:t>
      </w:r>
    </w:p>
    <w:p w14:paraId="3FF6A293">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.2</w:t>
      </w:r>
      <w:r>
        <w:rPr>
          <w:rFonts w:hint="eastAsia" w:ascii="宋体" w:hAnsi="宋体" w:cs="宋体"/>
          <w:color w:val="auto"/>
          <w:highlight w:val="none"/>
        </w:rPr>
        <w:t>响应性评审标准：见商务标评审表。</w:t>
      </w:r>
    </w:p>
    <w:p w14:paraId="5E0EA2BD">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评标委员会依据上述标准对投标文件进行初步评审。有一项不符合评审标准的，作无效投标处理。</w:t>
      </w:r>
    </w:p>
    <w:p w14:paraId="7030A2A2">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.3</w:t>
      </w:r>
      <w:r>
        <w:rPr>
          <w:rFonts w:hint="eastAsia" w:ascii="宋体" w:hAnsi="宋体" w:cs="宋体"/>
          <w:color w:val="auto"/>
          <w:highlight w:val="none"/>
        </w:rPr>
        <w:t>投标报价评审</w:t>
      </w:r>
    </w:p>
    <w:p w14:paraId="36878096">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2D92BF87">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.4</w:t>
      </w:r>
      <w:r>
        <w:rPr>
          <w:rFonts w:hint="eastAsia" w:ascii="宋体" w:hAnsi="宋体" w:cs="宋体"/>
          <w:color w:val="auto"/>
          <w:highlight w:val="none"/>
        </w:rPr>
        <w:t>评标委员会审查投标文件，投标报价有错误的，评标委员会按以下原则对投标报价进行修正。</w:t>
      </w:r>
    </w:p>
    <w:p w14:paraId="69CD9CA0">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）投标文件中的大写金额与小写金额不一致的，以大写金额为准。</w:t>
      </w:r>
    </w:p>
    <w:p w14:paraId="19408AF1">
      <w:pPr>
        <w:spacing w:line="440" w:lineRule="exact"/>
        <w:ind w:firstLine="420" w:firstLineChars="200"/>
        <w:jc w:val="left"/>
        <w:rPr>
          <w:rFonts w:ascii="宋体" w:cs="宋体"/>
          <w:color w:val="auto"/>
          <w:szCs w:val="21"/>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）总价金额与依据单价计算出的结果不一致的，以单价金额为准修正总价，但单价金额小数点有明显错误的除外。</w:t>
      </w:r>
    </w:p>
    <w:p w14:paraId="69EC30C5">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2474DDA7">
      <w:pPr>
        <w:pStyle w:val="3"/>
        <w:spacing w:beforeLines="50" w:afterLines="50"/>
        <w:ind w:firstLine="422" w:firstLineChars="200"/>
        <w:rPr>
          <w:rFonts w:ascii="宋体" w:hAnsi="宋体" w:eastAsia="宋体" w:cs="宋体"/>
          <w:color w:val="auto"/>
          <w:highlight w:val="none"/>
        </w:rPr>
      </w:pPr>
      <w:bookmarkStart w:id="745" w:name="_Toc35424957"/>
      <w:bookmarkStart w:id="746" w:name="_Toc15058922"/>
      <w:bookmarkStart w:id="747" w:name="_Toc35425123"/>
      <w:bookmarkStart w:id="748" w:name="_Toc13125"/>
      <w:bookmarkStart w:id="749" w:name="_Toc506107328"/>
      <w:r>
        <w:rPr>
          <w:rFonts w:ascii="宋体" w:hAnsi="宋体" w:eastAsia="宋体" w:cs="宋体"/>
          <w:color w:val="auto"/>
          <w:highlight w:val="none"/>
        </w:rPr>
        <w:t>5.</w:t>
      </w:r>
      <w:r>
        <w:rPr>
          <w:rFonts w:hint="eastAsia" w:ascii="宋体" w:hAnsi="宋体" w:eastAsia="宋体" w:cs="宋体"/>
          <w:color w:val="auto"/>
          <w:highlight w:val="none"/>
        </w:rPr>
        <w:t>无效投标条款</w:t>
      </w:r>
      <w:bookmarkEnd w:id="744"/>
      <w:bookmarkEnd w:id="745"/>
      <w:bookmarkEnd w:id="746"/>
      <w:bookmarkEnd w:id="747"/>
      <w:bookmarkEnd w:id="748"/>
      <w:bookmarkEnd w:id="749"/>
    </w:p>
    <w:p w14:paraId="3F508E39">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投标人存在下列情形的招标人将拒收投标文件：</w:t>
      </w:r>
    </w:p>
    <w:p w14:paraId="29876DA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）未在投标截止时间前通过网上招标投标系统递交有效电子投标文件的，开标系统不予接收，投标将被拒绝。</w:t>
      </w:r>
    </w:p>
    <w:p w14:paraId="56F435BB">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代理公司原因或网上平台发生故障，导致无法按时完成投标文件解密的，经代理公司申请后可延迟解密时间】。</w:t>
      </w:r>
    </w:p>
    <w:p w14:paraId="0C15B2D4">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投标人有下列情形的，经评审后其投标作无效投标处理无效投标：</w:t>
      </w:r>
    </w:p>
    <w:p w14:paraId="2B3CB1B5">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2</w:t>
      </w:r>
      <w:r>
        <w:rPr>
          <w:rFonts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商标评审</w:t>
      </w:r>
    </w:p>
    <w:p w14:paraId="1C27ABE4">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评标委员会依据《商务标评审表》进行形式性评审和响应性评审。有一项不符合评审标准的，做无效投标处理；</w:t>
      </w:r>
    </w:p>
    <w:p w14:paraId="29F4F533">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622BAAFE">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1C890005">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）按第三章《评标方法》</w:t>
      </w:r>
      <w:r>
        <w:rPr>
          <w:rFonts w:ascii="宋体" w:hAnsi="宋体" w:cs="宋体"/>
          <w:color w:val="auto"/>
          <w:szCs w:val="21"/>
          <w:highlight w:val="none"/>
        </w:rPr>
        <w:t>4.</w:t>
      </w:r>
      <w:r>
        <w:rPr>
          <w:rFonts w:hint="eastAsia" w:ascii="宋体" w:hAnsi="宋体" w:cs="宋体"/>
          <w:color w:val="auto"/>
          <w:szCs w:val="21"/>
          <w:highlight w:val="none"/>
          <w:lang w:val="en-US" w:eastAsia="zh-CN"/>
        </w:rPr>
        <w:t>1</w:t>
      </w:r>
      <w:r>
        <w:rPr>
          <w:rFonts w:ascii="宋体" w:hAnsi="宋体" w:cs="宋体"/>
          <w:color w:val="auto"/>
          <w:szCs w:val="21"/>
          <w:highlight w:val="none"/>
        </w:rPr>
        <w:t>.4</w:t>
      </w:r>
      <w:r>
        <w:rPr>
          <w:rFonts w:hint="eastAsia" w:ascii="宋体" w:hAnsi="宋体" w:cs="宋体"/>
          <w:color w:val="auto"/>
          <w:szCs w:val="21"/>
          <w:highlight w:val="none"/>
        </w:rPr>
        <w:t>条款修正错误的原则及方法调整或修正投标文件的投标报价，调整或修正的价格经投标人书面确认后具有约束力。投标人不接修正价格的，其投标将被拒绝。</w:t>
      </w:r>
    </w:p>
    <w:p w14:paraId="602FCE6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章“投标人须知”第</w:t>
      </w:r>
      <w:r>
        <w:rPr>
          <w:rFonts w:ascii="宋体" w:hAnsi="宋体" w:cs="宋体"/>
          <w:color w:val="auto"/>
          <w:szCs w:val="21"/>
          <w:highlight w:val="none"/>
        </w:rPr>
        <w:t>1.4.2,1.4.3</w:t>
      </w:r>
      <w:r>
        <w:rPr>
          <w:rFonts w:hint="eastAsia" w:ascii="宋体" w:hAnsi="宋体" w:cs="宋体"/>
          <w:color w:val="auto"/>
          <w:szCs w:val="21"/>
          <w:highlight w:val="none"/>
        </w:rPr>
        <w:t>条规定的任何一种情形的。</w:t>
      </w:r>
    </w:p>
    <w:p w14:paraId="73CE67A0">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）投标人有串通投标、弄虚作假、行贿等违法行为。</w:t>
      </w:r>
    </w:p>
    <w:p w14:paraId="4212004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）投标文件没有对招标文件的实质性要求和条件作出响应。</w:t>
      </w:r>
    </w:p>
    <w:p w14:paraId="48B2112A">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w:t>
      </w:r>
      <w:r>
        <w:rPr>
          <w:rFonts w:hint="eastAsia" w:ascii="宋体" w:hAnsi="宋体" w:eastAsia="宋体" w:cs="宋体"/>
          <w:color w:val="auto"/>
          <w:szCs w:val="21"/>
          <w:highlight w:val="none"/>
        </w:rPr>
        <w:t>未按规定的格式填写导致实质性内容不全以及实质上不响应，或者关键字迹模糊、无法辨认；经公共资源交易监督部门核准的。</w:t>
      </w:r>
    </w:p>
    <w:p w14:paraId="4CB6622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）同一投标人提交两个以上不同的投标文件或者投标报价，但招标文件规定提交备选投标的除外。</w:t>
      </w:r>
    </w:p>
    <w:p w14:paraId="320CC6BE">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）投标文件中存在招标人不能接受的其他实质性条件。</w:t>
      </w:r>
    </w:p>
    <w:p w14:paraId="698CCFBA">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）投标文件中填报的拟任项目负责人与资格审查通过的项目负责人前后不一致的。</w:t>
      </w:r>
    </w:p>
    <w:p w14:paraId="14D540D2">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10</w:t>
      </w:r>
      <w:r>
        <w:rPr>
          <w:rFonts w:hint="eastAsia" w:ascii="宋体" w:hAnsi="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7CE516F6">
      <w:pPr>
        <w:spacing w:line="440" w:lineRule="exact"/>
        <w:ind w:firstLine="420" w:firstLineChars="200"/>
        <w:jc w:val="left"/>
        <w:rPr>
          <w:rFonts w:ascii="宋体" w:hAnsi="宋体" w:cs="宋体"/>
          <w:color w:val="auto"/>
          <w:szCs w:val="21"/>
          <w:highlight w:val="none"/>
        </w:rPr>
      </w:pPr>
      <w:bookmarkStart w:id="750" w:name="_Toc506107329"/>
      <w:bookmarkStart w:id="751" w:name="_Toc324404877"/>
      <w:bookmarkStart w:id="752" w:name="_Toc15058923"/>
      <w:bookmarkStart w:id="753" w:name="_Toc35424958"/>
      <w:bookmarkStart w:id="754" w:name="_Toc27846"/>
      <w:bookmarkStart w:id="755" w:name="_Toc35425124"/>
      <w:r>
        <w:rPr>
          <w:rFonts w:hint="eastAsia" w:ascii="宋体" w:hAnsi="宋体" w:cs="宋体"/>
          <w:color w:val="auto"/>
          <w:szCs w:val="21"/>
          <w:highlight w:val="none"/>
        </w:rPr>
        <w:t>（11）投标人投标MAC地址一致。</w:t>
      </w:r>
    </w:p>
    <w:p w14:paraId="32FE322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（12）投标人申请开具电子保函MAC地址一致。</w:t>
      </w:r>
    </w:p>
    <w:p w14:paraId="7E2E6EE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（13）投标人单方面出现其他投标人材料。</w:t>
      </w:r>
    </w:p>
    <w:p w14:paraId="115BF71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（14）评标时查询投标文件制作机器码、文件创建标识码及造价软件加密锁号。若存在投标文件制作机器码或创建标识码或造价软件加密锁号信息与其他投标人雷同的，投标无效。</w:t>
      </w:r>
    </w:p>
    <w:p w14:paraId="5EAFD545">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15）</w:t>
      </w:r>
      <w:r>
        <w:rPr>
          <w:rFonts w:hint="eastAsia"/>
          <w:bCs/>
          <w:color w:val="auto"/>
          <w:sz w:val="21"/>
          <w:szCs w:val="21"/>
          <w:highlight w:val="none"/>
          <w:shd w:val="clear" w:color="auto" w:fill="FFFFFF"/>
        </w:rPr>
        <w:t>投标人联系人或联系电话</w:t>
      </w:r>
      <w:r>
        <w:rPr>
          <w:rFonts w:hint="eastAsia"/>
          <w:bCs/>
          <w:color w:val="auto"/>
          <w:sz w:val="21"/>
          <w:szCs w:val="21"/>
          <w:highlight w:val="none"/>
          <w:shd w:val="clear" w:color="auto" w:fill="FFFFFF"/>
          <w:lang w:val="en-US" w:eastAsia="zh-CN"/>
        </w:rPr>
        <w:t>相同的</w:t>
      </w:r>
      <w:r>
        <w:rPr>
          <w:rFonts w:hint="eastAsia"/>
          <w:bCs/>
          <w:color w:val="auto"/>
          <w:sz w:val="21"/>
          <w:szCs w:val="21"/>
          <w:highlight w:val="none"/>
          <w:shd w:val="clear" w:color="auto" w:fill="FFFFFF"/>
          <w:lang w:eastAsia="zh-CN"/>
        </w:rPr>
        <w:t>。</w:t>
      </w:r>
    </w:p>
    <w:p w14:paraId="2CC5DD9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）法律、法规规定的其他情形。</w:t>
      </w:r>
    </w:p>
    <w:p w14:paraId="5A719D77">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6.</w:t>
      </w:r>
      <w:r>
        <w:rPr>
          <w:rFonts w:hint="eastAsia" w:ascii="宋体" w:hAnsi="宋体" w:eastAsia="宋体" w:cs="宋体"/>
          <w:color w:val="auto"/>
          <w:highlight w:val="none"/>
        </w:rPr>
        <w:t>投标文件的澄清和补正</w:t>
      </w:r>
      <w:bookmarkEnd w:id="750"/>
      <w:bookmarkEnd w:id="751"/>
      <w:bookmarkEnd w:id="752"/>
      <w:bookmarkEnd w:id="753"/>
      <w:bookmarkEnd w:id="754"/>
      <w:bookmarkEnd w:id="755"/>
    </w:p>
    <w:p w14:paraId="20C06797">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6.1</w:t>
      </w:r>
      <w:r>
        <w:rPr>
          <w:rFonts w:hint="eastAsia" w:ascii="宋体" w:hAnsi="宋体" w:cs="宋体"/>
          <w:color w:val="auto"/>
          <w:szCs w:val="21"/>
          <w:highlight w:val="none"/>
        </w:rPr>
        <w:t>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3AACAB74">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6.2</w:t>
      </w:r>
      <w:r>
        <w:rPr>
          <w:rFonts w:hint="eastAsia" w:ascii="宋体" w:hAnsi="宋体" w:cs="宋体"/>
          <w:color w:val="auto"/>
          <w:szCs w:val="21"/>
          <w:highlight w:val="none"/>
        </w:rPr>
        <w:t>澄清、说明和补正不得改变投标文件的实质性内容（算术性错误修正的除外）。投标人的书面澄清、说明和补正属于投标文件的组成部分。</w:t>
      </w:r>
    </w:p>
    <w:p w14:paraId="4D891585">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评标委员会对投标人提交的澄清、说明和补正有疑问的，可以要求投标人进一步澄清、说明或补正、直至满足评标委员会的要求。</w:t>
      </w:r>
    </w:p>
    <w:p w14:paraId="3EF92677">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7110E803">
      <w:pPr>
        <w:pStyle w:val="3"/>
        <w:spacing w:beforeLines="50" w:afterLines="50"/>
        <w:ind w:firstLine="422" w:firstLineChars="200"/>
        <w:rPr>
          <w:rFonts w:ascii="宋体" w:hAnsi="宋体" w:eastAsia="宋体" w:cs="宋体"/>
          <w:color w:val="auto"/>
          <w:highlight w:val="none"/>
        </w:rPr>
      </w:pPr>
      <w:bookmarkStart w:id="756" w:name="_Toc506107330"/>
      <w:bookmarkStart w:id="757" w:name="_Toc15058924"/>
      <w:bookmarkStart w:id="758" w:name="_Toc13990"/>
      <w:bookmarkStart w:id="759" w:name="_Toc35424959"/>
      <w:bookmarkStart w:id="760" w:name="_Toc324404878"/>
      <w:bookmarkStart w:id="761" w:name="_Toc35425125"/>
      <w:r>
        <w:rPr>
          <w:rFonts w:ascii="宋体" w:hAnsi="宋体" w:eastAsia="宋体" w:cs="宋体"/>
          <w:color w:val="auto"/>
          <w:highlight w:val="none"/>
        </w:rPr>
        <w:t>7.</w:t>
      </w:r>
      <w:r>
        <w:rPr>
          <w:rFonts w:hint="eastAsia" w:ascii="宋体" w:hAnsi="宋体" w:eastAsia="宋体" w:cs="宋体"/>
          <w:color w:val="auto"/>
          <w:highlight w:val="none"/>
        </w:rPr>
        <w:t>评分标准</w:t>
      </w:r>
      <w:bookmarkEnd w:id="756"/>
      <w:bookmarkEnd w:id="757"/>
      <w:bookmarkEnd w:id="758"/>
      <w:bookmarkEnd w:id="759"/>
      <w:bookmarkEnd w:id="760"/>
      <w:bookmarkEnd w:id="761"/>
    </w:p>
    <w:p w14:paraId="16EC2EA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商务标评分标准：见商务标评审表。</w:t>
      </w:r>
    </w:p>
    <w:p w14:paraId="6A679C9E">
      <w:pPr>
        <w:pStyle w:val="44"/>
        <w:keepNext w:val="0"/>
        <w:keepLines w:val="0"/>
        <w:pageBreakBefore w:val="0"/>
        <w:widowControl w:val="0"/>
        <w:kinsoku/>
        <w:wordWrap/>
        <w:overflowPunct/>
        <w:topLinePunct w:val="0"/>
        <w:autoSpaceDE/>
        <w:autoSpaceDN/>
        <w:bidi w:val="0"/>
        <w:adjustRightInd/>
        <w:snapToGrid/>
        <w:spacing w:line="440" w:lineRule="exact"/>
        <w:ind w:left="0" w:leftChars="0" w:firstLine="31680"/>
        <w:jc w:val="left"/>
        <w:textAlignment w:val="auto"/>
        <w:rPr>
          <w:rFonts w:hint="default" w:eastAsia="宋体"/>
          <w:color w:val="auto"/>
          <w:highlight w:val="none"/>
          <w:lang w:val="en-US" w:eastAsia="zh-CN"/>
        </w:rPr>
      </w:pPr>
      <w:r>
        <w:rPr>
          <w:rFonts w:hint="eastAsia" w:hAnsi="宋体" w:cs="宋体"/>
          <w:color w:val="auto"/>
          <w:szCs w:val="21"/>
          <w:highlight w:val="none"/>
        </w:rPr>
        <w:t>资信评分标准：见资信评分细则。</w:t>
      </w:r>
    </w:p>
    <w:p w14:paraId="18D2F94A">
      <w:pPr>
        <w:pStyle w:val="3"/>
        <w:spacing w:beforeLines="50" w:afterLines="50"/>
        <w:ind w:firstLine="422" w:firstLineChars="200"/>
        <w:rPr>
          <w:rFonts w:ascii="宋体" w:hAnsi="宋体" w:eastAsia="宋体" w:cs="宋体"/>
          <w:color w:val="auto"/>
          <w:highlight w:val="none"/>
        </w:rPr>
      </w:pPr>
      <w:bookmarkStart w:id="762" w:name="_Toc22863"/>
      <w:bookmarkStart w:id="763" w:name="_Toc35424960"/>
      <w:bookmarkStart w:id="764" w:name="_Toc15058925"/>
      <w:bookmarkStart w:id="765" w:name="_Toc324404879"/>
      <w:bookmarkStart w:id="766" w:name="_Toc506107331"/>
      <w:bookmarkStart w:id="767" w:name="_Toc35425126"/>
      <w:r>
        <w:rPr>
          <w:rFonts w:ascii="宋体" w:hAnsi="宋体" w:eastAsia="宋体" w:cs="宋体"/>
          <w:color w:val="auto"/>
          <w:highlight w:val="none"/>
        </w:rPr>
        <w:t>8.</w:t>
      </w:r>
      <w:r>
        <w:rPr>
          <w:rFonts w:hint="eastAsia" w:ascii="宋体" w:hAnsi="宋体" w:eastAsia="宋体" w:cs="宋体"/>
          <w:color w:val="auto"/>
          <w:highlight w:val="none"/>
        </w:rPr>
        <w:t>评审结果</w:t>
      </w:r>
      <w:bookmarkEnd w:id="762"/>
      <w:bookmarkEnd w:id="763"/>
      <w:bookmarkEnd w:id="764"/>
      <w:bookmarkEnd w:id="765"/>
      <w:bookmarkEnd w:id="766"/>
      <w:bookmarkEnd w:id="767"/>
    </w:p>
    <w:p w14:paraId="56629282">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8.1</w:t>
      </w:r>
      <w:r>
        <w:rPr>
          <w:rFonts w:hint="eastAsia" w:ascii="宋体" w:hAnsi="宋体" w:cs="宋体"/>
          <w:color w:val="auto"/>
          <w:szCs w:val="21"/>
          <w:highlight w:val="none"/>
        </w:rPr>
        <w:t>除投标人须知前附表授权直接确定中标人外，评标委员会按照总得分由高到低顺序推荐中标候选人。</w:t>
      </w:r>
    </w:p>
    <w:p w14:paraId="763B11B2">
      <w:pPr>
        <w:spacing w:line="440" w:lineRule="exact"/>
        <w:ind w:right="-168" w:rightChars="-80" w:firstLine="420" w:firstLineChars="200"/>
        <w:jc w:val="left"/>
        <w:rPr>
          <w:rFonts w:ascii="宋体" w:cs="宋体"/>
          <w:color w:val="auto"/>
          <w:szCs w:val="21"/>
          <w:highlight w:val="none"/>
        </w:rPr>
      </w:pPr>
      <w:r>
        <w:rPr>
          <w:rFonts w:ascii="宋体" w:hAnsi="宋体" w:cs="宋体"/>
          <w:color w:val="auto"/>
          <w:szCs w:val="21"/>
          <w:highlight w:val="none"/>
        </w:rPr>
        <w:t>8.2</w:t>
      </w:r>
      <w:r>
        <w:rPr>
          <w:rFonts w:hint="eastAsia" w:ascii="宋体" w:hAnsi="宋体" w:cs="宋体"/>
          <w:color w:val="auto"/>
          <w:szCs w:val="21"/>
          <w:highlight w:val="none"/>
        </w:rPr>
        <w:t>评标委员会完成评标后，应当向招标人提交书面评标报告。评标报告应当如实记载以下内容：</w:t>
      </w:r>
    </w:p>
    <w:p w14:paraId="5512173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）基本情况和数据表。</w:t>
      </w:r>
    </w:p>
    <w:p w14:paraId="014D27F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）评标委员会成员名单。</w:t>
      </w:r>
    </w:p>
    <w:p w14:paraId="454FC49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）开标记录。</w:t>
      </w:r>
    </w:p>
    <w:p w14:paraId="3BC5B313">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）符合要求的投标人一览表。</w:t>
      </w:r>
    </w:p>
    <w:p w14:paraId="6ECF785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）废标情况说明。</w:t>
      </w:r>
    </w:p>
    <w:p w14:paraId="63573845">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）评标标准、评标方法或者评标因素。</w:t>
      </w:r>
    </w:p>
    <w:p w14:paraId="702FE0B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）经评审的价格一览表。</w:t>
      </w:r>
    </w:p>
    <w:p w14:paraId="3216A574">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）经评审的投标人排序。</w:t>
      </w:r>
    </w:p>
    <w:p w14:paraId="44D9E32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）推荐的中标候选人名单与签订合同前要处理的事宜。</w:t>
      </w:r>
    </w:p>
    <w:p w14:paraId="7577E8A0">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10</w:t>
      </w:r>
      <w:r>
        <w:rPr>
          <w:rFonts w:hint="eastAsia" w:ascii="宋体" w:hAnsi="宋体" w:cs="宋体"/>
          <w:color w:val="auto"/>
          <w:szCs w:val="21"/>
          <w:highlight w:val="none"/>
        </w:rPr>
        <w:t>）澄清、说明、补正事项纪要。</w:t>
      </w:r>
    </w:p>
    <w:p w14:paraId="2A1E48AE">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8.3</w:t>
      </w:r>
      <w:r>
        <w:rPr>
          <w:rFonts w:hint="eastAsia" w:ascii="宋体" w:hAnsi="宋体" w:cs="宋体"/>
          <w:color w:val="auto"/>
          <w:szCs w:val="21"/>
          <w:highlight w:val="none"/>
        </w:rPr>
        <w:t>评标委员会推荐的中标候选人应当限定在</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rPr>
        <w:t>名。</w:t>
      </w:r>
    </w:p>
    <w:p w14:paraId="4DEA5085">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8.4</w:t>
      </w:r>
      <w:r>
        <w:rPr>
          <w:rFonts w:hint="eastAsia" w:ascii="宋体" w:hAnsi="宋体" w:cs="宋体"/>
          <w:color w:val="auto"/>
          <w:szCs w:val="21"/>
          <w:highlight w:val="none"/>
        </w:rPr>
        <w:t>招标人确定排名第一的中标候选人为中标人。第一中标候选人放弃中标、因不可抗力提出不能履行合同，或者招标文件规定应当提交履约保证金而在规定的期限内未能提交的，或者经查实其存在弄虚作假等其他违法违规行为骗取中标的，招标人将没收其投标保证金，可以确定排名第二的中标候选人</w:t>
      </w:r>
      <w:r>
        <w:rPr>
          <w:rFonts w:hint="eastAsia" w:ascii="宋体" w:hAnsi="宋体" w:cs="宋体"/>
          <w:color w:val="auto"/>
          <w:szCs w:val="21"/>
          <w:highlight w:val="none"/>
          <w:lang w:val="en-US" w:eastAsia="zh-CN"/>
        </w:rPr>
        <w:t>为中标人</w:t>
      </w:r>
      <w:r>
        <w:rPr>
          <w:rFonts w:hint="eastAsia" w:ascii="宋体" w:hAnsi="宋体" w:cs="宋体"/>
          <w:color w:val="auto"/>
          <w:szCs w:val="21"/>
          <w:highlight w:val="none"/>
        </w:rPr>
        <w:t>，以此类推，也可以依法重新组织招标。</w:t>
      </w:r>
    </w:p>
    <w:p w14:paraId="1BBF92A5">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除第一中标候选人或者中标人以外的其他投标人存在串通投标、弄虚作假、行贿情形且在评标过程中未被发现的，视为对中标结果没有造成实质性影响，招标人可以依法继续开展招标活动。</w:t>
      </w:r>
    </w:p>
    <w:p w14:paraId="345AB8F7">
      <w:pPr>
        <w:pStyle w:val="3"/>
        <w:spacing w:beforeLines="50" w:afterLines="50"/>
        <w:ind w:firstLine="422" w:firstLineChars="200"/>
        <w:rPr>
          <w:rFonts w:ascii="宋体" w:hAnsi="宋体" w:eastAsia="宋体" w:cs="宋体"/>
          <w:color w:val="auto"/>
          <w:highlight w:val="none"/>
        </w:rPr>
      </w:pPr>
      <w:bookmarkStart w:id="768" w:name="_Toc35424961"/>
      <w:bookmarkStart w:id="769" w:name="_Toc1576"/>
      <w:bookmarkStart w:id="770" w:name="_Toc506107332"/>
      <w:bookmarkStart w:id="771" w:name="_Toc324404880"/>
      <w:bookmarkStart w:id="772" w:name="_Toc15058926"/>
      <w:bookmarkStart w:id="773" w:name="_Toc35425127"/>
      <w:r>
        <w:rPr>
          <w:rFonts w:ascii="宋体" w:hAnsi="宋体" w:eastAsia="宋体" w:cs="宋体"/>
          <w:color w:val="auto"/>
          <w:highlight w:val="none"/>
        </w:rPr>
        <w:t>9.</w:t>
      </w:r>
      <w:r>
        <w:rPr>
          <w:rFonts w:hint="eastAsia" w:ascii="宋体" w:hAnsi="宋体" w:eastAsia="宋体" w:cs="宋体"/>
          <w:color w:val="auto"/>
          <w:highlight w:val="none"/>
        </w:rPr>
        <w:t>其他</w:t>
      </w:r>
      <w:bookmarkEnd w:id="768"/>
      <w:bookmarkEnd w:id="769"/>
      <w:bookmarkEnd w:id="770"/>
      <w:bookmarkEnd w:id="771"/>
      <w:bookmarkEnd w:id="772"/>
      <w:bookmarkEnd w:id="773"/>
    </w:p>
    <w:p w14:paraId="4137A666">
      <w:pPr>
        <w:spacing w:line="440" w:lineRule="exact"/>
        <w:ind w:firstLine="420" w:firstLineChars="200"/>
        <w:jc w:val="left"/>
        <w:rPr>
          <w:color w:val="auto"/>
          <w:highlight w:val="none"/>
        </w:rPr>
      </w:pPr>
      <w:r>
        <w:rPr>
          <w:rFonts w:hint="eastAsia" w:ascii="宋体" w:hAnsi="宋体" w:cs="宋体"/>
          <w:color w:val="auto"/>
          <w:szCs w:val="21"/>
          <w:highlight w:val="none"/>
        </w:rPr>
        <w:t>投标人提供的与投标文件有关的各类证书、证明、文件、资料等的真实性、合法性由投标人负全责。</w:t>
      </w:r>
      <w:bookmarkEnd w:id="702"/>
      <w:bookmarkEnd w:id="703"/>
      <w:bookmarkEnd w:id="704"/>
      <w:bookmarkEnd w:id="705"/>
      <w:bookmarkEnd w:id="706"/>
      <w:bookmarkEnd w:id="707"/>
      <w:bookmarkEnd w:id="708"/>
      <w:bookmarkEnd w:id="709"/>
      <w:bookmarkStart w:id="774" w:name="_Toc35424962"/>
      <w:bookmarkStart w:id="775" w:name="_Toc35425128"/>
      <w:bookmarkStart w:id="776" w:name="_Toc506107333"/>
      <w:bookmarkStart w:id="777" w:name="_Toc15058927"/>
      <w:bookmarkStart w:id="778" w:name="_Toc179632785"/>
      <w:bookmarkStart w:id="779" w:name="_Toc152042546"/>
      <w:bookmarkStart w:id="780" w:name="_Toc152045767"/>
      <w:bookmarkStart w:id="781" w:name="_Toc144974826"/>
    </w:p>
    <w:p w14:paraId="797899D0">
      <w:pPr>
        <w:pStyle w:val="2"/>
        <w:rPr>
          <w:color w:val="auto"/>
          <w:highlight w:val="none"/>
        </w:rPr>
      </w:pPr>
      <w:r>
        <w:rPr>
          <w:color w:val="auto"/>
          <w:highlight w:val="none"/>
        </w:rPr>
        <w:br w:type="page"/>
      </w:r>
      <w:bookmarkStart w:id="782" w:name="_Toc16404"/>
      <w:r>
        <w:rPr>
          <w:rFonts w:hint="eastAsia" w:ascii="Arial" w:hAnsi="Arial"/>
          <w:color w:val="auto"/>
          <w:kern w:val="0"/>
          <w:sz w:val="32"/>
          <w:szCs w:val="32"/>
          <w:highlight w:val="none"/>
        </w:rPr>
        <w:t>第四章</w:t>
      </w:r>
      <w:r>
        <w:rPr>
          <w:rFonts w:ascii="Arial" w:hAnsi="Arial"/>
          <w:color w:val="auto"/>
          <w:kern w:val="0"/>
          <w:sz w:val="32"/>
          <w:szCs w:val="32"/>
          <w:highlight w:val="none"/>
        </w:rPr>
        <w:t xml:space="preserve"> </w:t>
      </w:r>
      <w:r>
        <w:rPr>
          <w:rFonts w:hint="eastAsia" w:ascii="Arial" w:hAnsi="Arial"/>
          <w:color w:val="auto"/>
          <w:kern w:val="0"/>
          <w:sz w:val="32"/>
          <w:szCs w:val="32"/>
          <w:highlight w:val="none"/>
        </w:rPr>
        <w:t>合同条款及格式</w:t>
      </w:r>
      <w:bookmarkEnd w:id="774"/>
      <w:bookmarkEnd w:id="775"/>
      <w:bookmarkEnd w:id="776"/>
      <w:bookmarkEnd w:id="777"/>
      <w:bookmarkEnd w:id="782"/>
    </w:p>
    <w:bookmarkEnd w:id="778"/>
    <w:bookmarkEnd w:id="779"/>
    <w:bookmarkEnd w:id="780"/>
    <w:bookmarkEnd w:id="781"/>
    <w:p w14:paraId="2BB2A351">
      <w:pPr>
        <w:jc w:val="left"/>
        <w:rPr>
          <w:rFonts w:ascii="楷体_GB2312" w:eastAsia="楷体_GB2312"/>
          <w:bCs/>
          <w:color w:val="auto"/>
          <w:sz w:val="32"/>
          <w:szCs w:val="32"/>
          <w:highlight w:val="none"/>
        </w:rPr>
      </w:pPr>
      <w:r>
        <w:rPr>
          <w:rFonts w:hint="eastAsia" w:ascii="楷体_GB2312" w:eastAsia="楷体_GB2312"/>
          <w:bCs/>
          <w:color w:val="auto"/>
          <w:sz w:val="32"/>
          <w:szCs w:val="32"/>
          <w:highlight w:val="none"/>
        </w:rPr>
        <w:t>（</w:t>
      </w:r>
      <w:r>
        <w:rPr>
          <w:rFonts w:hint="eastAsia" w:ascii="楷体_GB2312" w:eastAsia="楷体_GB2312"/>
          <w:color w:val="auto"/>
          <w:sz w:val="32"/>
          <w:szCs w:val="32"/>
          <w:highlight w:val="none"/>
        </w:rPr>
        <w:t>WF－</w:t>
      </w:r>
      <w:r>
        <w:rPr>
          <w:rFonts w:ascii="楷体_GB2312" w:eastAsia="楷体_GB2312"/>
          <w:color w:val="auto"/>
          <w:sz w:val="32"/>
          <w:szCs w:val="32"/>
          <w:highlight w:val="none"/>
        </w:rPr>
        <w:t>2014</w:t>
      </w:r>
      <w:r>
        <w:rPr>
          <w:rFonts w:hint="eastAsia" w:ascii="楷体_GB2312" w:eastAsia="楷体_GB2312"/>
          <w:color w:val="auto"/>
          <w:sz w:val="32"/>
          <w:szCs w:val="32"/>
          <w:highlight w:val="none"/>
        </w:rPr>
        <w:t>－</w:t>
      </w:r>
      <w:r>
        <w:rPr>
          <w:rFonts w:ascii="楷体_GB2312" w:eastAsia="楷体_GB2312"/>
          <w:color w:val="auto"/>
          <w:sz w:val="32"/>
          <w:szCs w:val="32"/>
          <w:highlight w:val="none"/>
        </w:rPr>
        <w:t>05</w:t>
      </w:r>
      <w:r>
        <w:rPr>
          <w:rFonts w:hint="eastAsia" w:ascii="楷体_GB2312" w:eastAsia="楷体_GB2312"/>
          <w:bCs/>
          <w:color w:val="auto"/>
          <w:sz w:val="32"/>
          <w:szCs w:val="32"/>
          <w:highlight w:val="none"/>
        </w:rPr>
        <w:t>）</w:t>
      </w:r>
    </w:p>
    <w:p w14:paraId="59EA2700">
      <w:pPr>
        <w:rPr>
          <w:rFonts w:ascii="楷体_GB2312" w:eastAsia="楷体_GB2312"/>
          <w:b/>
          <w:color w:val="auto"/>
          <w:sz w:val="52"/>
          <w:szCs w:val="52"/>
          <w:highlight w:val="none"/>
        </w:rPr>
      </w:pPr>
    </w:p>
    <w:p w14:paraId="729CA020">
      <w:pPr>
        <w:spacing w:line="360" w:lineRule="auto"/>
        <w:jc w:val="center"/>
        <w:rPr>
          <w:rFonts w:ascii="楷体_GB2312" w:eastAsia="楷体_GB2312"/>
          <w:b/>
          <w:color w:val="auto"/>
          <w:w w:val="90"/>
          <w:sz w:val="72"/>
          <w:szCs w:val="52"/>
          <w:highlight w:val="none"/>
        </w:rPr>
      </w:pPr>
      <w:r>
        <w:rPr>
          <w:rFonts w:hint="eastAsia" w:ascii="楷体_GB2312" w:eastAsia="楷体_GB2312"/>
          <w:b/>
          <w:color w:val="auto"/>
          <w:w w:val="90"/>
          <w:sz w:val="72"/>
          <w:szCs w:val="52"/>
          <w:highlight w:val="none"/>
        </w:rPr>
        <w:t>安徽省建设工程造价咨询合同</w:t>
      </w:r>
    </w:p>
    <w:p w14:paraId="2E2F2EA4">
      <w:pPr>
        <w:spacing w:line="420" w:lineRule="exact"/>
        <w:jc w:val="center"/>
        <w:rPr>
          <w:rFonts w:ascii="楷体_GB2312" w:eastAsia="楷体_GB2312"/>
          <w:b/>
          <w:color w:val="auto"/>
          <w:sz w:val="36"/>
          <w:szCs w:val="30"/>
          <w:highlight w:val="none"/>
        </w:rPr>
      </w:pPr>
    </w:p>
    <w:p w14:paraId="513571C2">
      <w:pPr>
        <w:spacing w:line="420" w:lineRule="exact"/>
        <w:jc w:val="center"/>
        <w:rPr>
          <w:rFonts w:ascii="楷体_GB2312" w:hAnsi="宋体" w:eastAsia="楷体_GB2312"/>
          <w:b/>
          <w:color w:val="auto"/>
          <w:sz w:val="32"/>
          <w:szCs w:val="32"/>
          <w:highlight w:val="none"/>
        </w:rPr>
      </w:pPr>
      <w:r>
        <w:rPr>
          <w:rFonts w:hint="eastAsia" w:ascii="楷体_GB2312" w:eastAsia="楷体_GB2312"/>
          <w:b/>
          <w:color w:val="auto"/>
          <w:sz w:val="32"/>
          <w:szCs w:val="32"/>
          <w:highlight w:val="none"/>
        </w:rPr>
        <w:t>合同编号：</w:t>
      </w:r>
    </w:p>
    <w:p w14:paraId="747C66F0">
      <w:pPr>
        <w:spacing w:line="420" w:lineRule="exact"/>
        <w:rPr>
          <w:rFonts w:ascii="楷体_GB2312" w:hAnsi="宋体" w:eastAsia="楷体_GB2312"/>
          <w:color w:val="auto"/>
          <w:sz w:val="32"/>
          <w:szCs w:val="32"/>
          <w:highlight w:val="none"/>
        </w:rPr>
      </w:pPr>
    </w:p>
    <w:p w14:paraId="608E5E09">
      <w:pPr>
        <w:spacing w:line="720" w:lineRule="auto"/>
        <w:jc w:val="left"/>
        <w:rPr>
          <w:rFonts w:ascii="楷体_GB2312" w:hAnsi="宋体" w:eastAsia="楷体_GB2312"/>
          <w:b/>
          <w:color w:val="auto"/>
          <w:sz w:val="32"/>
          <w:szCs w:val="32"/>
          <w:highlight w:val="none"/>
          <w:u w:val="single"/>
        </w:rPr>
      </w:pPr>
      <w:r>
        <w:rPr>
          <w:rFonts w:hint="eastAsia" w:ascii="楷体_GB2312" w:hAnsi="宋体" w:eastAsia="楷体_GB2312"/>
          <w:b/>
          <w:color w:val="auto"/>
          <w:sz w:val="32"/>
          <w:szCs w:val="32"/>
          <w:highlight w:val="none"/>
        </w:rPr>
        <w:t xml:space="preserve">        委 托 人：</w:t>
      </w:r>
      <w:r>
        <w:rPr>
          <w:rFonts w:hint="eastAsia" w:ascii="楷体_GB2312" w:hAnsi="宋体" w:eastAsia="楷体_GB2312"/>
          <w:b/>
          <w:color w:val="auto"/>
          <w:sz w:val="32"/>
          <w:szCs w:val="32"/>
          <w:highlight w:val="none"/>
          <w:u w:val="single"/>
        </w:rPr>
        <w:t xml:space="preserve">                               </w:t>
      </w:r>
    </w:p>
    <w:p w14:paraId="22BFD4D1">
      <w:pPr>
        <w:spacing w:line="720" w:lineRule="auto"/>
        <w:jc w:val="left"/>
        <w:rPr>
          <w:rFonts w:ascii="楷体_GB2312" w:hAnsi="宋体" w:eastAsia="楷体_GB2312"/>
          <w:b/>
          <w:color w:val="auto"/>
          <w:sz w:val="32"/>
          <w:szCs w:val="32"/>
          <w:highlight w:val="none"/>
          <w:u w:val="single"/>
        </w:rPr>
      </w:pPr>
      <w:r>
        <w:rPr>
          <w:rFonts w:hint="eastAsia" w:ascii="楷体_GB2312" w:hAnsi="宋体" w:eastAsia="楷体_GB2312"/>
          <w:b/>
          <w:color w:val="auto"/>
          <w:sz w:val="32"/>
          <w:szCs w:val="32"/>
          <w:highlight w:val="none"/>
        </w:rPr>
        <w:t xml:space="preserve">        咨 询 人：</w:t>
      </w:r>
      <w:r>
        <w:rPr>
          <w:rFonts w:hint="eastAsia" w:ascii="楷体_GB2312" w:hAnsi="宋体" w:eastAsia="楷体_GB2312"/>
          <w:b/>
          <w:color w:val="auto"/>
          <w:sz w:val="32"/>
          <w:szCs w:val="32"/>
          <w:highlight w:val="none"/>
          <w:u w:val="single"/>
        </w:rPr>
        <w:t xml:space="preserve">                               </w:t>
      </w:r>
    </w:p>
    <w:p w14:paraId="133A46FD">
      <w:pPr>
        <w:jc w:val="left"/>
        <w:rPr>
          <w:rFonts w:ascii="楷体_GB2312" w:hAnsi="宋体" w:eastAsia="楷体_GB2312"/>
          <w:b/>
          <w:color w:val="auto"/>
          <w:sz w:val="32"/>
          <w:szCs w:val="32"/>
          <w:highlight w:val="none"/>
          <w:u w:val="single"/>
        </w:rPr>
      </w:pPr>
      <w:r>
        <w:rPr>
          <w:rFonts w:hint="eastAsia" w:ascii="楷体_GB2312" w:hAnsi="宋体" w:eastAsia="楷体_GB2312"/>
          <w:b/>
          <w:color w:val="auto"/>
          <w:sz w:val="32"/>
          <w:szCs w:val="32"/>
          <w:highlight w:val="none"/>
        </w:rPr>
        <w:t xml:space="preserve">        项目名称：</w:t>
      </w:r>
      <w:r>
        <w:rPr>
          <w:rFonts w:hint="eastAsia" w:ascii="楷体_GB2312" w:hAnsi="宋体" w:eastAsia="楷体_GB2312"/>
          <w:b/>
          <w:color w:val="auto"/>
          <w:sz w:val="32"/>
          <w:szCs w:val="32"/>
          <w:highlight w:val="none"/>
          <w:u w:val="single"/>
          <w:lang w:val="en-US" w:eastAsia="zh-CN"/>
        </w:rPr>
        <w:t>智能家电产业园项目工程量清单及最高投标限价编制服务项目</w:t>
      </w:r>
    </w:p>
    <w:p w14:paraId="572D22A1">
      <w:pPr>
        <w:spacing w:line="720" w:lineRule="auto"/>
        <w:jc w:val="left"/>
        <w:rPr>
          <w:rFonts w:ascii="楷体_GB2312" w:hAnsi="宋体" w:eastAsia="楷体_GB2312"/>
          <w:b/>
          <w:color w:val="auto"/>
          <w:sz w:val="32"/>
          <w:szCs w:val="32"/>
          <w:highlight w:val="none"/>
        </w:rPr>
      </w:pPr>
      <w:r>
        <w:rPr>
          <w:rFonts w:hint="eastAsia" w:ascii="楷体_GB2312" w:hAnsi="宋体" w:eastAsia="楷体_GB2312"/>
          <w:b/>
          <w:color w:val="auto"/>
          <w:sz w:val="32"/>
          <w:szCs w:val="32"/>
          <w:highlight w:val="none"/>
        </w:rPr>
        <w:t xml:space="preserve">        咨询类型：</w:t>
      </w:r>
      <w:r>
        <w:rPr>
          <w:rFonts w:hint="eastAsia" w:ascii="楷体_GB2312" w:hAnsi="宋体" w:eastAsia="楷体_GB2312"/>
          <w:b/>
          <w:color w:val="auto"/>
          <w:sz w:val="32"/>
          <w:szCs w:val="32"/>
          <w:highlight w:val="none"/>
          <w:u w:val="single"/>
        </w:rPr>
        <w:t xml:space="preserve">                               </w:t>
      </w:r>
    </w:p>
    <w:p w14:paraId="689A3B7B">
      <w:pPr>
        <w:spacing w:line="720" w:lineRule="auto"/>
        <w:jc w:val="left"/>
        <w:rPr>
          <w:rFonts w:ascii="楷体_GB2312" w:hAnsi="宋体" w:eastAsia="楷体_GB2312"/>
          <w:b/>
          <w:color w:val="auto"/>
          <w:sz w:val="32"/>
          <w:szCs w:val="32"/>
          <w:highlight w:val="none"/>
          <w:u w:val="single"/>
        </w:rPr>
      </w:pPr>
      <w:r>
        <w:rPr>
          <w:rFonts w:hint="eastAsia" w:ascii="楷体_GB2312" w:eastAsia="楷体_GB2312"/>
          <w:b/>
          <w:color w:val="auto"/>
          <w:sz w:val="32"/>
          <w:szCs w:val="32"/>
          <w:highlight w:val="none"/>
        </w:rPr>
        <w:t xml:space="preserve">        签订时间：</w:t>
      </w:r>
      <w:r>
        <w:rPr>
          <w:rFonts w:ascii="楷体_GB2312" w:eastAsia="楷体_GB2312"/>
          <w:b/>
          <w:color w:val="auto"/>
          <w:sz w:val="32"/>
          <w:szCs w:val="32"/>
          <w:highlight w:val="none"/>
          <w:u w:val="single"/>
        </w:rPr>
        <w:t xml:space="preserve">  </w:t>
      </w:r>
      <w:r>
        <w:rPr>
          <w:rFonts w:hint="eastAsia" w:ascii="楷体_GB2312" w:eastAsia="楷体_GB2312"/>
          <w:b/>
          <w:color w:val="auto"/>
          <w:sz w:val="32"/>
          <w:szCs w:val="32"/>
          <w:highlight w:val="none"/>
          <w:u w:val="single"/>
        </w:rPr>
        <w:t xml:space="preserve">   </w:t>
      </w:r>
      <w:r>
        <w:rPr>
          <w:rFonts w:ascii="楷体_GB2312" w:eastAsia="楷体_GB2312"/>
          <w:b/>
          <w:color w:val="auto"/>
          <w:sz w:val="32"/>
          <w:szCs w:val="32"/>
          <w:highlight w:val="none"/>
          <w:u w:val="single"/>
        </w:rPr>
        <w:t xml:space="preserve">  </w:t>
      </w:r>
      <w:r>
        <w:rPr>
          <w:rFonts w:hint="eastAsia" w:ascii="楷体_GB2312" w:eastAsia="楷体_GB2312"/>
          <w:b/>
          <w:color w:val="auto"/>
          <w:sz w:val="32"/>
          <w:szCs w:val="32"/>
          <w:highlight w:val="none"/>
          <w:u w:val="single"/>
        </w:rPr>
        <w:t xml:space="preserve">   </w:t>
      </w:r>
      <w:r>
        <w:rPr>
          <w:rFonts w:hint="eastAsia" w:ascii="楷体_GB2312" w:eastAsia="楷体_GB2312"/>
          <w:b/>
          <w:color w:val="auto"/>
          <w:sz w:val="32"/>
          <w:szCs w:val="32"/>
          <w:highlight w:val="none"/>
        </w:rPr>
        <w:t>年</w:t>
      </w:r>
      <w:r>
        <w:rPr>
          <w:rFonts w:ascii="楷体_GB2312" w:eastAsia="楷体_GB2312"/>
          <w:b/>
          <w:color w:val="auto"/>
          <w:sz w:val="32"/>
          <w:szCs w:val="32"/>
          <w:highlight w:val="none"/>
          <w:u w:val="single"/>
        </w:rPr>
        <w:t xml:space="preserve">  </w:t>
      </w:r>
      <w:r>
        <w:rPr>
          <w:rFonts w:hint="eastAsia" w:ascii="楷体_GB2312" w:eastAsia="楷体_GB2312"/>
          <w:b/>
          <w:color w:val="auto"/>
          <w:sz w:val="32"/>
          <w:szCs w:val="32"/>
          <w:highlight w:val="none"/>
          <w:u w:val="single"/>
        </w:rPr>
        <w:t xml:space="preserve">      </w:t>
      </w:r>
      <w:r>
        <w:rPr>
          <w:rFonts w:hint="eastAsia" w:ascii="楷体_GB2312" w:eastAsia="楷体_GB2312"/>
          <w:b/>
          <w:color w:val="auto"/>
          <w:sz w:val="32"/>
          <w:szCs w:val="32"/>
          <w:highlight w:val="none"/>
        </w:rPr>
        <w:t>月</w:t>
      </w:r>
      <w:r>
        <w:rPr>
          <w:rFonts w:ascii="楷体_GB2312" w:eastAsia="楷体_GB2312"/>
          <w:b/>
          <w:color w:val="auto"/>
          <w:sz w:val="32"/>
          <w:szCs w:val="32"/>
          <w:highlight w:val="none"/>
          <w:u w:val="single"/>
        </w:rPr>
        <w:t xml:space="preserve">  </w:t>
      </w:r>
      <w:r>
        <w:rPr>
          <w:rFonts w:hint="eastAsia" w:ascii="楷体_GB2312" w:eastAsia="楷体_GB2312"/>
          <w:b/>
          <w:color w:val="auto"/>
          <w:sz w:val="32"/>
          <w:szCs w:val="32"/>
          <w:highlight w:val="none"/>
          <w:u w:val="single"/>
        </w:rPr>
        <w:t xml:space="preserve">  </w:t>
      </w:r>
      <w:r>
        <w:rPr>
          <w:rFonts w:ascii="楷体_GB2312" w:eastAsia="楷体_GB2312"/>
          <w:b/>
          <w:color w:val="auto"/>
          <w:sz w:val="32"/>
          <w:szCs w:val="32"/>
          <w:highlight w:val="none"/>
          <w:u w:val="single"/>
        </w:rPr>
        <w:t xml:space="preserve"> </w:t>
      </w:r>
      <w:r>
        <w:rPr>
          <w:rFonts w:hint="eastAsia" w:ascii="楷体_GB2312" w:eastAsia="楷体_GB2312"/>
          <w:b/>
          <w:color w:val="auto"/>
          <w:sz w:val="32"/>
          <w:szCs w:val="32"/>
          <w:highlight w:val="none"/>
          <w:u w:val="single"/>
        </w:rPr>
        <w:t xml:space="preserve">   </w:t>
      </w:r>
      <w:r>
        <w:rPr>
          <w:rFonts w:hint="eastAsia" w:ascii="楷体_GB2312" w:eastAsia="楷体_GB2312"/>
          <w:b/>
          <w:color w:val="auto"/>
          <w:sz w:val="32"/>
          <w:szCs w:val="32"/>
          <w:highlight w:val="none"/>
        </w:rPr>
        <w:t>日</w:t>
      </w:r>
    </w:p>
    <w:p w14:paraId="165AF72E">
      <w:pPr>
        <w:jc w:val="center"/>
        <w:rPr>
          <w:rFonts w:ascii="楷体_GB2312" w:eastAsia="楷体_GB2312"/>
          <w:b/>
          <w:color w:val="auto"/>
          <w:sz w:val="52"/>
          <w:szCs w:val="52"/>
          <w:highlight w:val="none"/>
        </w:rPr>
      </w:pPr>
    </w:p>
    <w:p w14:paraId="33009264">
      <w:pPr>
        <w:rPr>
          <w:rFonts w:ascii="楷体_GB2312" w:eastAsia="楷体_GB2312"/>
          <w:b/>
          <w:color w:val="auto"/>
          <w:sz w:val="52"/>
          <w:szCs w:val="52"/>
          <w:highlight w:val="none"/>
        </w:rPr>
      </w:pPr>
    </w:p>
    <w:p w14:paraId="067B7E3B">
      <w:pPr>
        <w:spacing w:line="360" w:lineRule="auto"/>
        <w:ind w:firstLine="2100" w:firstLineChars="1000"/>
        <w:rPr>
          <w:rFonts w:ascii="楷体_GB2312" w:eastAsia="楷体_GB2312"/>
          <w:b/>
          <w:bCs/>
          <w:color w:val="auto"/>
          <w:sz w:val="34"/>
          <w:szCs w:val="32"/>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3636010</wp:posOffset>
                </wp:positionH>
                <wp:positionV relativeFrom="paragraph">
                  <wp:posOffset>140970</wp:posOffset>
                </wp:positionV>
                <wp:extent cx="923925" cy="4572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23925" cy="457200"/>
                        </a:xfrm>
                        <a:prstGeom prst="rect">
                          <a:avLst/>
                        </a:prstGeom>
                        <a:noFill/>
                        <a:ln>
                          <a:noFill/>
                        </a:ln>
                        <a:effectLst/>
                      </wps:spPr>
                      <wps:txbx>
                        <w:txbxContent>
                          <w:p w14:paraId="03725664">
                            <w:pPr>
                              <w:spacing w:line="360" w:lineRule="auto"/>
                              <w:jc w:val="center"/>
                            </w:pPr>
                            <w:r>
                              <w:rPr>
                                <w:rFonts w:hint="eastAsia" w:ascii="楷体_GB2312" w:hAnsi="宋体" w:eastAsia="楷体_GB2312"/>
                                <w:b/>
                                <w:bCs/>
                                <w:sz w:val="34"/>
                                <w:szCs w:val="32"/>
                              </w:rPr>
                              <w:t>制定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6.3pt;margin-top:11.1pt;height:36pt;width:72.75pt;z-index:251659264;mso-width-relative:page;mso-height-relative:page;" filled="f" stroked="f" coordsize="21600,21600" o:gfxdata="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EgRa3WAAAACQEAAA8A&#10;AAAAAAAAAQAgAAAAIgAAAGRycy9kb3ducmV2LnhtbFBLAQIUABQAAAAIAIdO4kAVdCirGQIAACIE&#10;AAAOAAAAAAAAAAEAIAAAACUBAABkcnMvZTJvRG9jLnhtbFBLBQYAAAAABgAGAFkBAACwBQAAAAA=&#10;">
                <v:fill on="f" focussize="0,0"/>
                <v:stroke on="f"/>
                <v:imagedata o:title=""/>
                <o:lock v:ext="edit" aspectratio="f"/>
                <v:textbox>
                  <w:txbxContent>
                    <w:p w14:paraId="03725664">
                      <w:pPr>
                        <w:spacing w:line="360" w:lineRule="auto"/>
                        <w:jc w:val="center"/>
                      </w:pPr>
                      <w:r>
                        <w:rPr>
                          <w:rFonts w:hint="eastAsia" w:ascii="楷体_GB2312" w:hAnsi="宋体" w:eastAsia="楷体_GB2312"/>
                          <w:b/>
                          <w:bCs/>
                          <w:sz w:val="34"/>
                          <w:szCs w:val="32"/>
                        </w:rPr>
                        <w:t>制定</w:t>
                      </w:r>
                    </w:p>
                  </w:txbxContent>
                </v:textbox>
              </v:shape>
            </w:pict>
          </mc:Fallback>
        </mc:AlternateContent>
      </w:r>
      <w:r>
        <w:rPr>
          <w:rFonts w:hint="eastAsia" w:ascii="楷体_GB2312" w:hAnsi="宋体" w:eastAsia="楷体_GB2312"/>
          <w:b/>
          <w:bCs/>
          <w:color w:val="auto"/>
          <w:sz w:val="34"/>
          <w:szCs w:val="32"/>
          <w:highlight w:val="none"/>
        </w:rPr>
        <w:t>安徽省住房和城乡建设厅</w:t>
      </w:r>
    </w:p>
    <w:p w14:paraId="670E67F8">
      <w:pPr>
        <w:rPr>
          <w:rFonts w:hint="eastAsia" w:ascii="楷体_GB2312" w:hAnsi="宋体" w:eastAsia="楷体_GB2312"/>
          <w:b/>
          <w:bCs/>
          <w:color w:val="auto"/>
          <w:spacing w:val="20"/>
          <w:sz w:val="34"/>
          <w:szCs w:val="32"/>
          <w:highlight w:val="none"/>
        </w:rPr>
      </w:pPr>
      <w:r>
        <w:rPr>
          <w:rFonts w:hint="eastAsia" w:ascii="楷体_GB2312" w:hAnsi="宋体" w:eastAsia="楷体_GB2312"/>
          <w:b/>
          <w:bCs/>
          <w:color w:val="auto"/>
          <w:spacing w:val="20"/>
          <w:sz w:val="34"/>
          <w:szCs w:val="32"/>
          <w:highlight w:val="none"/>
        </w:rPr>
        <w:t xml:space="preserve">          安徽省工商行政管理局</w:t>
      </w:r>
    </w:p>
    <w:p w14:paraId="599FADA7">
      <w:pPr>
        <w:pStyle w:val="44"/>
        <w:rPr>
          <w:rFonts w:hint="eastAsia" w:ascii="楷体_GB2312" w:hAnsi="宋体" w:eastAsia="楷体_GB2312"/>
          <w:b/>
          <w:bCs/>
          <w:color w:val="auto"/>
          <w:spacing w:val="20"/>
          <w:sz w:val="34"/>
          <w:szCs w:val="32"/>
          <w:highlight w:val="none"/>
        </w:rPr>
      </w:pPr>
    </w:p>
    <w:p w14:paraId="38ECF2A1">
      <w:pPr>
        <w:rPr>
          <w:rFonts w:hint="eastAsia" w:ascii="楷体_GB2312" w:hAnsi="宋体" w:eastAsia="楷体_GB2312"/>
          <w:b/>
          <w:bCs/>
          <w:color w:val="auto"/>
          <w:spacing w:val="20"/>
          <w:sz w:val="34"/>
          <w:szCs w:val="32"/>
          <w:highlight w:val="none"/>
        </w:rPr>
      </w:pPr>
    </w:p>
    <w:p w14:paraId="2D1E816B">
      <w:pPr>
        <w:jc w:val="left"/>
        <w:rPr>
          <w:rFonts w:hint="eastAsia" w:ascii="楷体_GB2312" w:eastAsia="楷体_GB2312"/>
          <w:bCs/>
          <w:color w:val="auto"/>
          <w:sz w:val="32"/>
          <w:szCs w:val="32"/>
          <w:highlight w:val="none"/>
        </w:rPr>
      </w:pPr>
    </w:p>
    <w:p w14:paraId="5FF95FE6">
      <w:pPr>
        <w:jc w:val="center"/>
        <w:rPr>
          <w:rFonts w:ascii="楷体_GB2312" w:hAnsi="华文中宋" w:eastAsia="楷体_GB2312"/>
          <w:b/>
          <w:color w:val="auto"/>
          <w:sz w:val="44"/>
          <w:szCs w:val="44"/>
          <w:highlight w:val="none"/>
        </w:rPr>
      </w:pPr>
      <w:r>
        <w:rPr>
          <w:rFonts w:hint="eastAsia" w:ascii="楷体_GB2312" w:hAnsi="华文中宋" w:eastAsia="楷体_GB2312"/>
          <w:b/>
          <w:color w:val="auto"/>
          <w:sz w:val="44"/>
          <w:szCs w:val="44"/>
          <w:highlight w:val="none"/>
        </w:rPr>
        <w:t>目</w:t>
      </w:r>
      <w:r>
        <w:rPr>
          <w:rFonts w:ascii="楷体_GB2312" w:hAnsi="华文中宋" w:eastAsia="楷体_GB2312"/>
          <w:b/>
          <w:color w:val="auto"/>
          <w:sz w:val="44"/>
          <w:szCs w:val="44"/>
          <w:highlight w:val="none"/>
        </w:rPr>
        <w:t xml:space="preserve">   </w:t>
      </w:r>
      <w:r>
        <w:rPr>
          <w:rFonts w:hint="eastAsia" w:ascii="楷体_GB2312" w:hAnsi="华文中宋" w:eastAsia="楷体_GB2312"/>
          <w:b/>
          <w:color w:val="auto"/>
          <w:sz w:val="44"/>
          <w:szCs w:val="44"/>
          <w:highlight w:val="none"/>
        </w:rPr>
        <w:t>录</w:t>
      </w:r>
    </w:p>
    <w:p w14:paraId="6A5CFE96">
      <w:pPr>
        <w:tabs>
          <w:tab w:val="right" w:leader="dot" w:pos="8778"/>
        </w:tabs>
        <w:spacing w:line="420" w:lineRule="exact"/>
        <w:rPr>
          <w:rFonts w:ascii="楷体_GB2312" w:hAnsi="华文中宋" w:eastAsia="楷体_GB2312"/>
          <w:b/>
          <w:bCs/>
          <w:color w:val="auto"/>
          <w:spacing w:val="20"/>
          <w:sz w:val="30"/>
          <w:szCs w:val="30"/>
          <w:highlight w:val="none"/>
        </w:rPr>
      </w:pPr>
    </w:p>
    <w:p w14:paraId="7E2197E3">
      <w:pPr>
        <w:tabs>
          <w:tab w:val="right" w:leader="dot" w:pos="8778"/>
        </w:tabs>
        <w:spacing w:line="360" w:lineRule="auto"/>
        <w:ind w:firstLine="682"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
          <w:bCs/>
          <w:color w:val="auto"/>
          <w:spacing w:val="20"/>
          <w:sz w:val="30"/>
          <w:szCs w:val="30"/>
          <w:highlight w:val="none"/>
        </w:rPr>
        <w:t>第一部分 合同协议书</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1</w:t>
      </w:r>
    </w:p>
    <w:p w14:paraId="2D9046C2">
      <w:pPr>
        <w:tabs>
          <w:tab w:val="right" w:leader="dot" w:pos="8778"/>
        </w:tabs>
        <w:spacing w:line="360" w:lineRule="auto"/>
        <w:ind w:firstLine="682"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
          <w:bCs/>
          <w:color w:val="auto"/>
          <w:spacing w:val="20"/>
          <w:sz w:val="30"/>
          <w:szCs w:val="30"/>
          <w:highlight w:val="none"/>
        </w:rPr>
        <w:t>第二部分 通用合同条款</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3</w:t>
      </w:r>
    </w:p>
    <w:p w14:paraId="11317FFA">
      <w:pPr>
        <w:tabs>
          <w:tab w:val="right" w:leader="dot" w:pos="8778"/>
        </w:tabs>
        <w:spacing w:line="360" w:lineRule="auto"/>
        <w:ind w:firstLine="682"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
          <w:bCs/>
          <w:color w:val="auto"/>
          <w:spacing w:val="20"/>
          <w:sz w:val="30"/>
          <w:szCs w:val="30"/>
          <w:highlight w:val="none"/>
        </w:rPr>
        <w:t>第三部分 专用合同条款</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3</w:t>
      </w:r>
    </w:p>
    <w:p w14:paraId="6837E9CA">
      <w:pPr>
        <w:tabs>
          <w:tab w:val="right" w:leader="dot" w:pos="8778"/>
        </w:tabs>
        <w:spacing w:line="360" w:lineRule="auto"/>
        <w:ind w:firstLine="680"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Cs/>
          <w:color w:val="auto"/>
          <w:spacing w:val="20"/>
          <w:sz w:val="30"/>
          <w:szCs w:val="30"/>
          <w:highlight w:val="none"/>
        </w:rPr>
        <w:t>1. 一般约定</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3</w:t>
      </w:r>
    </w:p>
    <w:p w14:paraId="01C98359">
      <w:pPr>
        <w:tabs>
          <w:tab w:val="right" w:leader="dot" w:pos="8778"/>
        </w:tabs>
        <w:spacing w:line="360" w:lineRule="auto"/>
        <w:ind w:firstLine="680"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Cs/>
          <w:color w:val="auto"/>
          <w:spacing w:val="20"/>
          <w:sz w:val="30"/>
          <w:szCs w:val="30"/>
          <w:highlight w:val="none"/>
        </w:rPr>
        <w:t>2. 委托人</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3</w:t>
      </w:r>
    </w:p>
    <w:p w14:paraId="6DC7652A">
      <w:pPr>
        <w:tabs>
          <w:tab w:val="right" w:leader="dot" w:pos="8778"/>
        </w:tabs>
        <w:spacing w:line="360" w:lineRule="auto"/>
        <w:ind w:firstLine="680"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Cs/>
          <w:color w:val="auto"/>
          <w:spacing w:val="20"/>
          <w:sz w:val="30"/>
          <w:szCs w:val="30"/>
          <w:highlight w:val="none"/>
        </w:rPr>
        <w:t>3. 咨询人</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4</w:t>
      </w:r>
    </w:p>
    <w:p w14:paraId="1B98C785">
      <w:pPr>
        <w:tabs>
          <w:tab w:val="right" w:leader="dot" w:pos="8778"/>
        </w:tabs>
        <w:spacing w:line="360" w:lineRule="auto"/>
        <w:ind w:firstLine="680"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Cs/>
          <w:color w:val="auto"/>
          <w:spacing w:val="20"/>
          <w:sz w:val="30"/>
          <w:szCs w:val="30"/>
          <w:highlight w:val="none"/>
        </w:rPr>
        <w:t>4. 咨询业务范围和工作内容</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5</w:t>
      </w:r>
    </w:p>
    <w:p w14:paraId="2F25E8D7">
      <w:pPr>
        <w:tabs>
          <w:tab w:val="right" w:leader="dot" w:pos="8778"/>
        </w:tabs>
        <w:spacing w:line="360" w:lineRule="auto"/>
        <w:ind w:firstLine="680"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Cs/>
          <w:color w:val="auto"/>
          <w:spacing w:val="20"/>
          <w:sz w:val="30"/>
          <w:szCs w:val="30"/>
          <w:highlight w:val="none"/>
        </w:rPr>
        <w:t>5. 咨询期限</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5</w:t>
      </w:r>
    </w:p>
    <w:p w14:paraId="03B274B4">
      <w:pPr>
        <w:tabs>
          <w:tab w:val="right" w:leader="dot" w:pos="8778"/>
        </w:tabs>
        <w:spacing w:line="360" w:lineRule="auto"/>
        <w:ind w:firstLine="680"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Cs/>
          <w:color w:val="auto"/>
          <w:spacing w:val="20"/>
          <w:sz w:val="30"/>
          <w:szCs w:val="30"/>
          <w:highlight w:val="none"/>
        </w:rPr>
        <w:t>6. 咨询质量</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5</w:t>
      </w:r>
    </w:p>
    <w:p w14:paraId="2A568C3F">
      <w:pPr>
        <w:tabs>
          <w:tab w:val="right" w:leader="dot" w:pos="8778"/>
        </w:tabs>
        <w:spacing w:line="360" w:lineRule="auto"/>
        <w:ind w:firstLine="680"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Cs/>
          <w:color w:val="auto"/>
          <w:spacing w:val="20"/>
          <w:sz w:val="30"/>
          <w:szCs w:val="30"/>
          <w:highlight w:val="none"/>
        </w:rPr>
        <w:t>7. 咨询酬金</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6</w:t>
      </w:r>
    </w:p>
    <w:p w14:paraId="4EC8B6CB">
      <w:pPr>
        <w:tabs>
          <w:tab w:val="right" w:leader="dot" w:pos="8778"/>
        </w:tabs>
        <w:spacing w:line="360" w:lineRule="auto"/>
        <w:ind w:firstLine="680"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Cs/>
          <w:color w:val="auto"/>
          <w:spacing w:val="20"/>
          <w:sz w:val="30"/>
          <w:szCs w:val="30"/>
          <w:highlight w:val="none"/>
        </w:rPr>
        <w:t>8. 变更</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6</w:t>
      </w:r>
    </w:p>
    <w:p w14:paraId="5445A906">
      <w:pPr>
        <w:tabs>
          <w:tab w:val="right" w:leader="dot" w:pos="8778"/>
        </w:tabs>
        <w:spacing w:line="360" w:lineRule="auto"/>
        <w:ind w:firstLine="680"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Cs/>
          <w:color w:val="auto"/>
          <w:spacing w:val="20"/>
          <w:sz w:val="30"/>
          <w:szCs w:val="30"/>
          <w:highlight w:val="none"/>
        </w:rPr>
        <w:t>9. 违约</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7</w:t>
      </w:r>
    </w:p>
    <w:p w14:paraId="1DC9CBE6">
      <w:pPr>
        <w:tabs>
          <w:tab w:val="right" w:leader="dot" w:pos="8778"/>
        </w:tabs>
        <w:spacing w:line="360" w:lineRule="auto"/>
        <w:ind w:firstLine="680"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Cs/>
          <w:color w:val="auto"/>
          <w:spacing w:val="20"/>
          <w:sz w:val="30"/>
          <w:szCs w:val="30"/>
          <w:highlight w:val="none"/>
        </w:rPr>
        <w:t>10. 争议解决</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7</w:t>
      </w:r>
    </w:p>
    <w:p w14:paraId="0BBA9622">
      <w:pPr>
        <w:tabs>
          <w:tab w:val="right" w:leader="dot" w:pos="8778"/>
        </w:tabs>
        <w:spacing w:line="360" w:lineRule="auto"/>
        <w:ind w:firstLine="680"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Cs/>
          <w:color w:val="auto"/>
          <w:spacing w:val="20"/>
          <w:sz w:val="30"/>
          <w:szCs w:val="30"/>
          <w:highlight w:val="none"/>
        </w:rPr>
        <w:t>11. 补充条款</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7</w:t>
      </w:r>
      <w:bookmarkStart w:id="783" w:name="_Toc407261892"/>
    </w:p>
    <w:p w14:paraId="0311F6DC">
      <w:pPr>
        <w:rPr>
          <w:color w:val="auto"/>
          <w:szCs w:val="22"/>
          <w:highlight w:val="none"/>
        </w:rPr>
      </w:pPr>
    </w:p>
    <w:p w14:paraId="34318473">
      <w:pPr>
        <w:rPr>
          <w:color w:val="auto"/>
          <w:szCs w:val="22"/>
          <w:highlight w:val="none"/>
        </w:rPr>
      </w:pPr>
    </w:p>
    <w:p w14:paraId="0D6B7AB2">
      <w:pPr>
        <w:rPr>
          <w:color w:val="auto"/>
          <w:szCs w:val="22"/>
          <w:highlight w:val="none"/>
        </w:rPr>
      </w:pPr>
    </w:p>
    <w:p w14:paraId="455BF106">
      <w:pPr>
        <w:rPr>
          <w:color w:val="auto"/>
          <w:szCs w:val="22"/>
          <w:highlight w:val="none"/>
        </w:rPr>
      </w:pPr>
    </w:p>
    <w:p w14:paraId="23B47669">
      <w:pPr>
        <w:rPr>
          <w:color w:val="auto"/>
          <w:szCs w:val="22"/>
          <w:highlight w:val="none"/>
        </w:rPr>
      </w:pPr>
    </w:p>
    <w:p w14:paraId="4591D9CE">
      <w:pPr>
        <w:rPr>
          <w:color w:val="auto"/>
          <w:szCs w:val="22"/>
          <w:highlight w:val="none"/>
        </w:rPr>
      </w:pPr>
    </w:p>
    <w:p w14:paraId="76867558">
      <w:pPr>
        <w:rPr>
          <w:color w:val="auto"/>
          <w:szCs w:val="22"/>
          <w:highlight w:val="none"/>
        </w:rPr>
      </w:pPr>
    </w:p>
    <w:p w14:paraId="4AC0E334">
      <w:pPr>
        <w:rPr>
          <w:color w:val="auto"/>
          <w:szCs w:val="22"/>
          <w:highlight w:val="none"/>
        </w:rPr>
      </w:pPr>
    </w:p>
    <w:p w14:paraId="624B6932">
      <w:pPr>
        <w:rPr>
          <w:color w:val="auto"/>
          <w:szCs w:val="22"/>
          <w:highlight w:val="none"/>
        </w:rPr>
      </w:pPr>
    </w:p>
    <w:p w14:paraId="5BEC93D4">
      <w:pPr>
        <w:rPr>
          <w:color w:val="auto"/>
          <w:szCs w:val="22"/>
          <w:highlight w:val="none"/>
        </w:rPr>
      </w:pPr>
    </w:p>
    <w:p w14:paraId="3090D079">
      <w:pPr>
        <w:rPr>
          <w:color w:val="auto"/>
          <w:szCs w:val="22"/>
          <w:highlight w:val="none"/>
        </w:rPr>
      </w:pPr>
    </w:p>
    <w:p w14:paraId="1D07475A">
      <w:pPr>
        <w:rPr>
          <w:color w:val="auto"/>
          <w:szCs w:val="22"/>
          <w:highlight w:val="none"/>
        </w:rPr>
      </w:pPr>
    </w:p>
    <w:p w14:paraId="534320CB">
      <w:pPr>
        <w:bidi w:val="0"/>
        <w:jc w:val="center"/>
        <w:rPr>
          <w:color w:val="auto"/>
          <w:kern w:val="2"/>
          <w:sz w:val="21"/>
          <w:szCs w:val="24"/>
          <w:highlight w:val="none"/>
          <w:lang w:val="en-US" w:eastAsia="zh-CN" w:bidi="ar-SA"/>
        </w:rPr>
      </w:pPr>
    </w:p>
    <w:p w14:paraId="35B3E45F">
      <w:pPr>
        <w:keepNext/>
        <w:keepLines/>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0"/>
        <w:rPr>
          <w:rFonts w:ascii="楷体_GB2312" w:hAnsi="华文中宋" w:eastAsia="楷体_GB2312"/>
          <w:b/>
          <w:bCs/>
          <w:color w:val="auto"/>
          <w:kern w:val="44"/>
          <w:sz w:val="32"/>
          <w:szCs w:val="32"/>
          <w:highlight w:val="none"/>
        </w:rPr>
      </w:pPr>
      <w:r>
        <w:rPr>
          <w:rFonts w:hint="eastAsia" w:ascii="楷体_GB2312" w:hAnsi="华文中宋" w:eastAsia="楷体_GB2312"/>
          <w:b/>
          <w:bCs/>
          <w:color w:val="auto"/>
          <w:kern w:val="44"/>
          <w:sz w:val="32"/>
          <w:szCs w:val="32"/>
          <w:highlight w:val="none"/>
        </w:rPr>
        <w:t>第一部分  合同协议书</w:t>
      </w:r>
      <w:bookmarkEnd w:id="783"/>
    </w:p>
    <w:p w14:paraId="2B561D11">
      <w:pPr>
        <w:keepNext w:val="0"/>
        <w:keepLines w:val="0"/>
        <w:pageBreakBefore w:val="0"/>
        <w:widowControl w:val="0"/>
        <w:kinsoku/>
        <w:wordWrap/>
        <w:overflowPunct/>
        <w:topLinePunct w:val="0"/>
        <w:bidi w:val="0"/>
        <w:spacing w:line="500" w:lineRule="exact"/>
        <w:jc w:val="left"/>
        <w:textAlignment w:val="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委托人（全称）：</w:t>
      </w:r>
      <w:r>
        <w:rPr>
          <w:rFonts w:hint="eastAsia" w:ascii="宋体" w:hAnsi="宋体" w:eastAsia="宋体" w:cs="宋体"/>
          <w:b/>
          <w:color w:val="auto"/>
          <w:sz w:val="21"/>
          <w:szCs w:val="21"/>
          <w:highlight w:val="none"/>
          <w:u w:val="single"/>
        </w:rPr>
        <w:t xml:space="preserve">                                </w:t>
      </w:r>
    </w:p>
    <w:p w14:paraId="5B1C517C">
      <w:pPr>
        <w:keepNext w:val="0"/>
        <w:keepLines w:val="0"/>
        <w:pageBreakBefore w:val="0"/>
        <w:widowControl w:val="0"/>
        <w:kinsoku/>
        <w:wordWrap/>
        <w:overflowPunct/>
        <w:topLinePunct w:val="0"/>
        <w:bidi w:val="0"/>
        <w:adjustRightInd w:val="0"/>
        <w:snapToGrid w:val="0"/>
        <w:spacing w:line="5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咨询人（全称）：</w:t>
      </w:r>
      <w:r>
        <w:rPr>
          <w:rFonts w:hint="eastAsia" w:ascii="宋体" w:hAnsi="宋体" w:eastAsia="宋体" w:cs="宋体"/>
          <w:b/>
          <w:color w:val="auto"/>
          <w:sz w:val="21"/>
          <w:szCs w:val="21"/>
          <w:highlight w:val="none"/>
          <w:u w:val="single"/>
        </w:rPr>
        <w:t xml:space="preserve">                                </w:t>
      </w:r>
    </w:p>
    <w:p w14:paraId="69F3187D">
      <w:pPr>
        <w:keepNext w:val="0"/>
        <w:keepLines w:val="0"/>
        <w:pageBreakBefore w:val="0"/>
        <w:widowControl w:val="0"/>
        <w:kinsoku/>
        <w:wordWrap/>
        <w:overflowPunct/>
        <w:topLinePunct w:val="0"/>
        <w:bidi w:val="0"/>
        <w:adjustRightInd w:val="0"/>
        <w:snapToGrid w:val="0"/>
        <w:spacing w:line="500" w:lineRule="exact"/>
        <w:ind w:lef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根据《中华人民共和国民法典》 及有关法律规定，遵循平等、自愿、公平和诚实信用的原则，双方就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工程造价咨询及有关事项协商一致，共同达成如下协议：</w:t>
      </w:r>
    </w:p>
    <w:p w14:paraId="29CB6651">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4133286E">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1. </w:t>
      </w:r>
      <w:r>
        <w:rPr>
          <w:rFonts w:hint="eastAsia" w:ascii="宋体" w:hAnsi="宋体" w:eastAsia="宋体" w:cs="宋体"/>
          <w:bCs/>
          <w:color w:val="auto"/>
          <w:sz w:val="21"/>
          <w:szCs w:val="21"/>
          <w:highlight w:val="none"/>
        </w:rPr>
        <w:t>工程名称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9EDF7AB">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bCs/>
          <w:color w:val="auto"/>
          <w:sz w:val="21"/>
          <w:szCs w:val="21"/>
          <w:highlight w:val="none"/>
        </w:rPr>
        <w:t>工程地点：</w:t>
      </w:r>
      <w:r>
        <w:rPr>
          <w:rFonts w:hint="eastAsia" w:ascii="宋体" w:hAnsi="宋体" w:eastAsia="宋体" w:cs="宋体"/>
          <w:bCs/>
          <w:color w:val="auto"/>
          <w:sz w:val="21"/>
          <w:szCs w:val="21"/>
          <w:highlight w:val="none"/>
          <w:u w:val="single"/>
        </w:rPr>
        <w:t xml:space="preserve"> 滁州市经开区长江路与杭州路交叉口西北侧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5519043">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3. </w:t>
      </w:r>
      <w:r>
        <w:rPr>
          <w:rFonts w:hint="eastAsia" w:ascii="宋体" w:hAnsi="宋体" w:eastAsia="宋体" w:cs="宋体"/>
          <w:bCs/>
          <w:color w:val="auto"/>
          <w:sz w:val="21"/>
          <w:szCs w:val="21"/>
          <w:highlight w:val="none"/>
        </w:rPr>
        <w:t>工程规模：</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27B591AE">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二、咨询业务范围</w:t>
      </w:r>
    </w:p>
    <w:p w14:paraId="4688B953">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依据招标人提供的全套设计施工图纸进行本项目的工程量清单及最高投标限价的编制，并向招标人提交造价成果文件。如需备案应根据市造价主管部门相关规定完成工作，并向招标人提交最高限价备案表。</w:t>
      </w:r>
    </w:p>
    <w:p w14:paraId="62F0417C">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三、咨询期限</w:t>
      </w:r>
    </w:p>
    <w:p w14:paraId="383C1237">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计划开始日期：</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w:t>
      </w:r>
    </w:p>
    <w:p w14:paraId="2A795A54">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计划结束日期：</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w:t>
      </w:r>
    </w:p>
    <w:p w14:paraId="05772CC3">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注：招标人提供施工图纸后20个日历天内，中标人向招标人提交造价成果。根据市造价主管部门相关规定完成工作，并向招标人提交最高限价备案表。</w:t>
      </w:r>
    </w:p>
    <w:p w14:paraId="2447B121">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四、质量标准</w:t>
      </w:r>
    </w:p>
    <w:p w14:paraId="6B4F3AF2">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工程造价咨询成果文件质量符合</w:t>
      </w:r>
      <w:r>
        <w:rPr>
          <w:rFonts w:hint="eastAsia" w:ascii="宋体" w:hAnsi="宋体" w:eastAsia="宋体" w:cs="宋体"/>
          <w:color w:val="auto"/>
          <w:sz w:val="21"/>
          <w:szCs w:val="21"/>
          <w:highlight w:val="none"/>
          <w:u w:val="single"/>
        </w:rPr>
        <w:t xml:space="preserve"> 中国建设工程造价管理协会《建设工程造价咨询成果文件质量标准》（CECA/GC7-2012）的</w:t>
      </w:r>
      <w:r>
        <w:rPr>
          <w:rFonts w:hint="eastAsia" w:ascii="宋体" w:hAnsi="宋体" w:eastAsia="宋体" w:cs="宋体"/>
          <w:b/>
          <w:color w:val="auto"/>
          <w:sz w:val="21"/>
          <w:szCs w:val="21"/>
          <w:highlight w:val="none"/>
          <w:u w:val="single"/>
        </w:rPr>
        <w:t>合格</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标准。</w:t>
      </w:r>
    </w:p>
    <w:p w14:paraId="2052E24D">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五、咨询酬金</w:t>
      </w:r>
    </w:p>
    <w:p w14:paraId="43BA4091">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none"/>
          <w:lang w:val="en-US" w:eastAsia="zh-CN"/>
        </w:rPr>
        <w:t>合同（中标）</w:t>
      </w:r>
      <w:r>
        <w:rPr>
          <w:rFonts w:hint="eastAsia" w:ascii="宋体" w:hAnsi="宋体" w:eastAsia="宋体" w:cs="宋体"/>
          <w:b/>
          <w:bCs/>
          <w:color w:val="auto"/>
          <w:sz w:val="21"/>
          <w:szCs w:val="21"/>
          <w:highlight w:val="none"/>
          <w:u w:val="none"/>
        </w:rPr>
        <w:t>费率</w:t>
      </w:r>
      <w:r>
        <w:rPr>
          <w:rFonts w:hint="eastAsia" w:ascii="宋体" w:hAnsi="宋体" w:eastAsia="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w:t>
      </w:r>
      <w:r>
        <w:rPr>
          <w:rFonts w:hint="eastAsia" w:ascii="宋体" w:hAnsi="宋体" w:eastAsia="宋体" w:cs="宋体"/>
          <w:b/>
          <w:bCs/>
          <w:color w:val="auto"/>
          <w:sz w:val="21"/>
          <w:szCs w:val="21"/>
          <w:highlight w:val="none"/>
          <w:u w:val="single"/>
        </w:rPr>
        <w:t>。</w:t>
      </w:r>
    </w:p>
    <w:p w14:paraId="071D0ADB">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人民币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大写</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整</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r>
        <w:rPr>
          <w:rFonts w:hint="eastAsia" w:ascii="宋体" w:hAnsi="宋体" w:eastAsia="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暂以项目投资额30000万元计算）</w:t>
      </w:r>
      <w:r>
        <w:rPr>
          <w:rFonts w:hint="eastAsia" w:ascii="宋体" w:hAnsi="宋体" w:eastAsia="宋体" w:cs="宋体"/>
          <w:b/>
          <w:bCs/>
          <w:color w:val="auto"/>
          <w:kern w:val="0"/>
          <w:sz w:val="21"/>
          <w:szCs w:val="21"/>
          <w:highlight w:val="none"/>
        </w:rPr>
        <w:t>；</w:t>
      </w:r>
    </w:p>
    <w:p w14:paraId="4B0E0035">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kern w:val="0"/>
          <w:sz w:val="21"/>
          <w:szCs w:val="21"/>
          <w:highlight w:val="none"/>
          <w:u w:val="none"/>
        </w:rPr>
      </w:pPr>
      <w:r>
        <w:rPr>
          <w:rFonts w:hint="eastAsia" w:ascii="宋体" w:hAnsi="宋体" w:cs="宋体"/>
          <w:color w:val="auto"/>
          <w:sz w:val="21"/>
          <w:szCs w:val="21"/>
          <w:highlight w:val="none"/>
          <w:u w:val="none"/>
          <w:lang w:val="en-US" w:eastAsia="zh-CN"/>
        </w:rPr>
        <w:t>注：1.</w:t>
      </w:r>
      <w:r>
        <w:rPr>
          <w:rFonts w:hint="eastAsia" w:ascii="宋体" w:hAnsi="宋体" w:eastAsia="宋体" w:cs="宋体"/>
          <w:color w:val="auto"/>
          <w:sz w:val="21"/>
          <w:szCs w:val="21"/>
          <w:highlight w:val="none"/>
          <w:u w:val="none"/>
        </w:rPr>
        <w:t>如</w:t>
      </w:r>
      <w:r>
        <w:rPr>
          <w:rFonts w:hint="eastAsia" w:ascii="宋体" w:hAnsi="宋体" w:eastAsia="宋体" w:cs="宋体"/>
          <w:color w:val="auto"/>
          <w:sz w:val="21"/>
          <w:szCs w:val="21"/>
          <w:highlight w:val="none"/>
          <w:u w:val="none"/>
          <w:lang w:val="en-US" w:eastAsia="zh-CN"/>
        </w:rPr>
        <w:t>项目终止</w:t>
      </w:r>
      <w:r>
        <w:rPr>
          <w:rFonts w:hint="eastAsia" w:ascii="宋体" w:hAnsi="宋体" w:eastAsia="宋体" w:cs="宋体"/>
          <w:color w:val="auto"/>
          <w:sz w:val="21"/>
          <w:szCs w:val="21"/>
          <w:highlight w:val="none"/>
          <w:u w:val="none"/>
        </w:rPr>
        <w:t>且咨询人提交成果文件后</w:t>
      </w:r>
      <w:r>
        <w:rPr>
          <w:rFonts w:hint="eastAsia" w:ascii="宋体" w:hAnsi="宋体" w:eastAsia="宋体" w:cs="宋体"/>
          <w:color w:val="auto"/>
          <w:kern w:val="0"/>
          <w:sz w:val="21"/>
          <w:szCs w:val="21"/>
          <w:highlight w:val="none"/>
          <w:u w:val="none"/>
        </w:rPr>
        <w:t>，计费基数为</w:t>
      </w:r>
      <w:r>
        <w:rPr>
          <w:rFonts w:hint="eastAsia" w:ascii="宋体" w:hAnsi="宋体" w:cs="宋体"/>
          <w:color w:val="auto"/>
          <w:kern w:val="0"/>
          <w:sz w:val="21"/>
          <w:szCs w:val="21"/>
          <w:highlight w:val="none"/>
          <w:u w:val="none"/>
          <w:lang w:val="en-US" w:eastAsia="zh-CN"/>
        </w:rPr>
        <w:t>成果文件总金额</w:t>
      </w:r>
      <w:r>
        <w:rPr>
          <w:rFonts w:hint="eastAsia" w:ascii="宋体" w:hAnsi="宋体" w:eastAsia="宋体" w:cs="宋体"/>
          <w:color w:val="auto"/>
          <w:kern w:val="0"/>
          <w:sz w:val="21"/>
          <w:szCs w:val="21"/>
          <w:highlight w:val="none"/>
          <w:u w:val="none"/>
        </w:rPr>
        <w:t>下浮40%；</w:t>
      </w:r>
    </w:p>
    <w:p w14:paraId="610CEEF1">
      <w:pPr>
        <w:keepNext w:val="0"/>
        <w:keepLines w:val="0"/>
        <w:pageBreakBefore w:val="0"/>
        <w:widowControl w:val="0"/>
        <w:kinsoku/>
        <w:wordWrap/>
        <w:overflowPunct/>
        <w:topLinePunct w:val="0"/>
        <w:bidi w:val="0"/>
        <w:spacing w:line="500" w:lineRule="exact"/>
        <w:ind w:left="0" w:firstLine="420"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cs="宋体"/>
          <w:b/>
          <w:bCs/>
          <w:color w:val="auto"/>
          <w:sz w:val="21"/>
          <w:szCs w:val="21"/>
          <w:highlight w:val="none"/>
          <w:lang w:val="en-US" w:eastAsia="zh-CN"/>
        </w:rPr>
        <w:t>本项目具体编制费用以本项目结算总金额为基数计算，</w:t>
      </w:r>
      <w:r>
        <w:rPr>
          <w:rFonts w:hint="eastAsia" w:ascii="宋体" w:hAnsi="宋体" w:cs="宋体"/>
          <w:b w:val="0"/>
          <w:bCs w:val="0"/>
          <w:color w:val="auto"/>
          <w:sz w:val="21"/>
          <w:szCs w:val="21"/>
          <w:highlight w:val="none"/>
          <w:lang w:val="en-US" w:eastAsia="zh-CN"/>
        </w:rPr>
        <w:t>合同（中标）费率不予调整。即咨询服务费用为本项目结算总金额*合同（中标）费率，结算费用如超过44.55万元，按44.55万元计算。</w:t>
      </w:r>
    </w:p>
    <w:p w14:paraId="55B21152">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3842BCF8">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本协议书与下列文件一起构成造价咨询合同文件：</w:t>
      </w:r>
    </w:p>
    <w:p w14:paraId="5BABA204">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中标通知书（如果有）；</w:t>
      </w:r>
    </w:p>
    <w:p w14:paraId="334E6269">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 xml:space="preserve">投标函及其附录（如果有）； </w:t>
      </w:r>
    </w:p>
    <w:p w14:paraId="0DC73EDE">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通用合同条款；</w:t>
      </w:r>
    </w:p>
    <w:p w14:paraId="25AEDAC0">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专用合同条款。</w:t>
      </w:r>
    </w:p>
    <w:p w14:paraId="049D942E">
      <w:pPr>
        <w:keepNext w:val="0"/>
        <w:keepLines w:val="0"/>
        <w:pageBreakBefore w:val="0"/>
        <w:widowControl w:val="0"/>
        <w:kinsoku/>
        <w:wordWrap/>
        <w:overflowPunct/>
        <w:topLinePunct w:val="0"/>
        <w:autoSpaceDE w:val="0"/>
        <w:autoSpaceDN w:val="0"/>
        <w:bidi w:val="0"/>
        <w:adjustRightInd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14:paraId="3F9C514E">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w:t>
      </w:r>
    </w:p>
    <w:p w14:paraId="0950AFA4">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七、词语含义</w:t>
      </w:r>
    </w:p>
    <w:p w14:paraId="5A6B4007">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本协议书中词语含义与第二部分通用合同条款中赋予的含义相同。</w:t>
      </w:r>
    </w:p>
    <w:p w14:paraId="0C0EAB13">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八、签订时间</w:t>
      </w:r>
    </w:p>
    <w:p w14:paraId="792ACEB1">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t>签订</w:t>
      </w:r>
      <w:r>
        <w:rPr>
          <w:rFonts w:hint="eastAsia" w:ascii="宋体" w:hAnsi="宋体" w:eastAsia="宋体" w:cs="宋体"/>
          <w:color w:val="auto"/>
          <w:sz w:val="21"/>
          <w:szCs w:val="21"/>
          <w:highlight w:val="none"/>
        </w:rPr>
        <w:t>。</w:t>
      </w:r>
    </w:p>
    <w:p w14:paraId="4B43B5BD">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九、签订地点</w:t>
      </w:r>
    </w:p>
    <w:p w14:paraId="77D35879">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签订。</w:t>
      </w:r>
    </w:p>
    <w:p w14:paraId="6FCABDEC">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十、补充协议</w:t>
      </w:r>
    </w:p>
    <w:p w14:paraId="1F23F04F">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合同未尽事宜，合同当事人另行签订补充协议，补充协议是合同的组成部分。</w:t>
      </w:r>
    </w:p>
    <w:p w14:paraId="798C8179">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十一、合同生效</w:t>
      </w:r>
    </w:p>
    <w:p w14:paraId="0B6D2235">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签订之日起 </w:t>
      </w:r>
      <w:r>
        <w:rPr>
          <w:rFonts w:hint="eastAsia" w:ascii="宋体" w:hAnsi="宋体" w:eastAsia="宋体" w:cs="宋体"/>
          <w:color w:val="auto"/>
          <w:sz w:val="21"/>
          <w:szCs w:val="21"/>
          <w:highlight w:val="none"/>
        </w:rPr>
        <w:t>生效。</w:t>
      </w:r>
    </w:p>
    <w:p w14:paraId="1A72F94A">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十二、合同份数</w:t>
      </w:r>
    </w:p>
    <w:p w14:paraId="28DEF23E">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陆 </w:t>
      </w:r>
      <w:r>
        <w:rPr>
          <w:rFonts w:hint="eastAsia" w:ascii="宋体" w:hAnsi="宋体" w:eastAsia="宋体" w:cs="宋体"/>
          <w:color w:val="auto"/>
          <w:sz w:val="21"/>
          <w:szCs w:val="21"/>
          <w:highlight w:val="none"/>
        </w:rPr>
        <w:t>份，均具有同等法律效力，委托人</w:t>
      </w:r>
      <w:r>
        <w:rPr>
          <w:rFonts w:hint="eastAsia" w:ascii="宋体" w:hAnsi="宋体" w:eastAsia="宋体" w:cs="宋体"/>
          <w:color w:val="auto"/>
          <w:sz w:val="21"/>
          <w:szCs w:val="21"/>
          <w:highlight w:val="none"/>
          <w:u w:val="single"/>
        </w:rPr>
        <w:t xml:space="preserve"> 叁 </w:t>
      </w:r>
      <w:r>
        <w:rPr>
          <w:rFonts w:hint="eastAsia" w:ascii="宋体" w:hAnsi="宋体" w:eastAsia="宋体" w:cs="宋体"/>
          <w:color w:val="auto"/>
          <w:sz w:val="21"/>
          <w:szCs w:val="21"/>
          <w:highlight w:val="none"/>
        </w:rPr>
        <w:t>份，咨询人</w:t>
      </w:r>
      <w:r>
        <w:rPr>
          <w:rFonts w:hint="eastAsia" w:ascii="宋体" w:hAnsi="宋体" w:eastAsia="宋体" w:cs="宋体"/>
          <w:color w:val="auto"/>
          <w:sz w:val="21"/>
          <w:szCs w:val="21"/>
          <w:highlight w:val="none"/>
          <w:u w:val="single"/>
        </w:rPr>
        <w:t xml:space="preserve"> 叁 </w:t>
      </w:r>
      <w:r>
        <w:rPr>
          <w:rFonts w:hint="eastAsia" w:ascii="宋体" w:hAnsi="宋体" w:eastAsia="宋体" w:cs="宋体"/>
          <w:color w:val="auto"/>
          <w:sz w:val="21"/>
          <w:szCs w:val="21"/>
          <w:highlight w:val="none"/>
        </w:rPr>
        <w:t>份。</w:t>
      </w:r>
    </w:p>
    <w:p w14:paraId="1793C781">
      <w:pPr>
        <w:keepNext w:val="0"/>
        <w:keepLines w:val="0"/>
        <w:pageBreakBefore w:val="0"/>
        <w:widowControl w:val="0"/>
        <w:tabs>
          <w:tab w:val="left" w:pos="4830"/>
        </w:tabs>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p>
    <w:p w14:paraId="164AA5F1">
      <w:pPr>
        <w:keepNext w:val="0"/>
        <w:keepLines w:val="0"/>
        <w:pageBreakBefore w:val="0"/>
        <w:widowControl w:val="0"/>
        <w:tabs>
          <w:tab w:val="left" w:pos="4830"/>
        </w:tabs>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委托人：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咨询人：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p>
    <w:p w14:paraId="74F4646F">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14:paraId="738E915A">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          法定代表人或其委托代理人：</w:t>
      </w:r>
    </w:p>
    <w:p w14:paraId="333141D1">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                            （签字）</w:t>
      </w:r>
    </w:p>
    <w:p w14:paraId="05077F7C">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p>
    <w:p w14:paraId="2652106E">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0D58010">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4874632B">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6063127F">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2723D592">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2C229CD">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宋体" w:hAnsi="宋体" w:eastAsia="宋体" w:cs="宋体"/>
          <w:color w:val="auto"/>
          <w:spacing w:val="-20"/>
          <w:sz w:val="21"/>
          <w:szCs w:val="21"/>
          <w:highlight w:val="none"/>
          <w:u w:val="singl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电子信箱：</w:t>
      </w:r>
      <w:r>
        <w:rPr>
          <w:rFonts w:hint="eastAsia" w:ascii="宋体" w:hAnsi="宋体" w:eastAsia="宋体" w:cs="宋体"/>
          <w:color w:val="auto"/>
          <w:spacing w:val="-20"/>
          <w:sz w:val="21"/>
          <w:szCs w:val="21"/>
          <w:highlight w:val="none"/>
          <w:u w:val="single"/>
        </w:rPr>
        <w:t xml:space="preserve">                                       </w:t>
      </w:r>
    </w:p>
    <w:p w14:paraId="242BC852">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pacing w:val="-20"/>
          <w:sz w:val="21"/>
          <w:szCs w:val="21"/>
          <w:highlight w:val="none"/>
          <w:u w:val="single"/>
        </w:rPr>
        <w:t xml:space="preserve">                                       </w:t>
      </w:r>
    </w:p>
    <w:p w14:paraId="7B925AA9">
      <w:pPr>
        <w:keepNext w:val="0"/>
        <w:keepLines w:val="0"/>
        <w:pageBreakBefore w:val="0"/>
        <w:widowControl w:val="0"/>
        <w:kinsoku/>
        <w:wordWrap/>
        <w:overflowPunct/>
        <w:topLinePunct w:val="0"/>
        <w:autoSpaceDE/>
        <w:autoSpaceDN/>
        <w:bidi w:val="0"/>
        <w:adjustRightInd/>
        <w:snapToGrid/>
        <w:spacing w:line="500" w:lineRule="exact"/>
        <w:ind w:left="0" w:firstLine="0" w:firstLineChars="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账    号：</w:t>
      </w:r>
      <w:r>
        <w:rPr>
          <w:rFonts w:hint="eastAsia" w:ascii="宋体" w:hAnsi="宋体" w:eastAsia="宋体" w:cs="宋体"/>
          <w:color w:val="auto"/>
          <w:sz w:val="21"/>
          <w:szCs w:val="21"/>
          <w:highlight w:val="none"/>
          <w:u w:val="single"/>
        </w:rPr>
        <w:t xml:space="preserve">                          </w:t>
      </w:r>
    </w:p>
    <w:p w14:paraId="555509C8">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firstLine="0" w:firstLineChars="0"/>
        <w:jc w:val="center"/>
        <w:textAlignment w:val="auto"/>
        <w:rPr>
          <w:rFonts w:hint="eastAsia" w:ascii="宋体" w:hAnsi="宋体" w:eastAsia="宋体" w:cs="宋体"/>
          <w:b/>
          <w:bCs/>
          <w:color w:val="auto"/>
          <w:kern w:val="44"/>
          <w:sz w:val="21"/>
          <w:szCs w:val="21"/>
          <w:highlight w:val="none"/>
        </w:rPr>
      </w:pPr>
      <w:r>
        <w:rPr>
          <w:rFonts w:hint="eastAsia" w:ascii="楷体_GB2312" w:eastAsia="楷体_GB2312"/>
          <w:b/>
          <w:bCs/>
          <w:color w:val="auto"/>
          <w:sz w:val="24"/>
          <w:highlight w:val="none"/>
        </w:rPr>
        <w:br w:type="page"/>
      </w:r>
      <w:bookmarkStart w:id="784" w:name="_Toc407261893"/>
      <w:r>
        <w:rPr>
          <w:rFonts w:hint="eastAsia" w:ascii="宋体" w:hAnsi="宋体" w:eastAsia="宋体" w:cs="宋体"/>
          <w:b/>
          <w:bCs/>
          <w:color w:val="auto"/>
          <w:kern w:val="44"/>
          <w:sz w:val="21"/>
          <w:szCs w:val="21"/>
          <w:highlight w:val="none"/>
        </w:rPr>
        <w:t>第二部分  通用合同条款</w:t>
      </w:r>
      <w:bookmarkEnd w:id="784"/>
    </w:p>
    <w:p w14:paraId="3E8F802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使用安徽省住房和城乡建设厅、安徽省工商行政管理局印发的《安徽省建设工程造价咨询合同》（WF-2014-05示范文本）第二部分通用合同条款。</w:t>
      </w:r>
    </w:p>
    <w:p w14:paraId="522A4883">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firstLine="0" w:firstLineChars="0"/>
        <w:jc w:val="center"/>
        <w:textAlignment w:val="auto"/>
        <w:rPr>
          <w:rFonts w:hint="eastAsia" w:ascii="宋体" w:hAnsi="宋体" w:eastAsia="宋体" w:cs="宋体"/>
          <w:b/>
          <w:bCs/>
          <w:color w:val="auto"/>
          <w:kern w:val="44"/>
          <w:sz w:val="21"/>
          <w:szCs w:val="21"/>
          <w:highlight w:val="none"/>
        </w:rPr>
      </w:pPr>
      <w:bookmarkStart w:id="785" w:name="_Toc407261943"/>
      <w:r>
        <w:rPr>
          <w:rFonts w:hint="eastAsia" w:ascii="宋体" w:hAnsi="宋体" w:eastAsia="宋体" w:cs="宋体"/>
          <w:b/>
          <w:bCs/>
          <w:color w:val="auto"/>
          <w:kern w:val="44"/>
          <w:sz w:val="21"/>
          <w:szCs w:val="21"/>
          <w:highlight w:val="none"/>
        </w:rPr>
        <w:t>第三部分  专用合同条款</w:t>
      </w:r>
      <w:bookmarkEnd w:id="785"/>
      <w:bookmarkStart w:id="786" w:name="_Toc407261944"/>
      <w:bookmarkStart w:id="787" w:name="_Toc351203633"/>
    </w:p>
    <w:p w14:paraId="362919AE">
      <w:pPr>
        <w:keepNext/>
        <w:keepLines/>
        <w:pageBreakBefore w:val="0"/>
        <w:widowControl w:val="0"/>
        <w:kinsoku/>
        <w:wordWrap/>
        <w:overflowPunct/>
        <w:topLinePunct w:val="0"/>
        <w:bidi w:val="0"/>
        <w:snapToGrid/>
        <w:spacing w:line="500" w:lineRule="exact"/>
        <w:ind w:left="0" w:leftChars="0"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bookmarkStart w:id="788" w:name="_Toc297120456"/>
      <w:bookmarkStart w:id="789" w:name="_Toc296891196"/>
      <w:bookmarkStart w:id="790" w:name="_Toc292559361"/>
      <w:bookmarkStart w:id="791" w:name="_Toc292559866"/>
      <w:bookmarkStart w:id="792" w:name="_Toc296346657"/>
      <w:bookmarkStart w:id="793" w:name="_Toc296944495"/>
      <w:bookmarkStart w:id="794" w:name="_Toc296503156"/>
      <w:bookmarkStart w:id="795" w:name="_Toc296347155"/>
      <w:bookmarkStart w:id="796" w:name="_Toc297048342"/>
      <w:bookmarkStart w:id="797" w:name="_Toc296890984"/>
      <w:r>
        <w:rPr>
          <w:rFonts w:hint="eastAsia" w:ascii="宋体" w:hAnsi="宋体" w:eastAsia="宋体" w:cs="宋体"/>
          <w:b/>
          <w:color w:val="auto"/>
          <w:sz w:val="21"/>
          <w:szCs w:val="21"/>
          <w:highlight w:val="none"/>
        </w:rPr>
        <w:t>. 一般约定</w:t>
      </w:r>
      <w:bookmarkEnd w:id="786"/>
      <w:bookmarkEnd w:id="787"/>
    </w:p>
    <w:bookmarkEnd w:id="788"/>
    <w:bookmarkEnd w:id="789"/>
    <w:bookmarkEnd w:id="790"/>
    <w:bookmarkEnd w:id="791"/>
    <w:bookmarkEnd w:id="792"/>
    <w:bookmarkEnd w:id="793"/>
    <w:bookmarkEnd w:id="794"/>
    <w:bookmarkEnd w:id="795"/>
    <w:bookmarkEnd w:id="796"/>
    <w:bookmarkEnd w:id="797"/>
    <w:p w14:paraId="23A577F4">
      <w:pPr>
        <w:pageBreakBefore w:val="0"/>
        <w:widowControl w:val="0"/>
        <w:kinsoku/>
        <w:wordWrap/>
        <w:overflowPunct/>
        <w:topLinePunct w:val="0"/>
        <w:bidi w:val="0"/>
        <w:snapToGrid/>
        <w:spacing w:line="500" w:lineRule="exac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1.3法律</w:t>
      </w:r>
    </w:p>
    <w:p w14:paraId="0AD96064">
      <w:pPr>
        <w:pageBreakBefore w:val="0"/>
        <w:widowControl w:val="0"/>
        <w:kinsoku/>
        <w:wordWrap/>
        <w:overflowPunct/>
        <w:topLinePunct w:val="0"/>
        <w:autoSpaceDE w:val="0"/>
        <w:autoSpaceDN w:val="0"/>
        <w:bidi w:val="0"/>
        <w:adjustRightInd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执行通用条款  </w:t>
      </w:r>
      <w:r>
        <w:rPr>
          <w:rFonts w:hint="eastAsia" w:ascii="宋体" w:hAnsi="宋体" w:eastAsia="宋体" w:cs="宋体"/>
          <w:color w:val="auto"/>
          <w:sz w:val="21"/>
          <w:szCs w:val="21"/>
          <w:highlight w:val="none"/>
        </w:rPr>
        <w:t>。</w:t>
      </w:r>
    </w:p>
    <w:p w14:paraId="61E3B574">
      <w:pPr>
        <w:pageBreakBefore w:val="0"/>
        <w:widowControl w:val="0"/>
        <w:kinsoku/>
        <w:wordWrap/>
        <w:overflowPunct/>
        <w:topLinePunct w:val="0"/>
        <w:bidi w:val="0"/>
        <w:snapToGrid/>
        <w:spacing w:line="500" w:lineRule="exac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 标准和规范</w:t>
      </w:r>
    </w:p>
    <w:p w14:paraId="6CB7E5DE">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适用于工程造价咨询的标准规范包括：</w:t>
      </w:r>
      <w:r>
        <w:rPr>
          <w:rFonts w:hint="eastAsia" w:ascii="宋体" w:hAnsi="宋体" w:eastAsia="宋体" w:cs="宋体"/>
          <w:color w:val="auto"/>
          <w:sz w:val="21"/>
          <w:szCs w:val="21"/>
          <w:highlight w:val="none"/>
          <w:u w:val="single"/>
        </w:rPr>
        <w:t xml:space="preserve"> 中价协现行行业工程计价有关规程、标准等 </w:t>
      </w:r>
      <w:r>
        <w:rPr>
          <w:rFonts w:hint="eastAsia" w:ascii="宋体" w:hAnsi="宋体" w:eastAsia="宋体" w:cs="宋体"/>
          <w:color w:val="auto"/>
          <w:sz w:val="21"/>
          <w:szCs w:val="21"/>
          <w:highlight w:val="none"/>
        </w:rPr>
        <w:t>。</w:t>
      </w:r>
    </w:p>
    <w:p w14:paraId="133BB0EF">
      <w:pPr>
        <w:pageBreakBefore w:val="0"/>
        <w:widowControl w:val="0"/>
        <w:kinsoku/>
        <w:wordWrap/>
        <w:overflowPunct/>
        <w:topLinePunct w:val="0"/>
        <w:bidi w:val="0"/>
        <w:snapToGrid/>
        <w:spacing w:line="500" w:lineRule="exac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 合同文件的优先顺序</w:t>
      </w:r>
    </w:p>
    <w:p w14:paraId="1F7C58FC">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r>
        <w:rPr>
          <w:rFonts w:hint="eastAsia" w:ascii="宋体" w:hAnsi="宋体" w:eastAsia="宋体" w:cs="宋体"/>
          <w:color w:val="auto"/>
          <w:sz w:val="21"/>
          <w:szCs w:val="21"/>
          <w:highlight w:val="none"/>
          <w:u w:val="single"/>
        </w:rPr>
        <w:t xml:space="preserve">执行通用条款  </w:t>
      </w:r>
      <w:r>
        <w:rPr>
          <w:rFonts w:hint="eastAsia" w:ascii="宋体" w:hAnsi="宋体" w:eastAsia="宋体" w:cs="宋体"/>
          <w:color w:val="auto"/>
          <w:sz w:val="21"/>
          <w:szCs w:val="21"/>
          <w:highlight w:val="none"/>
        </w:rPr>
        <w:t>。</w:t>
      </w:r>
    </w:p>
    <w:p w14:paraId="0C33D9EB">
      <w:pPr>
        <w:pageBreakBefore w:val="0"/>
        <w:widowControl w:val="0"/>
        <w:kinsoku/>
        <w:wordWrap/>
        <w:overflowPunct/>
        <w:topLinePunct w:val="0"/>
        <w:bidi w:val="0"/>
        <w:snapToGrid/>
        <w:spacing w:line="500" w:lineRule="exac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 联络</w:t>
      </w:r>
    </w:p>
    <w:p w14:paraId="68E8AC40">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1.6.1</w:t>
      </w:r>
      <w:r>
        <w:rPr>
          <w:rFonts w:hint="eastAsia" w:ascii="宋体" w:hAnsi="宋体" w:eastAsia="宋体" w:cs="宋体"/>
          <w:color w:val="auto"/>
          <w:kern w:val="0"/>
          <w:sz w:val="21"/>
          <w:szCs w:val="21"/>
          <w:highlight w:val="none"/>
        </w:rPr>
        <w:t>委托人和咨询人应当在</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7CC89AB4">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1.6.2</w:t>
      </w:r>
      <w:r>
        <w:rPr>
          <w:rFonts w:hint="eastAsia" w:ascii="宋体" w:hAnsi="宋体" w:eastAsia="宋体" w:cs="宋体"/>
          <w:color w:val="auto"/>
          <w:kern w:val="0"/>
          <w:sz w:val="21"/>
          <w:szCs w:val="21"/>
          <w:highlight w:val="none"/>
        </w:rPr>
        <w:t xml:space="preserve"> 委托人接收文件的地点：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6AE86855">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委托人指定的接收人为：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D18A591">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委托人指定的电子邮箱：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147DD102">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咨询人接收文件的地点：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F85E17B">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咨询人指定的接收人为：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EE0D892">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咨询</w:t>
      </w:r>
      <w:r>
        <w:rPr>
          <w:rFonts w:hint="eastAsia" w:ascii="宋体" w:hAnsi="宋体" w:eastAsia="宋体" w:cs="宋体"/>
          <w:color w:val="auto"/>
          <w:sz w:val="21"/>
          <w:szCs w:val="21"/>
          <w:highlight w:val="none"/>
        </w:rPr>
        <w:t>人</w:t>
      </w:r>
      <w:r>
        <w:rPr>
          <w:rFonts w:hint="eastAsia" w:ascii="宋体" w:hAnsi="宋体" w:eastAsia="宋体" w:cs="宋体"/>
          <w:color w:val="auto"/>
          <w:kern w:val="0"/>
          <w:sz w:val="21"/>
          <w:szCs w:val="21"/>
          <w:highlight w:val="none"/>
        </w:rPr>
        <w:t>指定的电子邮箱：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5661E05">
      <w:pPr>
        <w:keepNext/>
        <w:keepLines/>
        <w:pageBreakBefore w:val="0"/>
        <w:widowControl w:val="0"/>
        <w:kinsoku/>
        <w:wordWrap/>
        <w:overflowPunct/>
        <w:topLinePunct w:val="0"/>
        <w:bidi w:val="0"/>
        <w:snapToGrid/>
        <w:spacing w:line="500" w:lineRule="exact"/>
        <w:ind w:left="0" w:leftChars="0" w:firstLine="422" w:firstLineChars="200"/>
        <w:textAlignment w:val="auto"/>
        <w:outlineLvl w:val="1"/>
        <w:rPr>
          <w:rFonts w:hint="eastAsia" w:ascii="宋体" w:hAnsi="宋体" w:eastAsia="宋体" w:cs="宋体"/>
          <w:b/>
          <w:color w:val="auto"/>
          <w:sz w:val="21"/>
          <w:szCs w:val="21"/>
          <w:highlight w:val="none"/>
        </w:rPr>
      </w:pPr>
      <w:bookmarkStart w:id="798" w:name="_Toc351203634"/>
      <w:bookmarkStart w:id="799" w:name="_Toc407261945"/>
      <w:r>
        <w:rPr>
          <w:rFonts w:hint="eastAsia" w:ascii="宋体" w:hAnsi="宋体" w:eastAsia="宋体" w:cs="宋体"/>
          <w:b/>
          <w:color w:val="auto"/>
          <w:sz w:val="21"/>
          <w:szCs w:val="21"/>
          <w:highlight w:val="none"/>
        </w:rPr>
        <w:t>2</w:t>
      </w:r>
      <w:bookmarkStart w:id="800" w:name="_Toc297120457"/>
      <w:bookmarkStart w:id="801" w:name="_Toc296346658"/>
      <w:bookmarkStart w:id="802" w:name="_Toc296891197"/>
      <w:bookmarkStart w:id="803" w:name="_Toc292559867"/>
      <w:bookmarkStart w:id="804" w:name="_Toc297048343"/>
      <w:bookmarkStart w:id="805" w:name="_Toc296944496"/>
      <w:bookmarkStart w:id="806" w:name="_Toc292559362"/>
      <w:bookmarkStart w:id="807" w:name="_Toc296503157"/>
      <w:bookmarkStart w:id="808" w:name="_Toc296890985"/>
      <w:bookmarkStart w:id="809" w:name="_Toc296347156"/>
      <w:r>
        <w:rPr>
          <w:rFonts w:hint="eastAsia" w:ascii="宋体" w:hAnsi="宋体" w:eastAsia="宋体" w:cs="宋体"/>
          <w:b/>
          <w:color w:val="auto"/>
          <w:sz w:val="21"/>
          <w:szCs w:val="21"/>
          <w:highlight w:val="none"/>
        </w:rPr>
        <w:t>. 委托人</w:t>
      </w:r>
      <w:bookmarkEnd w:id="798"/>
      <w:bookmarkEnd w:id="799"/>
    </w:p>
    <w:bookmarkEnd w:id="800"/>
    <w:bookmarkEnd w:id="801"/>
    <w:bookmarkEnd w:id="802"/>
    <w:bookmarkEnd w:id="803"/>
    <w:bookmarkEnd w:id="804"/>
    <w:bookmarkEnd w:id="805"/>
    <w:bookmarkEnd w:id="806"/>
    <w:bookmarkEnd w:id="807"/>
    <w:bookmarkEnd w:id="808"/>
    <w:bookmarkEnd w:id="809"/>
    <w:p w14:paraId="5F1BF487">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2.1 委托人代表</w:t>
      </w:r>
    </w:p>
    <w:p w14:paraId="236F4B81">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委托人代表：</w:t>
      </w:r>
    </w:p>
    <w:p w14:paraId="775B8DDC">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119C7BE">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70009DD">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1D292B">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9F015A4">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C4C5ECC">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9F1E679">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委托人对委托人代表的授权范围如下：</w:t>
      </w:r>
      <w:r>
        <w:rPr>
          <w:rFonts w:hint="eastAsia" w:ascii="宋体" w:hAnsi="宋体" w:eastAsia="宋体" w:cs="宋体"/>
          <w:color w:val="auto"/>
          <w:sz w:val="21"/>
          <w:szCs w:val="21"/>
          <w:highlight w:val="none"/>
          <w:u w:val="single"/>
        </w:rPr>
        <w:t>负责本工程</w:t>
      </w:r>
      <w:r>
        <w:rPr>
          <w:rFonts w:hint="eastAsia" w:ascii="宋体" w:hAnsi="宋体" w:cs="宋体"/>
          <w:color w:val="auto"/>
          <w:sz w:val="21"/>
          <w:szCs w:val="21"/>
          <w:highlight w:val="none"/>
          <w:u w:val="single"/>
          <w:lang w:val="en-US" w:eastAsia="zh-CN"/>
        </w:rPr>
        <w:t>造价咨询</w:t>
      </w:r>
      <w:r>
        <w:rPr>
          <w:rFonts w:hint="eastAsia" w:ascii="宋体" w:hAnsi="宋体" w:eastAsia="宋体" w:cs="宋体"/>
          <w:color w:val="auto"/>
          <w:sz w:val="21"/>
          <w:szCs w:val="21"/>
          <w:highlight w:val="none"/>
          <w:u w:val="single"/>
        </w:rPr>
        <w:t xml:space="preserve">的资料收集、提供、协调、沟通、确认等相关事宜 </w:t>
      </w:r>
      <w:r>
        <w:rPr>
          <w:rFonts w:hint="eastAsia" w:ascii="宋体" w:hAnsi="宋体" w:eastAsia="宋体" w:cs="宋体"/>
          <w:color w:val="auto"/>
          <w:sz w:val="21"/>
          <w:szCs w:val="21"/>
          <w:highlight w:val="none"/>
        </w:rPr>
        <w:t>。</w:t>
      </w:r>
    </w:p>
    <w:p w14:paraId="5960925E">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 提供资料</w:t>
      </w:r>
    </w:p>
    <w:p w14:paraId="625B3F45">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委托人向咨询人提供的资料包括：</w:t>
      </w:r>
      <w:r>
        <w:rPr>
          <w:rFonts w:hint="eastAsia" w:ascii="宋体" w:hAnsi="宋体" w:eastAsia="宋体" w:cs="宋体"/>
          <w:color w:val="auto"/>
          <w:sz w:val="21"/>
          <w:szCs w:val="21"/>
          <w:highlight w:val="none"/>
          <w:u w:val="single"/>
        </w:rPr>
        <w:t xml:space="preserve">本工程的施工方案、预估的施工工程量及其他相关资料等 </w:t>
      </w:r>
      <w:r>
        <w:rPr>
          <w:rFonts w:hint="eastAsia" w:ascii="宋体" w:hAnsi="宋体" w:eastAsia="宋体" w:cs="宋体"/>
          <w:color w:val="auto"/>
          <w:sz w:val="21"/>
          <w:szCs w:val="21"/>
          <w:highlight w:val="none"/>
        </w:rPr>
        <w:t>。</w:t>
      </w:r>
    </w:p>
    <w:p w14:paraId="47D409C0">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委托人向咨询人提供资料的期限为：</w:t>
      </w:r>
      <w:r>
        <w:rPr>
          <w:rFonts w:hint="eastAsia" w:ascii="宋体" w:hAnsi="宋体" w:eastAsia="宋体" w:cs="宋体"/>
          <w:color w:val="auto"/>
          <w:sz w:val="21"/>
          <w:szCs w:val="21"/>
          <w:highlight w:val="none"/>
          <w:u w:val="single"/>
        </w:rPr>
        <w:t>在每个工程实施前15日</w:t>
      </w:r>
      <w:r>
        <w:rPr>
          <w:rFonts w:hint="eastAsia" w:ascii="宋体" w:hAnsi="宋体" w:eastAsia="宋体" w:cs="宋体"/>
          <w:color w:val="auto"/>
          <w:sz w:val="21"/>
          <w:szCs w:val="21"/>
          <w:highlight w:val="none"/>
        </w:rPr>
        <w:t>。</w:t>
      </w:r>
    </w:p>
    <w:p w14:paraId="23133A81">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关于委托人向咨询人提供资料的特别约定：</w:t>
      </w:r>
      <w:r>
        <w:rPr>
          <w:rFonts w:hint="eastAsia" w:ascii="宋体" w:hAnsi="宋体" w:eastAsia="宋体" w:cs="宋体"/>
          <w:color w:val="auto"/>
          <w:kern w:val="0"/>
          <w:sz w:val="21"/>
          <w:szCs w:val="21"/>
          <w:highlight w:val="none"/>
          <w:u w:val="single"/>
        </w:rPr>
        <w:t>若委托人逾期或不能完整提供相关咨询资料，以最终提供完整资料的时间相应顺延咨询时间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74C5D3C">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2.4 答复</w:t>
      </w:r>
    </w:p>
    <w:p w14:paraId="7E892A11">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委托人对咨询人以书面形式提交并要求作出决定事宜的答复期限为：</w:t>
      </w:r>
      <w:r>
        <w:rPr>
          <w:rFonts w:hint="eastAsia" w:ascii="宋体" w:hAnsi="宋体" w:eastAsia="宋体" w:cs="宋体"/>
          <w:color w:val="auto"/>
          <w:sz w:val="21"/>
          <w:szCs w:val="21"/>
          <w:highlight w:val="none"/>
          <w:u w:val="single"/>
        </w:rPr>
        <w:t xml:space="preserve">3个工作日内 </w:t>
      </w:r>
      <w:r>
        <w:rPr>
          <w:rFonts w:hint="eastAsia" w:ascii="宋体" w:hAnsi="宋体" w:eastAsia="宋体" w:cs="宋体"/>
          <w:color w:val="auto"/>
          <w:sz w:val="21"/>
          <w:szCs w:val="21"/>
          <w:highlight w:val="none"/>
        </w:rPr>
        <w:t>。</w:t>
      </w:r>
    </w:p>
    <w:p w14:paraId="090A8D61">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关于咨询人以书面形式提交并要求第三人作出决定的事宜，由委托人送达第三人的特别约定：</w:t>
      </w:r>
      <w:r>
        <w:rPr>
          <w:rFonts w:hint="eastAsia" w:ascii="宋体" w:hAnsi="宋体" w:eastAsia="宋体" w:cs="宋体"/>
          <w:color w:val="auto"/>
          <w:sz w:val="21"/>
          <w:szCs w:val="21"/>
          <w:highlight w:val="none"/>
          <w:u w:val="single"/>
        </w:rPr>
        <w:t xml:space="preserve">3个工作日内 </w:t>
      </w:r>
      <w:r>
        <w:rPr>
          <w:rFonts w:hint="eastAsia" w:ascii="宋体" w:hAnsi="宋体" w:eastAsia="宋体" w:cs="宋体"/>
          <w:color w:val="auto"/>
          <w:sz w:val="21"/>
          <w:szCs w:val="21"/>
          <w:highlight w:val="none"/>
        </w:rPr>
        <w:t>。</w:t>
      </w:r>
      <w:bookmarkStart w:id="810" w:name="_Toc407261946"/>
    </w:p>
    <w:p w14:paraId="40A58145">
      <w:pPr>
        <w:pageBreakBefore w:val="0"/>
        <w:widowControl w:val="0"/>
        <w:kinsoku/>
        <w:wordWrap/>
        <w:overflowPunct/>
        <w:topLinePunct w:val="0"/>
        <w:bidi w:val="0"/>
        <w:snapToGrid/>
        <w:spacing w:line="500" w:lineRule="exac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咨询人</w:t>
      </w:r>
      <w:bookmarkEnd w:id="810"/>
    </w:p>
    <w:p w14:paraId="7F7CC496">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3.2 项目负责人</w:t>
      </w:r>
    </w:p>
    <w:p w14:paraId="0127B512">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D62BA1E">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47F63D9">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造价工程师注册证书号：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89A777B">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55AC11E">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719F602">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A6C06A8">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咨询人对项目负责人的授权范围如下：</w:t>
      </w:r>
      <w:r>
        <w:rPr>
          <w:rFonts w:hint="eastAsia" w:ascii="宋体" w:hAnsi="宋体" w:eastAsia="宋体" w:cs="宋体"/>
          <w:color w:val="auto"/>
          <w:sz w:val="21"/>
          <w:szCs w:val="21"/>
          <w:highlight w:val="none"/>
          <w:u w:val="single"/>
        </w:rPr>
        <w:t xml:space="preserve"> 全权负责本工程</w:t>
      </w:r>
      <w:r>
        <w:rPr>
          <w:rFonts w:hint="eastAsia" w:ascii="宋体" w:hAnsi="宋体" w:cs="宋体"/>
          <w:color w:val="auto"/>
          <w:sz w:val="21"/>
          <w:szCs w:val="21"/>
          <w:highlight w:val="none"/>
          <w:u w:val="single"/>
          <w:lang w:val="en-US" w:eastAsia="zh-CN"/>
        </w:rPr>
        <w:t>工程量及最高投标限价编制服务</w:t>
      </w:r>
      <w:r>
        <w:rPr>
          <w:rFonts w:hint="eastAsia" w:ascii="宋体" w:hAnsi="宋体" w:eastAsia="宋体" w:cs="宋体"/>
          <w:color w:val="auto"/>
          <w:sz w:val="21"/>
          <w:szCs w:val="21"/>
          <w:highlight w:val="none"/>
          <w:u w:val="single"/>
        </w:rPr>
        <w:t xml:space="preserve">的相关事宜 </w:t>
      </w:r>
      <w:r>
        <w:rPr>
          <w:rFonts w:hint="eastAsia" w:ascii="宋体" w:hAnsi="宋体" w:eastAsia="宋体" w:cs="宋体"/>
          <w:color w:val="auto"/>
          <w:sz w:val="21"/>
          <w:szCs w:val="21"/>
          <w:highlight w:val="none"/>
        </w:rPr>
        <w:t>。</w:t>
      </w:r>
    </w:p>
    <w:p w14:paraId="242F7A7B">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3.3 工程造价专业人员</w:t>
      </w:r>
    </w:p>
    <w:p w14:paraId="2867C90C">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3.3.1</w:t>
      </w:r>
      <w:r>
        <w:rPr>
          <w:rFonts w:hint="eastAsia" w:ascii="宋体" w:hAnsi="宋体" w:eastAsia="宋体" w:cs="宋体"/>
          <w:color w:val="auto"/>
          <w:sz w:val="21"/>
          <w:szCs w:val="21"/>
          <w:highlight w:val="none"/>
        </w:rPr>
        <w:t xml:space="preserve"> 咨询人提交工程造价专业人员任命文件及其注册证书或资格证书的期限：</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44F10EFD">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咨询人未提交</w:t>
      </w:r>
      <w:r>
        <w:rPr>
          <w:rFonts w:hint="eastAsia" w:ascii="宋体" w:hAnsi="宋体" w:eastAsia="宋体" w:cs="宋体"/>
          <w:color w:val="auto"/>
          <w:sz w:val="21"/>
          <w:szCs w:val="21"/>
          <w:highlight w:val="none"/>
        </w:rPr>
        <w:t>为工程造价专业人员缴纳的社会保险有效证明</w:t>
      </w:r>
      <w:r>
        <w:rPr>
          <w:rFonts w:hint="eastAsia" w:ascii="宋体" w:hAnsi="宋体" w:eastAsia="宋体" w:cs="宋体"/>
          <w:color w:val="auto"/>
          <w:kern w:val="0"/>
          <w:sz w:val="21"/>
          <w:szCs w:val="21"/>
          <w:highlight w:val="none"/>
        </w:rPr>
        <w:t>的违约责任：</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66340057">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3.3.2</w:t>
      </w:r>
      <w:r>
        <w:rPr>
          <w:rFonts w:hint="eastAsia" w:ascii="宋体" w:hAnsi="宋体" w:eastAsia="宋体" w:cs="宋体"/>
          <w:color w:val="auto"/>
          <w:sz w:val="21"/>
          <w:szCs w:val="21"/>
          <w:highlight w:val="none"/>
        </w:rPr>
        <w:t xml:space="preserve"> 咨询人擅自更换工程造价专业人员的违约责任：</w:t>
      </w:r>
      <w:r>
        <w:rPr>
          <w:rFonts w:hint="eastAsia" w:ascii="宋体" w:hAnsi="宋体" w:eastAsia="宋体" w:cs="宋体"/>
          <w:color w:val="auto"/>
          <w:sz w:val="21"/>
          <w:szCs w:val="21"/>
          <w:highlight w:val="none"/>
          <w:u w:val="single"/>
        </w:rPr>
        <w:t xml:space="preserve"> 执行通用条款 </w:t>
      </w:r>
      <w:r>
        <w:rPr>
          <w:rFonts w:hint="eastAsia" w:ascii="宋体" w:hAnsi="宋体" w:eastAsia="宋体" w:cs="宋体"/>
          <w:color w:val="auto"/>
          <w:sz w:val="21"/>
          <w:szCs w:val="21"/>
          <w:highlight w:val="none"/>
        </w:rPr>
        <w:t>。</w:t>
      </w:r>
    </w:p>
    <w:p w14:paraId="144F559D">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3.3.3</w:t>
      </w:r>
      <w:r>
        <w:rPr>
          <w:rFonts w:hint="eastAsia" w:ascii="宋体" w:hAnsi="宋体" w:eastAsia="宋体" w:cs="宋体"/>
          <w:color w:val="auto"/>
          <w:sz w:val="21"/>
          <w:szCs w:val="21"/>
          <w:highlight w:val="none"/>
        </w:rPr>
        <w:t xml:space="preserve"> 咨询人安排的工程造价专业人员</w:t>
      </w:r>
      <w:r>
        <w:rPr>
          <w:rFonts w:hint="eastAsia" w:ascii="宋体" w:hAnsi="宋体" w:eastAsia="宋体" w:cs="宋体"/>
          <w:color w:val="auto"/>
          <w:kern w:val="0"/>
          <w:sz w:val="21"/>
          <w:szCs w:val="21"/>
          <w:highlight w:val="none"/>
        </w:rPr>
        <w:t>每月在施工现场的时间要求：</w:t>
      </w:r>
      <w:r>
        <w:rPr>
          <w:rFonts w:hint="eastAsia" w:ascii="宋体" w:hAnsi="宋体" w:eastAsia="宋体" w:cs="宋体"/>
          <w:color w:val="auto"/>
          <w:sz w:val="21"/>
          <w:szCs w:val="21"/>
          <w:highlight w:val="none"/>
          <w:u w:val="single"/>
        </w:rPr>
        <w:t xml:space="preserve"> 编制时及时</w:t>
      </w:r>
      <w:r>
        <w:rPr>
          <w:rFonts w:hint="eastAsia" w:ascii="宋体" w:hAnsi="宋体" w:eastAsia="宋体" w:cs="宋体"/>
          <w:color w:val="auto"/>
          <w:sz w:val="21"/>
          <w:szCs w:val="21"/>
          <w:highlight w:val="none"/>
          <w:u w:val="single"/>
          <w:lang w:eastAsia="zh-CN"/>
        </w:rPr>
        <w:t>勘察</w:t>
      </w:r>
      <w:r>
        <w:rPr>
          <w:rFonts w:hint="eastAsia" w:ascii="宋体" w:hAnsi="宋体" w:eastAsia="宋体" w:cs="宋体"/>
          <w:color w:val="auto"/>
          <w:sz w:val="21"/>
          <w:szCs w:val="21"/>
          <w:highlight w:val="none"/>
          <w:u w:val="single"/>
        </w:rPr>
        <w:t xml:space="preserve">现场 </w:t>
      </w:r>
      <w:r>
        <w:rPr>
          <w:rFonts w:hint="eastAsia" w:ascii="宋体" w:hAnsi="宋体" w:eastAsia="宋体" w:cs="宋体"/>
          <w:color w:val="auto"/>
          <w:sz w:val="21"/>
          <w:szCs w:val="21"/>
          <w:highlight w:val="none"/>
        </w:rPr>
        <w:t>。</w:t>
      </w:r>
    </w:p>
    <w:p w14:paraId="748F43AC">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工程造价专业人员</w:t>
      </w:r>
      <w:r>
        <w:rPr>
          <w:rFonts w:hint="eastAsia" w:ascii="宋体" w:hAnsi="宋体" w:eastAsia="宋体" w:cs="宋体"/>
          <w:color w:val="auto"/>
          <w:kern w:val="0"/>
          <w:sz w:val="21"/>
          <w:szCs w:val="21"/>
          <w:highlight w:val="none"/>
        </w:rPr>
        <w:t>未经批准，擅自离开施工现场的违约责任：</w:t>
      </w:r>
      <w:r>
        <w:rPr>
          <w:rFonts w:hint="eastAsia" w:ascii="宋体" w:hAnsi="宋体" w:eastAsia="宋体" w:cs="宋体"/>
          <w:color w:val="auto"/>
          <w:sz w:val="21"/>
          <w:szCs w:val="21"/>
          <w:highlight w:val="none"/>
          <w:u w:val="single"/>
        </w:rPr>
        <w:t xml:space="preserve">执行通用条款 </w:t>
      </w:r>
      <w:r>
        <w:rPr>
          <w:rFonts w:hint="eastAsia" w:ascii="宋体" w:hAnsi="宋体" w:eastAsia="宋体" w:cs="宋体"/>
          <w:color w:val="auto"/>
          <w:sz w:val="21"/>
          <w:szCs w:val="21"/>
          <w:highlight w:val="none"/>
        </w:rPr>
        <w:t>。</w:t>
      </w:r>
    </w:p>
    <w:p w14:paraId="3ABA5489">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3.3.4</w:t>
      </w:r>
      <w:r>
        <w:rPr>
          <w:rFonts w:hint="eastAsia" w:ascii="宋体" w:hAnsi="宋体" w:eastAsia="宋体" w:cs="宋体"/>
          <w:color w:val="auto"/>
          <w:sz w:val="21"/>
          <w:szCs w:val="21"/>
          <w:highlight w:val="none"/>
        </w:rPr>
        <w:t xml:space="preserve"> 咨询人无正当理由拒绝撤换工程造价专业人员的违约责任：</w:t>
      </w:r>
      <w:r>
        <w:rPr>
          <w:rFonts w:hint="eastAsia" w:ascii="宋体" w:hAnsi="宋体" w:eastAsia="宋体" w:cs="宋体"/>
          <w:color w:val="auto"/>
          <w:sz w:val="21"/>
          <w:szCs w:val="21"/>
          <w:highlight w:val="none"/>
          <w:u w:val="single"/>
        </w:rPr>
        <w:t xml:space="preserve">执行通用条款 </w:t>
      </w:r>
      <w:r>
        <w:rPr>
          <w:rFonts w:hint="eastAsia" w:ascii="宋体" w:hAnsi="宋体" w:eastAsia="宋体" w:cs="宋体"/>
          <w:color w:val="auto"/>
          <w:sz w:val="21"/>
          <w:szCs w:val="21"/>
          <w:highlight w:val="none"/>
        </w:rPr>
        <w:t>。</w:t>
      </w:r>
    </w:p>
    <w:p w14:paraId="002A41D4">
      <w:pPr>
        <w:keepNext/>
        <w:keepLines/>
        <w:pageBreakBefore w:val="0"/>
        <w:widowControl w:val="0"/>
        <w:kinsoku/>
        <w:wordWrap/>
        <w:overflowPunct/>
        <w:topLinePunct w:val="0"/>
        <w:bidi w:val="0"/>
        <w:snapToGrid/>
        <w:spacing w:line="500" w:lineRule="exact"/>
        <w:ind w:left="0" w:leftChars="0" w:firstLine="422" w:firstLineChars="200"/>
        <w:textAlignment w:val="auto"/>
        <w:outlineLvl w:val="1"/>
        <w:rPr>
          <w:rFonts w:hint="eastAsia" w:ascii="宋体" w:hAnsi="宋体" w:eastAsia="宋体" w:cs="宋体"/>
          <w:b/>
          <w:color w:val="auto"/>
          <w:sz w:val="21"/>
          <w:szCs w:val="21"/>
          <w:highlight w:val="none"/>
        </w:rPr>
      </w:pPr>
      <w:bookmarkStart w:id="811" w:name="_Toc407261947"/>
      <w:r>
        <w:rPr>
          <w:rFonts w:hint="eastAsia" w:ascii="宋体" w:hAnsi="宋体" w:eastAsia="宋体" w:cs="宋体"/>
          <w:b/>
          <w:color w:val="auto"/>
          <w:sz w:val="21"/>
          <w:szCs w:val="21"/>
          <w:highlight w:val="none"/>
        </w:rPr>
        <w:t>4. 咨询业务范围和工作内容</w:t>
      </w:r>
      <w:bookmarkEnd w:id="811"/>
    </w:p>
    <w:p w14:paraId="433BD805">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4.2 咨询工作内容</w:t>
      </w:r>
    </w:p>
    <w:p w14:paraId="6F49DE3A">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工程造价咨询工作内容包括：</w:t>
      </w:r>
      <w:r>
        <w:rPr>
          <w:rFonts w:hint="eastAsia" w:ascii="宋体" w:hAnsi="宋体" w:eastAsia="宋体" w:cs="宋体"/>
          <w:color w:val="auto"/>
          <w:sz w:val="21"/>
          <w:szCs w:val="21"/>
          <w:highlight w:val="none"/>
          <w:u w:val="single"/>
        </w:rPr>
        <w:t xml:space="preserve"> 1.</w:t>
      </w:r>
      <w:r>
        <w:rPr>
          <w:rFonts w:hint="eastAsia" w:ascii="宋体" w:hAnsi="宋体" w:cs="宋体"/>
          <w:color w:val="auto"/>
          <w:sz w:val="21"/>
          <w:szCs w:val="21"/>
          <w:highlight w:val="none"/>
          <w:u w:val="single"/>
          <w:lang w:val="en-US" w:eastAsia="zh-CN"/>
        </w:rPr>
        <w:t>工程量清单及最高投标限价编制服务成果文件的</w:t>
      </w:r>
      <w:r>
        <w:rPr>
          <w:rFonts w:hint="eastAsia" w:ascii="宋体" w:hAnsi="宋体" w:eastAsia="宋体" w:cs="宋体"/>
          <w:color w:val="auto"/>
          <w:sz w:val="21"/>
          <w:szCs w:val="21"/>
          <w:highlight w:val="none"/>
          <w:u w:val="single"/>
        </w:rPr>
        <w:t>编制；2.积极配合业主做好造价咨询和施工过程中的交底、询价、答疑、复核等有关的工作；3.成果文件必须符合滁州市相关部门的规定，并在规定时间内完成最高投标限价备案工作。</w:t>
      </w:r>
    </w:p>
    <w:p w14:paraId="16B38B44">
      <w:pPr>
        <w:keepNext/>
        <w:keepLines/>
        <w:pageBreakBefore w:val="0"/>
        <w:widowControl w:val="0"/>
        <w:kinsoku/>
        <w:wordWrap/>
        <w:overflowPunct/>
        <w:topLinePunct w:val="0"/>
        <w:bidi w:val="0"/>
        <w:snapToGrid/>
        <w:spacing w:line="500" w:lineRule="exact"/>
        <w:ind w:left="0" w:leftChars="0" w:firstLine="422" w:firstLineChars="200"/>
        <w:textAlignment w:val="auto"/>
        <w:outlineLvl w:val="1"/>
        <w:rPr>
          <w:rFonts w:hint="eastAsia" w:ascii="宋体" w:hAnsi="宋体" w:eastAsia="宋体" w:cs="宋体"/>
          <w:b/>
          <w:color w:val="auto"/>
          <w:sz w:val="21"/>
          <w:szCs w:val="21"/>
          <w:highlight w:val="none"/>
        </w:rPr>
      </w:pPr>
      <w:bookmarkStart w:id="812" w:name="_Toc407261948"/>
      <w:r>
        <w:rPr>
          <w:rFonts w:hint="eastAsia" w:ascii="宋体" w:hAnsi="宋体" w:eastAsia="宋体" w:cs="宋体"/>
          <w:b/>
          <w:color w:val="auto"/>
          <w:sz w:val="21"/>
          <w:szCs w:val="21"/>
          <w:highlight w:val="none"/>
        </w:rPr>
        <w:t>5. 咨询期限</w:t>
      </w:r>
      <w:bookmarkEnd w:id="812"/>
    </w:p>
    <w:p w14:paraId="27D75343">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5.2 咨询期限延误</w:t>
      </w:r>
    </w:p>
    <w:p w14:paraId="2499046F">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5.2.1</w:t>
      </w:r>
      <w:r>
        <w:rPr>
          <w:rFonts w:hint="eastAsia" w:ascii="宋体" w:hAnsi="宋体" w:eastAsia="宋体" w:cs="宋体"/>
          <w:color w:val="auto"/>
          <w:sz w:val="21"/>
          <w:szCs w:val="21"/>
          <w:highlight w:val="none"/>
        </w:rPr>
        <w:t xml:space="preserve"> 因委托人原因导致咨询期限延误</w:t>
      </w:r>
    </w:p>
    <w:p w14:paraId="23853BEE">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sz w:val="21"/>
          <w:szCs w:val="21"/>
          <w:highlight w:val="none"/>
        </w:rPr>
        <w:t>因委托人原因导致咨询期限延误的其他情形：</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5EDDDB26">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bookmarkStart w:id="813" w:name="_Toc297123518"/>
      <w:bookmarkStart w:id="814" w:name="_Toc300934970"/>
      <w:bookmarkStart w:id="815" w:name="_Toc303539127"/>
      <w:bookmarkStart w:id="816" w:name="_Toc304295548"/>
      <w:bookmarkStart w:id="817" w:name="_Toc297216177"/>
      <w:r>
        <w:rPr>
          <w:rFonts w:hint="eastAsia" w:ascii="宋体" w:hAnsi="宋体" w:eastAsia="宋体" w:cs="宋体"/>
          <w:bCs/>
          <w:color w:val="auto"/>
          <w:sz w:val="21"/>
          <w:szCs w:val="21"/>
          <w:highlight w:val="none"/>
        </w:rPr>
        <w:t>5.2.2</w:t>
      </w:r>
      <w:r>
        <w:rPr>
          <w:rFonts w:hint="eastAsia" w:ascii="宋体" w:hAnsi="宋体" w:eastAsia="宋体" w:cs="宋体"/>
          <w:color w:val="auto"/>
          <w:sz w:val="21"/>
          <w:szCs w:val="21"/>
          <w:highlight w:val="none"/>
        </w:rPr>
        <w:t xml:space="preserve"> 因咨询人原因导致咨询期限延误</w:t>
      </w:r>
    </w:p>
    <w:p w14:paraId="3ED0185C">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w:t>
      </w:r>
      <w:bookmarkStart w:id="818" w:name="_Toc312678013"/>
      <w:bookmarkStart w:id="819" w:name="_Toc312677487"/>
      <w:bookmarkStart w:id="820" w:name="_Toc318581170"/>
      <w:r>
        <w:rPr>
          <w:rFonts w:hint="eastAsia" w:ascii="宋体" w:hAnsi="宋体" w:eastAsia="宋体" w:cs="宋体"/>
          <w:color w:val="auto"/>
          <w:sz w:val="21"/>
          <w:szCs w:val="21"/>
          <w:highlight w:val="none"/>
        </w:rPr>
        <w:t>咨询人原因造成咨询期限延误，逾期完成咨询业务违约金的计算方法为：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rPr>
        <w:t xml:space="preserve">00元/天 </w:t>
      </w:r>
      <w:r>
        <w:rPr>
          <w:rFonts w:hint="eastAsia" w:ascii="宋体" w:hAnsi="宋体" w:eastAsia="宋体" w:cs="宋体"/>
          <w:color w:val="auto"/>
          <w:sz w:val="21"/>
          <w:szCs w:val="21"/>
          <w:highlight w:val="none"/>
        </w:rPr>
        <w:t>。</w:t>
      </w:r>
      <w:bookmarkEnd w:id="813"/>
      <w:bookmarkEnd w:id="814"/>
      <w:bookmarkEnd w:id="815"/>
      <w:bookmarkEnd w:id="816"/>
      <w:bookmarkEnd w:id="817"/>
      <w:bookmarkEnd w:id="818"/>
      <w:bookmarkEnd w:id="819"/>
    </w:p>
    <w:bookmarkEnd w:id="820"/>
    <w:p w14:paraId="79D8CAE7">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因咨询人原因造成咨询期限延误，</w:t>
      </w:r>
      <w:bookmarkStart w:id="821" w:name="_Toc318581171"/>
      <w:bookmarkStart w:id="822" w:name="_Toc312678014"/>
      <w:r>
        <w:rPr>
          <w:rFonts w:hint="eastAsia" w:ascii="宋体" w:hAnsi="宋体" w:eastAsia="宋体" w:cs="宋体"/>
          <w:color w:val="auto"/>
          <w:sz w:val="21"/>
          <w:szCs w:val="21"/>
          <w:highlight w:val="none"/>
        </w:rPr>
        <w:t>逾期完成咨询业务违约金的上限：</w:t>
      </w:r>
      <w:bookmarkEnd w:id="821"/>
      <w:bookmarkEnd w:id="822"/>
      <w:r>
        <w:rPr>
          <w:rFonts w:hint="eastAsia" w:ascii="宋体" w:hAnsi="宋体" w:eastAsia="宋体" w:cs="宋体"/>
          <w:color w:val="auto"/>
          <w:sz w:val="21"/>
          <w:szCs w:val="21"/>
          <w:highlight w:val="none"/>
          <w:u w:val="single"/>
        </w:rPr>
        <w:t xml:space="preserve">执行通用条款 </w:t>
      </w:r>
      <w:r>
        <w:rPr>
          <w:rFonts w:hint="eastAsia" w:ascii="宋体" w:hAnsi="宋体" w:eastAsia="宋体" w:cs="宋体"/>
          <w:color w:val="auto"/>
          <w:sz w:val="21"/>
          <w:szCs w:val="21"/>
          <w:highlight w:val="none"/>
        </w:rPr>
        <w:t>。</w:t>
      </w:r>
    </w:p>
    <w:p w14:paraId="503469A6">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5.2.3</w:t>
      </w:r>
      <w:r>
        <w:rPr>
          <w:rFonts w:hint="eastAsia" w:ascii="宋体" w:hAnsi="宋体" w:eastAsia="宋体" w:cs="宋体"/>
          <w:color w:val="auto"/>
          <w:sz w:val="21"/>
          <w:szCs w:val="21"/>
          <w:highlight w:val="none"/>
        </w:rPr>
        <w:t xml:space="preserve"> 因第三人原因导致咨询期限延误</w:t>
      </w:r>
    </w:p>
    <w:p w14:paraId="2CFD7518">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因第三人原因导致咨询期限延误的其他情形：</w:t>
      </w:r>
      <w:r>
        <w:rPr>
          <w:rFonts w:hint="eastAsia" w:ascii="宋体" w:hAnsi="宋体" w:eastAsia="宋体" w:cs="宋体"/>
          <w:color w:val="auto"/>
          <w:sz w:val="21"/>
          <w:szCs w:val="21"/>
          <w:highlight w:val="none"/>
          <w:u w:val="single"/>
        </w:rPr>
        <w:t xml:space="preserve">执行通用条款 </w:t>
      </w:r>
      <w:r>
        <w:rPr>
          <w:rFonts w:hint="eastAsia" w:ascii="宋体" w:hAnsi="宋体" w:eastAsia="宋体" w:cs="宋体"/>
          <w:color w:val="auto"/>
          <w:sz w:val="21"/>
          <w:szCs w:val="21"/>
          <w:highlight w:val="none"/>
        </w:rPr>
        <w:t>。</w:t>
      </w:r>
    </w:p>
    <w:p w14:paraId="1988FBE4">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5.3 工程造价咨询成果文件交付期限</w:t>
      </w:r>
    </w:p>
    <w:p w14:paraId="5ADF637D">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5.3.1</w:t>
      </w:r>
      <w:r>
        <w:rPr>
          <w:rFonts w:hint="eastAsia" w:ascii="宋体" w:hAnsi="宋体" w:eastAsia="宋体" w:cs="宋体"/>
          <w:color w:val="auto"/>
          <w:sz w:val="21"/>
          <w:szCs w:val="21"/>
          <w:highlight w:val="none"/>
        </w:rPr>
        <w:t>咨询人向委托人提交工程造价咨询成果文件的份数</w:t>
      </w:r>
      <w:r>
        <w:rPr>
          <w:rFonts w:hint="eastAsia" w:ascii="宋体" w:hAnsi="宋体" w:eastAsia="宋体" w:cs="宋体"/>
          <w:color w:val="auto"/>
          <w:sz w:val="21"/>
          <w:szCs w:val="21"/>
          <w:highlight w:val="none"/>
          <w:u w:val="single"/>
        </w:rPr>
        <w:t xml:space="preserve"> 五份 </w:t>
      </w:r>
      <w:r>
        <w:rPr>
          <w:rFonts w:hint="eastAsia" w:ascii="宋体" w:hAnsi="宋体" w:eastAsia="宋体" w:cs="宋体"/>
          <w:color w:val="auto"/>
          <w:sz w:val="21"/>
          <w:szCs w:val="21"/>
          <w:highlight w:val="none"/>
        </w:rPr>
        <w:t>。</w:t>
      </w:r>
    </w:p>
    <w:p w14:paraId="40FE0642">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委托人在收到咨询人提交的工程造价咨询成果文件后确认或提出修改意见的期限：</w:t>
      </w:r>
      <w:r>
        <w:rPr>
          <w:rFonts w:hint="eastAsia" w:ascii="宋体" w:hAnsi="宋体" w:eastAsia="宋体" w:cs="宋体"/>
          <w:color w:val="auto"/>
          <w:sz w:val="21"/>
          <w:szCs w:val="21"/>
          <w:highlight w:val="none"/>
          <w:u w:val="single"/>
        </w:rPr>
        <w:t xml:space="preserve">5个工作日 </w:t>
      </w:r>
      <w:r>
        <w:rPr>
          <w:rFonts w:hint="eastAsia" w:ascii="宋体" w:hAnsi="宋体" w:eastAsia="宋体" w:cs="宋体"/>
          <w:color w:val="auto"/>
          <w:sz w:val="21"/>
          <w:szCs w:val="21"/>
          <w:highlight w:val="none"/>
        </w:rPr>
        <w:t>。</w:t>
      </w:r>
    </w:p>
    <w:p w14:paraId="13C33730">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5.3.2</w:t>
      </w:r>
      <w:r>
        <w:rPr>
          <w:rFonts w:hint="eastAsia" w:ascii="宋体" w:hAnsi="宋体" w:eastAsia="宋体" w:cs="宋体"/>
          <w:color w:val="auto"/>
          <w:sz w:val="21"/>
          <w:szCs w:val="21"/>
          <w:highlight w:val="none"/>
        </w:rPr>
        <w:t>因咨询人原因未能在合理的期限内完成工程计量与支付、合同价款调整等文件编制或审核，给委托人造成损失的违约责任</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40FFFB8B">
      <w:pPr>
        <w:keepNext/>
        <w:keepLines/>
        <w:pageBreakBefore w:val="0"/>
        <w:widowControl w:val="0"/>
        <w:kinsoku/>
        <w:wordWrap/>
        <w:overflowPunct/>
        <w:topLinePunct w:val="0"/>
        <w:bidi w:val="0"/>
        <w:snapToGrid/>
        <w:spacing w:line="500" w:lineRule="exact"/>
        <w:ind w:left="0" w:leftChars="0" w:firstLine="422" w:firstLineChars="200"/>
        <w:textAlignment w:val="auto"/>
        <w:outlineLvl w:val="1"/>
        <w:rPr>
          <w:rFonts w:hint="eastAsia" w:ascii="宋体" w:hAnsi="宋体" w:eastAsia="宋体" w:cs="宋体"/>
          <w:b/>
          <w:color w:val="auto"/>
          <w:sz w:val="21"/>
          <w:szCs w:val="21"/>
          <w:highlight w:val="none"/>
        </w:rPr>
      </w:pPr>
      <w:bookmarkStart w:id="823" w:name="_Toc407261949"/>
      <w:r>
        <w:rPr>
          <w:rFonts w:hint="eastAsia" w:ascii="宋体" w:hAnsi="宋体" w:eastAsia="宋体" w:cs="宋体"/>
          <w:b/>
          <w:color w:val="auto"/>
          <w:sz w:val="21"/>
          <w:szCs w:val="21"/>
          <w:highlight w:val="none"/>
        </w:rPr>
        <w:t>6. 咨询质量</w:t>
      </w:r>
      <w:bookmarkEnd w:id="823"/>
    </w:p>
    <w:p w14:paraId="64B0F6C4">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6.1 质量要求</w:t>
      </w:r>
    </w:p>
    <w:p w14:paraId="6D457F74">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工程造价咨询成果文件质量标准：</w:t>
      </w:r>
      <w:r>
        <w:rPr>
          <w:rFonts w:hint="eastAsia" w:ascii="宋体" w:hAnsi="宋体" w:eastAsia="宋体" w:cs="宋体"/>
          <w:color w:val="auto"/>
          <w:sz w:val="21"/>
          <w:szCs w:val="21"/>
          <w:highlight w:val="none"/>
          <w:u w:val="single"/>
        </w:rPr>
        <w:t>中国建设工程造价管理协会《建设工程造价咨询成果文件质量标准》（CECA/GC7-2012）的</w:t>
      </w:r>
      <w:r>
        <w:rPr>
          <w:rFonts w:hint="eastAsia" w:ascii="宋体" w:hAnsi="宋体" w:eastAsia="宋体" w:cs="宋体"/>
          <w:b/>
          <w:color w:val="auto"/>
          <w:sz w:val="21"/>
          <w:szCs w:val="21"/>
          <w:highlight w:val="none"/>
          <w:u w:val="single"/>
        </w:rPr>
        <w:t>合格</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标准。</w:t>
      </w:r>
    </w:p>
    <w:p w14:paraId="5B05310E">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6.3质量不合格处理</w:t>
      </w:r>
    </w:p>
    <w:p w14:paraId="51542694">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因咨询人原因造成工程造价咨询成果文件质量未达到合同约定标准，委托人相应减少咨询酬金的计算方法为：</w:t>
      </w:r>
      <w:r>
        <w:rPr>
          <w:rFonts w:hint="eastAsia" w:hAnsi="宋体" w:cs="宋体"/>
          <w:b w:val="0"/>
          <w:bCs w:val="0"/>
          <w:color w:val="auto"/>
          <w:kern w:val="0"/>
          <w:sz w:val="21"/>
          <w:szCs w:val="21"/>
          <w:highlight w:val="none"/>
          <w:u w:val="single"/>
          <w:lang w:val="en-US" w:eastAsia="zh-CN" w:bidi="ar"/>
        </w:rPr>
        <w:t xml:space="preserve">  </w:t>
      </w:r>
      <w:r>
        <w:rPr>
          <w:rFonts w:hint="eastAsia" w:ascii="宋体" w:hAnsi="宋体" w:eastAsia="宋体" w:cs="宋体"/>
          <w:color w:val="auto"/>
          <w:sz w:val="21"/>
          <w:szCs w:val="21"/>
          <w:highlight w:val="none"/>
          <w:u w:val="single"/>
        </w:rPr>
        <w:t>执行通用条款</w:t>
      </w:r>
      <w:r>
        <w:rPr>
          <w:rFonts w:hint="eastAsia" w:hAnsi="宋体" w:cs="宋体"/>
          <w:b w:val="0"/>
          <w:bCs w:val="0"/>
          <w:color w:val="auto"/>
          <w:kern w:val="0"/>
          <w:sz w:val="21"/>
          <w:szCs w:val="21"/>
          <w:highlight w:val="none"/>
          <w:u w:val="single"/>
          <w:lang w:val="en-US" w:eastAsia="zh-CN" w:bidi="ar"/>
        </w:rPr>
        <w:t xml:space="preserve">         。</w:t>
      </w:r>
    </w:p>
    <w:p w14:paraId="5295CD54">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因咨询人原因造成工程造价咨询成果文件质量不合格产生的损失赔偿额的计算方法为：</w:t>
      </w:r>
      <w:r>
        <w:rPr>
          <w:rFonts w:hint="eastAsia" w:ascii="宋体" w:hAnsi="宋体" w:eastAsia="宋体" w:cs="宋体"/>
          <w:color w:val="auto"/>
          <w:sz w:val="21"/>
          <w:szCs w:val="21"/>
          <w:highlight w:val="none"/>
          <w:u w:val="single"/>
        </w:rPr>
        <w:t xml:space="preserve">执行通用条款 </w:t>
      </w:r>
      <w:r>
        <w:rPr>
          <w:rFonts w:hint="eastAsia" w:ascii="宋体" w:hAnsi="宋体" w:eastAsia="宋体" w:cs="宋体"/>
          <w:color w:val="auto"/>
          <w:sz w:val="21"/>
          <w:szCs w:val="21"/>
          <w:highlight w:val="none"/>
        </w:rPr>
        <w:t>。</w:t>
      </w:r>
    </w:p>
    <w:p w14:paraId="37D226FC">
      <w:pPr>
        <w:keepNext/>
        <w:keepLines/>
        <w:pageBreakBefore w:val="0"/>
        <w:widowControl w:val="0"/>
        <w:kinsoku/>
        <w:wordWrap/>
        <w:overflowPunct/>
        <w:topLinePunct w:val="0"/>
        <w:bidi w:val="0"/>
        <w:snapToGrid/>
        <w:spacing w:line="500" w:lineRule="exact"/>
        <w:ind w:left="0" w:leftChars="0" w:firstLine="422" w:firstLineChars="200"/>
        <w:textAlignment w:val="auto"/>
        <w:outlineLvl w:val="1"/>
        <w:rPr>
          <w:rFonts w:hint="eastAsia" w:ascii="宋体" w:hAnsi="宋体" w:eastAsia="宋体" w:cs="宋体"/>
          <w:b/>
          <w:color w:val="auto"/>
          <w:sz w:val="21"/>
          <w:szCs w:val="21"/>
          <w:highlight w:val="none"/>
        </w:rPr>
      </w:pPr>
      <w:bookmarkStart w:id="824" w:name="_Toc407261950"/>
      <w:r>
        <w:rPr>
          <w:rFonts w:hint="eastAsia" w:ascii="宋体" w:hAnsi="宋体" w:eastAsia="宋体" w:cs="宋体"/>
          <w:b/>
          <w:color w:val="auto"/>
          <w:sz w:val="21"/>
          <w:szCs w:val="21"/>
          <w:highlight w:val="none"/>
        </w:rPr>
        <w:t>7. 咨询酬金</w:t>
      </w:r>
      <w:bookmarkEnd w:id="824"/>
    </w:p>
    <w:p w14:paraId="28D6214B">
      <w:pPr>
        <w:pageBreakBefore w:val="0"/>
        <w:widowControl w:val="0"/>
        <w:kinsoku/>
        <w:wordWrap/>
        <w:overflowPunct/>
        <w:topLinePunct w:val="0"/>
        <w:bidi w:val="0"/>
        <w:snapToGrid/>
        <w:spacing w:line="500" w:lineRule="exact"/>
        <w:ind w:left="0" w:leftChars="0"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7.1 酬金计算方式</w:t>
      </w:r>
    </w:p>
    <w:p w14:paraId="7FC4509D">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none"/>
          <w:lang w:val="en-US" w:eastAsia="zh-CN"/>
        </w:rPr>
        <w:t>合同（中标）</w:t>
      </w:r>
      <w:r>
        <w:rPr>
          <w:rFonts w:hint="eastAsia" w:ascii="宋体" w:hAnsi="宋体" w:eastAsia="宋体" w:cs="宋体"/>
          <w:b/>
          <w:bCs/>
          <w:color w:val="auto"/>
          <w:sz w:val="21"/>
          <w:szCs w:val="21"/>
          <w:highlight w:val="none"/>
          <w:u w:val="none"/>
        </w:rPr>
        <w:t>费率</w:t>
      </w:r>
      <w:r>
        <w:rPr>
          <w:rFonts w:hint="eastAsia" w:ascii="宋体" w:hAnsi="宋体" w:eastAsia="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w:t>
      </w:r>
      <w:r>
        <w:rPr>
          <w:rFonts w:hint="eastAsia" w:ascii="宋体" w:hAnsi="宋体" w:eastAsia="宋体" w:cs="宋体"/>
          <w:b/>
          <w:bCs/>
          <w:color w:val="auto"/>
          <w:sz w:val="21"/>
          <w:szCs w:val="21"/>
          <w:highlight w:val="none"/>
          <w:u w:val="single"/>
        </w:rPr>
        <w:t>。</w:t>
      </w:r>
    </w:p>
    <w:p w14:paraId="44B7A9A4">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人民币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大写</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整</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r>
        <w:rPr>
          <w:rFonts w:hint="eastAsia" w:ascii="宋体" w:hAnsi="宋体" w:eastAsia="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暂以项目投资额30000万元计算）</w:t>
      </w:r>
      <w:r>
        <w:rPr>
          <w:rFonts w:hint="eastAsia" w:ascii="宋体" w:hAnsi="宋体" w:eastAsia="宋体" w:cs="宋体"/>
          <w:b/>
          <w:bCs/>
          <w:color w:val="auto"/>
          <w:kern w:val="0"/>
          <w:sz w:val="21"/>
          <w:szCs w:val="21"/>
          <w:highlight w:val="none"/>
        </w:rPr>
        <w:t>；</w:t>
      </w:r>
    </w:p>
    <w:p w14:paraId="4B440956">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kern w:val="0"/>
          <w:sz w:val="21"/>
          <w:szCs w:val="21"/>
          <w:highlight w:val="none"/>
          <w:u w:val="none"/>
        </w:rPr>
      </w:pPr>
      <w:r>
        <w:rPr>
          <w:rFonts w:hint="eastAsia" w:ascii="宋体" w:hAnsi="宋体" w:cs="宋体"/>
          <w:color w:val="auto"/>
          <w:sz w:val="21"/>
          <w:szCs w:val="21"/>
          <w:highlight w:val="none"/>
          <w:u w:val="none"/>
          <w:lang w:val="en-US" w:eastAsia="zh-CN"/>
        </w:rPr>
        <w:t>注：1.</w:t>
      </w:r>
      <w:r>
        <w:rPr>
          <w:rFonts w:hint="eastAsia" w:ascii="宋体" w:hAnsi="宋体" w:eastAsia="宋体" w:cs="宋体"/>
          <w:color w:val="auto"/>
          <w:sz w:val="21"/>
          <w:szCs w:val="21"/>
          <w:highlight w:val="none"/>
          <w:u w:val="none"/>
        </w:rPr>
        <w:t>如</w:t>
      </w:r>
      <w:r>
        <w:rPr>
          <w:rFonts w:hint="eastAsia" w:ascii="宋体" w:hAnsi="宋体" w:eastAsia="宋体" w:cs="宋体"/>
          <w:color w:val="auto"/>
          <w:sz w:val="21"/>
          <w:szCs w:val="21"/>
          <w:highlight w:val="none"/>
          <w:u w:val="none"/>
          <w:lang w:val="en-US" w:eastAsia="zh-CN"/>
        </w:rPr>
        <w:t>项目终止</w:t>
      </w:r>
      <w:r>
        <w:rPr>
          <w:rFonts w:hint="eastAsia" w:ascii="宋体" w:hAnsi="宋体" w:eastAsia="宋体" w:cs="宋体"/>
          <w:color w:val="auto"/>
          <w:sz w:val="21"/>
          <w:szCs w:val="21"/>
          <w:highlight w:val="none"/>
          <w:u w:val="none"/>
        </w:rPr>
        <w:t>且咨询人提交成果文件后</w:t>
      </w:r>
      <w:r>
        <w:rPr>
          <w:rFonts w:hint="eastAsia" w:ascii="宋体" w:hAnsi="宋体" w:eastAsia="宋体" w:cs="宋体"/>
          <w:color w:val="auto"/>
          <w:kern w:val="0"/>
          <w:sz w:val="21"/>
          <w:szCs w:val="21"/>
          <w:highlight w:val="none"/>
          <w:u w:val="none"/>
        </w:rPr>
        <w:t>，计费基数为</w:t>
      </w:r>
      <w:r>
        <w:rPr>
          <w:rFonts w:hint="eastAsia" w:ascii="宋体" w:hAnsi="宋体" w:cs="宋体"/>
          <w:color w:val="auto"/>
          <w:kern w:val="0"/>
          <w:sz w:val="21"/>
          <w:szCs w:val="21"/>
          <w:highlight w:val="none"/>
          <w:u w:val="none"/>
          <w:lang w:val="en-US" w:eastAsia="zh-CN"/>
        </w:rPr>
        <w:t>成果文件总金额</w:t>
      </w:r>
      <w:r>
        <w:rPr>
          <w:rFonts w:hint="eastAsia" w:ascii="宋体" w:hAnsi="宋体" w:eastAsia="宋体" w:cs="宋体"/>
          <w:color w:val="auto"/>
          <w:kern w:val="0"/>
          <w:sz w:val="21"/>
          <w:szCs w:val="21"/>
          <w:highlight w:val="none"/>
          <w:u w:val="none"/>
        </w:rPr>
        <w:t>下浮40%；</w:t>
      </w:r>
    </w:p>
    <w:p w14:paraId="27467E9A">
      <w:pPr>
        <w:keepNext w:val="0"/>
        <w:keepLines w:val="0"/>
        <w:pageBreakBefore w:val="0"/>
        <w:widowControl w:val="0"/>
        <w:kinsoku/>
        <w:wordWrap/>
        <w:overflowPunct/>
        <w:topLinePunct w:val="0"/>
        <w:bidi w:val="0"/>
        <w:spacing w:line="500" w:lineRule="exact"/>
        <w:ind w:left="0"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2.本项目具体编制费用以本项目结算总金额为基数计算，</w:t>
      </w:r>
      <w:r>
        <w:rPr>
          <w:rFonts w:hint="eastAsia" w:ascii="宋体" w:hAnsi="宋体" w:cs="宋体"/>
          <w:b w:val="0"/>
          <w:bCs w:val="0"/>
          <w:color w:val="auto"/>
          <w:sz w:val="21"/>
          <w:szCs w:val="21"/>
          <w:highlight w:val="none"/>
          <w:lang w:val="en-US" w:eastAsia="zh-CN"/>
        </w:rPr>
        <w:t>合同（中标）费率不予调整。即咨询服务费用为本项目结算总金额*合同（中标）费率，结算费用如超过44.55万元，按44.55万元计算。</w:t>
      </w:r>
    </w:p>
    <w:p w14:paraId="1B10E87E">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7.1.2</w:t>
      </w:r>
      <w:r>
        <w:rPr>
          <w:rFonts w:hint="eastAsia" w:ascii="宋体" w:hAnsi="宋体" w:eastAsia="宋体" w:cs="宋体"/>
          <w:color w:val="auto"/>
          <w:sz w:val="21"/>
          <w:szCs w:val="21"/>
          <w:highlight w:val="none"/>
        </w:rPr>
        <w:t xml:space="preserve"> 基本酬金加绩效酬金</w:t>
      </w:r>
    </w:p>
    <w:p w14:paraId="1548C6EF">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基本酬金比率：</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3EC82987">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绩效酬金比率：</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75062E00">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7.2 预付酬金</w:t>
      </w:r>
    </w:p>
    <w:p w14:paraId="74952C0F">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预付酬金支付比例或金额：</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1E370A06">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预付酬金支付期限：</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32D7A97B">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委托人逾期支付预付酬金的违约金的计算方式：</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44BC15CD">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7.3 酬金分段结算与支付</w:t>
      </w:r>
    </w:p>
    <w:p w14:paraId="08B9E102">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7.3.1</w:t>
      </w:r>
      <w:r>
        <w:rPr>
          <w:rFonts w:hint="eastAsia" w:ascii="宋体" w:hAnsi="宋体" w:eastAsia="宋体" w:cs="宋体"/>
          <w:color w:val="auto"/>
          <w:sz w:val="21"/>
          <w:szCs w:val="21"/>
          <w:highlight w:val="none"/>
        </w:rPr>
        <w:t xml:space="preserve"> 酬金分段结算与支付的比例或金额：</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029E0A69">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咨询人提交酬金分段结算与支付申请书的期限：</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2FA5CCB3">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7.3.2</w:t>
      </w:r>
      <w:r>
        <w:rPr>
          <w:rFonts w:hint="eastAsia" w:ascii="宋体" w:hAnsi="宋体" w:eastAsia="宋体" w:cs="宋体"/>
          <w:color w:val="auto"/>
          <w:sz w:val="21"/>
          <w:szCs w:val="21"/>
          <w:highlight w:val="none"/>
        </w:rPr>
        <w:t xml:space="preserve"> 委托人审核确认酬金分段结算与支付申请书并完成酬金支付的期限：</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0164FA94">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7.4 酬金结清与支付</w:t>
      </w:r>
    </w:p>
    <w:p w14:paraId="44BF027C">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7.4.1</w:t>
      </w:r>
      <w:r>
        <w:rPr>
          <w:rFonts w:hint="eastAsia" w:ascii="宋体" w:hAnsi="宋体" w:eastAsia="宋体" w:cs="宋体"/>
          <w:color w:val="auto"/>
          <w:sz w:val="21"/>
          <w:szCs w:val="21"/>
          <w:highlight w:val="none"/>
        </w:rPr>
        <w:t>咨询人提交酬金结清与支付申请书的期限：</w:t>
      </w:r>
      <w:r>
        <w:rPr>
          <w:rFonts w:hint="eastAsia" w:ascii="宋体" w:hAnsi="宋体" w:eastAsia="宋体" w:cs="宋体"/>
          <w:color w:val="auto"/>
          <w:sz w:val="21"/>
          <w:szCs w:val="21"/>
          <w:highlight w:val="none"/>
          <w:u w:val="single"/>
        </w:rPr>
        <w:t xml:space="preserve"> 执行通用条款 </w:t>
      </w:r>
      <w:r>
        <w:rPr>
          <w:rFonts w:hint="eastAsia" w:ascii="宋体" w:hAnsi="宋体" w:eastAsia="宋体" w:cs="宋体"/>
          <w:color w:val="auto"/>
          <w:sz w:val="21"/>
          <w:szCs w:val="21"/>
          <w:highlight w:val="none"/>
        </w:rPr>
        <w:t>。</w:t>
      </w:r>
    </w:p>
    <w:p w14:paraId="04F988FA">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7.4.2</w:t>
      </w:r>
      <w:r>
        <w:rPr>
          <w:rFonts w:hint="eastAsia" w:ascii="宋体" w:hAnsi="宋体" w:eastAsia="宋体" w:cs="宋体"/>
          <w:color w:val="auto"/>
          <w:sz w:val="21"/>
          <w:szCs w:val="21"/>
          <w:highlight w:val="none"/>
        </w:rPr>
        <w:t>委托人审核确认酬金结清与支付申请书的期限：</w:t>
      </w:r>
      <w:r>
        <w:rPr>
          <w:rFonts w:hint="eastAsia" w:ascii="宋体" w:hAnsi="宋体" w:eastAsia="宋体" w:cs="宋体"/>
          <w:color w:val="auto"/>
          <w:sz w:val="21"/>
          <w:szCs w:val="21"/>
          <w:highlight w:val="none"/>
          <w:u w:val="single"/>
        </w:rPr>
        <w:t xml:space="preserve">执行通用条款 </w:t>
      </w:r>
      <w:r>
        <w:rPr>
          <w:rFonts w:hint="eastAsia" w:ascii="宋体" w:hAnsi="宋体" w:eastAsia="宋体" w:cs="宋体"/>
          <w:color w:val="auto"/>
          <w:sz w:val="21"/>
          <w:szCs w:val="21"/>
          <w:highlight w:val="none"/>
        </w:rPr>
        <w:t>。</w:t>
      </w:r>
    </w:p>
    <w:p w14:paraId="7CA9C7C8">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cs="宋体"/>
          <w:b/>
          <w:bCs/>
          <w:color w:val="auto"/>
          <w:sz w:val="21"/>
          <w:szCs w:val="21"/>
          <w:highlight w:val="none"/>
          <w:u w:val="single"/>
          <w:lang w:val="en-US" w:eastAsia="zh-CN"/>
        </w:rPr>
      </w:pPr>
      <w:r>
        <w:rPr>
          <w:rFonts w:hint="eastAsia" w:ascii="宋体" w:hAnsi="宋体" w:eastAsia="宋体" w:cs="宋体"/>
          <w:color w:val="auto"/>
          <w:sz w:val="21"/>
          <w:szCs w:val="21"/>
          <w:highlight w:val="none"/>
        </w:rPr>
        <w:t>7.4.3委托人完成酬金支付的期限：</w:t>
      </w:r>
      <w:r>
        <w:rPr>
          <w:rFonts w:hint="eastAsia" w:ascii="宋体" w:hAnsi="宋体" w:cs="宋体"/>
          <w:b/>
          <w:bCs/>
          <w:color w:val="auto"/>
          <w:sz w:val="21"/>
          <w:szCs w:val="21"/>
          <w:highlight w:val="none"/>
          <w:u w:val="single"/>
          <w:lang w:val="en-US" w:eastAsia="zh-CN"/>
        </w:rPr>
        <w:t>咨询人提交</w:t>
      </w:r>
      <w:r>
        <w:rPr>
          <w:rFonts w:hint="eastAsia" w:ascii="宋体" w:hAnsi="宋体" w:eastAsia="宋体" w:cs="宋体"/>
          <w:b/>
          <w:bCs/>
          <w:color w:val="auto"/>
          <w:sz w:val="21"/>
          <w:szCs w:val="21"/>
          <w:highlight w:val="none"/>
          <w:u w:val="single"/>
          <w:lang w:val="en-US" w:eastAsia="zh-CN"/>
        </w:rPr>
        <w:t>完整的工程造价咨询成果文件后支付酬金的60%，剩余40%，待项目完工并结算复审完成后一次性付清（须扣除对</w:t>
      </w:r>
      <w:r>
        <w:rPr>
          <w:rFonts w:hint="eastAsia" w:ascii="宋体" w:hAnsi="宋体" w:cs="宋体"/>
          <w:b/>
          <w:bCs/>
          <w:color w:val="auto"/>
          <w:sz w:val="21"/>
          <w:szCs w:val="21"/>
          <w:highlight w:val="none"/>
          <w:u w:val="single"/>
          <w:lang w:val="en-US" w:eastAsia="zh-CN"/>
        </w:rPr>
        <w:t>服务期间的所有罚款）。</w:t>
      </w:r>
    </w:p>
    <w:p w14:paraId="7D1BEEF0">
      <w:pPr>
        <w:keepNext/>
        <w:keepLines/>
        <w:pageBreakBefore w:val="0"/>
        <w:widowControl w:val="0"/>
        <w:kinsoku/>
        <w:wordWrap/>
        <w:overflowPunct/>
        <w:topLinePunct w:val="0"/>
        <w:bidi w:val="0"/>
        <w:snapToGrid/>
        <w:spacing w:line="500" w:lineRule="exact"/>
        <w:ind w:left="0" w:leftChars="0" w:firstLine="422" w:firstLineChars="200"/>
        <w:textAlignment w:val="auto"/>
        <w:outlineLvl w:val="1"/>
        <w:rPr>
          <w:rFonts w:hint="eastAsia" w:ascii="宋体" w:hAnsi="宋体" w:eastAsia="宋体" w:cs="宋体"/>
          <w:b/>
          <w:color w:val="auto"/>
          <w:sz w:val="21"/>
          <w:szCs w:val="21"/>
          <w:highlight w:val="none"/>
        </w:rPr>
      </w:pPr>
      <w:bookmarkStart w:id="825" w:name="_Toc407261951"/>
      <w:r>
        <w:rPr>
          <w:rFonts w:hint="eastAsia" w:ascii="宋体" w:hAnsi="宋体" w:cs="宋体"/>
          <w:b/>
          <w:color w:val="auto"/>
          <w:sz w:val="21"/>
          <w:szCs w:val="21"/>
          <w:highlight w:val="none"/>
          <w:lang w:val="en-US" w:eastAsia="zh-CN"/>
        </w:rPr>
        <w:t>注：</w:t>
      </w:r>
      <w:r>
        <w:rPr>
          <w:rFonts w:hint="eastAsia" w:ascii="宋体" w:hAnsi="宋体" w:eastAsia="宋体" w:cs="宋体"/>
          <w:b/>
          <w:color w:val="auto"/>
          <w:sz w:val="21"/>
          <w:szCs w:val="21"/>
          <w:highlight w:val="none"/>
          <w:lang w:val="en-US" w:eastAsia="zh-CN"/>
        </w:rPr>
        <w:t>根据国家税务要求，本项目税率按照国家税务标准执行，中标人在请款时所提供的增值税专用发票税率低于国家税务要求的，经开区财务部门将从最终合同价款中扣除差额部分。</w:t>
      </w:r>
    </w:p>
    <w:p w14:paraId="10ECFC6A">
      <w:pPr>
        <w:keepNext/>
        <w:keepLines/>
        <w:pageBreakBefore w:val="0"/>
        <w:widowControl w:val="0"/>
        <w:kinsoku/>
        <w:wordWrap/>
        <w:overflowPunct/>
        <w:topLinePunct w:val="0"/>
        <w:bidi w:val="0"/>
        <w:snapToGrid/>
        <w:spacing w:line="500" w:lineRule="exact"/>
        <w:ind w:left="0" w:leftChars="0"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 变更</w:t>
      </w:r>
      <w:bookmarkEnd w:id="825"/>
    </w:p>
    <w:p w14:paraId="40B266DC">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8.1 变更的范围</w:t>
      </w:r>
    </w:p>
    <w:p w14:paraId="66CE023D">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变更的其他情形：</w:t>
      </w:r>
      <w:r>
        <w:rPr>
          <w:rFonts w:hint="eastAsia" w:ascii="宋体" w:hAnsi="宋体" w:eastAsia="宋体" w:cs="宋体"/>
          <w:color w:val="auto"/>
          <w:sz w:val="21"/>
          <w:szCs w:val="21"/>
          <w:highlight w:val="none"/>
          <w:u w:val="single"/>
        </w:rPr>
        <w:t xml:space="preserve"> 依据委托人当时提供资料编制以外的其他资料 </w:t>
      </w:r>
      <w:r>
        <w:rPr>
          <w:rFonts w:hint="eastAsia" w:ascii="宋体" w:hAnsi="宋体" w:eastAsia="宋体" w:cs="宋体"/>
          <w:color w:val="auto"/>
          <w:sz w:val="21"/>
          <w:szCs w:val="21"/>
          <w:highlight w:val="none"/>
        </w:rPr>
        <w:t>。</w:t>
      </w:r>
    </w:p>
    <w:p w14:paraId="41A4D879">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8.2 变更引起的咨询酬金和期限调整</w:t>
      </w:r>
    </w:p>
    <w:p w14:paraId="537F35E7">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8.2.1 变更引起咨询酬金调整的计算方法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295D801A">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变更引起咨询期限调整的计算方法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0ACF081B">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8.3 咨询人的合理化建议</w:t>
      </w:r>
    </w:p>
    <w:p w14:paraId="04782DAD">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合理化建议奖励金额的比率：</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043E75A8">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合理化建议奖励的其他计算方法：</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2D140FF2">
      <w:pPr>
        <w:keepNext/>
        <w:keepLines/>
        <w:pageBreakBefore w:val="0"/>
        <w:widowControl w:val="0"/>
        <w:kinsoku/>
        <w:wordWrap/>
        <w:overflowPunct/>
        <w:topLinePunct w:val="0"/>
        <w:bidi w:val="0"/>
        <w:snapToGrid/>
        <w:spacing w:line="500" w:lineRule="exact"/>
        <w:ind w:left="0" w:leftChars="0" w:firstLine="422" w:firstLineChars="200"/>
        <w:textAlignment w:val="auto"/>
        <w:outlineLvl w:val="1"/>
        <w:rPr>
          <w:rFonts w:hint="eastAsia" w:ascii="宋体" w:hAnsi="宋体" w:eastAsia="宋体" w:cs="宋体"/>
          <w:bCs/>
          <w:color w:val="auto"/>
          <w:sz w:val="21"/>
          <w:szCs w:val="21"/>
          <w:highlight w:val="none"/>
        </w:rPr>
      </w:pPr>
      <w:bookmarkStart w:id="826" w:name="_Toc407261952"/>
      <w:r>
        <w:rPr>
          <w:rFonts w:hint="eastAsia" w:ascii="宋体" w:hAnsi="宋体" w:eastAsia="宋体" w:cs="宋体"/>
          <w:b/>
          <w:color w:val="auto"/>
          <w:sz w:val="21"/>
          <w:szCs w:val="21"/>
          <w:highlight w:val="none"/>
        </w:rPr>
        <w:t>9. 违约</w:t>
      </w:r>
      <w:bookmarkEnd w:id="826"/>
    </w:p>
    <w:p w14:paraId="19816970">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9.1 委托人违约</w:t>
      </w:r>
    </w:p>
    <w:p w14:paraId="0A756FB6">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关于委托人违约解除合同的特别约定：</w:t>
      </w:r>
      <w:r>
        <w:rPr>
          <w:rFonts w:hint="eastAsia" w:ascii="宋体" w:hAnsi="宋体" w:eastAsia="宋体" w:cs="宋体"/>
          <w:color w:val="auto"/>
          <w:kern w:val="0"/>
          <w:sz w:val="21"/>
          <w:szCs w:val="21"/>
          <w:highlight w:val="none"/>
          <w:u w:val="single"/>
        </w:rPr>
        <w:t xml:space="preserve">本条不采用 </w:t>
      </w:r>
      <w:r>
        <w:rPr>
          <w:rFonts w:hint="eastAsia" w:ascii="宋体" w:hAnsi="宋体" w:eastAsia="宋体" w:cs="宋体"/>
          <w:color w:val="auto"/>
          <w:kern w:val="0"/>
          <w:sz w:val="21"/>
          <w:szCs w:val="21"/>
          <w:highlight w:val="none"/>
        </w:rPr>
        <w:t>。</w:t>
      </w:r>
    </w:p>
    <w:p w14:paraId="6BCE08FE">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因委托人违约解除合同的，关于已完咨询业务酬金结算和付款的约定：</w:t>
      </w:r>
      <w:r>
        <w:rPr>
          <w:rFonts w:hint="eastAsia" w:ascii="宋体" w:hAnsi="宋体" w:eastAsia="宋体" w:cs="宋体"/>
          <w:color w:val="auto"/>
          <w:kern w:val="0"/>
          <w:sz w:val="21"/>
          <w:szCs w:val="21"/>
          <w:highlight w:val="none"/>
          <w:u w:val="single"/>
        </w:rPr>
        <w:t xml:space="preserve">本条不采用 </w:t>
      </w:r>
      <w:r>
        <w:rPr>
          <w:rFonts w:hint="eastAsia" w:ascii="宋体" w:hAnsi="宋体" w:eastAsia="宋体" w:cs="宋体"/>
          <w:color w:val="auto"/>
          <w:kern w:val="0"/>
          <w:sz w:val="21"/>
          <w:szCs w:val="21"/>
          <w:highlight w:val="none"/>
        </w:rPr>
        <w:t>。</w:t>
      </w:r>
    </w:p>
    <w:p w14:paraId="506C27A8">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 咨询人违约</w:t>
      </w:r>
    </w:p>
    <w:p w14:paraId="4B64902E">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关于咨询人违约解除合同的特别约定：</w:t>
      </w:r>
      <w:r>
        <w:rPr>
          <w:rFonts w:hint="eastAsia" w:ascii="宋体" w:hAnsi="宋体" w:eastAsia="宋体" w:cs="宋体"/>
          <w:color w:val="auto"/>
          <w:kern w:val="0"/>
          <w:sz w:val="21"/>
          <w:szCs w:val="21"/>
          <w:highlight w:val="none"/>
          <w:u w:val="single"/>
        </w:rPr>
        <w:t xml:space="preserve"> 本条不采用 </w:t>
      </w:r>
      <w:r>
        <w:rPr>
          <w:rFonts w:hint="eastAsia" w:ascii="宋体" w:hAnsi="宋体" w:eastAsia="宋体" w:cs="宋体"/>
          <w:color w:val="auto"/>
          <w:kern w:val="0"/>
          <w:sz w:val="21"/>
          <w:szCs w:val="21"/>
          <w:highlight w:val="none"/>
        </w:rPr>
        <w:t>。</w:t>
      </w:r>
    </w:p>
    <w:p w14:paraId="3D9DA897">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因咨询人违约解除合同的，关于已完咨询业务酬金结算和付款的约定：</w:t>
      </w:r>
      <w:bookmarkStart w:id="827" w:name="_Toc407261953"/>
      <w:r>
        <w:rPr>
          <w:rFonts w:hint="eastAsia" w:ascii="宋体" w:hAnsi="宋体" w:eastAsia="宋体" w:cs="宋体"/>
          <w:color w:val="auto"/>
          <w:kern w:val="0"/>
          <w:sz w:val="21"/>
          <w:szCs w:val="21"/>
          <w:highlight w:val="none"/>
          <w:u w:val="single"/>
        </w:rPr>
        <w:t xml:space="preserve">本条不采用 </w:t>
      </w:r>
      <w:r>
        <w:rPr>
          <w:rFonts w:hint="eastAsia" w:ascii="宋体" w:hAnsi="宋体" w:eastAsia="宋体" w:cs="宋体"/>
          <w:color w:val="auto"/>
          <w:kern w:val="0"/>
          <w:sz w:val="21"/>
          <w:szCs w:val="21"/>
          <w:highlight w:val="none"/>
        </w:rPr>
        <w:t>。</w:t>
      </w:r>
    </w:p>
    <w:p w14:paraId="7E38FDAD">
      <w:pPr>
        <w:pageBreakBefore w:val="0"/>
        <w:widowControl w:val="0"/>
        <w:kinsoku/>
        <w:wordWrap/>
        <w:overflowPunct/>
        <w:topLinePunct w:val="0"/>
        <w:bidi w:val="0"/>
        <w:snapToGrid/>
        <w:spacing w:line="5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 争议解决</w:t>
      </w:r>
      <w:bookmarkEnd w:id="827"/>
    </w:p>
    <w:p w14:paraId="5061F69B">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10.3 仲裁或诉讼</w:t>
      </w:r>
    </w:p>
    <w:p w14:paraId="29496F35">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1B3CC76F">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u w:val="single"/>
        </w:rPr>
        <w:t xml:space="preserve"> 滁州 </w:t>
      </w:r>
      <w:r>
        <w:rPr>
          <w:rFonts w:hint="eastAsia" w:ascii="宋体" w:hAnsi="宋体" w:eastAsia="宋体" w:cs="宋体"/>
          <w:color w:val="auto"/>
          <w:sz w:val="21"/>
          <w:szCs w:val="21"/>
          <w:highlight w:val="none"/>
        </w:rPr>
        <w:t>仲裁委员会申请仲裁；</w:t>
      </w:r>
    </w:p>
    <w:p w14:paraId="5F467974">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滁州 </w:t>
      </w:r>
      <w:r>
        <w:rPr>
          <w:rFonts w:hint="eastAsia" w:ascii="宋体" w:hAnsi="宋体" w:eastAsia="宋体" w:cs="宋体"/>
          <w:color w:val="auto"/>
          <w:sz w:val="21"/>
          <w:szCs w:val="21"/>
          <w:highlight w:val="none"/>
        </w:rPr>
        <w:t>人民法院起诉。</w:t>
      </w:r>
      <w:bookmarkStart w:id="828" w:name="_Toc407261954"/>
    </w:p>
    <w:p w14:paraId="4D88C942">
      <w:pPr>
        <w:pageBreakBefore w:val="0"/>
        <w:widowControl w:val="0"/>
        <w:kinsoku/>
        <w:wordWrap/>
        <w:overflowPunct/>
        <w:topLinePunct w:val="0"/>
        <w:bidi w:val="0"/>
        <w:snapToGrid/>
        <w:spacing w:line="5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11. </w:t>
      </w:r>
      <w:r>
        <w:rPr>
          <w:rFonts w:hint="eastAsia" w:ascii="宋体" w:hAnsi="宋体" w:cs="宋体"/>
          <w:b/>
          <w:bCs/>
          <w:color w:val="auto"/>
          <w:sz w:val="21"/>
          <w:szCs w:val="21"/>
          <w:highlight w:val="none"/>
          <w:lang w:val="en-US" w:eastAsia="zh-CN"/>
        </w:rPr>
        <w:t>违约</w:t>
      </w:r>
      <w:r>
        <w:rPr>
          <w:rFonts w:hint="eastAsia" w:ascii="宋体" w:hAnsi="宋体" w:eastAsia="宋体" w:cs="宋体"/>
          <w:b/>
          <w:bCs/>
          <w:color w:val="auto"/>
          <w:sz w:val="21"/>
          <w:szCs w:val="21"/>
          <w:highlight w:val="none"/>
        </w:rPr>
        <w:t>条款</w:t>
      </w:r>
      <w:bookmarkEnd w:id="828"/>
      <w:r>
        <w:rPr>
          <w:rFonts w:hint="eastAsia" w:ascii="宋体" w:hAnsi="宋体" w:eastAsia="宋体" w:cs="宋体"/>
          <w:b/>
          <w:bCs/>
          <w:color w:val="auto"/>
          <w:sz w:val="21"/>
          <w:szCs w:val="21"/>
          <w:highlight w:val="none"/>
        </w:rPr>
        <w:t>：</w:t>
      </w:r>
    </w:p>
    <w:p w14:paraId="2F38586C">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（1）工程量清单会审过程中，发现工程造价咨询单位存在转包、违法分包等行为的，造价成果错漏较多或严重错误的，暂停委托其承接滁州市经济技术开发区及其隶属单位造价咨询业务。</w:t>
      </w:r>
    </w:p>
    <w:p w14:paraId="721773A3">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施工</w:t>
      </w:r>
      <w:r>
        <w:rPr>
          <w:rFonts w:hint="eastAsia" w:ascii="宋体" w:hAnsi="宋体" w:eastAsia="宋体" w:cs="宋体"/>
          <w:color w:val="auto"/>
          <w:sz w:val="21"/>
          <w:szCs w:val="21"/>
          <w:highlight w:val="none"/>
        </w:rPr>
        <w:t>招标公告期间出现工程量清单错漏项、最高投标限价编制错误的，未造成项目开标延期的，暂停委托其承接滁州经济技术开发区管委会及其隶属单位造价咨询业务6个月；造成项目开标延期的，暂停委托其承接滁州经济技术开发区管委会及其隶属单位造价咨询业务12个月。</w:t>
      </w:r>
    </w:p>
    <w:p w14:paraId="5E468BDA">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施工过程中发现清单错漏项，单项达5万元的，处以2000元违约金；达30万元的，处以4000元违约金，且暂停委托其承接滁州经济技术开发区管委会及其隶属单位造价咨询业务3个月；达60万元的，处以6000元违约金，且暂停委托其承接滁州经济技术开发区管委会及其隶属单位造价咨询业务6个月；达100万元的，处以20000元违约金，且暂停委托其承接滁州经济技术开发区管委会及其隶属单位造价咨询业务12个月。误差率累计超过3%，视情节轻重，处罚10%至30%咨询服务费用，且暂停委托其承接滁州市经济技术开发区及其隶属单位造价咨询业务。</w:t>
      </w:r>
    </w:p>
    <w:p w14:paraId="6E24D8E4">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（4）如受托人未能按照委托人要求完成造价咨询工作的，委托人有权终止合同。</w:t>
      </w:r>
    </w:p>
    <w:p w14:paraId="65F340D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11B0B4B">
      <w:pPr>
        <w:pageBreakBefore w:val="0"/>
        <w:widowControl w:val="0"/>
        <w:kinsoku/>
        <w:wordWrap/>
        <w:overflowPunct/>
        <w:topLinePunct w:val="0"/>
        <w:bidi w:val="0"/>
        <w:snapToGrid/>
        <w:spacing w:line="500" w:lineRule="exact"/>
        <w:ind w:left="0" w:leftChars="0" w:firstLine="562" w:firstLineChars="200"/>
        <w:textAlignment w:val="auto"/>
        <w:rPr>
          <w:rFonts w:hint="eastAsia" w:ascii="黑体" w:eastAsia="黑体" w:cs="宋体"/>
          <w:b/>
          <w:bCs/>
          <w:color w:val="auto"/>
          <w:sz w:val="28"/>
          <w:szCs w:val="28"/>
          <w:highlight w:val="none"/>
        </w:rPr>
      </w:pPr>
      <w:r>
        <w:rPr>
          <w:rFonts w:hint="eastAsia" w:ascii="黑体" w:eastAsia="黑体" w:cs="宋体"/>
          <w:b/>
          <w:bCs/>
          <w:color w:val="auto"/>
          <w:sz w:val="28"/>
          <w:szCs w:val="28"/>
          <w:highlight w:val="none"/>
        </w:rPr>
        <w:t xml:space="preserve">附件：      </w:t>
      </w:r>
    </w:p>
    <w:p w14:paraId="36C372D3">
      <w:pPr>
        <w:rPr>
          <w:rFonts w:hint="eastAsia" w:ascii="黑体" w:eastAsia="黑体" w:cs="宋体"/>
          <w:b/>
          <w:bCs/>
          <w:color w:val="auto"/>
          <w:sz w:val="28"/>
          <w:szCs w:val="28"/>
          <w:highlight w:val="none"/>
        </w:rPr>
      </w:pPr>
    </w:p>
    <w:p w14:paraId="376B95C5">
      <w:pPr>
        <w:rPr>
          <w:rFonts w:hint="eastAsia" w:ascii="黑体" w:eastAsia="黑体" w:cs="宋体"/>
          <w:b/>
          <w:bCs/>
          <w:color w:val="auto"/>
          <w:sz w:val="28"/>
          <w:szCs w:val="28"/>
          <w:highlight w:val="none"/>
        </w:rPr>
      </w:pPr>
    </w:p>
    <w:p w14:paraId="7B77C8BD">
      <w:pPr>
        <w:rPr>
          <w:rFonts w:hint="eastAsia" w:ascii="黑体" w:eastAsia="黑体" w:cs="宋体"/>
          <w:b/>
          <w:bCs/>
          <w:color w:val="auto"/>
          <w:sz w:val="28"/>
          <w:szCs w:val="28"/>
          <w:highlight w:val="none"/>
        </w:rPr>
      </w:pPr>
    </w:p>
    <w:p w14:paraId="6A68D2CE">
      <w:pPr>
        <w:rPr>
          <w:rFonts w:hint="eastAsia" w:ascii="黑体" w:eastAsia="黑体" w:cs="宋体"/>
          <w:b/>
          <w:bCs/>
          <w:color w:val="auto"/>
          <w:sz w:val="28"/>
          <w:szCs w:val="28"/>
          <w:highlight w:val="none"/>
        </w:rPr>
      </w:pPr>
    </w:p>
    <w:p w14:paraId="1B722D8A">
      <w:pPr>
        <w:keepNext w:val="0"/>
        <w:keepLines w:val="0"/>
        <w:pageBreakBefore w:val="0"/>
        <w:widowControl/>
        <w:kinsoku/>
        <w:wordWrap/>
        <w:overflowPunct/>
        <w:topLinePunct w:val="0"/>
        <w:autoSpaceDE/>
        <w:autoSpaceDN/>
        <w:bidi w:val="0"/>
        <w:adjustRightInd/>
        <w:spacing w:line="540" w:lineRule="exact"/>
        <w:jc w:val="center"/>
        <w:textAlignment w:val="auto"/>
        <w:rPr>
          <w:rFonts w:hint="eastAsia" w:ascii="仿宋" w:hAnsi="仿宋" w:eastAsia="仿宋" w:cs="宋体"/>
          <w:b w:val="0"/>
          <w:bCs/>
          <w:color w:val="auto"/>
          <w:kern w:val="0"/>
          <w:sz w:val="32"/>
          <w:szCs w:val="32"/>
          <w:highlight w:val="none"/>
        </w:rPr>
      </w:pPr>
      <w:r>
        <w:rPr>
          <w:rFonts w:hint="eastAsia" w:ascii="黑体" w:eastAsia="黑体"/>
          <w:b/>
          <w:color w:val="auto"/>
          <w:sz w:val="32"/>
          <w:szCs w:val="32"/>
          <w:highlight w:val="none"/>
        </w:rPr>
        <w:t xml:space="preserve">   </w:t>
      </w:r>
      <w:r>
        <w:rPr>
          <w:rFonts w:hint="eastAsia" w:ascii="仿宋" w:hAnsi="仿宋" w:eastAsia="仿宋" w:cs="宋体"/>
          <w:b w:val="0"/>
          <w:bCs/>
          <w:color w:val="auto"/>
          <w:kern w:val="0"/>
          <w:sz w:val="32"/>
          <w:szCs w:val="32"/>
          <w:highlight w:val="none"/>
        </w:rPr>
        <w:t>滁开管发〔202</w:t>
      </w:r>
      <w:r>
        <w:rPr>
          <w:rFonts w:hint="eastAsia" w:ascii="仿宋" w:hAnsi="仿宋" w:eastAsia="仿宋" w:cs="宋体"/>
          <w:b w:val="0"/>
          <w:bCs/>
          <w:color w:val="auto"/>
          <w:kern w:val="0"/>
          <w:sz w:val="32"/>
          <w:szCs w:val="32"/>
          <w:highlight w:val="none"/>
          <w:lang w:val="en-US" w:eastAsia="zh-CN"/>
        </w:rPr>
        <w:t>4</w:t>
      </w:r>
      <w:r>
        <w:rPr>
          <w:rFonts w:hint="eastAsia" w:ascii="仿宋" w:hAnsi="仿宋" w:eastAsia="仿宋" w:cs="宋体"/>
          <w:b w:val="0"/>
          <w:bCs/>
          <w:color w:val="auto"/>
          <w:kern w:val="0"/>
          <w:sz w:val="32"/>
          <w:szCs w:val="32"/>
          <w:highlight w:val="none"/>
        </w:rPr>
        <w:t>〕</w:t>
      </w:r>
      <w:r>
        <w:rPr>
          <w:rFonts w:hint="eastAsia" w:ascii="仿宋" w:hAnsi="仿宋" w:eastAsia="仿宋" w:cs="宋体"/>
          <w:b w:val="0"/>
          <w:bCs/>
          <w:color w:val="auto"/>
          <w:kern w:val="0"/>
          <w:sz w:val="32"/>
          <w:szCs w:val="32"/>
          <w:highlight w:val="none"/>
          <w:lang w:val="en-US" w:eastAsia="zh-CN"/>
        </w:rPr>
        <w:t>47</w:t>
      </w:r>
      <w:r>
        <w:rPr>
          <w:rFonts w:hint="eastAsia" w:ascii="仿宋" w:hAnsi="仿宋" w:eastAsia="仿宋" w:cs="宋体"/>
          <w:b w:val="0"/>
          <w:bCs/>
          <w:color w:val="auto"/>
          <w:kern w:val="0"/>
          <w:sz w:val="32"/>
          <w:szCs w:val="32"/>
          <w:highlight w:val="none"/>
        </w:rPr>
        <w:t>号</w:t>
      </w:r>
    </w:p>
    <w:p w14:paraId="179D9654">
      <w:pPr>
        <w:keepNext w:val="0"/>
        <w:keepLines w:val="0"/>
        <w:pageBreakBefore w:val="0"/>
        <w:widowControl/>
        <w:kinsoku/>
        <w:wordWrap/>
        <w:overflowPunct/>
        <w:topLinePunct w:val="0"/>
        <w:autoSpaceDE/>
        <w:autoSpaceDN/>
        <w:bidi w:val="0"/>
        <w:adjustRightInd/>
        <w:spacing w:line="540" w:lineRule="exact"/>
        <w:jc w:val="center"/>
        <w:textAlignment w:val="auto"/>
        <w:rPr>
          <w:rFonts w:hint="eastAsia" w:ascii="仿宋" w:hAnsi="仿宋" w:eastAsia="仿宋" w:cs="宋体"/>
          <w:b w:val="0"/>
          <w:bCs/>
          <w:color w:val="auto"/>
          <w:kern w:val="0"/>
          <w:sz w:val="32"/>
          <w:szCs w:val="32"/>
          <w:highlight w:val="none"/>
        </w:rPr>
      </w:pPr>
    </w:p>
    <w:p w14:paraId="404C254C">
      <w:pPr>
        <w:keepNext w:val="0"/>
        <w:keepLines w:val="0"/>
        <w:pageBreakBefore w:val="0"/>
        <w:kinsoku/>
        <w:wordWrap/>
        <w:overflowPunct/>
        <w:topLinePunct w:val="0"/>
        <w:autoSpaceDE/>
        <w:autoSpaceDN/>
        <w:bidi w:val="0"/>
        <w:adjustRightInd/>
        <w:spacing w:line="540" w:lineRule="exact"/>
        <w:jc w:val="center"/>
        <w:textAlignment w:val="auto"/>
        <w:rPr>
          <w:rFonts w:hint="eastAsia"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关于印发滁州经开区政府投资建设项目</w:t>
      </w:r>
    </w:p>
    <w:p w14:paraId="15826509">
      <w:pPr>
        <w:keepNext w:val="0"/>
        <w:keepLines w:val="0"/>
        <w:pageBreakBefore w:val="0"/>
        <w:kinsoku/>
        <w:wordWrap/>
        <w:overflowPunct/>
        <w:topLinePunct w:val="0"/>
        <w:autoSpaceDE/>
        <w:autoSpaceDN/>
        <w:bidi w:val="0"/>
        <w:adjustRightInd/>
        <w:spacing w:line="540" w:lineRule="exact"/>
        <w:jc w:val="center"/>
        <w:textAlignment w:val="auto"/>
        <w:rPr>
          <w:rFonts w:hint="eastAsia"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工程变更管理暂行办法的通知</w:t>
      </w:r>
    </w:p>
    <w:p w14:paraId="2116277F">
      <w:pPr>
        <w:spacing w:line="600" w:lineRule="exact"/>
        <w:rPr>
          <w:rFonts w:ascii="宋体"/>
          <w:b/>
          <w:color w:val="auto"/>
          <w:sz w:val="44"/>
          <w:szCs w:val="44"/>
          <w:highlight w:val="none"/>
        </w:rPr>
      </w:pPr>
    </w:p>
    <w:p w14:paraId="040617D8">
      <w:pPr>
        <w:spacing w:line="600" w:lineRule="exact"/>
        <w:rPr>
          <w:rFonts w:ascii="宋体"/>
          <w:b/>
          <w:color w:val="auto"/>
          <w:sz w:val="44"/>
          <w:szCs w:val="44"/>
          <w:highlight w:val="none"/>
        </w:rPr>
      </w:pPr>
    </w:p>
    <w:p w14:paraId="531B6DCA">
      <w:pPr>
        <w:keepNext w:val="0"/>
        <w:keepLines w:val="0"/>
        <w:pageBreakBefore w:val="0"/>
        <w:widowControl/>
        <w:kinsoku/>
        <w:wordWrap/>
        <w:overflowPunct/>
        <w:topLinePunct w:val="0"/>
        <w:autoSpaceDE/>
        <w:autoSpaceDN/>
        <w:bidi w:val="0"/>
        <w:adjustRightInd/>
        <w:spacing w:line="540" w:lineRule="exact"/>
        <w:jc w:val="left"/>
        <w:textAlignment w:val="auto"/>
        <w:rPr>
          <w:rFonts w:hint="eastAsia" w:ascii="仿宋" w:hAnsi="仿宋" w:eastAsia="仿宋" w:cs="宋体"/>
          <w:b w:val="0"/>
          <w:bCs/>
          <w:color w:val="auto"/>
          <w:kern w:val="0"/>
          <w:sz w:val="32"/>
          <w:szCs w:val="32"/>
          <w:highlight w:val="none"/>
        </w:rPr>
      </w:pPr>
      <w:r>
        <w:rPr>
          <w:rFonts w:hint="eastAsia" w:ascii="仿宋" w:hAnsi="仿宋" w:eastAsia="仿宋" w:cs="宋体"/>
          <w:b w:val="0"/>
          <w:bCs/>
          <w:color w:val="auto"/>
          <w:kern w:val="0"/>
          <w:sz w:val="32"/>
          <w:szCs w:val="32"/>
          <w:highlight w:val="none"/>
        </w:rPr>
        <w:t>各办、局、办事处，各直属单位：</w:t>
      </w:r>
    </w:p>
    <w:p w14:paraId="323B5FA3">
      <w:pPr>
        <w:keepNext w:val="0"/>
        <w:keepLines w:val="0"/>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 w:hAnsi="仿宋" w:eastAsia="仿宋" w:cs="宋体"/>
          <w:b w:val="0"/>
          <w:bCs/>
          <w:color w:val="auto"/>
          <w:kern w:val="0"/>
          <w:sz w:val="32"/>
          <w:szCs w:val="32"/>
          <w:highlight w:val="none"/>
        </w:rPr>
      </w:pPr>
      <w:r>
        <w:rPr>
          <w:rFonts w:hint="eastAsia" w:ascii="仿宋" w:hAnsi="仿宋" w:eastAsia="仿宋" w:cs="宋体"/>
          <w:b w:val="0"/>
          <w:bCs/>
          <w:color w:val="auto"/>
          <w:kern w:val="0"/>
          <w:sz w:val="32"/>
          <w:szCs w:val="32"/>
          <w:highlight w:val="none"/>
        </w:rPr>
        <w:t>现将《滁州经开区政府投资建设项目工程变更管理暂行办法》印发给你们，请遵照执行。</w:t>
      </w:r>
    </w:p>
    <w:p w14:paraId="2E373A7B">
      <w:pPr>
        <w:keepNext w:val="0"/>
        <w:keepLines w:val="0"/>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 w:hAnsi="仿宋" w:eastAsia="仿宋" w:cs="宋体"/>
          <w:b w:val="0"/>
          <w:bCs/>
          <w:color w:val="auto"/>
          <w:kern w:val="0"/>
          <w:sz w:val="32"/>
          <w:szCs w:val="32"/>
          <w:highlight w:val="none"/>
        </w:rPr>
      </w:pPr>
    </w:p>
    <w:p w14:paraId="4731AADA">
      <w:pPr>
        <w:keepNext w:val="0"/>
        <w:keepLines w:val="0"/>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 w:hAnsi="仿宋" w:eastAsia="仿宋" w:cs="宋体"/>
          <w:b w:val="0"/>
          <w:bCs/>
          <w:color w:val="auto"/>
          <w:kern w:val="0"/>
          <w:sz w:val="32"/>
          <w:szCs w:val="32"/>
          <w:highlight w:val="none"/>
        </w:rPr>
      </w:pPr>
    </w:p>
    <w:p w14:paraId="781D9FCD">
      <w:pPr>
        <w:keepNext w:val="0"/>
        <w:keepLines w:val="0"/>
        <w:pageBreakBefore w:val="0"/>
        <w:widowControl/>
        <w:kinsoku/>
        <w:wordWrap/>
        <w:overflowPunct/>
        <w:topLinePunct w:val="0"/>
        <w:autoSpaceDE/>
        <w:autoSpaceDN/>
        <w:bidi w:val="0"/>
        <w:adjustRightInd/>
        <w:spacing w:line="540" w:lineRule="exact"/>
        <w:ind w:firstLine="640" w:firstLineChars="200"/>
        <w:jc w:val="right"/>
        <w:textAlignment w:val="auto"/>
        <w:rPr>
          <w:rFonts w:hint="eastAsia" w:ascii="仿宋" w:hAnsi="仿宋" w:eastAsia="仿宋" w:cs="宋体"/>
          <w:b w:val="0"/>
          <w:bCs/>
          <w:color w:val="auto"/>
          <w:kern w:val="0"/>
          <w:sz w:val="32"/>
          <w:szCs w:val="32"/>
          <w:highlight w:val="none"/>
        </w:rPr>
      </w:pPr>
    </w:p>
    <w:p w14:paraId="727E58BE">
      <w:pPr>
        <w:keepNext w:val="0"/>
        <w:keepLines w:val="0"/>
        <w:pageBreakBefore w:val="0"/>
        <w:widowControl/>
        <w:kinsoku/>
        <w:wordWrap/>
        <w:overflowPunct/>
        <w:topLinePunct w:val="0"/>
        <w:autoSpaceDE/>
        <w:autoSpaceDN/>
        <w:bidi w:val="0"/>
        <w:adjustRightInd/>
        <w:spacing w:line="540" w:lineRule="exact"/>
        <w:ind w:firstLine="640" w:firstLineChars="200"/>
        <w:jc w:val="right"/>
        <w:textAlignment w:val="auto"/>
        <w:rPr>
          <w:rFonts w:hint="eastAsia" w:ascii="仿宋" w:hAnsi="仿宋" w:eastAsia="仿宋" w:cs="宋体"/>
          <w:b w:val="0"/>
          <w:bCs/>
          <w:color w:val="auto"/>
          <w:kern w:val="0"/>
          <w:sz w:val="32"/>
          <w:szCs w:val="32"/>
          <w:highlight w:val="none"/>
        </w:rPr>
      </w:pPr>
    </w:p>
    <w:p w14:paraId="4923D513">
      <w:pPr>
        <w:keepNext w:val="0"/>
        <w:keepLines w:val="0"/>
        <w:pageBreakBefore w:val="0"/>
        <w:widowControl/>
        <w:kinsoku/>
        <w:wordWrap/>
        <w:overflowPunct/>
        <w:topLinePunct w:val="0"/>
        <w:autoSpaceDE/>
        <w:autoSpaceDN/>
        <w:bidi w:val="0"/>
        <w:adjustRightInd/>
        <w:spacing w:line="540" w:lineRule="exact"/>
        <w:ind w:firstLine="640" w:firstLineChars="200"/>
        <w:jc w:val="right"/>
        <w:textAlignment w:val="auto"/>
        <w:rPr>
          <w:rFonts w:hint="eastAsia" w:ascii="仿宋" w:hAnsi="仿宋" w:eastAsia="仿宋" w:cs="宋体"/>
          <w:b w:val="0"/>
          <w:bCs/>
          <w:color w:val="auto"/>
          <w:kern w:val="0"/>
          <w:sz w:val="32"/>
          <w:szCs w:val="32"/>
          <w:highlight w:val="none"/>
        </w:rPr>
      </w:pPr>
      <w:r>
        <w:rPr>
          <w:rFonts w:hint="eastAsia" w:ascii="仿宋" w:hAnsi="仿宋" w:eastAsia="仿宋" w:cs="宋体"/>
          <w:b w:val="0"/>
          <w:bCs/>
          <w:color w:val="auto"/>
          <w:kern w:val="0"/>
          <w:sz w:val="32"/>
          <w:szCs w:val="32"/>
          <w:highlight w:val="none"/>
        </w:rPr>
        <w:t xml:space="preserve">滁州经济技术开发区管委会   </w:t>
      </w:r>
    </w:p>
    <w:p w14:paraId="441A1251">
      <w:pPr>
        <w:keepNext w:val="0"/>
        <w:keepLines w:val="0"/>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 w:hAnsi="仿宋" w:eastAsia="仿宋" w:cs="宋体"/>
          <w:b w:val="0"/>
          <w:bCs/>
          <w:color w:val="auto"/>
          <w:kern w:val="0"/>
          <w:sz w:val="32"/>
          <w:szCs w:val="32"/>
          <w:highlight w:val="none"/>
        </w:rPr>
      </w:pPr>
      <w:r>
        <w:rPr>
          <w:rFonts w:hint="eastAsia" w:ascii="仿宋" w:hAnsi="仿宋" w:eastAsia="仿宋" w:cs="宋体"/>
          <w:b w:val="0"/>
          <w:bCs/>
          <w:color w:val="auto"/>
          <w:kern w:val="0"/>
          <w:sz w:val="32"/>
          <w:szCs w:val="32"/>
          <w:highlight w:val="none"/>
        </w:rPr>
        <w:t xml:space="preserve">               </w:t>
      </w:r>
      <w:r>
        <w:rPr>
          <w:rFonts w:hint="eastAsia" w:ascii="仿宋" w:hAnsi="仿宋" w:eastAsia="仿宋" w:cs="宋体"/>
          <w:b w:val="0"/>
          <w:bCs/>
          <w:color w:val="auto"/>
          <w:kern w:val="0"/>
          <w:sz w:val="32"/>
          <w:szCs w:val="32"/>
          <w:highlight w:val="none"/>
          <w:lang w:val="en-US" w:eastAsia="zh-CN"/>
        </w:rPr>
        <w:t xml:space="preserve">                 </w:t>
      </w:r>
      <w:r>
        <w:rPr>
          <w:rFonts w:hint="eastAsia" w:ascii="仿宋" w:hAnsi="仿宋" w:eastAsia="仿宋" w:cs="宋体"/>
          <w:b w:val="0"/>
          <w:bCs/>
          <w:color w:val="auto"/>
          <w:kern w:val="0"/>
          <w:sz w:val="32"/>
          <w:szCs w:val="32"/>
          <w:highlight w:val="none"/>
        </w:rPr>
        <w:t>202</w:t>
      </w:r>
      <w:r>
        <w:rPr>
          <w:rFonts w:hint="eastAsia" w:ascii="仿宋" w:hAnsi="仿宋" w:eastAsia="仿宋" w:cs="宋体"/>
          <w:b w:val="0"/>
          <w:bCs/>
          <w:color w:val="auto"/>
          <w:kern w:val="0"/>
          <w:sz w:val="32"/>
          <w:szCs w:val="32"/>
          <w:highlight w:val="none"/>
          <w:lang w:val="en-US" w:eastAsia="zh-CN"/>
        </w:rPr>
        <w:t>4</w:t>
      </w:r>
      <w:r>
        <w:rPr>
          <w:rFonts w:hint="eastAsia" w:ascii="仿宋" w:hAnsi="仿宋" w:eastAsia="仿宋" w:cs="宋体"/>
          <w:b w:val="0"/>
          <w:bCs/>
          <w:color w:val="auto"/>
          <w:kern w:val="0"/>
          <w:sz w:val="32"/>
          <w:szCs w:val="32"/>
          <w:highlight w:val="none"/>
        </w:rPr>
        <w:t>年</w:t>
      </w:r>
      <w:r>
        <w:rPr>
          <w:rFonts w:hint="eastAsia" w:ascii="仿宋" w:hAnsi="仿宋" w:eastAsia="仿宋" w:cs="宋体"/>
          <w:b w:val="0"/>
          <w:bCs/>
          <w:color w:val="auto"/>
          <w:kern w:val="0"/>
          <w:sz w:val="32"/>
          <w:szCs w:val="32"/>
          <w:highlight w:val="none"/>
          <w:lang w:val="en-US" w:eastAsia="zh-CN"/>
        </w:rPr>
        <w:t>5</w:t>
      </w:r>
      <w:r>
        <w:rPr>
          <w:rFonts w:hint="eastAsia" w:ascii="仿宋" w:hAnsi="仿宋" w:eastAsia="仿宋" w:cs="宋体"/>
          <w:b w:val="0"/>
          <w:bCs/>
          <w:color w:val="auto"/>
          <w:kern w:val="0"/>
          <w:sz w:val="32"/>
          <w:szCs w:val="32"/>
          <w:highlight w:val="none"/>
        </w:rPr>
        <w:t>月</w:t>
      </w:r>
      <w:r>
        <w:rPr>
          <w:rFonts w:hint="eastAsia" w:ascii="仿宋" w:hAnsi="仿宋" w:eastAsia="仿宋" w:cs="宋体"/>
          <w:b w:val="0"/>
          <w:bCs/>
          <w:color w:val="auto"/>
          <w:kern w:val="0"/>
          <w:sz w:val="32"/>
          <w:szCs w:val="32"/>
          <w:highlight w:val="none"/>
          <w:lang w:val="en-US" w:eastAsia="zh-CN"/>
        </w:rPr>
        <w:t>21</w:t>
      </w:r>
      <w:r>
        <w:rPr>
          <w:rFonts w:hint="eastAsia" w:ascii="仿宋" w:hAnsi="仿宋" w:eastAsia="仿宋" w:cs="宋体"/>
          <w:b w:val="0"/>
          <w:bCs/>
          <w:color w:val="auto"/>
          <w:kern w:val="0"/>
          <w:sz w:val="32"/>
          <w:szCs w:val="32"/>
          <w:highlight w:val="none"/>
        </w:rPr>
        <w:t xml:space="preserve">日   </w:t>
      </w:r>
    </w:p>
    <w:p w14:paraId="1564D3C4">
      <w:pPr>
        <w:keepNext w:val="0"/>
        <w:keepLines w:val="0"/>
        <w:pageBreakBefore w:val="0"/>
        <w:kinsoku/>
        <w:wordWrap/>
        <w:overflowPunct/>
        <w:topLinePunct w:val="0"/>
        <w:autoSpaceDE/>
        <w:autoSpaceDN/>
        <w:bidi w:val="0"/>
        <w:adjustRightInd/>
        <w:spacing w:line="540" w:lineRule="exact"/>
        <w:jc w:val="center"/>
        <w:textAlignment w:val="auto"/>
        <w:rPr>
          <w:rFonts w:hint="eastAsia" w:ascii="仿宋_GB2312" w:hAnsi="宋体" w:eastAsia="仿宋_GB2312"/>
          <w:color w:val="auto"/>
          <w:highlight w:val="none"/>
        </w:rPr>
      </w:pPr>
    </w:p>
    <w:p w14:paraId="25051DB4">
      <w:pPr>
        <w:keepNext w:val="0"/>
        <w:keepLines w:val="0"/>
        <w:pageBreakBefore w:val="0"/>
        <w:kinsoku/>
        <w:wordWrap/>
        <w:overflowPunct/>
        <w:topLinePunct w:val="0"/>
        <w:autoSpaceDE/>
        <w:autoSpaceDN/>
        <w:bidi w:val="0"/>
        <w:adjustRightInd/>
        <w:spacing w:line="540" w:lineRule="exact"/>
        <w:jc w:val="center"/>
        <w:textAlignment w:val="auto"/>
        <w:rPr>
          <w:rFonts w:hint="eastAsia" w:ascii="仿宋_GB2312" w:hAnsi="宋体" w:eastAsia="仿宋_GB2312"/>
          <w:color w:val="auto"/>
          <w:highlight w:val="none"/>
        </w:rPr>
      </w:pPr>
    </w:p>
    <w:p w14:paraId="59E0EFF6">
      <w:pPr>
        <w:keepNext w:val="0"/>
        <w:keepLines w:val="0"/>
        <w:pageBreakBefore w:val="0"/>
        <w:kinsoku/>
        <w:wordWrap/>
        <w:overflowPunct/>
        <w:topLinePunct w:val="0"/>
        <w:autoSpaceDE/>
        <w:autoSpaceDN/>
        <w:bidi w:val="0"/>
        <w:adjustRightInd/>
        <w:spacing w:line="540" w:lineRule="exact"/>
        <w:jc w:val="center"/>
        <w:textAlignment w:val="auto"/>
        <w:rPr>
          <w:rFonts w:hint="eastAsia" w:ascii="仿宋_GB2312" w:hAnsi="宋体" w:eastAsia="仿宋_GB2312"/>
          <w:color w:val="auto"/>
          <w:highlight w:val="none"/>
        </w:rPr>
      </w:pPr>
    </w:p>
    <w:p w14:paraId="3B6CE2FC">
      <w:pPr>
        <w:keepNext w:val="0"/>
        <w:keepLines w:val="0"/>
        <w:pageBreakBefore w:val="0"/>
        <w:kinsoku/>
        <w:wordWrap/>
        <w:overflowPunct/>
        <w:topLinePunct w:val="0"/>
        <w:autoSpaceDE/>
        <w:autoSpaceDN/>
        <w:bidi w:val="0"/>
        <w:adjustRightInd/>
        <w:spacing w:line="540" w:lineRule="exact"/>
        <w:jc w:val="center"/>
        <w:textAlignment w:val="auto"/>
        <w:rPr>
          <w:rFonts w:hint="eastAsia" w:ascii="仿宋_GB2312" w:hAnsi="宋体" w:eastAsia="仿宋_GB2312"/>
          <w:color w:val="auto"/>
          <w:highlight w:val="none"/>
        </w:rPr>
      </w:pPr>
    </w:p>
    <w:p w14:paraId="65D594A8">
      <w:pPr>
        <w:keepNext w:val="0"/>
        <w:keepLines w:val="0"/>
        <w:pageBreakBefore w:val="0"/>
        <w:kinsoku/>
        <w:wordWrap/>
        <w:overflowPunct/>
        <w:topLinePunct w:val="0"/>
        <w:autoSpaceDE/>
        <w:autoSpaceDN/>
        <w:bidi w:val="0"/>
        <w:adjustRightInd/>
        <w:spacing w:line="540" w:lineRule="exact"/>
        <w:jc w:val="both"/>
        <w:textAlignment w:val="auto"/>
        <w:rPr>
          <w:rFonts w:hint="eastAsia" w:ascii="仿宋_GB2312" w:hAnsi="宋体" w:eastAsia="仿宋_GB2312"/>
          <w:color w:val="auto"/>
          <w:highlight w:val="none"/>
        </w:rPr>
      </w:pPr>
    </w:p>
    <w:p w14:paraId="60DBA8E7">
      <w:pPr>
        <w:keepNext w:val="0"/>
        <w:keepLines w:val="0"/>
        <w:pageBreakBefore w:val="0"/>
        <w:kinsoku/>
        <w:wordWrap/>
        <w:overflowPunct/>
        <w:topLinePunct w:val="0"/>
        <w:autoSpaceDE/>
        <w:autoSpaceDN/>
        <w:bidi w:val="0"/>
        <w:adjustRightInd/>
        <w:spacing w:line="540" w:lineRule="exact"/>
        <w:jc w:val="center"/>
        <w:textAlignment w:val="auto"/>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滁州经开区政府投资建设项目工程变更</w:t>
      </w:r>
    </w:p>
    <w:p w14:paraId="5EAAD9AC">
      <w:pPr>
        <w:keepNext w:val="0"/>
        <w:keepLines w:val="0"/>
        <w:pageBreakBefore w:val="0"/>
        <w:kinsoku/>
        <w:wordWrap/>
        <w:overflowPunct/>
        <w:topLinePunct w:val="0"/>
        <w:autoSpaceDE/>
        <w:autoSpaceDN/>
        <w:bidi w:val="0"/>
        <w:adjustRightInd/>
        <w:spacing w:line="540" w:lineRule="exact"/>
        <w:jc w:val="center"/>
        <w:textAlignment w:val="auto"/>
        <w:rPr>
          <w:rFonts w:ascii="黑体" w:hAnsi="黑体" w:eastAsia="黑体" w:cs="黑体"/>
          <w:b/>
          <w:color w:val="auto"/>
          <w:kern w:val="0"/>
          <w:sz w:val="32"/>
          <w:szCs w:val="32"/>
          <w:highlight w:val="none"/>
        </w:rPr>
      </w:pPr>
      <w:r>
        <w:rPr>
          <w:rFonts w:hint="eastAsia" w:ascii="华文中宋" w:hAnsi="华文中宋" w:eastAsia="华文中宋"/>
          <w:b/>
          <w:color w:val="auto"/>
          <w:sz w:val="44"/>
          <w:szCs w:val="44"/>
          <w:highlight w:val="none"/>
        </w:rPr>
        <w:t>管理暂行办法</w:t>
      </w:r>
    </w:p>
    <w:p w14:paraId="0938D6F0">
      <w:pPr>
        <w:keepNext w:val="0"/>
        <w:keepLines w:val="0"/>
        <w:pageBreakBefore w:val="0"/>
        <w:widowControl/>
        <w:numPr>
          <w:ilvl w:val="0"/>
          <w:numId w:val="0"/>
        </w:numPr>
        <w:kinsoku/>
        <w:wordWrap/>
        <w:overflowPunct/>
        <w:topLinePunct w:val="0"/>
        <w:autoSpaceDE/>
        <w:autoSpaceDN/>
        <w:bidi w:val="0"/>
        <w:adjustRightInd/>
        <w:spacing w:line="540" w:lineRule="exact"/>
        <w:jc w:val="center"/>
        <w:textAlignment w:val="auto"/>
        <w:rPr>
          <w:rFonts w:hint="eastAsia" w:ascii="黑体" w:hAnsi="黑体" w:eastAsia="黑体" w:cs="黑体"/>
          <w:b w:val="0"/>
          <w:bCs/>
          <w:color w:val="auto"/>
          <w:kern w:val="0"/>
          <w:sz w:val="32"/>
          <w:szCs w:val="32"/>
          <w:highlight w:val="none"/>
        </w:rPr>
      </w:pPr>
      <w:r>
        <w:rPr>
          <w:rFonts w:hint="eastAsia" w:ascii="黑体" w:hAnsi="黑体" w:eastAsia="黑体" w:cs="黑体"/>
          <w:bCs/>
          <w:color w:val="auto"/>
          <w:kern w:val="0"/>
          <w:sz w:val="32"/>
          <w:szCs w:val="32"/>
          <w:highlight w:val="none"/>
          <w:lang w:eastAsia="zh-CN"/>
        </w:rPr>
        <w:t>第一章</w:t>
      </w:r>
      <w:r>
        <w:rPr>
          <w:rFonts w:hint="eastAsia" w:ascii="黑体" w:hAnsi="黑体" w:eastAsia="黑体" w:cs="黑体"/>
          <w:bCs/>
          <w:color w:val="auto"/>
          <w:kern w:val="0"/>
          <w:sz w:val="32"/>
          <w:szCs w:val="32"/>
          <w:highlight w:val="none"/>
        </w:rPr>
        <w:t xml:space="preserve"> 总则</w:t>
      </w:r>
    </w:p>
    <w:p w14:paraId="797AFDF2">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ascii="仿宋" w:hAnsi="仿宋" w:eastAsia="仿宋" w:cs="宋体"/>
          <w:b w:val="0"/>
          <w:bCs/>
          <w:color w:val="auto"/>
          <w:kern w:val="0"/>
          <w:sz w:val="32"/>
          <w:szCs w:val="32"/>
          <w:highlight w:val="none"/>
        </w:rPr>
      </w:pPr>
      <w:r>
        <w:rPr>
          <w:rFonts w:hint="eastAsia" w:ascii="仿宋" w:hAnsi="仿宋" w:eastAsia="仿宋"/>
          <w:b w:val="0"/>
          <w:bCs/>
          <w:color w:val="auto"/>
          <w:sz w:val="32"/>
          <w:szCs w:val="32"/>
          <w:highlight w:val="none"/>
        </w:rPr>
        <w:t>第一条</w:t>
      </w:r>
      <w:r>
        <w:rPr>
          <w:rFonts w:ascii="仿宋" w:hAnsi="仿宋" w:eastAsia="仿宋"/>
          <w:b w:val="0"/>
          <w:bCs/>
          <w:color w:val="auto"/>
          <w:sz w:val="32"/>
          <w:szCs w:val="32"/>
          <w:highlight w:val="none"/>
        </w:rPr>
        <w:t xml:space="preserve"> </w:t>
      </w:r>
      <w:r>
        <w:rPr>
          <w:rFonts w:hint="eastAsia" w:ascii="仿宋" w:hAnsi="仿宋" w:eastAsia="仿宋"/>
          <w:b w:val="0"/>
          <w:bCs/>
          <w:color w:val="auto"/>
          <w:sz w:val="32"/>
          <w:szCs w:val="32"/>
          <w:highlight w:val="none"/>
        </w:rPr>
        <w:t xml:space="preserve"> </w:t>
      </w:r>
      <w:r>
        <w:rPr>
          <w:rFonts w:hint="eastAsia" w:ascii="仿宋" w:hAnsi="仿宋" w:eastAsia="仿宋" w:cs="宋体"/>
          <w:b w:val="0"/>
          <w:bCs/>
          <w:color w:val="auto"/>
          <w:kern w:val="0"/>
          <w:sz w:val="32"/>
          <w:szCs w:val="32"/>
          <w:highlight w:val="none"/>
        </w:rPr>
        <w:t>为加强滁州经开区政府投资项目工程变更管理，根据《滁州市政府投资项目管理暂行办法》《滁州市市级投资建设项目工程变更管理规定（试行）》</w:t>
      </w:r>
      <w:r>
        <w:rPr>
          <w:rFonts w:hint="eastAsia" w:ascii="仿宋" w:hAnsi="仿宋" w:eastAsia="仿宋" w:cs="宋体"/>
          <w:b w:val="0"/>
          <w:bCs/>
          <w:color w:val="auto"/>
          <w:kern w:val="0"/>
          <w:sz w:val="32"/>
          <w:szCs w:val="32"/>
          <w:highlight w:val="none"/>
          <w:lang w:eastAsia="zh-CN"/>
        </w:rPr>
        <w:t>、</w:t>
      </w:r>
      <w:r>
        <w:rPr>
          <w:rFonts w:hint="eastAsia" w:ascii="仿宋" w:hAnsi="仿宋" w:eastAsia="仿宋" w:cs="宋体"/>
          <w:b w:val="0"/>
          <w:bCs/>
          <w:color w:val="auto"/>
          <w:kern w:val="0"/>
          <w:sz w:val="32"/>
          <w:szCs w:val="32"/>
          <w:highlight w:val="none"/>
        </w:rPr>
        <w:t>《滁州市人民政府关于加强国有资金投资建筑工程项目监管的实施意见》，结合经开区实际，特制</w:t>
      </w:r>
      <w:r>
        <w:rPr>
          <w:rFonts w:hint="eastAsia" w:ascii="仿宋" w:hAnsi="仿宋" w:eastAsia="仿宋" w:cs="宋体"/>
          <w:b w:val="0"/>
          <w:bCs/>
          <w:color w:val="auto"/>
          <w:kern w:val="0"/>
          <w:sz w:val="32"/>
          <w:szCs w:val="32"/>
          <w:highlight w:val="none"/>
          <w:lang w:eastAsia="zh-CN"/>
        </w:rPr>
        <w:t>定</w:t>
      </w:r>
      <w:r>
        <w:rPr>
          <w:rFonts w:hint="eastAsia" w:ascii="仿宋" w:hAnsi="仿宋" w:eastAsia="仿宋" w:cs="宋体"/>
          <w:b w:val="0"/>
          <w:bCs/>
          <w:color w:val="auto"/>
          <w:kern w:val="0"/>
          <w:sz w:val="32"/>
          <w:szCs w:val="32"/>
          <w:highlight w:val="none"/>
        </w:rPr>
        <w:t xml:space="preserve">本办法。     </w:t>
      </w:r>
    </w:p>
    <w:p w14:paraId="3E4972A7">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 xml:space="preserve">第二条 </w:t>
      </w:r>
      <w:r>
        <w:rPr>
          <w:rFonts w:hint="eastAsia" w:ascii="仿宋" w:hAnsi="仿宋" w:eastAsia="仿宋" w:cs="宋体"/>
          <w:b w:val="0"/>
          <w:bCs/>
          <w:color w:val="auto"/>
          <w:kern w:val="0"/>
          <w:sz w:val="32"/>
          <w:szCs w:val="32"/>
          <w:highlight w:val="none"/>
        </w:rPr>
        <w:t xml:space="preserve"> 本办法所称政府投资项目是指使用滁州经开区财政性资金、各投融资平台资金的建设项目</w:t>
      </w:r>
      <w:r>
        <w:rPr>
          <w:rFonts w:hint="eastAsia" w:ascii="仿宋" w:hAnsi="仿宋" w:eastAsia="仿宋"/>
          <w:b w:val="0"/>
          <w:bCs/>
          <w:color w:val="auto"/>
          <w:sz w:val="32"/>
          <w:szCs w:val="32"/>
          <w:highlight w:val="none"/>
        </w:rPr>
        <w:t>。</w:t>
      </w:r>
    </w:p>
    <w:p w14:paraId="518CF6AC">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b w:val="0"/>
          <w:bCs/>
          <w:color w:val="auto"/>
          <w:sz w:val="32"/>
          <w:szCs w:val="32"/>
          <w:highlight w:val="none"/>
        </w:rPr>
        <w:t>第三条  政府投资项目</w:t>
      </w:r>
      <w:r>
        <w:rPr>
          <w:rFonts w:hint="eastAsia" w:ascii="仿宋" w:hAnsi="仿宋" w:eastAsia="仿宋" w:cs="宋体"/>
          <w:b w:val="0"/>
          <w:bCs/>
          <w:color w:val="auto"/>
          <w:kern w:val="0"/>
          <w:sz w:val="32"/>
          <w:szCs w:val="32"/>
          <w:highlight w:val="none"/>
        </w:rPr>
        <w:t>工程变更，是指项目自施工招标结束之日起至通过竣工验收、正式交付使用之日止，</w:t>
      </w:r>
      <w:r>
        <w:rPr>
          <w:rFonts w:hint="eastAsia" w:ascii="仿宋" w:hAnsi="仿宋" w:eastAsia="仿宋" w:cs="仿宋"/>
          <w:b w:val="0"/>
          <w:bCs/>
          <w:color w:val="auto"/>
          <w:sz w:val="32"/>
          <w:szCs w:val="32"/>
          <w:highlight w:val="none"/>
        </w:rPr>
        <w:t>对已批准的初步设计文件、技术设计文件或施工图设计文件在实施阶段所发生的工程规模、技术标准、工作内容、结构型式等进行的调整和修改。</w:t>
      </w:r>
    </w:p>
    <w:p w14:paraId="582B3E84">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第</w:t>
      </w:r>
      <w:r>
        <w:rPr>
          <w:rFonts w:hint="eastAsia" w:ascii="仿宋" w:hAnsi="仿宋" w:eastAsia="仿宋" w:cs="仿宋"/>
          <w:b w:val="0"/>
          <w:bCs/>
          <w:color w:val="auto"/>
          <w:sz w:val="32"/>
          <w:szCs w:val="32"/>
          <w:highlight w:val="none"/>
          <w:lang w:eastAsia="zh-CN"/>
        </w:rPr>
        <w:t>四</w:t>
      </w:r>
      <w:r>
        <w:rPr>
          <w:rFonts w:hint="eastAsia" w:ascii="仿宋" w:hAnsi="仿宋" w:eastAsia="仿宋" w:cs="仿宋"/>
          <w:b w:val="0"/>
          <w:bCs/>
          <w:color w:val="auto"/>
          <w:sz w:val="32"/>
          <w:szCs w:val="32"/>
          <w:highlight w:val="none"/>
        </w:rPr>
        <w:t>条  有下列情形之一的，可以提出变更申请：</w:t>
      </w:r>
    </w:p>
    <w:p w14:paraId="1D870F1D">
      <w:pPr>
        <w:keepNext w:val="0"/>
        <w:keepLines w:val="0"/>
        <w:pageBreakBefore w:val="0"/>
        <w:kinsoku/>
        <w:wordWrap/>
        <w:overflowPunct/>
        <w:topLinePunct w:val="0"/>
        <w:autoSpaceDE/>
        <w:autoSpaceDN/>
        <w:bidi w:val="0"/>
        <w:adjustRightInd/>
        <w:spacing w:line="540" w:lineRule="exact"/>
        <w:ind w:firstLine="640" w:firstLineChars="200"/>
        <w:textAlignment w:val="auto"/>
        <w:rPr>
          <w:rFonts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（一）设计文件中漏项缺项、错误或其他原因导致的设计不准确。</w:t>
      </w:r>
    </w:p>
    <w:p w14:paraId="356D95BC">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（二）勘测成果与自然条件（含地质、水文、地形等）不符。</w:t>
      </w:r>
    </w:p>
    <w:p w14:paraId="71953035">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（三）有利于确保工程施工安全和环境保护、节省占地和避免水土流失，改善施工条件的设计调整或修改。</w:t>
      </w:r>
    </w:p>
    <w:p w14:paraId="36BE80E8">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（四）为推广应用先进实用技术，更好地保证工程质量安全。</w:t>
      </w:r>
    </w:p>
    <w:p w14:paraId="4DAD2F07">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（五）涉及农田、水利、工矿、城镇规划、征收、景区开发、生态建设以及文物、环境保护等工作，需要对原设计进行修改和完善的。</w:t>
      </w:r>
    </w:p>
    <w:p w14:paraId="0C631756">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（六）因国家法律、法规和各类技术标准、规范修改，需要对原项目建设内容、建设规模、建设标准等进行调整的。</w:t>
      </w:r>
    </w:p>
    <w:p w14:paraId="288FFC6F">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（七）因不可抗力原因，须对项目建设规模、建设标准和施工进度进行调整的。</w:t>
      </w:r>
    </w:p>
    <w:p w14:paraId="0913413F">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（八）因工程施工过程中存在重大安全隐患或可能发生重大安全事故，需进行紧急抢险救灾而采取的工程措施的。</w:t>
      </w:r>
    </w:p>
    <w:p w14:paraId="2BBC5C15">
      <w:pPr>
        <w:keepNext w:val="0"/>
        <w:keepLines w:val="0"/>
        <w:pageBreakBefore w:val="0"/>
        <w:numPr>
          <w:ilvl w:val="0"/>
          <w:numId w:val="1"/>
        </w:numPr>
        <w:kinsoku/>
        <w:wordWrap/>
        <w:overflowPunct/>
        <w:topLinePunct w:val="0"/>
        <w:autoSpaceDE/>
        <w:autoSpaceDN/>
        <w:bidi w:val="0"/>
        <w:adjustRightInd/>
        <w:spacing w:line="540" w:lineRule="exact"/>
        <w:ind w:firstLine="640" w:firstLineChars="200"/>
        <w:textAlignment w:val="auto"/>
        <w:rPr>
          <w:rFonts w:ascii="仿宋" w:hAnsi="仿宋" w:eastAsia="仿宋"/>
          <w:b w:val="0"/>
          <w:bCs/>
          <w:color w:val="auto"/>
          <w:sz w:val="32"/>
          <w:szCs w:val="32"/>
          <w:highlight w:val="none"/>
        </w:rPr>
      </w:pPr>
      <w:r>
        <w:rPr>
          <w:rFonts w:hint="eastAsia" w:ascii="仿宋" w:hAnsi="仿宋" w:eastAsia="仿宋" w:cs="仿宋"/>
          <w:b w:val="0"/>
          <w:bCs/>
          <w:color w:val="auto"/>
          <w:sz w:val="32"/>
          <w:szCs w:val="32"/>
          <w:highlight w:val="none"/>
        </w:rPr>
        <w:t>其他需要工程变更申请的情形。</w:t>
      </w:r>
    </w:p>
    <w:p w14:paraId="65FCF20B">
      <w:pPr>
        <w:keepNext w:val="0"/>
        <w:keepLines w:val="0"/>
        <w:pageBreakBefore w:val="0"/>
        <w:shd w:val="clear" w:color="auto" w:fill="FFFFFF"/>
        <w:kinsoku/>
        <w:wordWrap/>
        <w:overflowPunct/>
        <w:topLinePunct w:val="0"/>
        <w:autoSpaceDE/>
        <w:autoSpaceDN/>
        <w:bidi w:val="0"/>
        <w:adjustRightInd/>
        <w:snapToGrid w:val="0"/>
        <w:spacing w:line="540" w:lineRule="exact"/>
        <w:ind w:firstLine="640" w:firstLineChars="200"/>
        <w:textAlignment w:val="auto"/>
        <w:rPr>
          <w:rFonts w:hint="eastAsia" w:ascii="黑体" w:hAnsi="黑体" w:eastAsia="黑体" w:cs="黑体"/>
          <w:b w:val="0"/>
          <w:bCs/>
          <w:color w:val="auto"/>
          <w:kern w:val="0"/>
          <w:sz w:val="32"/>
          <w:szCs w:val="32"/>
          <w:highlight w:val="none"/>
        </w:rPr>
      </w:pPr>
      <w:r>
        <w:rPr>
          <w:rFonts w:hint="eastAsia" w:ascii="仿宋" w:hAnsi="仿宋" w:eastAsia="仿宋"/>
          <w:b w:val="0"/>
          <w:bCs/>
          <w:color w:val="auto"/>
          <w:sz w:val="32"/>
          <w:szCs w:val="32"/>
          <w:highlight w:val="none"/>
        </w:rPr>
        <w:t>第</w:t>
      </w:r>
      <w:r>
        <w:rPr>
          <w:rFonts w:hint="eastAsia" w:ascii="仿宋" w:hAnsi="仿宋" w:eastAsia="仿宋"/>
          <w:b w:val="0"/>
          <w:bCs/>
          <w:color w:val="auto"/>
          <w:sz w:val="32"/>
          <w:szCs w:val="32"/>
          <w:highlight w:val="none"/>
          <w:lang w:eastAsia="zh-CN"/>
        </w:rPr>
        <w:t>五</w:t>
      </w:r>
      <w:r>
        <w:rPr>
          <w:rFonts w:hint="eastAsia" w:ascii="仿宋" w:hAnsi="仿宋" w:eastAsia="仿宋"/>
          <w:b w:val="0"/>
          <w:bCs/>
          <w:color w:val="auto"/>
          <w:sz w:val="32"/>
          <w:szCs w:val="32"/>
          <w:highlight w:val="none"/>
        </w:rPr>
        <w:t xml:space="preserve">条  </w:t>
      </w:r>
      <w:r>
        <w:rPr>
          <w:rFonts w:hint="eastAsia" w:ascii="仿宋" w:hAnsi="仿宋" w:eastAsia="仿宋"/>
          <w:b w:val="0"/>
          <w:bCs/>
          <w:color w:val="auto"/>
          <w:sz w:val="32"/>
          <w:szCs w:val="32"/>
          <w:highlight w:val="none"/>
          <w:lang w:eastAsia="zh-CN"/>
        </w:rPr>
        <w:t>滁州</w:t>
      </w:r>
      <w:r>
        <w:rPr>
          <w:rFonts w:hint="eastAsia" w:ascii="仿宋" w:hAnsi="仿宋" w:eastAsia="仿宋"/>
          <w:b w:val="0"/>
          <w:bCs/>
          <w:color w:val="auto"/>
          <w:sz w:val="32"/>
          <w:szCs w:val="32"/>
          <w:highlight w:val="none"/>
        </w:rPr>
        <w:t>经开区政府投资建设项目应当</w:t>
      </w:r>
      <w:r>
        <w:rPr>
          <w:rFonts w:hint="eastAsia" w:ascii="仿宋" w:hAnsi="仿宋" w:eastAsia="仿宋" w:cs="黑体"/>
          <w:b w:val="0"/>
          <w:bCs/>
          <w:color w:val="auto"/>
          <w:kern w:val="0"/>
          <w:sz w:val="32"/>
          <w:szCs w:val="32"/>
          <w:highlight w:val="none"/>
        </w:rPr>
        <w:t>遵循先批准、后变更，先设计、后施工的原则。</w:t>
      </w:r>
      <w:r>
        <w:rPr>
          <w:rFonts w:ascii="仿宋" w:hAnsi="仿宋" w:eastAsia="仿宋"/>
          <w:b w:val="0"/>
          <w:bCs/>
          <w:color w:val="auto"/>
          <w:sz w:val="32"/>
          <w:szCs w:val="32"/>
          <w:highlight w:val="none"/>
        </w:rPr>
        <w:t xml:space="preserve">对未经审批和设计擅自变更并施工的，不予纳入竣工结算。 </w:t>
      </w:r>
    </w:p>
    <w:p w14:paraId="4EA0D52E">
      <w:pPr>
        <w:keepNext w:val="0"/>
        <w:keepLines w:val="0"/>
        <w:pageBreakBefore w:val="0"/>
        <w:widowControl/>
        <w:kinsoku/>
        <w:wordWrap/>
        <w:overflowPunct/>
        <w:topLinePunct w:val="0"/>
        <w:autoSpaceDE/>
        <w:autoSpaceDN/>
        <w:bidi w:val="0"/>
        <w:adjustRightInd/>
        <w:spacing w:line="540" w:lineRule="exact"/>
        <w:jc w:val="center"/>
        <w:textAlignment w:val="auto"/>
        <w:rPr>
          <w:rFonts w:hint="eastAsia" w:ascii="仿宋" w:hAnsi="仿宋" w:eastAsia="仿宋"/>
          <w:b w:val="0"/>
          <w:bCs/>
          <w:color w:val="auto"/>
          <w:sz w:val="32"/>
          <w:szCs w:val="32"/>
          <w:highlight w:val="none"/>
        </w:rPr>
      </w:pPr>
      <w:r>
        <w:rPr>
          <w:rFonts w:hint="eastAsia" w:ascii="黑体" w:hAnsi="黑体" w:eastAsia="黑体" w:cs="黑体"/>
          <w:b w:val="0"/>
          <w:bCs/>
          <w:color w:val="auto"/>
          <w:kern w:val="0"/>
          <w:sz w:val="32"/>
          <w:szCs w:val="32"/>
          <w:highlight w:val="none"/>
        </w:rPr>
        <w:t>第二章  工程变更管理</w:t>
      </w:r>
    </w:p>
    <w:p w14:paraId="733D2E8C">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黑体" w:hAnsi="黑体" w:eastAsia="黑体"/>
          <w:b w:val="0"/>
          <w:bCs/>
          <w:color w:val="auto"/>
          <w:sz w:val="32"/>
          <w:szCs w:val="32"/>
          <w:highlight w:val="none"/>
        </w:rPr>
      </w:pPr>
      <w:r>
        <w:rPr>
          <w:rFonts w:hint="eastAsia" w:ascii="仿宋" w:hAnsi="仿宋" w:eastAsia="仿宋"/>
          <w:b w:val="0"/>
          <w:bCs/>
          <w:color w:val="auto"/>
          <w:sz w:val="32"/>
          <w:szCs w:val="32"/>
          <w:highlight w:val="none"/>
        </w:rPr>
        <w:t>第</w:t>
      </w:r>
      <w:r>
        <w:rPr>
          <w:rFonts w:hint="eastAsia" w:ascii="仿宋" w:hAnsi="仿宋" w:eastAsia="仿宋"/>
          <w:b w:val="0"/>
          <w:bCs/>
          <w:color w:val="auto"/>
          <w:sz w:val="32"/>
          <w:szCs w:val="32"/>
          <w:highlight w:val="none"/>
          <w:lang w:eastAsia="zh-CN"/>
        </w:rPr>
        <w:t>六</w:t>
      </w:r>
      <w:r>
        <w:rPr>
          <w:rFonts w:hint="eastAsia" w:ascii="仿宋" w:hAnsi="仿宋" w:eastAsia="仿宋"/>
          <w:b w:val="0"/>
          <w:bCs/>
          <w:color w:val="auto"/>
          <w:sz w:val="32"/>
          <w:szCs w:val="32"/>
          <w:highlight w:val="none"/>
        </w:rPr>
        <w:t xml:space="preserve">条 </w:t>
      </w:r>
      <w:r>
        <w:rPr>
          <w:rFonts w:ascii="仿宋" w:hAnsi="仿宋" w:eastAsia="仿宋"/>
          <w:b w:val="0"/>
          <w:bCs/>
          <w:color w:val="auto"/>
          <w:sz w:val="32"/>
          <w:szCs w:val="32"/>
          <w:highlight w:val="none"/>
        </w:rPr>
        <w:t xml:space="preserve"> </w:t>
      </w:r>
      <w:r>
        <w:rPr>
          <w:rFonts w:hint="eastAsia" w:ascii="仿宋" w:hAnsi="仿宋" w:eastAsia="仿宋"/>
          <w:b w:val="0"/>
          <w:bCs/>
          <w:color w:val="auto"/>
          <w:sz w:val="32"/>
          <w:szCs w:val="32"/>
          <w:highlight w:val="none"/>
          <w:lang w:eastAsia="zh-CN"/>
        </w:rPr>
        <w:t>滁州</w:t>
      </w:r>
      <w:r>
        <w:rPr>
          <w:rFonts w:hint="eastAsia" w:ascii="仿宋" w:hAnsi="仿宋" w:eastAsia="仿宋"/>
          <w:b w:val="0"/>
          <w:bCs/>
          <w:color w:val="auto"/>
          <w:sz w:val="32"/>
          <w:szCs w:val="32"/>
          <w:highlight w:val="none"/>
        </w:rPr>
        <w:t>经开区成立</w:t>
      </w:r>
      <w:r>
        <w:rPr>
          <w:rFonts w:ascii="仿宋" w:hAnsi="仿宋" w:eastAsia="仿宋"/>
          <w:b w:val="0"/>
          <w:bCs/>
          <w:color w:val="auto"/>
          <w:sz w:val="32"/>
          <w:szCs w:val="32"/>
          <w:highlight w:val="none"/>
        </w:rPr>
        <w:t>政府投资项目工程变更管理领导小组</w:t>
      </w:r>
      <w:r>
        <w:rPr>
          <w:rFonts w:hint="eastAsia" w:ascii="仿宋" w:hAnsi="仿宋" w:eastAsia="仿宋"/>
          <w:b w:val="0"/>
          <w:bCs/>
          <w:color w:val="auto"/>
          <w:sz w:val="32"/>
          <w:szCs w:val="32"/>
          <w:highlight w:val="none"/>
        </w:rPr>
        <w:t>（以下简称领导小组），负责建设项目的工程变更审批管理。</w:t>
      </w:r>
      <w:r>
        <w:rPr>
          <w:rFonts w:hint="eastAsia" w:ascii="仿宋" w:hAnsi="仿宋" w:eastAsia="仿宋"/>
          <w:b w:val="0"/>
          <w:bCs/>
          <w:color w:val="auto"/>
          <w:sz w:val="32"/>
          <w:szCs w:val="32"/>
          <w:highlight w:val="none"/>
          <w:lang w:eastAsia="zh-CN"/>
        </w:rPr>
        <w:t>领导小组</w:t>
      </w:r>
      <w:r>
        <w:rPr>
          <w:rFonts w:hint="eastAsia" w:ascii="仿宋" w:hAnsi="仿宋" w:eastAsia="仿宋"/>
          <w:b w:val="0"/>
          <w:bCs/>
          <w:color w:val="auto"/>
          <w:sz w:val="32"/>
          <w:szCs w:val="32"/>
          <w:highlight w:val="none"/>
        </w:rPr>
        <w:t>由管委会分管建设副主任任组长，</w:t>
      </w:r>
      <w:r>
        <w:rPr>
          <w:rFonts w:hint="eastAsia" w:ascii="仿宋" w:hAnsi="仿宋" w:eastAsia="仿宋"/>
          <w:b w:val="0"/>
          <w:bCs/>
          <w:color w:val="auto"/>
          <w:sz w:val="32"/>
          <w:szCs w:val="32"/>
          <w:highlight w:val="none"/>
          <w:lang w:val="en-US" w:eastAsia="zh-CN"/>
        </w:rPr>
        <w:t>经济运行局、</w:t>
      </w:r>
      <w:r>
        <w:rPr>
          <w:rFonts w:hint="eastAsia" w:ascii="仿宋" w:hAnsi="仿宋" w:eastAsia="仿宋"/>
          <w:b w:val="0"/>
          <w:bCs/>
          <w:color w:val="auto"/>
          <w:sz w:val="32"/>
          <w:szCs w:val="32"/>
          <w:highlight w:val="none"/>
        </w:rPr>
        <w:t>财政局、</w:t>
      </w:r>
      <w:r>
        <w:rPr>
          <w:rFonts w:hint="eastAsia" w:ascii="仿宋" w:hAnsi="仿宋" w:eastAsia="仿宋"/>
          <w:b w:val="0"/>
          <w:bCs/>
          <w:color w:val="auto"/>
          <w:sz w:val="32"/>
          <w:szCs w:val="32"/>
          <w:highlight w:val="none"/>
          <w:lang w:val="en-US" w:eastAsia="zh-CN"/>
        </w:rPr>
        <w:t>规划国土局、</w:t>
      </w:r>
      <w:r>
        <w:rPr>
          <w:rFonts w:hint="eastAsia" w:ascii="仿宋" w:hAnsi="仿宋" w:eastAsia="仿宋"/>
          <w:b w:val="0"/>
          <w:bCs/>
          <w:color w:val="auto"/>
          <w:sz w:val="32"/>
          <w:szCs w:val="32"/>
          <w:highlight w:val="none"/>
        </w:rPr>
        <w:t>建设局</w:t>
      </w:r>
      <w:r>
        <w:rPr>
          <w:rFonts w:hint="eastAsia" w:ascii="仿宋" w:hAnsi="仿宋" w:eastAsia="仿宋"/>
          <w:b w:val="0"/>
          <w:bCs/>
          <w:color w:val="auto"/>
          <w:sz w:val="32"/>
          <w:szCs w:val="32"/>
          <w:highlight w:val="none"/>
          <w:lang w:val="en-US" w:eastAsia="zh-CN"/>
        </w:rPr>
        <w:t>、同创公司</w:t>
      </w:r>
      <w:r>
        <w:rPr>
          <w:rFonts w:hint="eastAsia" w:ascii="仿宋" w:hAnsi="仿宋" w:eastAsia="仿宋"/>
          <w:b w:val="0"/>
          <w:bCs/>
          <w:color w:val="auto"/>
          <w:sz w:val="32"/>
          <w:szCs w:val="32"/>
          <w:highlight w:val="none"/>
        </w:rPr>
        <w:t>等为</w:t>
      </w:r>
      <w:r>
        <w:rPr>
          <w:rFonts w:hint="eastAsia" w:ascii="仿宋" w:hAnsi="仿宋" w:eastAsia="仿宋"/>
          <w:b w:val="0"/>
          <w:bCs/>
          <w:color w:val="auto"/>
          <w:sz w:val="32"/>
          <w:szCs w:val="32"/>
          <w:highlight w:val="none"/>
          <w:lang w:val="en-US" w:eastAsia="zh-CN"/>
        </w:rPr>
        <w:t>成员单位</w:t>
      </w:r>
      <w:r>
        <w:rPr>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val="en-US" w:eastAsia="zh-CN"/>
        </w:rPr>
        <w:t>纪检监察工委负责监督。</w:t>
      </w:r>
      <w:r>
        <w:rPr>
          <w:rFonts w:hint="eastAsia" w:ascii="仿宋" w:hAnsi="仿宋" w:eastAsia="仿宋"/>
          <w:b w:val="0"/>
          <w:bCs/>
          <w:color w:val="auto"/>
          <w:sz w:val="32"/>
          <w:szCs w:val="32"/>
          <w:highlight w:val="none"/>
        </w:rPr>
        <w:t>领导小组下设办公室，办公室设在建设局，办公室主任由建设局局长担任。</w:t>
      </w:r>
    </w:p>
    <w:p w14:paraId="5E9F52B1">
      <w:pPr>
        <w:keepNext w:val="0"/>
        <w:keepLines w:val="0"/>
        <w:pageBreakBefore w:val="0"/>
        <w:shd w:val="clear" w:color="auto" w:fill="FFFFFF"/>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color w:val="auto"/>
          <w:sz w:val="32"/>
          <w:szCs w:val="32"/>
          <w:highlight w:val="none"/>
        </w:rPr>
      </w:pPr>
      <w:r>
        <w:rPr>
          <w:rFonts w:hint="eastAsia" w:ascii="黑体" w:hAnsi="黑体" w:eastAsia="黑体"/>
          <w:b w:val="0"/>
          <w:bCs/>
          <w:color w:val="auto"/>
          <w:sz w:val="32"/>
          <w:szCs w:val="32"/>
          <w:highlight w:val="none"/>
        </w:rPr>
        <w:t>第三章  工程变更申请及审批流程</w:t>
      </w:r>
    </w:p>
    <w:p w14:paraId="20630266">
      <w:pPr>
        <w:keepNext w:val="0"/>
        <w:keepLines w:val="0"/>
        <w:pageBreakBefore w:val="0"/>
        <w:shd w:val="clear" w:color="auto" w:fill="FFFFFF"/>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b w:val="0"/>
          <w:bCs/>
          <w:color w:val="auto"/>
          <w:sz w:val="32"/>
          <w:szCs w:val="32"/>
          <w:highlight w:val="none"/>
        </w:rPr>
      </w:pPr>
      <w:r>
        <w:rPr>
          <w:rFonts w:hint="eastAsia" w:ascii="仿宋" w:hAnsi="仿宋" w:eastAsia="仿宋" w:cs="仿宋"/>
          <w:b w:val="0"/>
          <w:bCs/>
          <w:color w:val="auto"/>
          <w:sz w:val="32"/>
          <w:szCs w:val="32"/>
          <w:highlight w:val="none"/>
        </w:rPr>
        <w:t>第</w:t>
      </w:r>
      <w:r>
        <w:rPr>
          <w:rFonts w:hint="eastAsia" w:ascii="仿宋" w:hAnsi="仿宋" w:eastAsia="仿宋" w:cs="仿宋"/>
          <w:b w:val="0"/>
          <w:bCs/>
          <w:color w:val="auto"/>
          <w:sz w:val="32"/>
          <w:szCs w:val="32"/>
          <w:highlight w:val="none"/>
          <w:lang w:eastAsia="zh-CN"/>
        </w:rPr>
        <w:t>七</w:t>
      </w:r>
      <w:r>
        <w:rPr>
          <w:rFonts w:hint="eastAsia" w:ascii="仿宋" w:hAnsi="仿宋" w:eastAsia="仿宋" w:cs="仿宋"/>
          <w:b w:val="0"/>
          <w:bCs/>
          <w:color w:val="auto"/>
          <w:sz w:val="32"/>
          <w:szCs w:val="32"/>
          <w:highlight w:val="none"/>
        </w:rPr>
        <w:t>条</w:t>
      </w:r>
      <w:r>
        <w:rPr>
          <w:rFonts w:hint="eastAsia" w:ascii="仿宋" w:hAnsi="仿宋" w:eastAsia="仿宋"/>
          <w:b w:val="0"/>
          <w:bCs/>
          <w:color w:val="auto"/>
          <w:sz w:val="32"/>
          <w:szCs w:val="32"/>
          <w:highlight w:val="none"/>
        </w:rPr>
        <w:t xml:space="preserve">  工程勘察、设计、施工及监理单位均可向建设单位提出工程变更申请。</w:t>
      </w:r>
      <w:r>
        <w:rPr>
          <w:rFonts w:hint="eastAsia" w:ascii="仿宋" w:hAnsi="仿宋" w:eastAsia="仿宋"/>
          <w:b w:val="0"/>
          <w:bCs/>
          <w:color w:val="auto"/>
          <w:sz w:val="32"/>
          <w:szCs w:val="32"/>
          <w:highlight w:val="none"/>
          <w:lang w:val="en-US" w:eastAsia="zh-CN"/>
        </w:rPr>
        <w:t>对于</w:t>
      </w:r>
      <w:r>
        <w:rPr>
          <w:rFonts w:hint="eastAsia" w:ascii="仿宋" w:hAnsi="仿宋" w:eastAsia="仿宋"/>
          <w:b w:val="0"/>
          <w:bCs/>
          <w:color w:val="auto"/>
          <w:sz w:val="32"/>
          <w:szCs w:val="32"/>
          <w:highlight w:val="none"/>
        </w:rPr>
        <w:t>提出合理化</w:t>
      </w:r>
      <w:r>
        <w:rPr>
          <w:rFonts w:hint="eastAsia" w:ascii="仿宋" w:hAnsi="仿宋" w:eastAsia="仿宋"/>
          <w:b w:val="0"/>
          <w:bCs/>
          <w:color w:val="auto"/>
          <w:sz w:val="32"/>
          <w:szCs w:val="32"/>
          <w:highlight w:val="none"/>
          <w:lang w:val="en-US" w:eastAsia="zh-CN"/>
        </w:rPr>
        <w:t>工程</w:t>
      </w:r>
      <w:r>
        <w:rPr>
          <w:rFonts w:hint="eastAsia" w:ascii="仿宋" w:hAnsi="仿宋" w:eastAsia="仿宋"/>
          <w:b w:val="0"/>
          <w:bCs/>
          <w:color w:val="auto"/>
          <w:sz w:val="32"/>
          <w:szCs w:val="32"/>
          <w:highlight w:val="none"/>
        </w:rPr>
        <w:t>变更，经审核并被采纳并节省造价的，按照节省金额5%予以奖励。</w:t>
      </w:r>
    </w:p>
    <w:p w14:paraId="752C72F2">
      <w:pPr>
        <w:keepNext w:val="0"/>
        <w:keepLines w:val="0"/>
        <w:pageBreakBefore w:val="0"/>
        <w:shd w:val="clear" w:color="auto" w:fill="FFFFFF"/>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第</w:t>
      </w:r>
      <w:r>
        <w:rPr>
          <w:rFonts w:hint="eastAsia" w:ascii="仿宋" w:hAnsi="仿宋" w:eastAsia="仿宋"/>
          <w:b w:val="0"/>
          <w:bCs/>
          <w:color w:val="auto"/>
          <w:sz w:val="32"/>
          <w:szCs w:val="32"/>
          <w:highlight w:val="none"/>
          <w:lang w:eastAsia="zh-CN"/>
        </w:rPr>
        <w:t>八</w:t>
      </w:r>
      <w:r>
        <w:rPr>
          <w:rFonts w:hint="eastAsia" w:ascii="仿宋" w:hAnsi="仿宋" w:eastAsia="仿宋"/>
          <w:b w:val="0"/>
          <w:bCs/>
          <w:color w:val="auto"/>
          <w:sz w:val="32"/>
          <w:szCs w:val="32"/>
          <w:highlight w:val="none"/>
        </w:rPr>
        <w:t>条</w:t>
      </w:r>
      <w:r>
        <w:rPr>
          <w:rFonts w:hint="eastAsia" w:ascii="仿宋" w:hAnsi="仿宋" w:eastAsia="仿宋"/>
          <w:b w:val="0"/>
          <w:bCs/>
          <w:color w:val="auto"/>
          <w:sz w:val="32"/>
          <w:szCs w:val="32"/>
          <w:highlight w:val="none"/>
          <w:lang w:val="en-US" w:eastAsia="zh-CN"/>
        </w:rPr>
        <w:t xml:space="preserve">  </w:t>
      </w:r>
      <w:r>
        <w:rPr>
          <w:rFonts w:hint="eastAsia" w:ascii="仿宋" w:hAnsi="仿宋" w:eastAsia="仿宋" w:cs="仿宋_GB2312"/>
          <w:b w:val="0"/>
          <w:bCs/>
          <w:color w:val="auto"/>
          <w:kern w:val="0"/>
          <w:sz w:val="32"/>
          <w:szCs w:val="32"/>
          <w:highlight w:val="none"/>
        </w:rPr>
        <w:t>建设单位</w:t>
      </w:r>
      <w:r>
        <w:rPr>
          <w:rFonts w:hint="eastAsia" w:ascii="仿宋" w:hAnsi="仿宋" w:eastAsia="仿宋"/>
          <w:b w:val="0"/>
          <w:bCs/>
          <w:color w:val="auto"/>
          <w:sz w:val="32"/>
          <w:szCs w:val="32"/>
          <w:highlight w:val="none"/>
        </w:rPr>
        <w:t>组织施工单位、监理单位、设计单位、审计单位等主体建设单位召开工程变更审查会议，对工程变更的科学性、必要性和经济性等进行审查，确定变更方案及金额</w:t>
      </w:r>
      <w:r>
        <w:rPr>
          <w:rFonts w:hint="eastAsia" w:ascii="仿宋" w:hAnsi="仿宋" w:eastAsia="仿宋"/>
          <w:b w:val="0"/>
          <w:bCs/>
          <w:color w:val="auto"/>
          <w:sz w:val="32"/>
          <w:szCs w:val="32"/>
          <w:highlight w:val="none"/>
          <w:lang w:eastAsia="zh-CN"/>
        </w:rPr>
        <w:t>。</w:t>
      </w:r>
      <w:r>
        <w:rPr>
          <w:rFonts w:hint="eastAsia" w:ascii="仿宋" w:hAnsi="仿宋" w:eastAsia="仿宋" w:cs="仿宋"/>
          <w:b w:val="0"/>
          <w:bCs/>
          <w:color w:val="auto"/>
          <w:sz w:val="32"/>
          <w:szCs w:val="32"/>
          <w:highlight w:val="none"/>
        </w:rPr>
        <w:t>工程变更应提供情况说明、变更原因和责任分析等必要材料。</w:t>
      </w:r>
    </w:p>
    <w:p w14:paraId="7144D96B">
      <w:pPr>
        <w:keepNext w:val="0"/>
        <w:keepLines w:val="0"/>
        <w:pageBreakBefore w:val="0"/>
        <w:shd w:val="clear" w:color="auto" w:fill="FFFFFF"/>
        <w:kinsoku/>
        <w:wordWrap/>
        <w:overflowPunct/>
        <w:topLinePunct w:val="0"/>
        <w:autoSpaceDE/>
        <w:autoSpaceDN/>
        <w:bidi w:val="0"/>
        <w:adjustRightInd/>
        <w:snapToGrid w:val="0"/>
        <w:spacing w:line="540" w:lineRule="exact"/>
        <w:ind w:firstLine="640" w:firstLineChars="200"/>
        <w:textAlignment w:val="auto"/>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第</w:t>
      </w:r>
      <w:r>
        <w:rPr>
          <w:rFonts w:hint="eastAsia" w:ascii="仿宋" w:hAnsi="仿宋" w:eastAsia="仿宋"/>
          <w:b w:val="0"/>
          <w:bCs/>
          <w:color w:val="auto"/>
          <w:sz w:val="32"/>
          <w:szCs w:val="32"/>
          <w:highlight w:val="none"/>
          <w:lang w:eastAsia="zh-CN"/>
        </w:rPr>
        <w:t>九</w:t>
      </w:r>
      <w:r>
        <w:rPr>
          <w:rFonts w:hint="eastAsia" w:ascii="仿宋" w:hAnsi="仿宋" w:eastAsia="仿宋"/>
          <w:b w:val="0"/>
          <w:bCs/>
          <w:color w:val="auto"/>
          <w:sz w:val="32"/>
          <w:szCs w:val="32"/>
          <w:highlight w:val="none"/>
        </w:rPr>
        <w:t>条  工程变更审批根据按照以下流程办理，其中：</w:t>
      </w:r>
    </w:p>
    <w:p w14:paraId="5E29AAAE">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（一）</w:t>
      </w:r>
      <w:r>
        <w:rPr>
          <w:rFonts w:hint="eastAsia" w:ascii="仿宋" w:hAnsi="仿宋" w:eastAsia="仿宋"/>
          <w:b w:val="0"/>
          <w:bCs/>
          <w:color w:val="auto"/>
          <w:sz w:val="32"/>
          <w:szCs w:val="32"/>
          <w:highlight w:val="none"/>
          <w:lang w:eastAsia="zh-CN"/>
        </w:rPr>
        <w:t>单项变更</w:t>
      </w:r>
      <w:r>
        <w:rPr>
          <w:rFonts w:hint="eastAsia" w:ascii="仿宋" w:hAnsi="仿宋" w:eastAsia="仿宋"/>
          <w:b w:val="0"/>
          <w:bCs/>
          <w:color w:val="auto"/>
          <w:sz w:val="32"/>
          <w:szCs w:val="32"/>
          <w:highlight w:val="none"/>
        </w:rPr>
        <w:t>造价</w:t>
      </w:r>
      <w:r>
        <w:rPr>
          <w:rFonts w:hint="eastAsia" w:ascii="仿宋" w:hAnsi="仿宋" w:eastAsia="仿宋"/>
          <w:b w:val="0"/>
          <w:bCs/>
          <w:color w:val="auto"/>
          <w:sz w:val="32"/>
          <w:szCs w:val="32"/>
          <w:highlight w:val="none"/>
          <w:lang w:eastAsia="zh-CN"/>
        </w:rPr>
        <w:t>净</w:t>
      </w:r>
      <w:r>
        <w:rPr>
          <w:rFonts w:hint="eastAsia" w:ascii="仿宋" w:hAnsi="仿宋" w:eastAsia="仿宋"/>
          <w:b w:val="0"/>
          <w:bCs/>
          <w:color w:val="auto"/>
          <w:sz w:val="32"/>
          <w:szCs w:val="32"/>
          <w:highlight w:val="none"/>
        </w:rPr>
        <w:t>增</w:t>
      </w:r>
      <w:r>
        <w:rPr>
          <w:rFonts w:hint="eastAsia" w:ascii="仿宋" w:hAnsi="仿宋" w:eastAsia="仿宋"/>
          <w:b w:val="0"/>
          <w:bCs/>
          <w:color w:val="auto"/>
          <w:sz w:val="32"/>
          <w:szCs w:val="32"/>
          <w:highlight w:val="none"/>
          <w:lang w:eastAsia="zh-CN"/>
        </w:rPr>
        <w:t>加</w:t>
      </w:r>
      <w:r>
        <w:rPr>
          <w:rFonts w:hint="eastAsia" w:ascii="仿宋" w:hAnsi="仿宋" w:eastAsia="仿宋"/>
          <w:b w:val="0"/>
          <w:bCs/>
          <w:color w:val="auto"/>
          <w:sz w:val="32"/>
          <w:szCs w:val="32"/>
          <w:highlight w:val="none"/>
        </w:rPr>
        <w:t>10万元以下变更，由项目</w:t>
      </w:r>
      <w:r>
        <w:rPr>
          <w:rFonts w:hint="eastAsia" w:ascii="仿宋" w:hAnsi="仿宋" w:eastAsia="仿宋"/>
          <w:b w:val="0"/>
          <w:bCs/>
          <w:color w:val="auto"/>
          <w:sz w:val="32"/>
          <w:szCs w:val="32"/>
          <w:highlight w:val="none"/>
          <w:lang w:eastAsia="zh-CN"/>
        </w:rPr>
        <w:t>建设单位研究审批</w:t>
      </w:r>
      <w:r>
        <w:rPr>
          <w:rFonts w:hint="eastAsia" w:ascii="仿宋" w:hAnsi="仿宋" w:eastAsia="仿宋"/>
          <w:b w:val="0"/>
          <w:bCs/>
          <w:color w:val="auto"/>
          <w:sz w:val="32"/>
          <w:szCs w:val="32"/>
          <w:highlight w:val="none"/>
        </w:rPr>
        <w:t>。</w:t>
      </w:r>
    </w:p>
    <w:p w14:paraId="5D127B48">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（二）</w:t>
      </w:r>
      <w:r>
        <w:rPr>
          <w:rFonts w:hint="eastAsia" w:ascii="仿宋" w:hAnsi="仿宋" w:eastAsia="仿宋"/>
          <w:b w:val="0"/>
          <w:bCs/>
          <w:color w:val="auto"/>
          <w:sz w:val="32"/>
          <w:szCs w:val="32"/>
          <w:highlight w:val="none"/>
          <w:lang w:eastAsia="zh-CN"/>
        </w:rPr>
        <w:t>单项变更</w:t>
      </w:r>
      <w:r>
        <w:rPr>
          <w:rFonts w:hint="eastAsia" w:ascii="仿宋" w:hAnsi="仿宋" w:eastAsia="仿宋"/>
          <w:b w:val="0"/>
          <w:bCs/>
          <w:color w:val="auto"/>
          <w:sz w:val="32"/>
          <w:szCs w:val="32"/>
          <w:highlight w:val="none"/>
        </w:rPr>
        <w:t>造价</w:t>
      </w:r>
      <w:r>
        <w:rPr>
          <w:rFonts w:hint="eastAsia" w:ascii="仿宋" w:hAnsi="仿宋" w:eastAsia="仿宋"/>
          <w:b w:val="0"/>
          <w:bCs/>
          <w:color w:val="auto"/>
          <w:sz w:val="32"/>
          <w:szCs w:val="32"/>
          <w:highlight w:val="none"/>
          <w:lang w:eastAsia="zh-CN"/>
        </w:rPr>
        <w:t>净</w:t>
      </w:r>
      <w:r>
        <w:rPr>
          <w:rFonts w:hint="eastAsia" w:ascii="仿宋" w:hAnsi="仿宋" w:eastAsia="仿宋"/>
          <w:b w:val="0"/>
          <w:bCs/>
          <w:color w:val="auto"/>
          <w:sz w:val="32"/>
          <w:szCs w:val="32"/>
          <w:highlight w:val="none"/>
        </w:rPr>
        <w:t>增</w:t>
      </w:r>
      <w:r>
        <w:rPr>
          <w:rFonts w:hint="eastAsia" w:ascii="仿宋" w:hAnsi="仿宋" w:eastAsia="仿宋"/>
          <w:b w:val="0"/>
          <w:bCs/>
          <w:color w:val="auto"/>
          <w:sz w:val="32"/>
          <w:szCs w:val="32"/>
          <w:highlight w:val="none"/>
          <w:lang w:eastAsia="zh-CN"/>
        </w:rPr>
        <w:t>加</w:t>
      </w:r>
      <w:r>
        <w:rPr>
          <w:rFonts w:hint="eastAsia" w:ascii="仿宋" w:hAnsi="仿宋" w:eastAsia="仿宋"/>
          <w:b w:val="0"/>
          <w:bCs/>
          <w:color w:val="auto"/>
          <w:sz w:val="32"/>
          <w:szCs w:val="32"/>
          <w:highlight w:val="none"/>
        </w:rPr>
        <w:t>10</w:t>
      </w:r>
      <w:r>
        <w:rPr>
          <w:rFonts w:hint="eastAsia" w:ascii="仿宋" w:hAnsi="仿宋" w:eastAsia="仿宋"/>
          <w:b w:val="0"/>
          <w:bCs/>
          <w:color w:val="auto"/>
          <w:sz w:val="32"/>
          <w:szCs w:val="32"/>
          <w:highlight w:val="none"/>
          <w:lang w:eastAsia="zh-CN"/>
        </w:rPr>
        <w:t>万元</w:t>
      </w:r>
      <w:r>
        <w:rPr>
          <w:rFonts w:hint="eastAsia" w:ascii="仿宋" w:hAnsi="仿宋" w:eastAsia="仿宋"/>
          <w:b w:val="0"/>
          <w:bCs/>
          <w:color w:val="auto"/>
          <w:sz w:val="32"/>
          <w:szCs w:val="32"/>
          <w:highlight w:val="none"/>
        </w:rPr>
        <w:t>-</w:t>
      </w:r>
      <w:r>
        <w:rPr>
          <w:rFonts w:ascii="仿宋" w:hAnsi="仿宋" w:eastAsia="仿宋"/>
          <w:b w:val="0"/>
          <w:bCs/>
          <w:color w:val="auto"/>
          <w:sz w:val="32"/>
          <w:szCs w:val="32"/>
          <w:highlight w:val="none"/>
        </w:rPr>
        <w:t>30</w:t>
      </w:r>
      <w:r>
        <w:rPr>
          <w:rFonts w:hint="eastAsia" w:ascii="仿宋" w:hAnsi="仿宋" w:eastAsia="仿宋"/>
          <w:b w:val="0"/>
          <w:bCs/>
          <w:color w:val="auto"/>
          <w:sz w:val="32"/>
          <w:szCs w:val="32"/>
          <w:highlight w:val="none"/>
        </w:rPr>
        <w:t>万元之间变更，由变更领导小组办公室审批。</w:t>
      </w:r>
    </w:p>
    <w:p w14:paraId="037AEBB4">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（三）</w:t>
      </w:r>
      <w:r>
        <w:rPr>
          <w:rFonts w:hint="eastAsia" w:ascii="仿宋" w:hAnsi="仿宋" w:eastAsia="仿宋"/>
          <w:b w:val="0"/>
          <w:bCs/>
          <w:color w:val="auto"/>
          <w:sz w:val="32"/>
          <w:szCs w:val="32"/>
          <w:highlight w:val="none"/>
          <w:lang w:eastAsia="zh-CN"/>
        </w:rPr>
        <w:t>单项变更</w:t>
      </w:r>
      <w:r>
        <w:rPr>
          <w:rFonts w:hint="eastAsia" w:ascii="仿宋" w:hAnsi="仿宋" w:eastAsia="仿宋"/>
          <w:b w:val="0"/>
          <w:bCs/>
          <w:color w:val="auto"/>
          <w:sz w:val="32"/>
          <w:szCs w:val="32"/>
          <w:highlight w:val="none"/>
        </w:rPr>
        <w:t>造价</w:t>
      </w:r>
      <w:r>
        <w:rPr>
          <w:rFonts w:hint="eastAsia" w:ascii="仿宋" w:hAnsi="仿宋" w:eastAsia="仿宋"/>
          <w:b w:val="0"/>
          <w:bCs/>
          <w:color w:val="auto"/>
          <w:sz w:val="32"/>
          <w:szCs w:val="32"/>
          <w:highlight w:val="none"/>
          <w:lang w:eastAsia="zh-CN"/>
        </w:rPr>
        <w:t>净</w:t>
      </w:r>
      <w:r>
        <w:rPr>
          <w:rFonts w:hint="eastAsia" w:ascii="仿宋" w:hAnsi="仿宋" w:eastAsia="仿宋"/>
          <w:b w:val="0"/>
          <w:bCs/>
          <w:color w:val="auto"/>
          <w:sz w:val="32"/>
          <w:szCs w:val="32"/>
          <w:highlight w:val="none"/>
        </w:rPr>
        <w:t>增</w:t>
      </w:r>
      <w:r>
        <w:rPr>
          <w:rFonts w:hint="eastAsia" w:ascii="仿宋" w:hAnsi="仿宋" w:eastAsia="仿宋"/>
          <w:b w:val="0"/>
          <w:bCs/>
          <w:color w:val="auto"/>
          <w:sz w:val="32"/>
          <w:szCs w:val="32"/>
          <w:highlight w:val="none"/>
          <w:lang w:eastAsia="zh-CN"/>
        </w:rPr>
        <w:t>加</w:t>
      </w:r>
      <w:r>
        <w:rPr>
          <w:rFonts w:hint="eastAsia" w:ascii="仿宋" w:hAnsi="仿宋" w:eastAsia="仿宋"/>
          <w:b w:val="0"/>
          <w:bCs/>
          <w:color w:val="auto"/>
          <w:sz w:val="32"/>
          <w:szCs w:val="32"/>
          <w:highlight w:val="none"/>
          <w:lang w:val="en-US" w:eastAsia="zh-CN"/>
        </w:rPr>
        <w:t>3</w:t>
      </w:r>
      <w:r>
        <w:rPr>
          <w:rFonts w:ascii="仿宋" w:hAnsi="仿宋" w:eastAsia="仿宋"/>
          <w:b w:val="0"/>
          <w:bCs/>
          <w:color w:val="auto"/>
          <w:sz w:val="32"/>
          <w:szCs w:val="32"/>
          <w:highlight w:val="none"/>
        </w:rPr>
        <w:t>0</w:t>
      </w:r>
      <w:r>
        <w:rPr>
          <w:rFonts w:hint="eastAsia" w:ascii="仿宋" w:hAnsi="仿宋" w:eastAsia="仿宋"/>
          <w:b w:val="0"/>
          <w:bCs/>
          <w:color w:val="auto"/>
          <w:sz w:val="32"/>
          <w:szCs w:val="32"/>
          <w:highlight w:val="none"/>
        </w:rPr>
        <w:t>万元-</w:t>
      </w:r>
      <w:r>
        <w:rPr>
          <w:rFonts w:hint="eastAsia" w:ascii="仿宋" w:hAnsi="仿宋" w:eastAsia="仿宋"/>
          <w:b w:val="0"/>
          <w:bCs/>
          <w:color w:val="auto"/>
          <w:sz w:val="32"/>
          <w:szCs w:val="32"/>
          <w:highlight w:val="none"/>
          <w:lang w:val="en-US" w:eastAsia="zh-CN"/>
        </w:rPr>
        <w:t>5</w:t>
      </w:r>
      <w:r>
        <w:rPr>
          <w:rFonts w:ascii="仿宋" w:hAnsi="仿宋" w:eastAsia="仿宋"/>
          <w:b w:val="0"/>
          <w:bCs/>
          <w:color w:val="auto"/>
          <w:sz w:val="32"/>
          <w:szCs w:val="32"/>
          <w:highlight w:val="none"/>
        </w:rPr>
        <w:t>0</w:t>
      </w:r>
      <w:r>
        <w:rPr>
          <w:rFonts w:hint="eastAsia" w:ascii="仿宋" w:hAnsi="仿宋" w:eastAsia="仿宋"/>
          <w:b w:val="0"/>
          <w:bCs/>
          <w:color w:val="auto"/>
          <w:sz w:val="32"/>
          <w:szCs w:val="32"/>
          <w:highlight w:val="none"/>
        </w:rPr>
        <w:t>万元之间变更，由领导小组办公室审核</w:t>
      </w:r>
      <w:r>
        <w:rPr>
          <w:rFonts w:hint="eastAsia" w:ascii="仿宋" w:hAnsi="仿宋" w:eastAsia="仿宋"/>
          <w:b w:val="0"/>
          <w:bCs/>
          <w:color w:val="auto"/>
          <w:sz w:val="32"/>
          <w:szCs w:val="32"/>
          <w:highlight w:val="none"/>
          <w:lang w:eastAsia="zh-CN"/>
        </w:rPr>
        <w:t>后</w:t>
      </w:r>
      <w:r>
        <w:rPr>
          <w:rFonts w:hint="eastAsia" w:ascii="仿宋" w:hAnsi="仿宋" w:eastAsia="仿宋"/>
          <w:b w:val="0"/>
          <w:bCs/>
          <w:color w:val="auto"/>
          <w:sz w:val="32"/>
          <w:szCs w:val="32"/>
          <w:highlight w:val="none"/>
        </w:rPr>
        <w:t>，报变更领导小组</w:t>
      </w:r>
      <w:r>
        <w:rPr>
          <w:rFonts w:hint="eastAsia" w:ascii="仿宋" w:hAnsi="仿宋" w:eastAsia="仿宋"/>
          <w:b w:val="0"/>
          <w:bCs/>
          <w:color w:val="auto"/>
          <w:sz w:val="32"/>
          <w:szCs w:val="32"/>
          <w:highlight w:val="none"/>
          <w:lang w:eastAsia="zh-CN"/>
        </w:rPr>
        <w:t>组长</w:t>
      </w:r>
      <w:r>
        <w:rPr>
          <w:rFonts w:hint="eastAsia" w:ascii="仿宋" w:hAnsi="仿宋" w:eastAsia="仿宋"/>
          <w:b w:val="0"/>
          <w:bCs/>
          <w:color w:val="auto"/>
          <w:sz w:val="32"/>
          <w:szCs w:val="32"/>
          <w:highlight w:val="none"/>
        </w:rPr>
        <w:t>审批。</w:t>
      </w:r>
    </w:p>
    <w:p w14:paraId="263A74ED">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eastAsia="zh-CN"/>
        </w:rPr>
        <w:t>四</w:t>
      </w:r>
      <w:r>
        <w:rPr>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eastAsia="zh-CN"/>
        </w:rPr>
        <w:t>单项变更</w:t>
      </w:r>
      <w:r>
        <w:rPr>
          <w:rFonts w:hint="eastAsia" w:ascii="仿宋" w:hAnsi="仿宋" w:eastAsia="仿宋"/>
          <w:b w:val="0"/>
          <w:bCs/>
          <w:color w:val="auto"/>
          <w:sz w:val="32"/>
          <w:szCs w:val="32"/>
          <w:highlight w:val="none"/>
        </w:rPr>
        <w:t>造价</w:t>
      </w:r>
      <w:r>
        <w:rPr>
          <w:rFonts w:hint="eastAsia" w:ascii="仿宋" w:hAnsi="仿宋" w:eastAsia="仿宋"/>
          <w:b w:val="0"/>
          <w:bCs/>
          <w:color w:val="auto"/>
          <w:sz w:val="32"/>
          <w:szCs w:val="32"/>
          <w:highlight w:val="none"/>
          <w:lang w:eastAsia="zh-CN"/>
        </w:rPr>
        <w:t>净</w:t>
      </w:r>
      <w:r>
        <w:rPr>
          <w:rFonts w:hint="eastAsia" w:ascii="仿宋" w:hAnsi="仿宋" w:eastAsia="仿宋"/>
          <w:b w:val="0"/>
          <w:bCs/>
          <w:color w:val="auto"/>
          <w:sz w:val="32"/>
          <w:szCs w:val="32"/>
          <w:highlight w:val="none"/>
        </w:rPr>
        <w:t>增</w:t>
      </w:r>
      <w:r>
        <w:rPr>
          <w:rFonts w:hint="eastAsia" w:ascii="仿宋" w:hAnsi="仿宋" w:eastAsia="仿宋"/>
          <w:b w:val="0"/>
          <w:bCs/>
          <w:color w:val="auto"/>
          <w:sz w:val="32"/>
          <w:szCs w:val="32"/>
          <w:highlight w:val="none"/>
          <w:lang w:eastAsia="zh-CN"/>
        </w:rPr>
        <w:t>加</w:t>
      </w:r>
      <w:r>
        <w:rPr>
          <w:rFonts w:hint="eastAsia" w:ascii="仿宋" w:hAnsi="仿宋" w:eastAsia="仿宋"/>
          <w:b w:val="0"/>
          <w:bCs/>
          <w:color w:val="auto"/>
          <w:sz w:val="32"/>
          <w:szCs w:val="32"/>
          <w:highlight w:val="none"/>
          <w:lang w:val="en-US" w:eastAsia="zh-CN"/>
        </w:rPr>
        <w:t>5</w:t>
      </w:r>
      <w:r>
        <w:rPr>
          <w:rFonts w:ascii="仿宋" w:hAnsi="仿宋" w:eastAsia="仿宋"/>
          <w:b w:val="0"/>
          <w:bCs/>
          <w:color w:val="auto"/>
          <w:sz w:val="32"/>
          <w:szCs w:val="32"/>
          <w:highlight w:val="none"/>
        </w:rPr>
        <w:t>0</w:t>
      </w:r>
      <w:r>
        <w:rPr>
          <w:rFonts w:hint="eastAsia" w:ascii="仿宋" w:hAnsi="仿宋" w:eastAsia="仿宋"/>
          <w:b w:val="0"/>
          <w:bCs/>
          <w:color w:val="auto"/>
          <w:sz w:val="32"/>
          <w:szCs w:val="32"/>
          <w:highlight w:val="none"/>
        </w:rPr>
        <w:t>万元-</w:t>
      </w:r>
      <w:r>
        <w:rPr>
          <w:rFonts w:ascii="仿宋" w:hAnsi="仿宋" w:eastAsia="仿宋"/>
          <w:b w:val="0"/>
          <w:bCs/>
          <w:color w:val="auto"/>
          <w:sz w:val="32"/>
          <w:szCs w:val="32"/>
          <w:highlight w:val="none"/>
        </w:rPr>
        <w:t>100</w:t>
      </w:r>
      <w:r>
        <w:rPr>
          <w:rFonts w:hint="eastAsia" w:ascii="仿宋" w:hAnsi="仿宋" w:eastAsia="仿宋"/>
          <w:b w:val="0"/>
          <w:bCs/>
          <w:color w:val="auto"/>
          <w:sz w:val="32"/>
          <w:szCs w:val="32"/>
          <w:highlight w:val="none"/>
        </w:rPr>
        <w:t>万元之间变更，由领导小组办公室审核</w:t>
      </w:r>
      <w:r>
        <w:rPr>
          <w:rFonts w:hint="eastAsia" w:ascii="仿宋" w:hAnsi="仿宋" w:eastAsia="仿宋"/>
          <w:b w:val="0"/>
          <w:bCs/>
          <w:color w:val="auto"/>
          <w:sz w:val="32"/>
          <w:szCs w:val="32"/>
          <w:highlight w:val="none"/>
          <w:lang w:eastAsia="zh-CN"/>
        </w:rPr>
        <w:t>后</w:t>
      </w:r>
      <w:r>
        <w:rPr>
          <w:rFonts w:hint="eastAsia" w:ascii="仿宋" w:hAnsi="仿宋" w:eastAsia="仿宋"/>
          <w:b w:val="0"/>
          <w:bCs/>
          <w:color w:val="auto"/>
          <w:sz w:val="32"/>
          <w:szCs w:val="32"/>
          <w:highlight w:val="none"/>
        </w:rPr>
        <w:t>，并提请召开领导小组会议</w:t>
      </w:r>
      <w:r>
        <w:rPr>
          <w:rFonts w:hint="eastAsia" w:ascii="仿宋" w:hAnsi="仿宋" w:eastAsia="仿宋" w:cs="仿宋_GB2312"/>
          <w:b w:val="0"/>
          <w:bCs/>
          <w:color w:val="auto"/>
          <w:kern w:val="0"/>
          <w:sz w:val="32"/>
          <w:szCs w:val="32"/>
          <w:highlight w:val="none"/>
        </w:rPr>
        <w:t>研究</w:t>
      </w:r>
      <w:r>
        <w:rPr>
          <w:rFonts w:hint="eastAsia" w:ascii="仿宋" w:hAnsi="仿宋" w:eastAsia="仿宋"/>
          <w:b w:val="0"/>
          <w:bCs/>
          <w:color w:val="auto"/>
          <w:sz w:val="32"/>
          <w:szCs w:val="32"/>
          <w:highlight w:val="none"/>
        </w:rPr>
        <w:t>。</w:t>
      </w:r>
    </w:p>
    <w:p w14:paraId="1242D1AA">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b w:val="0"/>
          <w:bCs/>
          <w:color w:val="auto"/>
          <w:kern w:val="0"/>
          <w:sz w:val="32"/>
          <w:szCs w:val="32"/>
          <w:highlight w:val="none"/>
        </w:rPr>
      </w:pPr>
      <w:r>
        <w:rPr>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eastAsia="zh-CN"/>
        </w:rPr>
        <w:t>五</w:t>
      </w:r>
      <w:r>
        <w:rPr>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eastAsia="zh-CN"/>
        </w:rPr>
        <w:t>单项变更</w:t>
      </w:r>
      <w:r>
        <w:rPr>
          <w:rFonts w:hint="eastAsia" w:ascii="仿宋" w:hAnsi="仿宋" w:eastAsia="仿宋"/>
          <w:b w:val="0"/>
          <w:bCs/>
          <w:color w:val="auto"/>
          <w:sz w:val="32"/>
          <w:szCs w:val="32"/>
          <w:highlight w:val="none"/>
        </w:rPr>
        <w:t>造价</w:t>
      </w:r>
      <w:r>
        <w:rPr>
          <w:rFonts w:hint="eastAsia" w:ascii="仿宋" w:hAnsi="仿宋" w:eastAsia="仿宋"/>
          <w:b w:val="0"/>
          <w:bCs/>
          <w:color w:val="auto"/>
          <w:sz w:val="32"/>
          <w:szCs w:val="32"/>
          <w:highlight w:val="none"/>
          <w:lang w:eastAsia="zh-CN"/>
        </w:rPr>
        <w:t>净</w:t>
      </w:r>
      <w:r>
        <w:rPr>
          <w:rFonts w:hint="eastAsia" w:ascii="仿宋" w:hAnsi="仿宋" w:eastAsia="仿宋"/>
          <w:b w:val="0"/>
          <w:bCs/>
          <w:color w:val="auto"/>
          <w:sz w:val="32"/>
          <w:szCs w:val="32"/>
          <w:highlight w:val="none"/>
        </w:rPr>
        <w:t>增</w:t>
      </w:r>
      <w:r>
        <w:rPr>
          <w:rFonts w:hint="eastAsia" w:ascii="仿宋" w:hAnsi="仿宋" w:eastAsia="仿宋"/>
          <w:b w:val="0"/>
          <w:bCs/>
          <w:color w:val="auto"/>
          <w:sz w:val="32"/>
          <w:szCs w:val="32"/>
          <w:highlight w:val="none"/>
          <w:lang w:eastAsia="zh-CN"/>
        </w:rPr>
        <w:t>加</w:t>
      </w:r>
      <w:r>
        <w:rPr>
          <w:rFonts w:ascii="仿宋" w:hAnsi="仿宋" w:eastAsia="仿宋"/>
          <w:b w:val="0"/>
          <w:bCs/>
          <w:color w:val="auto"/>
          <w:sz w:val="32"/>
          <w:szCs w:val="32"/>
          <w:highlight w:val="none"/>
        </w:rPr>
        <w:t>100</w:t>
      </w:r>
      <w:r>
        <w:rPr>
          <w:rFonts w:hint="eastAsia" w:ascii="仿宋" w:hAnsi="仿宋" w:eastAsia="仿宋"/>
          <w:b w:val="0"/>
          <w:bCs/>
          <w:color w:val="auto"/>
          <w:sz w:val="32"/>
          <w:szCs w:val="32"/>
          <w:highlight w:val="none"/>
        </w:rPr>
        <w:t>万元以上的变更</w:t>
      </w:r>
      <w:r>
        <w:rPr>
          <w:rFonts w:hint="eastAsia" w:ascii="仿宋" w:hAnsi="仿宋" w:eastAsia="仿宋"/>
          <w:b w:val="0"/>
          <w:bCs/>
          <w:color w:val="auto"/>
          <w:sz w:val="32"/>
          <w:szCs w:val="32"/>
          <w:highlight w:val="none"/>
          <w:lang w:eastAsia="zh-CN"/>
        </w:rPr>
        <w:t>，由</w:t>
      </w:r>
      <w:r>
        <w:rPr>
          <w:rFonts w:hint="eastAsia" w:ascii="仿宋" w:hAnsi="仿宋" w:eastAsia="仿宋"/>
          <w:b w:val="0"/>
          <w:bCs/>
          <w:color w:val="auto"/>
          <w:sz w:val="32"/>
          <w:szCs w:val="32"/>
          <w:highlight w:val="none"/>
        </w:rPr>
        <w:t>领导小组会议研究通过后</w:t>
      </w:r>
      <w:r>
        <w:rPr>
          <w:rFonts w:hint="eastAsia" w:ascii="仿宋" w:hAnsi="仿宋" w:eastAsia="仿宋"/>
          <w:b w:val="0"/>
          <w:bCs/>
          <w:color w:val="auto"/>
          <w:sz w:val="32"/>
          <w:szCs w:val="32"/>
          <w:highlight w:val="none"/>
          <w:lang w:eastAsia="zh-CN"/>
        </w:rPr>
        <w:t>，</w:t>
      </w:r>
      <w:r>
        <w:rPr>
          <w:rFonts w:hint="eastAsia" w:ascii="仿宋" w:hAnsi="仿宋" w:eastAsia="仿宋"/>
          <w:b w:val="0"/>
          <w:bCs/>
          <w:color w:val="auto"/>
          <w:sz w:val="32"/>
          <w:szCs w:val="32"/>
          <w:highlight w:val="none"/>
        </w:rPr>
        <w:t>报请主任办公会议</w:t>
      </w:r>
      <w:r>
        <w:rPr>
          <w:rFonts w:hint="eastAsia" w:ascii="仿宋" w:hAnsi="仿宋" w:eastAsia="仿宋"/>
          <w:b w:val="0"/>
          <w:bCs/>
          <w:color w:val="auto"/>
          <w:sz w:val="32"/>
          <w:szCs w:val="32"/>
          <w:highlight w:val="none"/>
          <w:lang w:val="en-US" w:eastAsia="zh-CN"/>
        </w:rPr>
        <w:t>批准</w:t>
      </w:r>
      <w:r>
        <w:rPr>
          <w:rFonts w:hint="eastAsia" w:ascii="仿宋" w:hAnsi="仿宋" w:eastAsia="仿宋"/>
          <w:b w:val="0"/>
          <w:bCs/>
          <w:color w:val="auto"/>
          <w:sz w:val="32"/>
          <w:szCs w:val="32"/>
          <w:highlight w:val="none"/>
        </w:rPr>
        <w:t>。</w:t>
      </w:r>
    </w:p>
    <w:p w14:paraId="78C31592">
      <w:pPr>
        <w:keepNext w:val="0"/>
        <w:keepLines w:val="0"/>
        <w:pageBreakBefore w:val="0"/>
        <w:widowControl/>
        <w:kinsoku/>
        <w:wordWrap/>
        <w:overflowPunct/>
        <w:topLinePunct w:val="0"/>
        <w:autoSpaceDE/>
        <w:autoSpaceDN/>
        <w:bidi w:val="0"/>
        <w:adjustRightInd/>
        <w:spacing w:line="540" w:lineRule="exact"/>
        <w:jc w:val="center"/>
        <w:textAlignment w:val="auto"/>
        <w:rPr>
          <w:rFonts w:ascii="仿宋" w:hAnsi="仿宋" w:eastAsia="仿宋"/>
          <w:b w:val="0"/>
          <w:bCs/>
          <w:color w:val="auto"/>
          <w:sz w:val="32"/>
          <w:szCs w:val="32"/>
          <w:highlight w:val="none"/>
        </w:rPr>
      </w:pPr>
      <w:r>
        <w:rPr>
          <w:rFonts w:hint="eastAsia" w:ascii="黑体" w:hAnsi="黑体" w:eastAsia="黑体" w:cs="黑体"/>
          <w:b w:val="0"/>
          <w:bCs/>
          <w:color w:val="auto"/>
          <w:kern w:val="0"/>
          <w:sz w:val="32"/>
          <w:szCs w:val="32"/>
          <w:highlight w:val="none"/>
        </w:rPr>
        <w:t>第四章　工程变更实施</w:t>
      </w:r>
    </w:p>
    <w:p w14:paraId="4C316ADD">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第十条  工程变更后，由项目建设单位组织实施。因抢险救灾</w:t>
      </w:r>
      <w:r>
        <w:rPr>
          <w:rFonts w:hint="eastAsia" w:ascii="仿宋" w:hAnsi="仿宋" w:eastAsia="仿宋"/>
          <w:b w:val="0"/>
          <w:bCs/>
          <w:color w:val="auto"/>
          <w:sz w:val="32"/>
          <w:szCs w:val="32"/>
          <w:highlight w:val="none"/>
          <w:lang w:eastAsia="zh-CN"/>
        </w:rPr>
        <w:t>、环保等</w:t>
      </w:r>
      <w:r>
        <w:rPr>
          <w:rFonts w:hint="eastAsia" w:ascii="仿宋" w:hAnsi="仿宋" w:eastAsia="仿宋"/>
          <w:b w:val="0"/>
          <w:bCs/>
          <w:color w:val="auto"/>
          <w:sz w:val="32"/>
          <w:szCs w:val="32"/>
          <w:highlight w:val="none"/>
        </w:rPr>
        <w:t>紧急采取工程措施的，可先行组织实施，同步办理变更相关手续后，报领导小组会议研定。</w:t>
      </w:r>
    </w:p>
    <w:p w14:paraId="1490D648">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第十</w:t>
      </w:r>
      <w:r>
        <w:rPr>
          <w:rFonts w:hint="eastAsia" w:ascii="仿宋" w:hAnsi="仿宋" w:eastAsia="仿宋"/>
          <w:b w:val="0"/>
          <w:bCs/>
          <w:color w:val="auto"/>
          <w:sz w:val="32"/>
          <w:szCs w:val="32"/>
          <w:highlight w:val="none"/>
          <w:lang w:eastAsia="zh-CN"/>
        </w:rPr>
        <w:t>一</w:t>
      </w:r>
      <w:r>
        <w:rPr>
          <w:rFonts w:hint="eastAsia" w:ascii="仿宋" w:hAnsi="仿宋" w:eastAsia="仿宋"/>
          <w:b w:val="0"/>
          <w:bCs/>
          <w:color w:val="auto"/>
          <w:sz w:val="32"/>
          <w:szCs w:val="32"/>
          <w:highlight w:val="none"/>
        </w:rPr>
        <w:t>条  工程变更需要补充勘察设计监理等服务的，一般由原服务单位承担。原服务单位不具备资质，或符合《必须招标的工程项目规定》情形的，项目建设单位应当通过招标方式选择勘察设计监理单位。</w:t>
      </w:r>
    </w:p>
    <w:p w14:paraId="6C9CA153">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第十</w:t>
      </w:r>
      <w:r>
        <w:rPr>
          <w:rFonts w:hint="eastAsia" w:ascii="仿宋" w:hAnsi="仿宋" w:eastAsia="仿宋"/>
          <w:b w:val="0"/>
          <w:bCs/>
          <w:color w:val="auto"/>
          <w:sz w:val="32"/>
          <w:szCs w:val="32"/>
          <w:highlight w:val="none"/>
          <w:lang w:eastAsia="zh-CN"/>
        </w:rPr>
        <w:t>二</w:t>
      </w:r>
      <w:r>
        <w:rPr>
          <w:rFonts w:hint="eastAsia" w:ascii="仿宋" w:hAnsi="仿宋" w:eastAsia="仿宋"/>
          <w:b w:val="0"/>
          <w:bCs/>
          <w:color w:val="auto"/>
          <w:sz w:val="32"/>
          <w:szCs w:val="32"/>
          <w:highlight w:val="none"/>
        </w:rPr>
        <w:t>条  工程变更内容一般由原施工单位实施。原施工单位不具备实施变更工程资质，或符合《必须招标的工程项目规定》情形的，项目建设单位应当通过招标方式选择施工单位，但相关法律法规规定可以不进行招标的除外。</w:t>
      </w:r>
    </w:p>
    <w:p w14:paraId="5B43F833">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第十</w:t>
      </w:r>
      <w:r>
        <w:rPr>
          <w:rFonts w:hint="eastAsia" w:ascii="仿宋" w:hAnsi="仿宋" w:eastAsia="仿宋"/>
          <w:b w:val="0"/>
          <w:bCs/>
          <w:color w:val="auto"/>
          <w:sz w:val="32"/>
          <w:szCs w:val="32"/>
          <w:highlight w:val="none"/>
          <w:lang w:eastAsia="zh-CN"/>
        </w:rPr>
        <w:t>三</w:t>
      </w:r>
      <w:r>
        <w:rPr>
          <w:rFonts w:hint="eastAsia" w:ascii="仿宋" w:hAnsi="仿宋" w:eastAsia="仿宋"/>
          <w:b w:val="0"/>
          <w:bCs/>
          <w:color w:val="auto"/>
          <w:sz w:val="32"/>
          <w:szCs w:val="32"/>
          <w:highlight w:val="none"/>
        </w:rPr>
        <w:t>条  因征收等原因导致项目部分工程无法实施而需进行甩项处理的，报</w:t>
      </w:r>
      <w:r>
        <w:rPr>
          <w:rFonts w:hint="eastAsia" w:ascii="仿宋" w:hAnsi="仿宋" w:eastAsia="仿宋"/>
          <w:b w:val="0"/>
          <w:bCs/>
          <w:color w:val="auto"/>
          <w:sz w:val="32"/>
          <w:szCs w:val="32"/>
          <w:highlight w:val="none"/>
          <w:lang w:eastAsia="zh-CN"/>
        </w:rPr>
        <w:t>管委会</w:t>
      </w:r>
      <w:r>
        <w:rPr>
          <w:rFonts w:hint="eastAsia" w:ascii="仿宋" w:hAnsi="仿宋" w:eastAsia="仿宋"/>
          <w:b w:val="0"/>
          <w:bCs/>
          <w:color w:val="auto"/>
          <w:sz w:val="32"/>
          <w:szCs w:val="32"/>
          <w:highlight w:val="none"/>
        </w:rPr>
        <w:t>同意后做甩项处理。</w:t>
      </w:r>
    </w:p>
    <w:p w14:paraId="1BBA695A">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eastAsia="仿宋"/>
          <w:b w:val="0"/>
          <w:bCs/>
          <w:color w:val="auto"/>
          <w:sz w:val="32"/>
          <w:szCs w:val="32"/>
          <w:highlight w:val="none"/>
        </w:rPr>
      </w:pPr>
      <w:r>
        <w:rPr>
          <w:rFonts w:hint="eastAsia" w:ascii="仿宋" w:hAnsi="仿宋" w:eastAsia="仿宋" w:cs="仿宋_GB2312"/>
          <w:b w:val="0"/>
          <w:bCs/>
          <w:color w:val="auto"/>
          <w:kern w:val="0"/>
          <w:sz w:val="32"/>
          <w:szCs w:val="32"/>
          <w:highlight w:val="none"/>
        </w:rPr>
        <w:t>第</w:t>
      </w:r>
      <w:r>
        <w:rPr>
          <w:rFonts w:hint="eastAsia" w:ascii="仿宋" w:hAnsi="仿宋" w:eastAsia="仿宋" w:cs="仿宋_GB2312"/>
          <w:b w:val="0"/>
          <w:bCs/>
          <w:color w:val="auto"/>
          <w:kern w:val="0"/>
          <w:sz w:val="32"/>
          <w:szCs w:val="32"/>
          <w:highlight w:val="none"/>
          <w:lang w:val="en-US" w:eastAsia="zh-CN"/>
        </w:rPr>
        <w:t>十</w:t>
      </w:r>
      <w:r>
        <w:rPr>
          <w:rFonts w:hint="eastAsia" w:ascii="仿宋" w:hAnsi="仿宋" w:eastAsia="仿宋"/>
          <w:b w:val="0"/>
          <w:bCs/>
          <w:color w:val="auto"/>
          <w:sz w:val="32"/>
          <w:szCs w:val="32"/>
          <w:highlight w:val="none"/>
          <w:lang w:eastAsia="zh-CN"/>
        </w:rPr>
        <w:t>四</w:t>
      </w:r>
      <w:r>
        <w:rPr>
          <w:rFonts w:hint="eastAsia" w:ascii="仿宋" w:hAnsi="仿宋" w:eastAsia="仿宋" w:cs="仿宋_GB2312"/>
          <w:b w:val="0"/>
          <w:bCs/>
          <w:color w:val="auto"/>
          <w:kern w:val="0"/>
          <w:sz w:val="32"/>
          <w:szCs w:val="32"/>
          <w:highlight w:val="none"/>
        </w:rPr>
        <w:t>条  工程变更涉及重大方案变化及概算调整的，项目建设单位依据相关项目投资管理办法办理。</w:t>
      </w:r>
    </w:p>
    <w:p w14:paraId="5DD54989">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b w:val="0"/>
          <w:bCs/>
          <w:color w:val="auto"/>
          <w:kern w:val="0"/>
          <w:sz w:val="32"/>
          <w:szCs w:val="32"/>
          <w:highlight w:val="none"/>
          <w:lang w:val="en-US" w:eastAsia="zh-CN"/>
        </w:rPr>
      </w:pPr>
      <w:r>
        <w:rPr>
          <w:rFonts w:hint="eastAsia" w:ascii="仿宋" w:hAnsi="仿宋" w:eastAsia="仿宋" w:cs="仿宋_GB2312"/>
          <w:b w:val="0"/>
          <w:bCs/>
          <w:color w:val="auto"/>
          <w:kern w:val="0"/>
          <w:sz w:val="32"/>
          <w:szCs w:val="32"/>
          <w:highlight w:val="none"/>
        </w:rPr>
        <w:t>第十</w:t>
      </w:r>
      <w:r>
        <w:rPr>
          <w:rFonts w:hint="eastAsia" w:ascii="仿宋" w:hAnsi="仿宋" w:eastAsia="仿宋"/>
          <w:b w:val="0"/>
          <w:bCs/>
          <w:color w:val="auto"/>
          <w:sz w:val="32"/>
          <w:szCs w:val="32"/>
          <w:highlight w:val="none"/>
          <w:lang w:eastAsia="zh-CN"/>
        </w:rPr>
        <w:t>五</w:t>
      </w:r>
      <w:r>
        <w:rPr>
          <w:rFonts w:hint="eastAsia" w:ascii="仿宋" w:hAnsi="仿宋" w:eastAsia="仿宋" w:cs="仿宋_GB2312"/>
          <w:b w:val="0"/>
          <w:bCs/>
          <w:color w:val="auto"/>
          <w:kern w:val="0"/>
          <w:sz w:val="32"/>
          <w:szCs w:val="32"/>
          <w:highlight w:val="none"/>
        </w:rPr>
        <w:t>条  未经审查或未按规定程序进行变更的项目一律不予认可，严禁将变更内容进行拆分申报。</w:t>
      </w:r>
    </w:p>
    <w:p w14:paraId="68FDC49A">
      <w:pPr>
        <w:keepNext w:val="0"/>
        <w:keepLines w:val="0"/>
        <w:pageBreakBefore w:val="0"/>
        <w:widowControl/>
        <w:kinsoku/>
        <w:wordWrap/>
        <w:overflowPunct/>
        <w:topLinePunct w:val="0"/>
        <w:autoSpaceDE/>
        <w:autoSpaceDN/>
        <w:bidi w:val="0"/>
        <w:adjustRightInd/>
        <w:spacing w:line="540" w:lineRule="exact"/>
        <w:jc w:val="center"/>
        <w:textAlignment w:val="auto"/>
        <w:rPr>
          <w:rFonts w:hint="eastAsia" w:ascii="黑体" w:hAnsi="黑体" w:eastAsia="黑体" w:cs="黑体"/>
          <w:b w:val="0"/>
          <w:bCs/>
          <w:color w:val="auto"/>
          <w:kern w:val="0"/>
          <w:sz w:val="32"/>
          <w:szCs w:val="32"/>
          <w:highlight w:val="none"/>
        </w:rPr>
      </w:pPr>
    </w:p>
    <w:p w14:paraId="541B31A3">
      <w:pPr>
        <w:keepNext w:val="0"/>
        <w:keepLines w:val="0"/>
        <w:pageBreakBefore w:val="0"/>
        <w:widowControl/>
        <w:kinsoku/>
        <w:wordWrap/>
        <w:overflowPunct/>
        <w:topLinePunct w:val="0"/>
        <w:autoSpaceDE/>
        <w:autoSpaceDN/>
        <w:bidi w:val="0"/>
        <w:adjustRightInd/>
        <w:spacing w:line="540" w:lineRule="exact"/>
        <w:jc w:val="center"/>
        <w:textAlignment w:val="auto"/>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第五章　</w:t>
      </w:r>
      <w:r>
        <w:rPr>
          <w:rFonts w:hint="eastAsia" w:ascii="黑体" w:hAnsi="黑体" w:eastAsia="黑体" w:cs="黑体"/>
          <w:b w:val="0"/>
          <w:bCs/>
          <w:color w:val="auto"/>
          <w:kern w:val="0"/>
          <w:sz w:val="32"/>
          <w:szCs w:val="32"/>
          <w:highlight w:val="none"/>
          <w:lang w:eastAsia="zh-CN"/>
        </w:rPr>
        <w:t>法律</w:t>
      </w:r>
      <w:r>
        <w:rPr>
          <w:rFonts w:hint="eastAsia" w:ascii="黑体" w:hAnsi="黑体" w:eastAsia="黑体" w:cs="黑体"/>
          <w:b w:val="0"/>
          <w:bCs/>
          <w:color w:val="auto"/>
          <w:kern w:val="0"/>
          <w:sz w:val="32"/>
          <w:szCs w:val="32"/>
          <w:highlight w:val="none"/>
        </w:rPr>
        <w:t>责任追究</w:t>
      </w:r>
    </w:p>
    <w:p w14:paraId="10F4E3E8">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第十</w:t>
      </w:r>
      <w:r>
        <w:rPr>
          <w:rFonts w:hint="eastAsia" w:ascii="仿宋" w:hAnsi="仿宋" w:eastAsia="仿宋" w:cs="仿宋_GB2312"/>
          <w:b w:val="0"/>
          <w:bCs/>
          <w:color w:val="auto"/>
          <w:kern w:val="0"/>
          <w:sz w:val="32"/>
          <w:szCs w:val="32"/>
          <w:highlight w:val="none"/>
          <w:lang w:eastAsia="zh-CN"/>
        </w:rPr>
        <w:t>六</w:t>
      </w:r>
      <w:r>
        <w:rPr>
          <w:rFonts w:hint="eastAsia" w:ascii="仿宋" w:hAnsi="仿宋" w:eastAsia="仿宋"/>
          <w:b w:val="0"/>
          <w:bCs/>
          <w:color w:val="auto"/>
          <w:sz w:val="32"/>
          <w:szCs w:val="32"/>
          <w:highlight w:val="none"/>
        </w:rPr>
        <w:t>条　项目建设单位违反本规定擅自进行变更并组织实施的，相关部门责令其限期整改。未按要求整改的，视情节轻重给予处分，同时，资金管理部门暂停项目资金拨付。</w:t>
      </w:r>
    </w:p>
    <w:p w14:paraId="2C028141">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第十</w:t>
      </w:r>
      <w:r>
        <w:rPr>
          <w:rFonts w:hint="eastAsia" w:ascii="仿宋" w:hAnsi="仿宋" w:eastAsia="仿宋"/>
          <w:b w:val="0"/>
          <w:bCs/>
          <w:color w:val="auto"/>
          <w:sz w:val="32"/>
          <w:szCs w:val="32"/>
          <w:highlight w:val="none"/>
          <w:lang w:eastAsia="zh-CN"/>
        </w:rPr>
        <w:t>七</w:t>
      </w:r>
      <w:r>
        <w:rPr>
          <w:rFonts w:hint="eastAsia" w:ascii="仿宋" w:hAnsi="仿宋" w:eastAsia="仿宋"/>
          <w:b w:val="0"/>
          <w:bCs/>
          <w:color w:val="auto"/>
          <w:sz w:val="32"/>
          <w:szCs w:val="32"/>
          <w:highlight w:val="none"/>
        </w:rPr>
        <w:t>条  项目建设单位应在勘察、设计、清单编制、施工、跟踪审计、监理等合同中约定工作责任，做到变更必追责，追责必处罚。</w:t>
      </w:r>
    </w:p>
    <w:p w14:paraId="281F1CD3">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第十</w:t>
      </w:r>
      <w:r>
        <w:rPr>
          <w:rFonts w:hint="eastAsia" w:ascii="仿宋" w:hAnsi="仿宋" w:eastAsia="仿宋"/>
          <w:b w:val="0"/>
          <w:bCs/>
          <w:color w:val="auto"/>
          <w:sz w:val="32"/>
          <w:szCs w:val="32"/>
          <w:highlight w:val="none"/>
          <w:lang w:eastAsia="zh-CN"/>
        </w:rPr>
        <w:t>八</w:t>
      </w:r>
      <w:r>
        <w:rPr>
          <w:rFonts w:hint="eastAsia" w:ascii="仿宋" w:hAnsi="仿宋" w:eastAsia="仿宋"/>
          <w:b w:val="0"/>
          <w:bCs/>
          <w:color w:val="auto"/>
          <w:sz w:val="32"/>
          <w:szCs w:val="32"/>
          <w:highlight w:val="none"/>
        </w:rPr>
        <w:t>条  项目建设单位、设计单位、施工单位、监理单位、跟审单位相互串通，采取弄虚作假等手段谋取非法利益的，依法追究相关责任；构成犯罪的，依法追究刑事责任。</w:t>
      </w:r>
    </w:p>
    <w:p w14:paraId="39CB8607">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b w:val="0"/>
          <w:bCs w:val="0"/>
          <w:color w:val="auto"/>
          <w:kern w:val="0"/>
          <w:sz w:val="32"/>
          <w:szCs w:val="32"/>
          <w:highlight w:val="none"/>
        </w:rPr>
      </w:pPr>
      <w:r>
        <w:rPr>
          <w:rFonts w:hint="eastAsia" w:ascii="仿宋" w:hAnsi="仿宋" w:eastAsia="仿宋"/>
          <w:b w:val="0"/>
          <w:bCs/>
          <w:color w:val="auto"/>
          <w:sz w:val="32"/>
          <w:szCs w:val="32"/>
          <w:highlight w:val="none"/>
        </w:rPr>
        <w:t>第十</w:t>
      </w:r>
      <w:r>
        <w:rPr>
          <w:rFonts w:hint="eastAsia" w:ascii="仿宋" w:hAnsi="仿宋" w:eastAsia="仿宋"/>
          <w:b w:val="0"/>
          <w:bCs/>
          <w:color w:val="auto"/>
          <w:sz w:val="32"/>
          <w:szCs w:val="32"/>
          <w:highlight w:val="none"/>
          <w:lang w:eastAsia="zh-CN"/>
        </w:rPr>
        <w:t>九</w:t>
      </w:r>
      <w:r>
        <w:rPr>
          <w:rFonts w:hint="eastAsia" w:ascii="仿宋" w:hAnsi="仿宋" w:eastAsia="仿宋"/>
          <w:b w:val="0"/>
          <w:bCs/>
          <w:color w:val="auto"/>
          <w:sz w:val="32"/>
          <w:szCs w:val="32"/>
          <w:highlight w:val="none"/>
        </w:rPr>
        <w:t>条  工程变更</w:t>
      </w:r>
      <w:r>
        <w:rPr>
          <w:rFonts w:hint="eastAsia" w:ascii="仿宋" w:hAnsi="仿宋" w:eastAsia="仿宋"/>
          <w:b w:val="0"/>
          <w:bCs/>
          <w:color w:val="auto"/>
          <w:sz w:val="32"/>
          <w:szCs w:val="32"/>
          <w:highlight w:val="none"/>
          <w:lang w:eastAsia="zh-CN"/>
        </w:rPr>
        <w:t>领导小组成员单位及项目建设单位工作人员</w:t>
      </w:r>
      <w:r>
        <w:rPr>
          <w:rFonts w:hint="eastAsia" w:ascii="仿宋" w:hAnsi="仿宋" w:eastAsia="仿宋"/>
          <w:b w:val="0"/>
          <w:bCs/>
          <w:color w:val="auto"/>
          <w:sz w:val="32"/>
          <w:szCs w:val="32"/>
          <w:highlight w:val="none"/>
        </w:rPr>
        <w:t>在工程变更审查过程中存在滥用职权、玩忽职守以及谋取不正当利益等行为的，由有关机关对负有责任的主管人员和其他直接责任人员，依法给予处分；构成犯罪的，依法追究刑事责任。</w:t>
      </w:r>
    </w:p>
    <w:p w14:paraId="4BA45DE7">
      <w:pPr>
        <w:keepNext w:val="0"/>
        <w:keepLines w:val="0"/>
        <w:pageBreakBefore w:val="0"/>
        <w:widowControl/>
        <w:kinsoku/>
        <w:wordWrap/>
        <w:overflowPunct/>
        <w:topLinePunct w:val="0"/>
        <w:autoSpaceDE/>
        <w:autoSpaceDN/>
        <w:bidi w:val="0"/>
        <w:adjustRightInd/>
        <w:spacing w:line="540" w:lineRule="exact"/>
        <w:jc w:val="center"/>
        <w:textAlignment w:val="auto"/>
        <w:rPr>
          <w:rFonts w:hint="eastAsia" w:ascii="仿宋" w:hAnsi="仿宋" w:eastAsia="仿宋"/>
          <w:b w:val="0"/>
          <w:bCs w:val="0"/>
          <w:color w:val="auto"/>
          <w:sz w:val="32"/>
          <w:szCs w:val="32"/>
          <w:highlight w:val="none"/>
        </w:rPr>
      </w:pPr>
      <w:r>
        <w:rPr>
          <w:rFonts w:hint="eastAsia" w:ascii="黑体" w:hAnsi="黑体" w:eastAsia="黑体" w:cs="黑体"/>
          <w:b w:val="0"/>
          <w:bCs w:val="0"/>
          <w:color w:val="auto"/>
          <w:kern w:val="0"/>
          <w:sz w:val="32"/>
          <w:szCs w:val="32"/>
          <w:highlight w:val="none"/>
        </w:rPr>
        <w:t>第六章  附则</w:t>
      </w:r>
    </w:p>
    <w:p w14:paraId="789C0B67">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 w:hAnsi="仿宋" w:eastAsia="仿宋"/>
          <w:b w:val="0"/>
          <w:bCs w:val="0"/>
          <w:color w:val="auto"/>
          <w:sz w:val="32"/>
          <w:szCs w:val="32"/>
          <w:highlight w:val="none"/>
        </w:rPr>
      </w:pPr>
      <w:r>
        <w:rPr>
          <w:rFonts w:hint="eastAsia" w:ascii="仿宋" w:hAnsi="仿宋" w:eastAsia="仿宋" w:cs="Times New Roman"/>
          <w:b w:val="0"/>
          <w:bCs w:val="0"/>
          <w:color w:val="auto"/>
          <w:kern w:val="2"/>
          <w:sz w:val="32"/>
          <w:szCs w:val="32"/>
          <w:highlight w:val="none"/>
          <w:lang w:val="en-US" w:eastAsia="zh-CN" w:bidi="ar-SA"/>
        </w:rPr>
        <w:t xml:space="preserve">第二十条  </w:t>
      </w:r>
      <w:r>
        <w:rPr>
          <w:rFonts w:hint="eastAsia" w:ascii="仿宋" w:hAnsi="仿宋" w:eastAsia="仿宋"/>
          <w:b w:val="0"/>
          <w:bCs w:val="0"/>
          <w:color w:val="auto"/>
          <w:sz w:val="32"/>
          <w:szCs w:val="32"/>
          <w:highlight w:val="none"/>
        </w:rPr>
        <w:t>国家、省行业主管部门有相关规定的，按其规定执行。</w:t>
      </w:r>
    </w:p>
    <w:p w14:paraId="41266D80">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第二十</w:t>
      </w:r>
      <w:r>
        <w:rPr>
          <w:rFonts w:hint="eastAsia" w:ascii="仿宋" w:hAnsi="仿宋" w:eastAsia="仿宋" w:cs="Times New Roman"/>
          <w:b w:val="0"/>
          <w:bCs w:val="0"/>
          <w:color w:val="auto"/>
          <w:kern w:val="2"/>
          <w:sz w:val="32"/>
          <w:szCs w:val="32"/>
          <w:highlight w:val="none"/>
          <w:lang w:val="en-US" w:eastAsia="zh-CN" w:bidi="ar-SA"/>
        </w:rPr>
        <w:t>一</w:t>
      </w:r>
      <w:r>
        <w:rPr>
          <w:rFonts w:hint="eastAsia" w:ascii="仿宋" w:hAnsi="仿宋" w:eastAsia="仿宋"/>
          <w:b w:val="0"/>
          <w:bCs w:val="0"/>
          <w:color w:val="auto"/>
          <w:sz w:val="32"/>
          <w:szCs w:val="32"/>
          <w:highlight w:val="none"/>
        </w:rPr>
        <w:t xml:space="preserve">条  </w:t>
      </w:r>
      <w:r>
        <w:rPr>
          <w:rFonts w:hint="eastAsia" w:ascii="仿宋" w:hAnsi="仿宋" w:eastAsia="仿宋"/>
          <w:b w:val="0"/>
          <w:bCs w:val="0"/>
          <w:color w:val="auto"/>
          <w:sz w:val="32"/>
          <w:szCs w:val="32"/>
          <w:highlight w:val="none"/>
          <w:lang w:eastAsia="zh-CN"/>
        </w:rPr>
        <w:t>经开区</w:t>
      </w:r>
      <w:r>
        <w:rPr>
          <w:rFonts w:hint="eastAsia" w:ascii="仿宋" w:hAnsi="仿宋" w:eastAsia="仿宋" w:cs="Times New Roman"/>
          <w:b w:val="0"/>
          <w:bCs w:val="0"/>
          <w:color w:val="auto"/>
          <w:kern w:val="2"/>
          <w:sz w:val="32"/>
          <w:szCs w:val="32"/>
          <w:highlight w:val="none"/>
          <w:lang w:val="en-US" w:eastAsia="zh-CN" w:bidi="ar-SA"/>
        </w:rPr>
        <w:t>辖区办事处及派驻机构建设</w:t>
      </w:r>
      <w:r>
        <w:rPr>
          <w:rFonts w:hint="eastAsia" w:ascii="仿宋" w:hAnsi="仿宋" w:eastAsia="仿宋"/>
          <w:b w:val="0"/>
          <w:bCs w:val="0"/>
          <w:color w:val="auto"/>
          <w:sz w:val="32"/>
          <w:szCs w:val="32"/>
          <w:highlight w:val="none"/>
        </w:rPr>
        <w:t>项目</w:t>
      </w:r>
      <w:r>
        <w:rPr>
          <w:rFonts w:hint="eastAsia" w:ascii="仿宋" w:hAnsi="仿宋" w:eastAsia="仿宋"/>
          <w:b w:val="0"/>
          <w:bCs w:val="0"/>
          <w:color w:val="auto"/>
          <w:sz w:val="32"/>
          <w:szCs w:val="32"/>
          <w:highlight w:val="none"/>
          <w:lang w:eastAsia="zh-CN"/>
        </w:rPr>
        <w:t>工程</w:t>
      </w:r>
      <w:r>
        <w:rPr>
          <w:rFonts w:hint="eastAsia" w:ascii="仿宋" w:hAnsi="仿宋" w:eastAsia="仿宋"/>
          <w:b w:val="0"/>
          <w:bCs w:val="0"/>
          <w:color w:val="auto"/>
          <w:sz w:val="32"/>
          <w:szCs w:val="32"/>
          <w:highlight w:val="none"/>
        </w:rPr>
        <w:t>变更管理参照执行。</w:t>
      </w:r>
    </w:p>
    <w:p w14:paraId="704AD608">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第二十</w:t>
      </w:r>
      <w:r>
        <w:rPr>
          <w:rFonts w:hint="eastAsia" w:ascii="仿宋" w:hAnsi="仿宋" w:eastAsia="仿宋"/>
          <w:b w:val="0"/>
          <w:bCs w:val="0"/>
          <w:color w:val="auto"/>
          <w:sz w:val="32"/>
          <w:szCs w:val="32"/>
          <w:highlight w:val="none"/>
          <w:lang w:eastAsia="zh-CN"/>
        </w:rPr>
        <w:t>二</w:t>
      </w:r>
      <w:r>
        <w:rPr>
          <w:rFonts w:hint="eastAsia" w:ascii="仿宋" w:hAnsi="仿宋" w:eastAsia="仿宋"/>
          <w:b w:val="0"/>
          <w:bCs w:val="0"/>
          <w:color w:val="auto"/>
          <w:sz w:val="32"/>
          <w:szCs w:val="32"/>
          <w:highlight w:val="none"/>
        </w:rPr>
        <w:t>条  本规定自公布之日起施行。</w:t>
      </w:r>
    </w:p>
    <w:p w14:paraId="625DED05">
      <w:pPr>
        <w:pStyle w:val="44"/>
        <w:ind w:left="31680" w:firstLine="31680"/>
        <w:rPr>
          <w:color w:val="auto"/>
          <w:highlight w:val="none"/>
        </w:rPr>
      </w:pPr>
      <w:r>
        <w:rPr>
          <w:color w:val="auto"/>
          <w:highlight w:val="none"/>
        </w:rPr>
        <w:br w:type="page"/>
      </w:r>
    </w:p>
    <w:p w14:paraId="06FF5369">
      <w:pPr>
        <w:pStyle w:val="42"/>
        <w:spacing w:beforeLines="50" w:afterLines="50" w:line="440" w:lineRule="exact"/>
        <w:rPr>
          <w:bCs/>
          <w:color w:val="auto"/>
          <w:szCs w:val="32"/>
          <w:highlight w:val="none"/>
        </w:rPr>
      </w:pPr>
      <w:bookmarkStart w:id="829" w:name="_Toc152045786"/>
      <w:bookmarkStart w:id="830" w:name="_Toc152042575"/>
      <w:bookmarkStart w:id="831" w:name="_Toc144974855"/>
      <w:bookmarkStart w:id="832" w:name="_Toc246997097"/>
      <w:bookmarkStart w:id="833" w:name="_Toc506107340"/>
      <w:bookmarkStart w:id="834" w:name="_Toc246996354"/>
      <w:bookmarkStart w:id="835" w:name="_Toc179632806"/>
      <w:bookmarkStart w:id="836" w:name="_Toc15058934"/>
      <w:bookmarkStart w:id="837" w:name="_Toc35425136"/>
      <w:bookmarkStart w:id="838" w:name="_Toc16786"/>
      <w:bookmarkStart w:id="839" w:name="_Toc247085872"/>
      <w:bookmarkStart w:id="840" w:name="_Toc324404888"/>
      <w:bookmarkStart w:id="841" w:name="_Toc35424970"/>
      <w:r>
        <w:rPr>
          <w:rFonts w:hint="eastAsia"/>
          <w:bCs/>
          <w:color w:val="auto"/>
          <w:szCs w:val="32"/>
          <w:highlight w:val="none"/>
        </w:rPr>
        <w:t>第五章</w:t>
      </w:r>
      <w:r>
        <w:rPr>
          <w:bCs/>
          <w:color w:val="auto"/>
          <w:szCs w:val="32"/>
          <w:highlight w:val="none"/>
        </w:rPr>
        <w:t xml:space="preserve">   </w:t>
      </w:r>
      <w:r>
        <w:rPr>
          <w:rFonts w:hint="eastAsia"/>
          <w:bCs/>
          <w:color w:val="auto"/>
          <w:szCs w:val="32"/>
          <w:highlight w:val="none"/>
        </w:rPr>
        <w:t>投标文件格式</w:t>
      </w:r>
      <w:bookmarkEnd w:id="829"/>
      <w:bookmarkEnd w:id="830"/>
      <w:bookmarkEnd w:id="831"/>
      <w:bookmarkEnd w:id="832"/>
      <w:bookmarkEnd w:id="833"/>
      <w:bookmarkEnd w:id="834"/>
      <w:bookmarkEnd w:id="835"/>
      <w:bookmarkEnd w:id="836"/>
      <w:bookmarkEnd w:id="837"/>
      <w:bookmarkEnd w:id="838"/>
      <w:bookmarkEnd w:id="839"/>
      <w:bookmarkEnd w:id="840"/>
      <w:bookmarkEnd w:id="841"/>
    </w:p>
    <w:p w14:paraId="3759BB93">
      <w:pPr>
        <w:rPr>
          <w:color w:val="auto"/>
          <w:highlight w:val="none"/>
        </w:rPr>
      </w:pPr>
    </w:p>
    <w:p w14:paraId="4C84C1EA">
      <w:pPr>
        <w:rPr>
          <w:color w:val="auto"/>
          <w:highlight w:val="none"/>
        </w:rPr>
      </w:pPr>
    </w:p>
    <w:p w14:paraId="08C050F7">
      <w:pPr>
        <w:rPr>
          <w:color w:val="auto"/>
          <w:highlight w:val="none"/>
        </w:rPr>
      </w:pPr>
    </w:p>
    <w:p w14:paraId="75377EB2">
      <w:pPr>
        <w:jc w:val="center"/>
        <w:rPr>
          <w:rFonts w:eastAsia="黑体"/>
          <w:color w:val="auto"/>
          <w:sz w:val="20"/>
          <w:szCs w:val="20"/>
          <w:highlight w:val="none"/>
        </w:rPr>
      </w:pPr>
      <w:r>
        <w:rPr>
          <w:rFonts w:eastAsia="黑体"/>
          <w:color w:val="auto"/>
          <w:sz w:val="28"/>
          <w:szCs w:val="28"/>
          <w:highlight w:val="none"/>
          <w:u w:val="single"/>
        </w:rPr>
        <w:t xml:space="preserve">                </w:t>
      </w:r>
      <w:r>
        <w:rPr>
          <w:rFonts w:hint="eastAsia" w:eastAsia="黑体"/>
          <w:color w:val="auto"/>
          <w:sz w:val="28"/>
          <w:szCs w:val="28"/>
          <w:highlight w:val="none"/>
        </w:rPr>
        <w:t>（项目名称）</w:t>
      </w:r>
    </w:p>
    <w:p w14:paraId="2CA94180">
      <w:pPr>
        <w:jc w:val="center"/>
        <w:rPr>
          <w:rFonts w:eastAsia="黑体"/>
          <w:color w:val="auto"/>
          <w:sz w:val="20"/>
          <w:szCs w:val="20"/>
          <w:highlight w:val="none"/>
        </w:rPr>
      </w:pPr>
    </w:p>
    <w:p w14:paraId="11249331">
      <w:pPr>
        <w:jc w:val="center"/>
        <w:rPr>
          <w:rFonts w:eastAsia="黑体"/>
          <w:color w:val="auto"/>
          <w:sz w:val="20"/>
          <w:szCs w:val="20"/>
          <w:highlight w:val="none"/>
        </w:rPr>
      </w:pPr>
    </w:p>
    <w:p w14:paraId="5EA8776B">
      <w:pPr>
        <w:jc w:val="center"/>
        <w:rPr>
          <w:rFonts w:eastAsia="黑体"/>
          <w:color w:val="auto"/>
          <w:sz w:val="20"/>
          <w:szCs w:val="20"/>
          <w:highlight w:val="none"/>
        </w:rPr>
      </w:pPr>
    </w:p>
    <w:p w14:paraId="53E7D2E9">
      <w:pPr>
        <w:rPr>
          <w:rFonts w:eastAsia="黑体"/>
          <w:color w:val="auto"/>
          <w:sz w:val="20"/>
          <w:szCs w:val="20"/>
          <w:highlight w:val="none"/>
        </w:rPr>
      </w:pPr>
    </w:p>
    <w:p w14:paraId="520A88B3">
      <w:pPr>
        <w:jc w:val="center"/>
        <w:rPr>
          <w:rFonts w:eastAsia="黑体"/>
          <w:color w:val="auto"/>
          <w:sz w:val="44"/>
          <w:szCs w:val="44"/>
          <w:highlight w:val="none"/>
        </w:rPr>
      </w:pPr>
      <w:r>
        <w:rPr>
          <w:rFonts w:hint="eastAsia" w:eastAsia="黑体"/>
          <w:color w:val="auto"/>
          <w:sz w:val="44"/>
          <w:szCs w:val="44"/>
          <w:highlight w:val="none"/>
        </w:rPr>
        <w:t>投</w:t>
      </w:r>
      <w:r>
        <w:rPr>
          <w:rFonts w:eastAsia="黑体"/>
          <w:color w:val="auto"/>
          <w:sz w:val="44"/>
          <w:szCs w:val="44"/>
          <w:highlight w:val="none"/>
        </w:rPr>
        <w:t xml:space="preserve">  </w:t>
      </w:r>
      <w:r>
        <w:rPr>
          <w:rFonts w:hint="eastAsia" w:eastAsia="黑体"/>
          <w:color w:val="auto"/>
          <w:sz w:val="44"/>
          <w:szCs w:val="44"/>
          <w:highlight w:val="none"/>
        </w:rPr>
        <w:t>标</w:t>
      </w:r>
      <w:r>
        <w:rPr>
          <w:rFonts w:eastAsia="黑体"/>
          <w:color w:val="auto"/>
          <w:sz w:val="44"/>
          <w:szCs w:val="44"/>
          <w:highlight w:val="none"/>
        </w:rPr>
        <w:t xml:space="preserve">  </w:t>
      </w:r>
      <w:r>
        <w:rPr>
          <w:rFonts w:hint="eastAsia" w:eastAsia="黑体"/>
          <w:color w:val="auto"/>
          <w:sz w:val="44"/>
          <w:szCs w:val="44"/>
          <w:highlight w:val="none"/>
        </w:rPr>
        <w:t>文</w:t>
      </w:r>
      <w:r>
        <w:rPr>
          <w:rFonts w:eastAsia="黑体"/>
          <w:color w:val="auto"/>
          <w:sz w:val="44"/>
          <w:szCs w:val="44"/>
          <w:highlight w:val="none"/>
        </w:rPr>
        <w:t xml:space="preserve">  </w:t>
      </w:r>
      <w:r>
        <w:rPr>
          <w:rFonts w:hint="eastAsia" w:eastAsia="黑体"/>
          <w:color w:val="auto"/>
          <w:sz w:val="44"/>
          <w:szCs w:val="44"/>
          <w:highlight w:val="none"/>
        </w:rPr>
        <w:t>件</w:t>
      </w:r>
      <w:r>
        <w:rPr>
          <w:rFonts w:eastAsia="黑体"/>
          <w:color w:val="auto"/>
          <w:sz w:val="44"/>
          <w:szCs w:val="44"/>
          <w:highlight w:val="none"/>
        </w:rPr>
        <w:t xml:space="preserve"> </w:t>
      </w:r>
      <w:r>
        <w:rPr>
          <w:rFonts w:hint="eastAsia" w:eastAsia="黑体"/>
          <w:color w:val="auto"/>
          <w:sz w:val="44"/>
          <w:szCs w:val="44"/>
          <w:highlight w:val="none"/>
        </w:rPr>
        <w:t>一</w:t>
      </w:r>
    </w:p>
    <w:p w14:paraId="5D90BA2B">
      <w:pPr>
        <w:jc w:val="center"/>
        <w:rPr>
          <w:rFonts w:eastAsia="黑体"/>
          <w:color w:val="auto"/>
          <w:sz w:val="44"/>
          <w:szCs w:val="44"/>
          <w:highlight w:val="none"/>
        </w:rPr>
      </w:pPr>
      <w:r>
        <w:rPr>
          <w:rFonts w:hint="eastAsia" w:eastAsia="黑体"/>
          <w:color w:val="auto"/>
          <w:sz w:val="44"/>
          <w:szCs w:val="44"/>
          <w:highlight w:val="none"/>
        </w:rPr>
        <w:t>（资信证明文件）</w:t>
      </w:r>
    </w:p>
    <w:p w14:paraId="7E40261D">
      <w:pPr>
        <w:rPr>
          <w:rFonts w:eastAsia="黑体"/>
          <w:color w:val="auto"/>
          <w:sz w:val="28"/>
          <w:szCs w:val="28"/>
          <w:highlight w:val="none"/>
        </w:rPr>
      </w:pPr>
    </w:p>
    <w:p w14:paraId="428275C3">
      <w:pPr>
        <w:rPr>
          <w:rFonts w:eastAsia="黑体"/>
          <w:color w:val="auto"/>
          <w:sz w:val="28"/>
          <w:szCs w:val="28"/>
          <w:highlight w:val="none"/>
        </w:rPr>
      </w:pPr>
    </w:p>
    <w:p w14:paraId="242CFAE5">
      <w:pPr>
        <w:rPr>
          <w:rFonts w:eastAsia="黑体"/>
          <w:color w:val="auto"/>
          <w:sz w:val="28"/>
          <w:szCs w:val="28"/>
          <w:highlight w:val="none"/>
        </w:rPr>
      </w:pPr>
    </w:p>
    <w:p w14:paraId="7E5D488F">
      <w:pPr>
        <w:rPr>
          <w:rFonts w:eastAsia="黑体"/>
          <w:color w:val="auto"/>
          <w:sz w:val="28"/>
          <w:szCs w:val="28"/>
          <w:highlight w:val="none"/>
        </w:rPr>
      </w:pPr>
    </w:p>
    <w:p w14:paraId="0B22780C">
      <w:pPr>
        <w:pStyle w:val="44"/>
        <w:ind w:left="31680" w:firstLine="31680"/>
        <w:rPr>
          <w:rFonts w:ascii="Times New Roman"/>
          <w:color w:val="auto"/>
          <w:szCs w:val="24"/>
          <w:highlight w:val="none"/>
        </w:rPr>
      </w:pPr>
    </w:p>
    <w:p w14:paraId="1141C3FB">
      <w:pPr>
        <w:rPr>
          <w:color w:val="auto"/>
          <w:highlight w:val="none"/>
        </w:rPr>
      </w:pPr>
    </w:p>
    <w:p w14:paraId="00CFD0B2">
      <w:pPr>
        <w:pStyle w:val="44"/>
        <w:ind w:left="31680" w:firstLine="31680"/>
        <w:rPr>
          <w:color w:val="auto"/>
          <w:highlight w:val="none"/>
        </w:rPr>
      </w:pPr>
    </w:p>
    <w:p w14:paraId="417A8342">
      <w:pPr>
        <w:rPr>
          <w:color w:val="auto"/>
          <w:highlight w:val="none"/>
        </w:rPr>
      </w:pPr>
    </w:p>
    <w:p w14:paraId="216C3851">
      <w:pPr>
        <w:pStyle w:val="44"/>
        <w:rPr>
          <w:color w:val="auto"/>
          <w:highlight w:val="none"/>
        </w:rPr>
      </w:pPr>
    </w:p>
    <w:p w14:paraId="4E7E3066">
      <w:pPr>
        <w:rPr>
          <w:rFonts w:eastAsia="黑体"/>
          <w:color w:val="auto"/>
          <w:sz w:val="28"/>
          <w:szCs w:val="28"/>
          <w:highlight w:val="none"/>
        </w:rPr>
      </w:pPr>
    </w:p>
    <w:p w14:paraId="5CC74CE2">
      <w:pPr>
        <w:pStyle w:val="44"/>
        <w:ind w:left="31680" w:firstLine="31680"/>
        <w:rPr>
          <w:color w:val="auto"/>
          <w:highlight w:val="none"/>
        </w:rPr>
      </w:pPr>
    </w:p>
    <w:p w14:paraId="0D9948C5">
      <w:pPr>
        <w:rPr>
          <w:rFonts w:eastAsia="黑体"/>
          <w:color w:val="auto"/>
          <w:sz w:val="28"/>
          <w:szCs w:val="28"/>
          <w:highlight w:val="none"/>
        </w:rPr>
      </w:pPr>
    </w:p>
    <w:p w14:paraId="029ED0FB">
      <w:pPr>
        <w:rPr>
          <w:rFonts w:eastAsia="黑体"/>
          <w:color w:val="auto"/>
          <w:sz w:val="28"/>
          <w:szCs w:val="28"/>
          <w:highlight w:val="none"/>
        </w:rPr>
      </w:pPr>
    </w:p>
    <w:p w14:paraId="15600C8C">
      <w:pPr>
        <w:jc w:val="center"/>
        <w:rPr>
          <w:rFonts w:eastAsia="黑体"/>
          <w:color w:val="auto"/>
          <w:sz w:val="28"/>
          <w:szCs w:val="28"/>
          <w:highlight w:val="none"/>
          <w:u w:val="single"/>
        </w:rPr>
      </w:pPr>
      <w:r>
        <w:rPr>
          <w:rFonts w:hint="eastAsia"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rPr>
        <w:t>（签章）</w:t>
      </w:r>
    </w:p>
    <w:p w14:paraId="2A75888E">
      <w:pPr>
        <w:jc w:val="center"/>
        <w:rPr>
          <w:rFonts w:eastAsia="黑体"/>
          <w:color w:val="auto"/>
          <w:sz w:val="28"/>
          <w:szCs w:val="28"/>
          <w:highlight w:val="none"/>
        </w:rPr>
      </w:pPr>
      <w:r>
        <w:rPr>
          <w:rFonts w:hint="eastAsia" w:eastAsia="黑体"/>
          <w:color w:val="auto"/>
          <w:sz w:val="28"/>
          <w:szCs w:val="28"/>
          <w:highlight w:val="none"/>
        </w:rPr>
        <w:t>法定代表人：</w:t>
      </w:r>
      <w:r>
        <w:rPr>
          <w:rFonts w:eastAsia="黑体"/>
          <w:color w:val="auto"/>
          <w:sz w:val="28"/>
          <w:szCs w:val="28"/>
          <w:highlight w:val="none"/>
          <w:u w:val="single"/>
        </w:rPr>
        <w:t xml:space="preserve">                          </w:t>
      </w:r>
      <w:r>
        <w:rPr>
          <w:rFonts w:hint="eastAsia" w:eastAsia="黑体"/>
          <w:color w:val="auto"/>
          <w:sz w:val="28"/>
          <w:szCs w:val="28"/>
          <w:highlight w:val="none"/>
        </w:rPr>
        <w:t>（签章）</w:t>
      </w:r>
    </w:p>
    <w:p w14:paraId="482632A1">
      <w:pPr>
        <w:jc w:val="center"/>
        <w:rPr>
          <w:rFonts w:eastAsia="黑体"/>
          <w:color w:val="auto"/>
          <w:sz w:val="28"/>
          <w:szCs w:val="28"/>
          <w:highlight w:val="none"/>
        </w:rPr>
      </w:pPr>
      <w:r>
        <w:rPr>
          <w:rFonts w:eastAsia="黑体"/>
          <w:color w:val="auto"/>
          <w:sz w:val="28"/>
          <w:szCs w:val="28"/>
          <w:highlight w:val="none"/>
          <w:u w:val="single"/>
        </w:rPr>
        <w:t xml:space="preserve">        </w:t>
      </w:r>
      <w:r>
        <w:rPr>
          <w:rFonts w:hint="eastAsia" w:eastAsia="黑体"/>
          <w:color w:val="auto"/>
          <w:sz w:val="28"/>
          <w:szCs w:val="28"/>
          <w:highlight w:val="none"/>
        </w:rPr>
        <w:t>年</w:t>
      </w:r>
      <w:r>
        <w:rPr>
          <w:rFonts w:eastAsia="黑体"/>
          <w:color w:val="auto"/>
          <w:sz w:val="28"/>
          <w:szCs w:val="28"/>
          <w:highlight w:val="none"/>
          <w:u w:val="single"/>
        </w:rPr>
        <w:t xml:space="preserve">        </w:t>
      </w:r>
      <w:r>
        <w:rPr>
          <w:rFonts w:hint="eastAsia" w:eastAsia="黑体"/>
          <w:color w:val="auto"/>
          <w:sz w:val="28"/>
          <w:szCs w:val="28"/>
          <w:highlight w:val="none"/>
        </w:rPr>
        <w:t>月</w:t>
      </w:r>
      <w:r>
        <w:rPr>
          <w:rFonts w:eastAsia="黑体"/>
          <w:color w:val="auto"/>
          <w:sz w:val="28"/>
          <w:szCs w:val="28"/>
          <w:highlight w:val="none"/>
          <w:u w:val="single"/>
        </w:rPr>
        <w:t xml:space="preserve">        </w:t>
      </w:r>
      <w:r>
        <w:rPr>
          <w:rFonts w:hint="eastAsia" w:eastAsia="黑体"/>
          <w:color w:val="auto"/>
          <w:sz w:val="28"/>
          <w:szCs w:val="28"/>
          <w:highlight w:val="none"/>
        </w:rPr>
        <w:t>日</w:t>
      </w:r>
    </w:p>
    <w:p w14:paraId="2BEF6BF4">
      <w:pPr>
        <w:rPr>
          <w:color w:val="auto"/>
          <w:highlight w:val="none"/>
        </w:rPr>
      </w:pPr>
      <w:bookmarkStart w:id="842" w:name="_Toc35424971"/>
      <w:bookmarkStart w:id="843" w:name="_Toc35425137"/>
      <w:bookmarkStart w:id="844" w:name="_Toc12683"/>
    </w:p>
    <w:p w14:paraId="196294B2">
      <w:pPr>
        <w:spacing w:beforeLines="50" w:afterLines="50" w:line="440" w:lineRule="exact"/>
        <w:ind w:firstLine="643" w:firstLineChars="200"/>
        <w:jc w:val="left"/>
        <w:rPr>
          <w:rStyle w:val="65"/>
          <w:rFonts w:ascii="宋体" w:cs="宋体"/>
          <w:bCs/>
          <w:color w:val="auto"/>
          <w:sz w:val="32"/>
          <w:szCs w:val="44"/>
          <w:highlight w:val="none"/>
        </w:rPr>
      </w:pPr>
    </w:p>
    <w:p w14:paraId="07A6C233">
      <w:pPr>
        <w:pStyle w:val="44"/>
        <w:ind w:left="0" w:leftChars="0" w:firstLine="0" w:firstLineChars="0"/>
        <w:rPr>
          <w:color w:val="auto"/>
          <w:highlight w:val="none"/>
        </w:rPr>
      </w:pPr>
    </w:p>
    <w:p w14:paraId="443F3EE7">
      <w:pPr>
        <w:spacing w:beforeLines="50" w:afterLines="50" w:line="440" w:lineRule="exact"/>
        <w:ind w:firstLine="643" w:firstLineChars="200"/>
        <w:jc w:val="left"/>
        <w:rPr>
          <w:rFonts w:ascii="宋体" w:cs="宋体"/>
          <w:b/>
          <w:color w:val="auto"/>
          <w:sz w:val="28"/>
          <w:szCs w:val="28"/>
          <w:highlight w:val="none"/>
        </w:rPr>
      </w:pPr>
      <w:r>
        <w:rPr>
          <w:rStyle w:val="65"/>
          <w:rFonts w:hint="eastAsia" w:ascii="宋体" w:hAnsi="宋体" w:cs="宋体"/>
          <w:bCs/>
          <w:color w:val="auto"/>
          <w:sz w:val="32"/>
          <w:szCs w:val="44"/>
          <w:highlight w:val="none"/>
        </w:rPr>
        <w:t>投标文件一</w:t>
      </w:r>
      <w:bookmarkEnd w:id="842"/>
      <w:bookmarkEnd w:id="843"/>
      <w:bookmarkEnd w:id="844"/>
      <w:r>
        <w:rPr>
          <w:rFonts w:hint="eastAsia" w:ascii="宋体" w:hAnsi="宋体" w:cs="宋体"/>
          <w:b/>
          <w:color w:val="auto"/>
          <w:sz w:val="28"/>
          <w:szCs w:val="28"/>
          <w:highlight w:val="none"/>
        </w:rPr>
        <w:t>：资信证明文件目录</w:t>
      </w:r>
    </w:p>
    <w:p w14:paraId="1F1619EC">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）法定代表人身份证明和本人有效身份证</w:t>
      </w:r>
      <w:r>
        <w:rPr>
          <w:rFonts w:ascii="宋体" w:hAnsi="宋体" w:cs="宋体"/>
          <w:color w:val="auto"/>
          <w:szCs w:val="21"/>
          <w:highlight w:val="none"/>
        </w:rPr>
        <w:t>(</w:t>
      </w:r>
      <w:r>
        <w:rPr>
          <w:rFonts w:hint="eastAsia" w:ascii="宋体" w:hAnsi="宋体" w:cs="宋体"/>
          <w:color w:val="auto"/>
          <w:szCs w:val="21"/>
          <w:highlight w:val="none"/>
        </w:rPr>
        <w:t>或法定代表人授权委托书和委托代理人有效身份证</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格式见附件）</w:t>
      </w:r>
      <w:r>
        <w:rPr>
          <w:rFonts w:hint="eastAsia" w:ascii="宋体" w:hAnsi="宋体" w:cs="宋体"/>
          <w:color w:val="auto"/>
          <w:szCs w:val="21"/>
          <w:highlight w:val="none"/>
        </w:rPr>
        <w:t>；</w:t>
      </w:r>
    </w:p>
    <w:p w14:paraId="6B158B26">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w:t>
      </w:r>
      <w:r>
        <w:rPr>
          <w:rFonts w:hint="eastAsia" w:ascii="宋体" w:hAnsi="宋体" w:cs="宋体"/>
          <w:color w:val="auto"/>
          <w:szCs w:val="21"/>
          <w:highlight w:val="none"/>
        </w:rPr>
        <w:t>诚信投标承诺书（或《公共信用信息报告（无违法违规证明版或核查版）》）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格式见附件）</w:t>
      </w:r>
      <w:r>
        <w:rPr>
          <w:rFonts w:hint="eastAsia" w:ascii="宋体" w:hAnsi="宋体" w:cs="宋体"/>
          <w:color w:val="auto"/>
          <w:szCs w:val="21"/>
          <w:highlight w:val="none"/>
        </w:rPr>
        <w:t>；</w:t>
      </w:r>
    </w:p>
    <w:p w14:paraId="5CB5D2D7">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）企业营业执照；</w:t>
      </w:r>
    </w:p>
    <w:p w14:paraId="6E891223">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）拟派</w:t>
      </w:r>
      <w:r>
        <w:rPr>
          <w:rFonts w:hint="eastAsia" w:ascii="宋体" w:hAnsi="宋体" w:cs="宋体"/>
          <w:color w:val="auto"/>
          <w:szCs w:val="21"/>
          <w:highlight w:val="none"/>
        </w:rPr>
        <w:t>项目负责人有效</w:t>
      </w:r>
      <w:r>
        <w:rPr>
          <w:rFonts w:hint="eastAsia" w:ascii="宋体" w:hAnsi="宋体" w:cs="宋体"/>
          <w:color w:val="auto"/>
          <w:highlight w:val="none"/>
        </w:rPr>
        <w:t>身份证</w:t>
      </w:r>
      <w:r>
        <w:rPr>
          <w:rFonts w:hint="eastAsia" w:ascii="宋体" w:hAnsi="宋体" w:cs="宋体"/>
          <w:color w:val="auto"/>
          <w:highlight w:val="none"/>
          <w:lang w:eastAsia="zh-CN"/>
        </w:rPr>
        <w:t>、</w:t>
      </w:r>
      <w:r>
        <w:rPr>
          <w:rFonts w:hint="eastAsia" w:hAnsi="宋体" w:cs="宋体"/>
          <w:color w:val="auto"/>
          <w:szCs w:val="21"/>
          <w:highlight w:val="none"/>
          <w:lang w:val="en-US" w:eastAsia="zh-CN"/>
        </w:rPr>
        <w:t>高级工程师及以上职称证书</w:t>
      </w:r>
      <w:r>
        <w:rPr>
          <w:rFonts w:hint="eastAsia" w:hAnsi="宋体" w:cs="宋体"/>
          <w:color w:val="auto"/>
          <w:szCs w:val="21"/>
          <w:highlight w:val="none"/>
        </w:rPr>
        <w:t>和</w:t>
      </w:r>
      <w:r>
        <w:rPr>
          <w:rFonts w:hint="eastAsia" w:ascii="宋体" w:hAnsi="宋体" w:cs="宋体"/>
          <w:color w:val="auto"/>
          <w:highlight w:val="none"/>
        </w:rPr>
        <w:t>注册证书；</w:t>
      </w:r>
    </w:p>
    <w:p w14:paraId="0BF2A770">
      <w:pPr>
        <w:spacing w:line="440" w:lineRule="exact"/>
        <w:ind w:firstLine="420" w:firstLineChars="200"/>
        <w:jc w:val="left"/>
        <w:rPr>
          <w:rFonts w:hint="eastAsia" w:asci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cs="宋体"/>
          <w:color w:val="auto"/>
          <w:highlight w:val="none"/>
          <w:lang w:val="en-US" w:eastAsia="zh-CN"/>
        </w:rPr>
        <w:t>项目组成员名单（格式自拟）、人员有效身份证及证书</w:t>
      </w:r>
      <w:r>
        <w:rPr>
          <w:rFonts w:hint="eastAsia" w:ascii="宋体" w:hAnsi="宋体" w:cs="宋体"/>
          <w:color w:val="auto"/>
          <w:szCs w:val="21"/>
          <w:highlight w:val="none"/>
          <w:lang w:eastAsia="zh-CN"/>
        </w:rPr>
        <w:t>；</w:t>
      </w:r>
    </w:p>
    <w:p w14:paraId="79CA9817">
      <w:pPr>
        <w:spacing w:line="440" w:lineRule="exact"/>
        <w:ind w:firstLine="420" w:firstLineChars="200"/>
        <w:jc w:val="left"/>
        <w:rPr>
          <w:rFonts w:ascii="宋体" w:cs="宋体"/>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）投标人的法定代表人</w:t>
      </w:r>
      <w:r>
        <w:rPr>
          <w:rFonts w:ascii="宋体" w:hAnsi="宋体" w:cs="宋体"/>
          <w:color w:val="auto"/>
          <w:szCs w:val="21"/>
          <w:highlight w:val="none"/>
        </w:rPr>
        <w:t>(</w:t>
      </w:r>
      <w:r>
        <w:rPr>
          <w:rFonts w:hint="eastAsia" w:ascii="宋体" w:hAnsi="宋体" w:cs="宋体"/>
          <w:color w:val="auto"/>
          <w:szCs w:val="21"/>
          <w:highlight w:val="none"/>
        </w:rPr>
        <w:t>或委托代理人</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拟任项目负责人</w:t>
      </w:r>
      <w:r>
        <w:rPr>
          <w:rFonts w:hint="eastAsia" w:ascii="宋体" w:hAnsi="宋体" w:cs="宋体"/>
          <w:color w:val="auto"/>
          <w:szCs w:val="21"/>
          <w:highlight w:val="none"/>
          <w:lang w:val="en-US" w:eastAsia="zh-CN"/>
        </w:rPr>
        <w:t>及项目组成员</w:t>
      </w:r>
      <w:r>
        <w:rPr>
          <w:rFonts w:hint="eastAsia" w:ascii="宋体" w:hAnsi="宋体" w:cs="宋体"/>
          <w:color w:val="auto"/>
          <w:szCs w:val="21"/>
          <w:highlight w:val="none"/>
        </w:rPr>
        <w:t>须持有社保部门出具的本单位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或其不具备独立法人资格的分支机构）</w:t>
      </w:r>
      <w:r>
        <w:rPr>
          <w:rFonts w:hint="eastAsia" w:ascii="宋体" w:hAnsi="宋体" w:cs="宋体"/>
          <w:color w:val="auto"/>
          <w:szCs w:val="21"/>
          <w:highlight w:val="none"/>
        </w:rPr>
        <w:t>为其缴纳的投标前近</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p w14:paraId="44B3843D">
      <w:pPr>
        <w:shd w:val="clea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服务承诺书（格式见附件）</w:t>
      </w:r>
      <w:r>
        <w:rPr>
          <w:rFonts w:hint="eastAsia" w:ascii="宋体" w:hAnsi="宋体" w:cs="宋体"/>
          <w:color w:val="auto"/>
          <w:szCs w:val="21"/>
          <w:highlight w:val="none"/>
        </w:rPr>
        <w:t>；</w:t>
      </w:r>
    </w:p>
    <w:p w14:paraId="1988F3CB">
      <w:pPr>
        <w:shd w:val="clea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）评分细则中需要提供的所有证明材料；</w:t>
      </w:r>
    </w:p>
    <w:p w14:paraId="3AF84DE6">
      <w:pPr>
        <w:spacing w:line="440" w:lineRule="exact"/>
        <w:ind w:firstLine="420" w:firstLineChars="200"/>
        <w:jc w:val="left"/>
        <w:rPr>
          <w:rFonts w:ascii="宋体" w:cs="宋体"/>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p>
    <w:p w14:paraId="2A60AF88">
      <w:pPr>
        <w:spacing w:line="440" w:lineRule="exact"/>
        <w:ind w:firstLine="420" w:firstLineChars="200"/>
        <w:jc w:val="left"/>
        <w:rPr>
          <w:rFonts w:ascii="宋体" w:cs="宋体"/>
          <w:color w:val="auto"/>
          <w:highlight w:val="none"/>
        </w:rPr>
      </w:pPr>
    </w:p>
    <w:p w14:paraId="14BE0B1A">
      <w:pPr>
        <w:spacing w:line="440" w:lineRule="exact"/>
        <w:ind w:left="420" w:leftChars="200" w:firstLine="0" w:firstLineChars="0"/>
        <w:jc w:val="left"/>
        <w:rPr>
          <w:rFonts w:hint="default" w:ascii="宋体" w:eastAsia="宋体" w:cs="宋体"/>
          <w:color w:val="auto"/>
          <w:highlight w:val="none"/>
          <w:lang w:val="en-US" w:eastAsia="zh-CN"/>
        </w:rPr>
      </w:pPr>
      <w:r>
        <w:rPr>
          <w:rFonts w:hint="eastAsia" w:ascii="宋体" w:hAnsi="宋体" w:cs="宋体"/>
          <w:color w:val="auto"/>
          <w:highlight w:val="none"/>
        </w:rPr>
        <w:br w:type="textWrapping"/>
      </w:r>
    </w:p>
    <w:p w14:paraId="647F615A">
      <w:pPr>
        <w:rPr>
          <w:b/>
          <w:color w:val="auto"/>
          <w:sz w:val="28"/>
          <w:szCs w:val="28"/>
          <w:highlight w:val="none"/>
        </w:rPr>
      </w:pPr>
    </w:p>
    <w:p w14:paraId="70DC0656">
      <w:pPr>
        <w:pStyle w:val="44"/>
        <w:ind w:left="31680" w:firstLine="31680"/>
        <w:rPr>
          <w:b/>
          <w:color w:val="auto"/>
          <w:sz w:val="28"/>
          <w:szCs w:val="28"/>
          <w:highlight w:val="none"/>
        </w:rPr>
      </w:pPr>
    </w:p>
    <w:p w14:paraId="30F4D4DB">
      <w:pPr>
        <w:pStyle w:val="31"/>
        <w:rPr>
          <w:b/>
          <w:color w:val="auto"/>
          <w:sz w:val="28"/>
          <w:szCs w:val="28"/>
          <w:highlight w:val="none"/>
        </w:rPr>
      </w:pPr>
    </w:p>
    <w:p w14:paraId="15608BD6">
      <w:pPr>
        <w:pStyle w:val="31"/>
        <w:rPr>
          <w:b/>
          <w:color w:val="auto"/>
          <w:sz w:val="28"/>
          <w:szCs w:val="28"/>
          <w:highlight w:val="none"/>
        </w:rPr>
      </w:pPr>
    </w:p>
    <w:p w14:paraId="135A3D07">
      <w:pPr>
        <w:pStyle w:val="31"/>
        <w:rPr>
          <w:b/>
          <w:color w:val="auto"/>
          <w:sz w:val="28"/>
          <w:szCs w:val="28"/>
          <w:highlight w:val="none"/>
        </w:rPr>
      </w:pPr>
    </w:p>
    <w:p w14:paraId="4756FB07">
      <w:pPr>
        <w:pStyle w:val="31"/>
        <w:ind w:left="0" w:firstLine="0"/>
        <w:rPr>
          <w:b/>
          <w:color w:val="auto"/>
          <w:sz w:val="28"/>
          <w:szCs w:val="28"/>
          <w:highlight w:val="none"/>
        </w:rPr>
      </w:pPr>
    </w:p>
    <w:p w14:paraId="1824BEB1">
      <w:pPr>
        <w:pStyle w:val="31"/>
        <w:ind w:left="0" w:firstLine="0"/>
        <w:rPr>
          <w:b/>
          <w:color w:val="auto"/>
          <w:sz w:val="28"/>
          <w:szCs w:val="28"/>
          <w:highlight w:val="none"/>
        </w:rPr>
      </w:pPr>
    </w:p>
    <w:p w14:paraId="0A06AC91">
      <w:pPr>
        <w:rPr>
          <w:rFonts w:hint="eastAsia"/>
          <w:b/>
          <w:color w:val="auto"/>
          <w:sz w:val="28"/>
          <w:szCs w:val="28"/>
          <w:highlight w:val="none"/>
        </w:rPr>
      </w:pPr>
      <w:r>
        <w:rPr>
          <w:rFonts w:hint="eastAsia"/>
          <w:b/>
          <w:color w:val="auto"/>
          <w:sz w:val="28"/>
          <w:szCs w:val="28"/>
          <w:highlight w:val="none"/>
        </w:rPr>
        <w:br w:type="page"/>
      </w:r>
    </w:p>
    <w:p w14:paraId="1831BA4F">
      <w:pPr>
        <w:spacing w:line="360" w:lineRule="auto"/>
        <w:jc w:val="center"/>
        <w:rPr>
          <w:rFonts w:ascii="宋体"/>
          <w:b/>
          <w:color w:val="auto"/>
          <w:sz w:val="28"/>
          <w:szCs w:val="28"/>
          <w:highlight w:val="none"/>
        </w:rPr>
      </w:pPr>
      <w:r>
        <w:rPr>
          <w:rFonts w:hint="eastAsia"/>
          <w:b/>
          <w:color w:val="auto"/>
          <w:sz w:val="28"/>
          <w:szCs w:val="28"/>
          <w:highlight w:val="none"/>
        </w:rPr>
        <w:t>（</w:t>
      </w:r>
      <w:r>
        <w:rPr>
          <w:b/>
          <w:color w:val="auto"/>
          <w:sz w:val="28"/>
          <w:szCs w:val="28"/>
          <w:highlight w:val="none"/>
        </w:rPr>
        <w:t>1</w:t>
      </w:r>
      <w:r>
        <w:rPr>
          <w:rFonts w:hint="eastAsia"/>
          <w:b/>
          <w:color w:val="auto"/>
          <w:sz w:val="28"/>
          <w:szCs w:val="28"/>
          <w:highlight w:val="none"/>
        </w:rPr>
        <w:t>）法定代表人身份证明或授权委托书</w:t>
      </w:r>
    </w:p>
    <w:p w14:paraId="2C7D347A">
      <w:pPr>
        <w:pStyle w:val="101"/>
        <w:spacing w:beforeLines="100" w:afterLines="100" w:line="360" w:lineRule="auto"/>
        <w:rPr>
          <w:rFonts w:ascii="宋体"/>
          <w:b/>
          <w:color w:val="auto"/>
          <w:sz w:val="24"/>
          <w:szCs w:val="24"/>
          <w:highlight w:val="none"/>
        </w:rPr>
      </w:pPr>
      <w:bookmarkStart w:id="845" w:name="_Toc506107356"/>
      <w:bookmarkStart w:id="846" w:name="_Toc503196197"/>
      <w:bookmarkStart w:id="847" w:name="_Toc26598"/>
      <w:r>
        <w:rPr>
          <w:rFonts w:ascii="宋体"/>
          <w:color w:val="auto"/>
          <w:sz w:val="24"/>
          <w:szCs w:val="24"/>
          <w:highlight w:val="none"/>
        </w:rPr>
        <w:t>1</w:t>
      </w:r>
      <w:r>
        <w:rPr>
          <w:rFonts w:hint="eastAsia" w:ascii="宋体"/>
          <w:color w:val="auto"/>
          <w:sz w:val="24"/>
          <w:szCs w:val="24"/>
          <w:highlight w:val="none"/>
        </w:rPr>
        <w:t>、法定代表人身份证明</w:t>
      </w:r>
    </w:p>
    <w:p w14:paraId="67BBD3BD">
      <w:pPr>
        <w:spacing w:line="360" w:lineRule="auto"/>
        <w:rPr>
          <w:rFonts w:ascii="宋体"/>
          <w:color w:val="auto"/>
          <w:sz w:val="24"/>
          <w:highlight w:val="none"/>
        </w:rPr>
      </w:pPr>
      <w:r>
        <w:rPr>
          <w:rFonts w:hint="eastAsia" w:ascii="宋体"/>
          <w:color w:val="auto"/>
          <w:sz w:val="24"/>
          <w:highlight w:val="none"/>
        </w:rPr>
        <w:t>投标人名称：</w:t>
      </w:r>
      <w:r>
        <w:rPr>
          <w:rFonts w:ascii="宋体"/>
          <w:color w:val="auto"/>
          <w:sz w:val="24"/>
          <w:highlight w:val="none"/>
          <w:u w:val="single"/>
        </w:rPr>
        <w:t xml:space="preserve">                                </w:t>
      </w:r>
      <w:r>
        <w:rPr>
          <w:rFonts w:ascii="宋体"/>
          <w:color w:val="auto"/>
          <w:sz w:val="24"/>
          <w:highlight w:val="none"/>
        </w:rPr>
        <w:t xml:space="preserve"> </w:t>
      </w:r>
    </w:p>
    <w:p w14:paraId="7E9254C3">
      <w:pPr>
        <w:spacing w:line="360" w:lineRule="auto"/>
        <w:rPr>
          <w:rFonts w:ascii="宋体"/>
          <w:color w:val="auto"/>
          <w:sz w:val="24"/>
          <w:highlight w:val="none"/>
        </w:rPr>
      </w:pPr>
      <w:r>
        <w:rPr>
          <w:rFonts w:hint="eastAsia" w:ascii="宋体"/>
          <w:color w:val="auto"/>
          <w:sz w:val="24"/>
          <w:highlight w:val="none"/>
        </w:rPr>
        <w:t>单位性质：</w:t>
      </w:r>
      <w:r>
        <w:rPr>
          <w:rFonts w:ascii="宋体"/>
          <w:color w:val="auto"/>
          <w:sz w:val="24"/>
          <w:highlight w:val="none"/>
        </w:rPr>
        <w:t xml:space="preserve"> </w:t>
      </w:r>
      <w:r>
        <w:rPr>
          <w:rFonts w:ascii="宋体"/>
          <w:color w:val="auto"/>
          <w:sz w:val="24"/>
          <w:highlight w:val="none"/>
          <w:u w:val="single"/>
        </w:rPr>
        <w:t xml:space="preserve">                                  </w:t>
      </w:r>
      <w:r>
        <w:rPr>
          <w:rFonts w:ascii="宋体"/>
          <w:color w:val="auto"/>
          <w:sz w:val="24"/>
          <w:highlight w:val="none"/>
        </w:rPr>
        <w:t xml:space="preserve"> </w:t>
      </w:r>
    </w:p>
    <w:p w14:paraId="37DEC590">
      <w:pPr>
        <w:spacing w:line="360" w:lineRule="auto"/>
        <w:rPr>
          <w:rFonts w:ascii="宋体"/>
          <w:color w:val="auto"/>
          <w:sz w:val="24"/>
          <w:highlight w:val="none"/>
        </w:rPr>
      </w:pPr>
      <w:r>
        <w:rPr>
          <w:rFonts w:hint="eastAsia" w:ascii="宋体"/>
          <w:color w:val="auto"/>
          <w:sz w:val="24"/>
          <w:highlight w:val="none"/>
        </w:rPr>
        <w:t>地</w:t>
      </w:r>
      <w:r>
        <w:rPr>
          <w:rFonts w:ascii="宋体"/>
          <w:color w:val="auto"/>
          <w:sz w:val="24"/>
          <w:highlight w:val="none"/>
        </w:rPr>
        <w:t xml:space="preserve">    </w:t>
      </w:r>
      <w:r>
        <w:rPr>
          <w:rFonts w:hint="eastAsia" w:ascii="宋体"/>
          <w:color w:val="auto"/>
          <w:sz w:val="24"/>
          <w:highlight w:val="none"/>
        </w:rPr>
        <w:t>址：</w:t>
      </w:r>
      <w:r>
        <w:rPr>
          <w:rFonts w:ascii="宋体"/>
          <w:color w:val="auto"/>
          <w:sz w:val="24"/>
          <w:highlight w:val="none"/>
          <w:u w:val="single"/>
        </w:rPr>
        <w:t xml:space="preserve">                                   </w:t>
      </w:r>
      <w:r>
        <w:rPr>
          <w:rFonts w:ascii="宋体"/>
          <w:color w:val="auto"/>
          <w:sz w:val="24"/>
          <w:highlight w:val="none"/>
        </w:rPr>
        <w:t xml:space="preserve"> </w:t>
      </w:r>
    </w:p>
    <w:p w14:paraId="4A245D5D">
      <w:pPr>
        <w:spacing w:line="360" w:lineRule="auto"/>
        <w:rPr>
          <w:rFonts w:ascii="宋体"/>
          <w:color w:val="auto"/>
          <w:sz w:val="24"/>
          <w:highlight w:val="none"/>
        </w:rPr>
      </w:pPr>
      <w:r>
        <w:rPr>
          <w:rFonts w:hint="eastAsia" w:ascii="宋体"/>
          <w:color w:val="auto"/>
          <w:sz w:val="24"/>
          <w:highlight w:val="none"/>
        </w:rPr>
        <w:t>成立时间：</w:t>
      </w:r>
      <w:r>
        <w:rPr>
          <w:rFonts w:ascii="宋体"/>
          <w:color w:val="auto"/>
          <w:sz w:val="24"/>
          <w:highlight w:val="none"/>
          <w:u w:val="single"/>
        </w:rPr>
        <w:t xml:space="preserve">        </w:t>
      </w:r>
      <w:r>
        <w:rPr>
          <w:rFonts w:hint="eastAsia" w:ascii="宋体"/>
          <w:color w:val="auto"/>
          <w:sz w:val="24"/>
          <w:highlight w:val="none"/>
        </w:rPr>
        <w:t>年</w:t>
      </w:r>
      <w:r>
        <w:rPr>
          <w:rFonts w:ascii="宋体"/>
          <w:color w:val="auto"/>
          <w:sz w:val="24"/>
          <w:highlight w:val="none"/>
          <w:u w:val="single"/>
        </w:rPr>
        <w:t xml:space="preserve">    </w:t>
      </w:r>
      <w:r>
        <w:rPr>
          <w:rFonts w:hint="eastAsia" w:ascii="宋体"/>
          <w:color w:val="auto"/>
          <w:sz w:val="24"/>
          <w:highlight w:val="none"/>
        </w:rPr>
        <w:t>月</w:t>
      </w:r>
      <w:r>
        <w:rPr>
          <w:rFonts w:ascii="宋体"/>
          <w:color w:val="auto"/>
          <w:sz w:val="24"/>
          <w:highlight w:val="none"/>
          <w:u w:val="single"/>
        </w:rPr>
        <w:t xml:space="preserve">  </w:t>
      </w:r>
      <w:r>
        <w:rPr>
          <w:rFonts w:hint="eastAsia" w:ascii="宋体"/>
          <w:color w:val="auto"/>
          <w:sz w:val="24"/>
          <w:highlight w:val="none"/>
        </w:rPr>
        <w:t>＿日</w:t>
      </w:r>
    </w:p>
    <w:p w14:paraId="1A922D14">
      <w:pPr>
        <w:spacing w:line="360" w:lineRule="auto"/>
        <w:rPr>
          <w:rFonts w:ascii="宋体"/>
          <w:color w:val="auto"/>
          <w:sz w:val="24"/>
          <w:highlight w:val="none"/>
        </w:rPr>
      </w:pPr>
      <w:r>
        <w:rPr>
          <w:rFonts w:hint="eastAsia" w:ascii="宋体"/>
          <w:color w:val="auto"/>
          <w:sz w:val="24"/>
          <w:highlight w:val="none"/>
        </w:rPr>
        <w:t>经营期限：</w:t>
      </w:r>
      <w:r>
        <w:rPr>
          <w:rFonts w:ascii="宋体"/>
          <w:color w:val="auto"/>
          <w:sz w:val="24"/>
          <w:highlight w:val="none"/>
          <w:u w:val="single"/>
        </w:rPr>
        <w:t xml:space="preserve">                                </w:t>
      </w:r>
      <w:r>
        <w:rPr>
          <w:rFonts w:ascii="宋体"/>
          <w:color w:val="auto"/>
          <w:sz w:val="24"/>
          <w:highlight w:val="none"/>
        </w:rPr>
        <w:t xml:space="preserve"> </w:t>
      </w:r>
    </w:p>
    <w:p w14:paraId="3B8E8B5D">
      <w:pPr>
        <w:spacing w:line="360" w:lineRule="auto"/>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ascii="宋体"/>
          <w:color w:val="auto"/>
          <w:sz w:val="24"/>
          <w:highlight w:val="none"/>
          <w:u w:val="single"/>
        </w:rPr>
        <w:t xml:space="preserve">           </w:t>
      </w:r>
      <w:r>
        <w:rPr>
          <w:rFonts w:hint="eastAsia" w:ascii="宋体"/>
          <w:color w:val="auto"/>
          <w:sz w:val="24"/>
          <w:highlight w:val="none"/>
        </w:rPr>
        <w:t>身份证号码：</w:t>
      </w:r>
      <w:r>
        <w:rPr>
          <w:rFonts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w:t>
      </w:r>
      <w:r>
        <w:rPr>
          <w:rFonts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w:t>
      </w:r>
      <w:r>
        <w:rPr>
          <w:rFonts w:ascii="宋体"/>
          <w:color w:val="auto"/>
          <w:sz w:val="24"/>
          <w:highlight w:val="none"/>
          <w:u w:val="single"/>
        </w:rPr>
        <w:t xml:space="preserve">  </w:t>
      </w:r>
      <w:r>
        <w:rPr>
          <w:rFonts w:hint="eastAsia" w:ascii="宋体"/>
          <w:color w:val="auto"/>
          <w:sz w:val="24"/>
          <w:highlight w:val="none"/>
        </w:rPr>
        <w:t>职务：</w:t>
      </w:r>
      <w:r>
        <w:rPr>
          <w:rFonts w:ascii="宋体"/>
          <w:color w:val="auto"/>
          <w:sz w:val="24"/>
          <w:highlight w:val="none"/>
          <w:u w:val="single"/>
        </w:rPr>
        <w:t xml:space="preserve">       </w:t>
      </w:r>
      <w:r>
        <w:rPr>
          <w:rFonts w:ascii="宋体"/>
          <w:color w:val="auto"/>
          <w:sz w:val="24"/>
          <w:highlight w:val="none"/>
        </w:rPr>
        <w:t>_</w:t>
      </w:r>
      <w:r>
        <w:rPr>
          <w:rFonts w:hint="eastAsia" w:ascii="宋体"/>
          <w:color w:val="auto"/>
          <w:sz w:val="24"/>
          <w:highlight w:val="none"/>
        </w:rPr>
        <w:t>，系</w:t>
      </w:r>
      <w:r>
        <w:rPr>
          <w:rFonts w:ascii="宋体"/>
          <w:color w:val="auto"/>
          <w:sz w:val="24"/>
          <w:highlight w:val="none"/>
          <w:u w:val="single"/>
        </w:rPr>
        <w:t xml:space="preserve">                                </w:t>
      </w:r>
      <w:r>
        <w:rPr>
          <w:rFonts w:hint="eastAsia" w:ascii="宋体"/>
          <w:color w:val="auto"/>
          <w:sz w:val="24"/>
          <w:highlight w:val="none"/>
        </w:rPr>
        <w:t>（投标人名称）的法定代表人。</w:t>
      </w:r>
    </w:p>
    <w:p w14:paraId="5884F3A4">
      <w:pPr>
        <w:spacing w:line="360" w:lineRule="auto"/>
        <w:rPr>
          <w:color w:val="auto"/>
          <w:highlight w:val="none"/>
        </w:rPr>
      </w:pPr>
      <w:r>
        <w:rPr>
          <w:rFonts w:hint="eastAsia" w:ascii="宋体"/>
          <w:color w:val="auto"/>
          <w:sz w:val="24"/>
          <w:highlight w:val="none"/>
        </w:rPr>
        <w:t>特此证明。</w:t>
      </w:r>
    </w:p>
    <w:p w14:paraId="2F358CFB">
      <w:pPr>
        <w:spacing w:line="360" w:lineRule="auto"/>
        <w:ind w:firstLine="3720" w:firstLineChars="1550"/>
        <w:rPr>
          <w:rFonts w:ascii="宋体"/>
          <w:color w:val="auto"/>
          <w:sz w:val="24"/>
          <w:highlight w:val="none"/>
        </w:rPr>
      </w:pPr>
      <w:r>
        <w:rPr>
          <w:rFonts w:hint="eastAsia" w:ascii="宋体"/>
          <w:color w:val="auto"/>
          <w:sz w:val="24"/>
          <w:highlight w:val="none"/>
        </w:rPr>
        <w:t>投标人：</w:t>
      </w:r>
      <w:r>
        <w:rPr>
          <w:rFonts w:ascii="宋体"/>
          <w:color w:val="auto"/>
          <w:sz w:val="24"/>
          <w:highlight w:val="none"/>
          <w:u w:val="single"/>
        </w:rPr>
        <w:t xml:space="preserve">                 </w:t>
      </w:r>
      <w:r>
        <w:rPr>
          <w:rFonts w:hint="eastAsia" w:ascii="宋体"/>
          <w:color w:val="auto"/>
          <w:sz w:val="24"/>
          <w:highlight w:val="none"/>
        </w:rPr>
        <w:t>（签章）</w:t>
      </w:r>
    </w:p>
    <w:p w14:paraId="4E38DE91">
      <w:pPr>
        <w:spacing w:line="360" w:lineRule="auto"/>
        <w:rPr>
          <w:rFonts w:ascii="宋体"/>
          <w:color w:val="auto"/>
          <w:sz w:val="30"/>
          <w:szCs w:val="30"/>
          <w:highlight w:val="none"/>
        </w:rPr>
      </w:pPr>
      <w:r>
        <w:rPr>
          <w:rFonts w:ascii="宋体"/>
          <w:color w:val="auto"/>
          <w:sz w:val="24"/>
          <w:highlight w:val="none"/>
        </w:rPr>
        <w:t xml:space="preserve">                                        </w:t>
      </w: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p>
    <w:p w14:paraId="56EC7CB1">
      <w:pPr>
        <w:pStyle w:val="101"/>
        <w:spacing w:beforeLines="100" w:afterLines="100" w:line="360" w:lineRule="auto"/>
        <w:rPr>
          <w:rFonts w:ascii="宋体"/>
          <w:color w:val="auto"/>
          <w:sz w:val="24"/>
          <w:szCs w:val="24"/>
          <w:highlight w:val="none"/>
        </w:rPr>
      </w:pPr>
      <w:r>
        <w:rPr>
          <w:rFonts w:hint="eastAsia" w:ascii="宋体"/>
          <w:color w:val="auto"/>
          <w:sz w:val="24"/>
          <w:szCs w:val="24"/>
          <w:highlight w:val="none"/>
        </w:rPr>
        <w:t>或</w:t>
      </w:r>
      <w:r>
        <w:rPr>
          <w:rFonts w:ascii="宋体"/>
          <w:color w:val="auto"/>
          <w:sz w:val="24"/>
          <w:szCs w:val="24"/>
          <w:highlight w:val="none"/>
        </w:rPr>
        <w:t>1</w:t>
      </w:r>
      <w:r>
        <w:rPr>
          <w:rFonts w:hint="eastAsia" w:ascii="宋体"/>
          <w:color w:val="auto"/>
          <w:sz w:val="24"/>
          <w:szCs w:val="24"/>
          <w:highlight w:val="none"/>
        </w:rPr>
        <w:t>、授权委托书</w:t>
      </w:r>
    </w:p>
    <w:p w14:paraId="1D8E065F">
      <w:pPr>
        <w:spacing w:line="500" w:lineRule="exact"/>
        <w:ind w:firstLine="480" w:firstLineChars="200"/>
        <w:jc w:val="left"/>
        <w:rPr>
          <w:rFonts w:ascii="宋体"/>
          <w:color w:val="auto"/>
          <w:sz w:val="24"/>
          <w:highlight w:val="none"/>
        </w:rPr>
      </w:pPr>
      <w:r>
        <w:rPr>
          <w:rFonts w:hint="eastAsia" w:ascii="宋体"/>
          <w:color w:val="auto"/>
          <w:sz w:val="24"/>
          <w:highlight w:val="none"/>
        </w:rPr>
        <w:t>本人</w:t>
      </w:r>
      <w:r>
        <w:rPr>
          <w:rFonts w:ascii="宋体"/>
          <w:color w:val="auto"/>
          <w:sz w:val="24"/>
          <w:highlight w:val="none"/>
        </w:rPr>
        <w:t xml:space="preserve"> </w:t>
      </w:r>
      <w:r>
        <w:rPr>
          <w:rFonts w:ascii="宋体"/>
          <w:color w:val="auto"/>
          <w:sz w:val="24"/>
          <w:highlight w:val="none"/>
          <w:u w:val="single"/>
        </w:rPr>
        <w:t xml:space="preserve">    </w:t>
      </w:r>
      <w:r>
        <w:rPr>
          <w:rFonts w:hint="eastAsia" w:ascii="宋体"/>
          <w:color w:val="auto"/>
          <w:sz w:val="24"/>
          <w:highlight w:val="none"/>
        </w:rPr>
        <w:t>（姓名）系</w:t>
      </w:r>
      <w:r>
        <w:rPr>
          <w:rFonts w:ascii="宋体"/>
          <w:color w:val="auto"/>
          <w:sz w:val="24"/>
          <w:highlight w:val="none"/>
          <w:u w:val="single"/>
        </w:rPr>
        <w:t xml:space="preserve">       </w:t>
      </w:r>
      <w:r>
        <w:rPr>
          <w:rFonts w:hint="eastAsia" w:ascii="宋体"/>
          <w:color w:val="auto"/>
          <w:sz w:val="24"/>
          <w:highlight w:val="none"/>
        </w:rPr>
        <w:t>（投标人）的法定代表人，现委托</w:t>
      </w:r>
      <w:r>
        <w:rPr>
          <w:rFonts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w:t>
      </w:r>
      <w:r>
        <w:rPr>
          <w:rFonts w:ascii="宋体"/>
          <w:color w:val="auto"/>
          <w:sz w:val="24"/>
          <w:highlight w:val="none"/>
        </w:rPr>
        <w:t xml:space="preserve"> </w:t>
      </w:r>
      <w:r>
        <w:rPr>
          <w:rFonts w:hint="eastAsia" w:ascii="宋体"/>
          <w:color w:val="auto"/>
          <w:sz w:val="24"/>
          <w:highlight w:val="none"/>
        </w:rPr>
        <w:t>“</w:t>
      </w:r>
      <w:r>
        <w:rPr>
          <w:rFonts w:ascii="宋体"/>
          <w:color w:val="auto"/>
          <w:sz w:val="24"/>
          <w:highlight w:val="none"/>
          <w:u w:val="single"/>
        </w:rPr>
        <w:t xml:space="preserve">      </w:t>
      </w:r>
      <w:r>
        <w:rPr>
          <w:rFonts w:ascii="宋体"/>
          <w:color w:val="auto"/>
          <w:sz w:val="24"/>
          <w:highlight w:val="none"/>
        </w:rPr>
        <w:t xml:space="preserve"> </w:t>
      </w:r>
      <w:r>
        <w:rPr>
          <w:rFonts w:hint="eastAsia" w:ascii="宋体"/>
          <w:color w:val="auto"/>
          <w:sz w:val="24"/>
          <w:highlight w:val="none"/>
        </w:rPr>
        <w:t>”</w:t>
      </w:r>
      <w:r>
        <w:rPr>
          <w:rFonts w:ascii="宋体"/>
          <w:color w:val="auto"/>
          <w:sz w:val="24"/>
          <w:highlight w:val="none"/>
        </w:rPr>
        <w:t>(</w:t>
      </w:r>
      <w:r>
        <w:rPr>
          <w:rFonts w:hint="eastAsia" w:ascii="宋体"/>
          <w:color w:val="auto"/>
          <w:sz w:val="24"/>
          <w:highlight w:val="none"/>
        </w:rPr>
        <w:t>项目名称、编号）投标文件，全权处理与该项目投标、评审答疑、签订合同以及与合同执行有关的一切事务，其法律后果由我方承担。</w:t>
      </w:r>
    </w:p>
    <w:p w14:paraId="4B9F5BF4">
      <w:pPr>
        <w:spacing w:line="500" w:lineRule="exact"/>
        <w:ind w:firstLine="480" w:firstLineChars="200"/>
        <w:rPr>
          <w:rFonts w:ascii="宋体"/>
          <w:color w:val="auto"/>
          <w:sz w:val="24"/>
          <w:highlight w:val="none"/>
        </w:rPr>
      </w:pPr>
      <w:r>
        <w:rPr>
          <w:rFonts w:hint="eastAsia" w:ascii="宋体"/>
          <w:color w:val="auto"/>
          <w:sz w:val="24"/>
          <w:highlight w:val="none"/>
        </w:rPr>
        <w:t>委托期限：</w:t>
      </w:r>
      <w:r>
        <w:rPr>
          <w:rFonts w:ascii="宋体"/>
          <w:color w:val="auto"/>
          <w:sz w:val="24"/>
          <w:highlight w:val="none"/>
        </w:rPr>
        <w:t xml:space="preserve"> </w:t>
      </w:r>
      <w:r>
        <w:rPr>
          <w:rFonts w:ascii="宋体" w:cs="宋体"/>
          <w:color w:val="auto"/>
          <w:sz w:val="24"/>
          <w:highlight w:val="none"/>
          <w:u w:val="single"/>
        </w:rPr>
        <w:t xml:space="preserve">          </w:t>
      </w:r>
      <w:r>
        <w:rPr>
          <w:rFonts w:hint="eastAsia" w:ascii="宋体" w:cs="宋体"/>
          <w:color w:val="auto"/>
          <w:sz w:val="24"/>
          <w:highlight w:val="none"/>
        </w:rPr>
        <w:t>。</w:t>
      </w:r>
      <w:r>
        <w:rPr>
          <w:rFonts w:ascii="宋体"/>
          <w:color w:val="auto"/>
          <w:sz w:val="24"/>
          <w:highlight w:val="none"/>
        </w:rPr>
        <w:t xml:space="preserve">                     </w:t>
      </w:r>
    </w:p>
    <w:p w14:paraId="6DEFEF9E">
      <w:pPr>
        <w:spacing w:line="50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285B0EEE">
      <w:pPr>
        <w:spacing w:line="50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w:t>
      </w:r>
    </w:p>
    <w:p w14:paraId="665E2ABE">
      <w:pPr>
        <w:spacing w:line="500" w:lineRule="exact"/>
        <w:ind w:firstLine="957" w:firstLineChars="397"/>
        <w:rPr>
          <w:color w:val="auto"/>
          <w:highlight w:val="none"/>
        </w:rPr>
      </w:pPr>
      <w:r>
        <w:rPr>
          <w:rFonts w:hint="eastAsia" w:ascii="宋体"/>
          <w:b/>
          <w:color w:val="auto"/>
          <w:sz w:val="24"/>
          <w:highlight w:val="none"/>
        </w:rPr>
        <w:t>法定代表人有效身份证</w:t>
      </w:r>
    </w:p>
    <w:p w14:paraId="0741C016">
      <w:pPr>
        <w:spacing w:line="500" w:lineRule="exact"/>
        <w:ind w:firstLine="200"/>
        <w:rPr>
          <w:rFonts w:ascii="宋体"/>
          <w:color w:val="auto"/>
          <w:sz w:val="24"/>
          <w:highlight w:val="none"/>
        </w:rPr>
      </w:pPr>
      <w:r>
        <w:rPr>
          <w:rFonts w:ascii="宋体"/>
          <w:color w:val="auto"/>
          <w:sz w:val="24"/>
          <w:highlight w:val="none"/>
        </w:rPr>
        <w:t xml:space="preserve">                                        </w:t>
      </w:r>
      <w:r>
        <w:rPr>
          <w:rFonts w:hint="eastAsia" w:ascii="宋体"/>
          <w:color w:val="auto"/>
          <w:sz w:val="24"/>
          <w:highlight w:val="none"/>
        </w:rPr>
        <w:t>投标人（签章）：</w:t>
      </w:r>
    </w:p>
    <w:p w14:paraId="4355AAC0">
      <w:pPr>
        <w:spacing w:line="500" w:lineRule="exact"/>
        <w:ind w:firstLine="5040" w:firstLineChars="2100"/>
        <w:rPr>
          <w:rFonts w:ascii="宋体"/>
          <w:color w:val="auto"/>
          <w:sz w:val="24"/>
          <w:highlight w:val="none"/>
        </w:rPr>
      </w:pPr>
      <w:r>
        <w:rPr>
          <w:rFonts w:hint="eastAsia" w:ascii="宋体"/>
          <w:color w:val="auto"/>
          <w:sz w:val="24"/>
          <w:highlight w:val="none"/>
        </w:rPr>
        <w:t>法定代表人（身份证号码）：</w:t>
      </w:r>
      <w:r>
        <w:rPr>
          <w:rFonts w:ascii="宋体"/>
          <w:color w:val="auto"/>
          <w:sz w:val="24"/>
          <w:highlight w:val="none"/>
        </w:rPr>
        <w:t xml:space="preserve"> </w:t>
      </w:r>
      <w:r>
        <w:rPr>
          <w:rFonts w:hint="eastAsia" w:ascii="宋体"/>
          <w:color w:val="auto"/>
          <w:sz w:val="24"/>
          <w:highlight w:val="none"/>
        </w:rPr>
        <w:t>（签章）</w:t>
      </w:r>
    </w:p>
    <w:p w14:paraId="45FE30A8">
      <w:pPr>
        <w:spacing w:line="500" w:lineRule="exact"/>
        <w:ind w:firstLine="5040" w:firstLineChars="2100"/>
        <w:rPr>
          <w:rFonts w:ascii="宋体"/>
          <w:color w:val="auto"/>
          <w:sz w:val="24"/>
          <w:highlight w:val="none"/>
        </w:rPr>
      </w:pPr>
      <w:r>
        <w:rPr>
          <w:rFonts w:hint="eastAsia" w:ascii="宋体"/>
          <w:color w:val="auto"/>
          <w:sz w:val="24"/>
          <w:highlight w:val="none"/>
        </w:rPr>
        <w:t>委托代理人（身份证号码）：</w:t>
      </w:r>
      <w:r>
        <w:rPr>
          <w:rFonts w:ascii="宋体"/>
          <w:color w:val="auto"/>
          <w:sz w:val="24"/>
          <w:highlight w:val="none"/>
        </w:rPr>
        <w:t xml:space="preserve">      </w:t>
      </w:r>
    </w:p>
    <w:p w14:paraId="27839554">
      <w:pPr>
        <w:spacing w:line="500" w:lineRule="exact"/>
        <w:ind w:firstLine="2820" w:firstLineChars="1175"/>
        <w:rPr>
          <w:color w:val="auto"/>
          <w:highlight w:val="none"/>
        </w:rPr>
      </w:pPr>
      <w:r>
        <w:rPr>
          <w:rFonts w:ascii="宋体"/>
          <w:color w:val="auto"/>
          <w:sz w:val="24"/>
          <w:highlight w:val="none"/>
        </w:rPr>
        <w:t xml:space="preserve">                  </w:t>
      </w: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p>
    <w:p w14:paraId="633AA910">
      <w:pPr>
        <w:spacing w:line="360" w:lineRule="auto"/>
        <w:jc w:val="center"/>
        <w:rPr>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w:t>
      </w:r>
      <w:r>
        <w:rPr>
          <w:b/>
          <w:color w:val="auto"/>
          <w:sz w:val="28"/>
          <w:szCs w:val="28"/>
          <w:highlight w:val="none"/>
        </w:rPr>
        <w:t>2</w:t>
      </w:r>
      <w:r>
        <w:rPr>
          <w:rFonts w:hint="eastAsia"/>
          <w:b/>
          <w:color w:val="auto"/>
          <w:sz w:val="28"/>
          <w:szCs w:val="28"/>
          <w:highlight w:val="none"/>
        </w:rPr>
        <w:t>）诚信投标承诺书</w:t>
      </w:r>
      <w:bookmarkEnd w:id="845"/>
      <w:bookmarkEnd w:id="846"/>
      <w:r>
        <w:rPr>
          <w:b/>
          <w:color w:val="auto"/>
          <w:sz w:val="28"/>
          <w:szCs w:val="28"/>
          <w:highlight w:val="none"/>
        </w:rPr>
        <w:t> </w:t>
      </w:r>
      <w:bookmarkEnd w:id="847"/>
    </w:p>
    <w:p w14:paraId="53F9473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4F99DC4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5190398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702E00E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0315F0B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343F561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03D871C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和项目负责人        </w:t>
      </w:r>
      <w:r>
        <w:rPr>
          <w:rFonts w:hint="eastAsia" w:ascii="宋体" w:hAnsi="宋体"/>
          <w:color w:val="auto"/>
          <w:szCs w:val="21"/>
          <w:highlight w:val="none"/>
        </w:rPr>
        <w:t>没有下</w:t>
      </w:r>
      <w:r>
        <w:rPr>
          <w:rFonts w:hint="eastAsia" w:ascii="宋体" w:hAnsi="宋体" w:eastAsia="宋体"/>
          <w:color w:val="auto"/>
          <w:szCs w:val="21"/>
          <w:highlight w:val="none"/>
        </w:rPr>
        <w:t>列情形：</w:t>
      </w:r>
      <w:bookmarkStart w:id="848" w:name="OLE_LINK134"/>
      <w:bookmarkStart w:id="849" w:name="OLE_LINK133"/>
      <w:r>
        <w:rPr>
          <w:rFonts w:hint="eastAsia" w:ascii="宋体" w:hAnsi="宋体" w:eastAsia="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848"/>
      <w:bookmarkEnd w:id="849"/>
      <w:r>
        <w:rPr>
          <w:rFonts w:hint="eastAsia" w:ascii="宋体" w:hAnsi="宋体" w:eastAsia="宋体"/>
          <w:color w:val="auto"/>
          <w:szCs w:val="21"/>
          <w:highlight w:val="none"/>
        </w:rPr>
        <w:t>若招标文件对投标人所属分公司、办事处等分支机构有上述1-10项信誉要求，在此一并承诺我公司所属分公司、办事处等分支机构没有上述1-10项情形）</w:t>
      </w:r>
    </w:p>
    <w:p w14:paraId="705606A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七、严格遵守开标现场纪律，服从监管人员管理；</w:t>
      </w:r>
    </w:p>
    <w:p w14:paraId="76ED354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179D896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7F1239F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47B179D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十一、如我公司中标，保证中标的项目经理无其他尚未完工（以竣工、交工、完工验收报告等手续为准）项目或在已中标项目（以发放中标通知书为准）中担任项目经理情形。如有，项目在滁州市区域内的，接受取消中标资格、记入不良行为记录等处理；项目在滁州市区域外的，保证在中标候选人公示期第一日起开始计算7日内，提供经行政主管部门备案的变更证明材料，否则接受取消中标资格、记入不良行为记录等处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本项目不采用）</w:t>
      </w:r>
    </w:p>
    <w:p w14:paraId="167D834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50EDE14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三、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34C78E0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十四、我公司拟任项目经理不是投标截止时间前六个月内在滁州市区域内办理过项目经理变更备案手续的原项目经理。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本项目不采用）</w:t>
      </w:r>
    </w:p>
    <w:p w14:paraId="7F4FB2E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04B432C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olor w:val="auto"/>
          <w:szCs w:val="21"/>
          <w:highlight w:val="none"/>
        </w:rPr>
      </w:pPr>
    </w:p>
    <w:p w14:paraId="130A1CD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基本账户：                             </w:t>
      </w:r>
    </w:p>
    <w:p w14:paraId="13DCE4B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olor w:val="auto"/>
          <w:szCs w:val="21"/>
          <w:highlight w:val="none"/>
        </w:rPr>
      </w:pPr>
    </w:p>
    <w:p w14:paraId="4DF36ED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 xml:space="preserve">投标人（签章）：  </w:t>
      </w:r>
      <w:r>
        <w:rPr>
          <w:rFonts w:hint="eastAsia" w:ascii="宋体" w:hAnsi="宋体"/>
          <w:color w:val="auto"/>
          <w:szCs w:val="21"/>
          <w:highlight w:val="none"/>
          <w:u w:val="single"/>
        </w:rPr>
        <w:t xml:space="preserve">        </w:t>
      </w:r>
      <w:r>
        <w:rPr>
          <w:rFonts w:hint="eastAsia" w:ascii="宋体" w:hAnsi="宋体"/>
          <w:color w:val="auto"/>
          <w:szCs w:val="21"/>
          <w:highlight w:val="none"/>
        </w:rPr>
        <w:t>法定代表人（签章）：</w:t>
      </w:r>
      <w:r>
        <w:rPr>
          <w:rFonts w:hint="eastAsia" w:ascii="宋体" w:hAnsi="宋体"/>
          <w:color w:val="auto"/>
          <w:szCs w:val="21"/>
          <w:highlight w:val="none"/>
          <w:u w:val="single"/>
        </w:rPr>
        <w:t xml:space="preserve">                           </w:t>
      </w:r>
    </w:p>
    <w:p w14:paraId="668F32F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olor w:val="auto"/>
          <w:szCs w:val="21"/>
          <w:highlight w:val="none"/>
        </w:rPr>
      </w:pPr>
    </w:p>
    <w:p w14:paraId="66A2ED39">
      <w:pPr>
        <w:pStyle w:val="44"/>
        <w:keepNext w:val="0"/>
        <w:keepLines w:val="0"/>
        <w:pageBreakBefore w:val="0"/>
        <w:widowControl w:val="0"/>
        <w:kinsoku/>
        <w:wordWrap/>
        <w:overflowPunct/>
        <w:topLinePunct w:val="0"/>
        <w:autoSpaceDE/>
        <w:autoSpaceDN/>
        <w:bidi w:val="0"/>
        <w:spacing w:line="400" w:lineRule="exact"/>
        <w:textAlignment w:val="auto"/>
        <w:rPr>
          <w:color w:val="auto"/>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240F68F3">
      <w:pPr>
        <w:pStyle w:val="44"/>
        <w:ind w:left="0" w:leftChars="0" w:firstLine="0" w:firstLineChars="0"/>
        <w:rPr>
          <w:color w:val="auto"/>
          <w:highlight w:val="none"/>
        </w:rPr>
      </w:pPr>
    </w:p>
    <w:p w14:paraId="4CE5FC86">
      <w:pPr>
        <w:rPr>
          <w:color w:val="auto"/>
          <w:highlight w:val="none"/>
        </w:rPr>
      </w:pPr>
    </w:p>
    <w:p w14:paraId="43FAA278">
      <w:pPr>
        <w:adjustRightInd w:val="0"/>
        <w:snapToGrid w:val="0"/>
        <w:spacing w:line="560" w:lineRule="exact"/>
        <w:jc w:val="center"/>
        <w:rPr>
          <w:rFonts w:hint="eastAsia"/>
          <w:b/>
          <w:color w:val="auto"/>
          <w:sz w:val="28"/>
          <w:szCs w:val="28"/>
          <w:highlight w:val="none"/>
        </w:rPr>
      </w:pPr>
      <w:r>
        <w:rPr>
          <w:rFonts w:hint="eastAsia"/>
          <w:b/>
          <w:color w:val="auto"/>
          <w:sz w:val="28"/>
          <w:szCs w:val="28"/>
          <w:highlight w:val="none"/>
          <w:lang w:val="en-US" w:eastAsia="zh-CN"/>
        </w:rPr>
        <w:t>或</w:t>
      </w:r>
      <w:r>
        <w:rPr>
          <w:rFonts w:hint="eastAsia"/>
          <w:b/>
          <w:color w:val="auto"/>
          <w:sz w:val="28"/>
          <w:szCs w:val="28"/>
          <w:highlight w:val="none"/>
          <w:lang w:eastAsia="zh-CN"/>
        </w:rPr>
        <w:t>（</w:t>
      </w:r>
      <w:r>
        <w:rPr>
          <w:rFonts w:hint="eastAsia"/>
          <w:b/>
          <w:color w:val="auto"/>
          <w:sz w:val="28"/>
          <w:szCs w:val="28"/>
          <w:highlight w:val="none"/>
          <w:lang w:val="en-US" w:eastAsia="zh-CN"/>
        </w:rPr>
        <w:t>2）</w:t>
      </w:r>
      <w:r>
        <w:rPr>
          <w:rFonts w:hint="eastAsia"/>
          <w:b/>
          <w:color w:val="auto"/>
          <w:sz w:val="28"/>
          <w:szCs w:val="28"/>
          <w:highlight w:val="none"/>
        </w:rPr>
        <w:t>公共信用信息报告（无违法违规证明版或核查版））</w:t>
      </w:r>
    </w:p>
    <w:p w14:paraId="3F00688E">
      <w:pPr>
        <w:pStyle w:val="44"/>
        <w:spacing w:after="0" w:line="560" w:lineRule="exact"/>
        <w:ind w:left="0" w:leftChars="0"/>
        <w:rPr>
          <w:rFonts w:hint="eastAsia" w:ascii="宋体" w:hAnsi="宋体"/>
          <w:color w:val="auto"/>
          <w:szCs w:val="21"/>
          <w:highlight w:val="none"/>
        </w:rPr>
      </w:pPr>
      <w:r>
        <w:rPr>
          <w:rFonts w:hint="eastAsia" w:ascii="宋体" w:hAnsi="宋体"/>
          <w:color w:val="auto"/>
          <w:szCs w:val="21"/>
          <w:highlight w:val="none"/>
        </w:rPr>
        <w:t>符合条件的投标人可在信用中国（安徽）网站（网址</w:t>
      </w:r>
      <w:r>
        <w:rPr>
          <w:rFonts w:ascii="宋体" w:hAnsi="宋体"/>
          <w:color w:val="auto"/>
          <w:szCs w:val="21"/>
          <w:highlight w:val="none"/>
        </w:rPr>
        <w:fldChar w:fldCharType="begin"/>
      </w:r>
      <w:r>
        <w:rPr>
          <w:rFonts w:ascii="宋体" w:hAnsi="宋体"/>
          <w:color w:val="auto"/>
          <w:szCs w:val="21"/>
          <w:highlight w:val="none"/>
        </w:rPr>
        <w:instrText xml:space="preserve"> HYPERLINK "https://credit.ah.gov.cn/xinyongfuwu/index.html" </w:instrText>
      </w:r>
      <w:r>
        <w:rPr>
          <w:rFonts w:ascii="宋体" w:hAnsi="宋体"/>
          <w:color w:val="auto"/>
          <w:szCs w:val="21"/>
          <w:highlight w:val="none"/>
        </w:rPr>
        <w:fldChar w:fldCharType="separate"/>
      </w:r>
      <w:r>
        <w:rPr>
          <w:rStyle w:val="56"/>
          <w:rFonts w:ascii="宋体" w:hAnsi="宋体"/>
          <w:color w:val="auto"/>
          <w:szCs w:val="21"/>
          <w:highlight w:val="none"/>
        </w:rPr>
        <w:t>https://credit.ah.gov.cn/xinyongfuwu/index.html</w:t>
      </w:r>
      <w:r>
        <w:rPr>
          <w:rFonts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p>
    <w:p w14:paraId="396B4429">
      <w:pPr>
        <w:rPr>
          <w:rFonts w:hint="eastAsia"/>
          <w:b/>
          <w:color w:val="auto"/>
          <w:sz w:val="28"/>
          <w:szCs w:val="28"/>
          <w:highlight w:val="none"/>
        </w:rPr>
      </w:pPr>
      <w:r>
        <w:rPr>
          <w:rFonts w:hint="eastAsia"/>
          <w:b/>
          <w:color w:val="auto"/>
          <w:sz w:val="28"/>
          <w:szCs w:val="28"/>
          <w:highlight w:val="none"/>
        </w:rPr>
        <w:br w:type="page"/>
      </w:r>
    </w:p>
    <w:p w14:paraId="277EB131">
      <w:pPr>
        <w:pStyle w:val="44"/>
        <w:rPr>
          <w:rFonts w:hint="eastAsia"/>
          <w:color w:val="auto"/>
          <w:highlight w:val="none"/>
        </w:rPr>
      </w:pPr>
    </w:p>
    <w:p w14:paraId="601601EE">
      <w:pPr>
        <w:shd w:val="clear"/>
        <w:jc w:val="center"/>
        <w:rPr>
          <w:rFonts w:hint="eastAsia" w:ascii="宋体" w:hAnsi="宋体" w:cs="宋体"/>
          <w:b/>
          <w:color w:val="auto"/>
          <w:sz w:val="28"/>
          <w:szCs w:val="28"/>
          <w:highlight w:val="none"/>
        </w:rPr>
      </w:pPr>
      <w:r>
        <w:rPr>
          <w:rFonts w:hint="eastAsia"/>
          <w:b/>
          <w:color w:val="auto"/>
          <w:sz w:val="28"/>
          <w:szCs w:val="28"/>
          <w:highlight w:val="none"/>
        </w:rPr>
        <w:t>（</w:t>
      </w:r>
      <w:r>
        <w:rPr>
          <w:rFonts w:hint="eastAsia"/>
          <w:b/>
          <w:color w:val="auto"/>
          <w:sz w:val="28"/>
          <w:szCs w:val="28"/>
          <w:highlight w:val="none"/>
          <w:lang w:val="en-US" w:eastAsia="zh-CN"/>
        </w:rPr>
        <w:t>3</w:t>
      </w:r>
      <w:r>
        <w:rPr>
          <w:rFonts w:hint="eastAsia"/>
          <w:b/>
          <w:color w:val="auto"/>
          <w:sz w:val="28"/>
          <w:szCs w:val="28"/>
          <w:highlight w:val="none"/>
        </w:rPr>
        <w:t>）</w:t>
      </w:r>
      <w:r>
        <w:rPr>
          <w:rFonts w:hint="eastAsia" w:ascii="宋体" w:hAnsi="宋体" w:cs="宋体"/>
          <w:b/>
          <w:color w:val="auto"/>
          <w:sz w:val="28"/>
          <w:szCs w:val="28"/>
          <w:highlight w:val="none"/>
        </w:rPr>
        <w:t>服务承诺书</w:t>
      </w:r>
    </w:p>
    <w:p w14:paraId="7DA533BD">
      <w:pPr>
        <w:shd w:val="clear"/>
        <w:spacing w:line="600" w:lineRule="auto"/>
        <w:rPr>
          <w:rFonts w:hint="eastAsia" w:ascii="宋体" w:hAnsi="宋体" w:cs="宋体"/>
          <w:bCs/>
          <w:color w:val="auto"/>
          <w:sz w:val="24"/>
          <w:highlight w:val="none"/>
          <w:u w:val="single"/>
        </w:rPr>
      </w:pPr>
      <w:r>
        <w:rPr>
          <w:rFonts w:hint="eastAsia" w:ascii="宋体" w:hAnsi="宋体" w:cs="宋体"/>
          <w:bCs/>
          <w:color w:val="auto"/>
          <w:sz w:val="24"/>
          <w:highlight w:val="none"/>
        </w:rPr>
        <w:t>致：</w:t>
      </w:r>
      <w:r>
        <w:rPr>
          <w:rFonts w:hint="eastAsia" w:ascii="宋体" w:hAnsi="宋体" w:cs="宋体"/>
          <w:bCs/>
          <w:color w:val="auto"/>
          <w:sz w:val="24"/>
          <w:highlight w:val="none"/>
          <w:u w:val="single"/>
        </w:rPr>
        <w:t xml:space="preserve">          （采购人）     ：</w:t>
      </w:r>
    </w:p>
    <w:p w14:paraId="066639B7">
      <w:pPr>
        <w:shd w:val="clear"/>
        <w:spacing w:line="60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本承诺声明：</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（投标人）对本招标文件的相关要求完全响应。若有幸成交将严格按照以上承诺进行服务。</w:t>
      </w:r>
    </w:p>
    <w:p w14:paraId="220A5813">
      <w:pPr>
        <w:pStyle w:val="218"/>
        <w:shd w:val="clear"/>
        <w:spacing w:line="600" w:lineRule="auto"/>
        <w:rPr>
          <w:rFonts w:hint="eastAsia" w:ascii="宋体" w:hAnsi="宋体" w:cs="宋体"/>
          <w:bCs/>
          <w:color w:val="auto"/>
          <w:highlight w:val="none"/>
        </w:rPr>
      </w:pPr>
      <w:r>
        <w:rPr>
          <w:rFonts w:hint="eastAsia" w:ascii="宋体" w:hAnsi="宋体" w:cs="宋体"/>
          <w:bCs/>
          <w:color w:val="auto"/>
          <w:sz w:val="24"/>
          <w:szCs w:val="24"/>
          <w:highlight w:val="none"/>
        </w:rPr>
        <w:t xml:space="preserve"> </w:t>
      </w:r>
    </w:p>
    <w:p w14:paraId="0984817D">
      <w:pPr>
        <w:shd w:val="clear"/>
        <w:spacing w:line="60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特此声明</w:t>
      </w:r>
    </w:p>
    <w:p w14:paraId="7DEE5E17">
      <w:pPr>
        <w:shd w:val="clear"/>
        <w:spacing w:line="600" w:lineRule="auto"/>
        <w:rPr>
          <w:rFonts w:hint="eastAsia" w:ascii="宋体" w:hAnsi="宋体" w:cs="宋体"/>
          <w:bCs/>
          <w:color w:val="auto"/>
          <w:sz w:val="24"/>
          <w:highlight w:val="none"/>
        </w:rPr>
      </w:pPr>
      <w:r>
        <w:rPr>
          <w:rFonts w:hint="eastAsia" w:ascii="宋体" w:hAnsi="宋体" w:cs="宋体"/>
          <w:bCs/>
          <w:color w:val="auto"/>
          <w:sz w:val="24"/>
          <w:highlight w:val="none"/>
        </w:rPr>
        <w:t> </w:t>
      </w:r>
    </w:p>
    <w:p w14:paraId="6A6171D8">
      <w:pPr>
        <w:shd w:val="clear"/>
        <w:spacing w:line="600" w:lineRule="auto"/>
        <w:ind w:firstLine="4080" w:firstLineChars="1700"/>
        <w:rPr>
          <w:rFonts w:hint="eastAsia" w:ascii="宋体" w:hAnsi="宋体" w:cs="宋体"/>
          <w:bCs/>
          <w:color w:val="auto"/>
          <w:sz w:val="24"/>
          <w:highlight w:val="none"/>
          <w:u w:val="single"/>
        </w:rPr>
      </w:pPr>
      <w:r>
        <w:rPr>
          <w:rFonts w:hint="eastAsia" w:ascii="宋体" w:hAnsi="宋体" w:cs="宋体"/>
          <w:bCs/>
          <w:color w:val="auto"/>
          <w:sz w:val="24"/>
          <w:highlight w:val="none"/>
        </w:rPr>
        <w:t xml:space="preserve"> 法定代表人(签章)： </w:t>
      </w:r>
      <w:r>
        <w:rPr>
          <w:rFonts w:hint="eastAsia" w:ascii="宋体" w:hAnsi="宋体" w:cs="宋体"/>
          <w:bCs/>
          <w:color w:val="auto"/>
          <w:sz w:val="24"/>
          <w:highlight w:val="none"/>
          <w:u w:val="single"/>
        </w:rPr>
        <w:t xml:space="preserve">                    </w:t>
      </w:r>
    </w:p>
    <w:p w14:paraId="575D3B8E">
      <w:pPr>
        <w:shd w:val="clear"/>
        <w:spacing w:line="60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                                    投标人名称：</w:t>
      </w:r>
      <w:r>
        <w:rPr>
          <w:rFonts w:hint="eastAsia" w:ascii="宋体" w:hAnsi="宋体" w:cs="宋体"/>
          <w:bCs/>
          <w:color w:val="auto"/>
          <w:sz w:val="24"/>
          <w:highlight w:val="none"/>
          <w:u w:val="single"/>
        </w:rPr>
        <w:t xml:space="preserve">        （签章）         </w:t>
      </w:r>
    </w:p>
    <w:p w14:paraId="3C358DEB">
      <w:pPr>
        <w:shd w:val="clear"/>
        <w:spacing w:line="600" w:lineRule="auto"/>
        <w:ind w:firstLine="4680" w:firstLineChars="1950"/>
        <w:rPr>
          <w:rFonts w:hint="eastAsia" w:ascii="宋体" w:hAnsi="宋体" w:cs="宋体"/>
          <w:bCs/>
          <w:color w:val="auto"/>
          <w:sz w:val="24"/>
          <w:highlight w:val="none"/>
        </w:rPr>
      </w:pPr>
      <w:r>
        <w:rPr>
          <w:rFonts w:hint="eastAsia" w:ascii="宋体" w:hAnsi="宋体" w:cs="宋体"/>
          <w:bCs/>
          <w:color w:val="auto"/>
          <w:sz w:val="24"/>
          <w:highlight w:val="none"/>
        </w:rPr>
        <w:t>日    期：</w:t>
      </w:r>
      <w:r>
        <w:rPr>
          <w:rFonts w:hint="eastAsia" w:ascii="宋体" w:hAnsi="宋体" w:cs="宋体"/>
          <w:bCs/>
          <w:color w:val="auto"/>
          <w:sz w:val="24"/>
          <w:highlight w:val="none"/>
          <w:u w:val="single"/>
        </w:rPr>
        <w:t xml:space="preserve">                       </w:t>
      </w:r>
    </w:p>
    <w:p w14:paraId="48EA6FAD">
      <w:pPr>
        <w:shd w:val="clear"/>
        <w:spacing w:line="360" w:lineRule="exact"/>
        <w:rPr>
          <w:rFonts w:hint="eastAsia" w:ascii="宋体"/>
          <w:b/>
          <w:color w:val="auto"/>
          <w:sz w:val="30"/>
          <w:szCs w:val="30"/>
          <w:highlight w:val="none"/>
        </w:rPr>
      </w:pPr>
    </w:p>
    <w:p w14:paraId="68EAA616">
      <w:pPr>
        <w:rPr>
          <w:rFonts w:hint="eastAsia"/>
          <w:b/>
          <w:color w:val="auto"/>
          <w:sz w:val="28"/>
          <w:szCs w:val="28"/>
          <w:highlight w:val="none"/>
        </w:rPr>
      </w:pPr>
      <w:r>
        <w:rPr>
          <w:rFonts w:hint="eastAsia"/>
          <w:b/>
          <w:color w:val="auto"/>
          <w:sz w:val="28"/>
          <w:szCs w:val="28"/>
          <w:highlight w:val="none"/>
        </w:rPr>
        <w:br w:type="page"/>
      </w:r>
    </w:p>
    <w:p w14:paraId="73C791BA">
      <w:pPr>
        <w:rPr>
          <w:color w:val="auto"/>
          <w:highlight w:val="none"/>
        </w:rPr>
      </w:pPr>
    </w:p>
    <w:p w14:paraId="68C9D1BF">
      <w:pPr>
        <w:rPr>
          <w:color w:val="auto"/>
          <w:highlight w:val="none"/>
        </w:rPr>
      </w:pPr>
    </w:p>
    <w:p w14:paraId="3E269FCC">
      <w:pPr>
        <w:jc w:val="center"/>
        <w:rPr>
          <w:rFonts w:eastAsia="黑体"/>
          <w:color w:val="auto"/>
          <w:sz w:val="20"/>
          <w:szCs w:val="20"/>
          <w:highlight w:val="none"/>
        </w:rPr>
      </w:pPr>
      <w:r>
        <w:rPr>
          <w:rFonts w:eastAsia="黑体"/>
          <w:color w:val="auto"/>
          <w:sz w:val="28"/>
          <w:szCs w:val="28"/>
          <w:highlight w:val="none"/>
          <w:u w:val="single"/>
        </w:rPr>
        <w:t xml:space="preserve">                </w:t>
      </w:r>
      <w:r>
        <w:rPr>
          <w:rFonts w:hint="eastAsia" w:eastAsia="黑体"/>
          <w:color w:val="auto"/>
          <w:sz w:val="28"/>
          <w:szCs w:val="28"/>
          <w:highlight w:val="none"/>
        </w:rPr>
        <w:t>（项目名称）</w:t>
      </w:r>
    </w:p>
    <w:p w14:paraId="283558A9">
      <w:pPr>
        <w:jc w:val="center"/>
        <w:rPr>
          <w:rFonts w:eastAsia="黑体"/>
          <w:color w:val="auto"/>
          <w:sz w:val="20"/>
          <w:szCs w:val="20"/>
          <w:highlight w:val="none"/>
        </w:rPr>
      </w:pPr>
    </w:p>
    <w:p w14:paraId="2DA212FE">
      <w:pPr>
        <w:rPr>
          <w:rFonts w:eastAsia="黑体"/>
          <w:color w:val="auto"/>
          <w:sz w:val="20"/>
          <w:szCs w:val="20"/>
          <w:highlight w:val="none"/>
        </w:rPr>
      </w:pPr>
    </w:p>
    <w:p w14:paraId="6B7C5A37">
      <w:pPr>
        <w:jc w:val="center"/>
        <w:rPr>
          <w:rFonts w:hint="eastAsia" w:eastAsia="黑体"/>
          <w:color w:val="auto"/>
          <w:sz w:val="44"/>
          <w:szCs w:val="44"/>
          <w:highlight w:val="none"/>
          <w:lang w:eastAsia="zh-CN"/>
        </w:rPr>
      </w:pPr>
      <w:r>
        <w:rPr>
          <w:rFonts w:hint="eastAsia" w:eastAsia="黑体"/>
          <w:color w:val="auto"/>
          <w:sz w:val="44"/>
          <w:szCs w:val="44"/>
          <w:highlight w:val="none"/>
        </w:rPr>
        <w:t>投</w:t>
      </w:r>
      <w:r>
        <w:rPr>
          <w:rFonts w:eastAsia="黑体"/>
          <w:color w:val="auto"/>
          <w:sz w:val="44"/>
          <w:szCs w:val="44"/>
          <w:highlight w:val="none"/>
        </w:rPr>
        <w:t xml:space="preserve">  </w:t>
      </w:r>
      <w:r>
        <w:rPr>
          <w:rFonts w:hint="eastAsia" w:eastAsia="黑体"/>
          <w:color w:val="auto"/>
          <w:sz w:val="44"/>
          <w:szCs w:val="44"/>
          <w:highlight w:val="none"/>
        </w:rPr>
        <w:t>标</w:t>
      </w:r>
      <w:r>
        <w:rPr>
          <w:rFonts w:eastAsia="黑体"/>
          <w:color w:val="auto"/>
          <w:sz w:val="44"/>
          <w:szCs w:val="44"/>
          <w:highlight w:val="none"/>
        </w:rPr>
        <w:t xml:space="preserve">  </w:t>
      </w:r>
      <w:r>
        <w:rPr>
          <w:rFonts w:hint="eastAsia" w:eastAsia="黑体"/>
          <w:color w:val="auto"/>
          <w:sz w:val="44"/>
          <w:szCs w:val="44"/>
          <w:highlight w:val="none"/>
        </w:rPr>
        <w:t>文</w:t>
      </w:r>
      <w:r>
        <w:rPr>
          <w:rFonts w:eastAsia="黑体"/>
          <w:color w:val="auto"/>
          <w:sz w:val="44"/>
          <w:szCs w:val="44"/>
          <w:highlight w:val="none"/>
        </w:rPr>
        <w:t xml:space="preserve">  </w:t>
      </w:r>
      <w:r>
        <w:rPr>
          <w:rFonts w:hint="eastAsia" w:eastAsia="黑体"/>
          <w:color w:val="auto"/>
          <w:sz w:val="44"/>
          <w:szCs w:val="44"/>
          <w:highlight w:val="none"/>
        </w:rPr>
        <w:t>件</w:t>
      </w:r>
      <w:r>
        <w:rPr>
          <w:rFonts w:eastAsia="黑体"/>
          <w:color w:val="auto"/>
          <w:sz w:val="44"/>
          <w:szCs w:val="44"/>
          <w:highlight w:val="none"/>
        </w:rPr>
        <w:t xml:space="preserve">  </w:t>
      </w:r>
      <w:r>
        <w:rPr>
          <w:rFonts w:hint="eastAsia" w:eastAsia="黑体"/>
          <w:color w:val="auto"/>
          <w:sz w:val="44"/>
          <w:szCs w:val="44"/>
          <w:highlight w:val="none"/>
          <w:lang w:val="en-US" w:eastAsia="zh-CN"/>
        </w:rPr>
        <w:t>二</w:t>
      </w:r>
    </w:p>
    <w:p w14:paraId="5F8F65D9">
      <w:pPr>
        <w:jc w:val="center"/>
        <w:rPr>
          <w:rFonts w:eastAsia="黑体"/>
          <w:color w:val="auto"/>
          <w:sz w:val="44"/>
          <w:szCs w:val="44"/>
          <w:highlight w:val="none"/>
        </w:rPr>
      </w:pPr>
      <w:r>
        <w:rPr>
          <w:rFonts w:hint="eastAsia" w:eastAsia="黑体"/>
          <w:color w:val="auto"/>
          <w:sz w:val="44"/>
          <w:szCs w:val="44"/>
          <w:highlight w:val="none"/>
        </w:rPr>
        <w:t>（商务标文件）</w:t>
      </w:r>
    </w:p>
    <w:p w14:paraId="2EA0627F">
      <w:pPr>
        <w:rPr>
          <w:rFonts w:eastAsia="黑体"/>
          <w:color w:val="auto"/>
          <w:sz w:val="28"/>
          <w:szCs w:val="28"/>
          <w:highlight w:val="none"/>
        </w:rPr>
      </w:pPr>
    </w:p>
    <w:p w14:paraId="4C406C27">
      <w:pPr>
        <w:rPr>
          <w:rFonts w:eastAsia="黑体"/>
          <w:color w:val="auto"/>
          <w:sz w:val="28"/>
          <w:szCs w:val="28"/>
          <w:highlight w:val="none"/>
        </w:rPr>
      </w:pPr>
    </w:p>
    <w:p w14:paraId="3601028D">
      <w:pPr>
        <w:rPr>
          <w:rFonts w:eastAsia="黑体"/>
          <w:color w:val="auto"/>
          <w:sz w:val="28"/>
          <w:szCs w:val="28"/>
          <w:highlight w:val="none"/>
        </w:rPr>
      </w:pPr>
    </w:p>
    <w:p w14:paraId="04215BAA">
      <w:pPr>
        <w:rPr>
          <w:rFonts w:eastAsia="黑体"/>
          <w:color w:val="auto"/>
          <w:sz w:val="28"/>
          <w:szCs w:val="28"/>
          <w:highlight w:val="none"/>
        </w:rPr>
      </w:pPr>
    </w:p>
    <w:p w14:paraId="40AC0855">
      <w:pPr>
        <w:rPr>
          <w:rFonts w:eastAsia="黑体"/>
          <w:color w:val="auto"/>
          <w:sz w:val="28"/>
          <w:szCs w:val="28"/>
          <w:highlight w:val="none"/>
        </w:rPr>
      </w:pPr>
    </w:p>
    <w:p w14:paraId="55B5B51D">
      <w:pPr>
        <w:rPr>
          <w:rFonts w:eastAsia="黑体"/>
          <w:color w:val="auto"/>
          <w:sz w:val="28"/>
          <w:szCs w:val="28"/>
          <w:highlight w:val="none"/>
        </w:rPr>
      </w:pPr>
    </w:p>
    <w:p w14:paraId="0DCC6B16">
      <w:pPr>
        <w:pStyle w:val="44"/>
        <w:rPr>
          <w:color w:val="auto"/>
          <w:highlight w:val="none"/>
        </w:rPr>
      </w:pPr>
    </w:p>
    <w:p w14:paraId="11A9C945">
      <w:pPr>
        <w:rPr>
          <w:rFonts w:eastAsia="黑体"/>
          <w:color w:val="auto"/>
          <w:sz w:val="28"/>
          <w:szCs w:val="28"/>
          <w:highlight w:val="none"/>
        </w:rPr>
      </w:pPr>
    </w:p>
    <w:p w14:paraId="38704600">
      <w:pPr>
        <w:rPr>
          <w:rFonts w:eastAsia="黑体"/>
          <w:color w:val="auto"/>
          <w:sz w:val="28"/>
          <w:szCs w:val="28"/>
          <w:highlight w:val="none"/>
        </w:rPr>
      </w:pPr>
    </w:p>
    <w:p w14:paraId="0772A8F3">
      <w:pPr>
        <w:rPr>
          <w:rFonts w:eastAsia="黑体"/>
          <w:color w:val="auto"/>
          <w:sz w:val="28"/>
          <w:szCs w:val="28"/>
          <w:highlight w:val="none"/>
        </w:rPr>
      </w:pPr>
    </w:p>
    <w:p w14:paraId="1AFA6A58">
      <w:pPr>
        <w:jc w:val="center"/>
        <w:rPr>
          <w:rFonts w:eastAsia="黑体"/>
          <w:color w:val="auto"/>
          <w:sz w:val="28"/>
          <w:szCs w:val="28"/>
          <w:highlight w:val="none"/>
          <w:u w:val="single"/>
        </w:rPr>
      </w:pPr>
      <w:r>
        <w:rPr>
          <w:rFonts w:hint="eastAsia"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rPr>
        <w:t>（签章）</w:t>
      </w:r>
    </w:p>
    <w:p w14:paraId="6B1A3328">
      <w:pPr>
        <w:jc w:val="center"/>
        <w:rPr>
          <w:rFonts w:eastAsia="黑体"/>
          <w:color w:val="auto"/>
          <w:sz w:val="28"/>
          <w:szCs w:val="28"/>
          <w:highlight w:val="none"/>
        </w:rPr>
      </w:pPr>
      <w:r>
        <w:rPr>
          <w:rFonts w:hint="eastAsia" w:eastAsia="黑体"/>
          <w:color w:val="auto"/>
          <w:sz w:val="28"/>
          <w:szCs w:val="28"/>
          <w:highlight w:val="none"/>
        </w:rPr>
        <w:t>法定代表人：</w:t>
      </w:r>
      <w:r>
        <w:rPr>
          <w:rFonts w:eastAsia="黑体"/>
          <w:color w:val="auto"/>
          <w:sz w:val="28"/>
          <w:szCs w:val="28"/>
          <w:highlight w:val="none"/>
          <w:u w:val="single"/>
        </w:rPr>
        <w:t xml:space="preserve">                          </w:t>
      </w:r>
      <w:r>
        <w:rPr>
          <w:rFonts w:hint="eastAsia" w:eastAsia="黑体"/>
          <w:color w:val="auto"/>
          <w:sz w:val="28"/>
          <w:szCs w:val="28"/>
          <w:highlight w:val="none"/>
        </w:rPr>
        <w:t>（签章）</w:t>
      </w:r>
    </w:p>
    <w:p w14:paraId="4523787E">
      <w:pPr>
        <w:jc w:val="center"/>
        <w:rPr>
          <w:rFonts w:eastAsia="黑体"/>
          <w:color w:val="auto"/>
          <w:sz w:val="28"/>
          <w:szCs w:val="28"/>
          <w:highlight w:val="none"/>
        </w:rPr>
      </w:pPr>
      <w:r>
        <w:rPr>
          <w:rFonts w:eastAsia="黑体"/>
          <w:color w:val="auto"/>
          <w:sz w:val="28"/>
          <w:szCs w:val="28"/>
          <w:highlight w:val="none"/>
          <w:u w:val="single"/>
        </w:rPr>
        <w:t xml:space="preserve">        </w:t>
      </w:r>
      <w:r>
        <w:rPr>
          <w:rFonts w:hint="eastAsia" w:eastAsia="黑体"/>
          <w:color w:val="auto"/>
          <w:sz w:val="28"/>
          <w:szCs w:val="28"/>
          <w:highlight w:val="none"/>
        </w:rPr>
        <w:t>年</w:t>
      </w:r>
      <w:r>
        <w:rPr>
          <w:rFonts w:eastAsia="黑体"/>
          <w:color w:val="auto"/>
          <w:sz w:val="28"/>
          <w:szCs w:val="28"/>
          <w:highlight w:val="none"/>
          <w:u w:val="single"/>
        </w:rPr>
        <w:t xml:space="preserve">        </w:t>
      </w:r>
      <w:r>
        <w:rPr>
          <w:rFonts w:hint="eastAsia" w:eastAsia="黑体"/>
          <w:color w:val="auto"/>
          <w:sz w:val="28"/>
          <w:szCs w:val="28"/>
          <w:highlight w:val="none"/>
        </w:rPr>
        <w:t>月</w:t>
      </w:r>
      <w:r>
        <w:rPr>
          <w:rFonts w:eastAsia="黑体"/>
          <w:color w:val="auto"/>
          <w:sz w:val="28"/>
          <w:szCs w:val="28"/>
          <w:highlight w:val="none"/>
          <w:u w:val="single"/>
        </w:rPr>
        <w:t xml:space="preserve">        </w:t>
      </w:r>
      <w:r>
        <w:rPr>
          <w:rFonts w:hint="eastAsia" w:eastAsia="黑体"/>
          <w:color w:val="auto"/>
          <w:sz w:val="28"/>
          <w:szCs w:val="28"/>
          <w:highlight w:val="none"/>
        </w:rPr>
        <w:t>日</w:t>
      </w:r>
    </w:p>
    <w:p w14:paraId="16F4954E">
      <w:pPr>
        <w:pStyle w:val="44"/>
        <w:ind w:left="0" w:leftChars="0" w:firstLine="0" w:firstLineChars="0"/>
        <w:rPr>
          <w:color w:val="auto"/>
          <w:highlight w:val="none"/>
        </w:rPr>
      </w:pPr>
    </w:p>
    <w:p w14:paraId="1A91F60D">
      <w:pPr>
        <w:rPr>
          <w:color w:val="auto"/>
          <w:highlight w:val="none"/>
        </w:rPr>
      </w:pPr>
    </w:p>
    <w:p w14:paraId="62ED922F">
      <w:pPr>
        <w:pStyle w:val="44"/>
        <w:ind w:left="31680" w:firstLine="31680"/>
        <w:rPr>
          <w:color w:val="auto"/>
          <w:highlight w:val="none"/>
        </w:rPr>
      </w:pPr>
    </w:p>
    <w:p w14:paraId="77C9B454">
      <w:pPr>
        <w:spacing w:beforeLines="50" w:afterLines="50" w:line="440" w:lineRule="exact"/>
        <w:ind w:firstLine="643" w:firstLineChars="200"/>
        <w:jc w:val="left"/>
        <w:rPr>
          <w:rStyle w:val="65"/>
          <w:rFonts w:ascii="宋体" w:cs="宋体"/>
          <w:bCs/>
          <w:color w:val="auto"/>
          <w:sz w:val="32"/>
          <w:szCs w:val="44"/>
          <w:highlight w:val="none"/>
        </w:rPr>
      </w:pPr>
      <w:bookmarkStart w:id="850" w:name="_Toc35424973"/>
      <w:bookmarkStart w:id="851" w:name="_Toc19174"/>
      <w:bookmarkStart w:id="852" w:name="_Toc35425139"/>
    </w:p>
    <w:p w14:paraId="3F76AE2C">
      <w:pPr>
        <w:pStyle w:val="44"/>
        <w:rPr>
          <w:color w:val="auto"/>
          <w:highlight w:val="none"/>
        </w:rPr>
      </w:pPr>
    </w:p>
    <w:p w14:paraId="487F0F21">
      <w:pPr>
        <w:rPr>
          <w:rStyle w:val="65"/>
          <w:rFonts w:hint="eastAsia" w:ascii="宋体" w:hAnsi="宋体" w:cs="宋体"/>
          <w:bCs/>
          <w:color w:val="auto"/>
          <w:sz w:val="32"/>
          <w:szCs w:val="44"/>
          <w:highlight w:val="none"/>
        </w:rPr>
      </w:pPr>
      <w:r>
        <w:rPr>
          <w:rStyle w:val="65"/>
          <w:rFonts w:hint="eastAsia" w:ascii="宋体" w:hAnsi="宋体" w:cs="宋体"/>
          <w:bCs/>
          <w:color w:val="auto"/>
          <w:sz w:val="32"/>
          <w:szCs w:val="44"/>
          <w:highlight w:val="none"/>
        </w:rPr>
        <w:br w:type="page"/>
      </w:r>
    </w:p>
    <w:p w14:paraId="6742C783">
      <w:pPr>
        <w:spacing w:beforeLines="50" w:afterLines="50" w:line="440" w:lineRule="exact"/>
        <w:ind w:firstLine="643" w:firstLineChars="200"/>
        <w:jc w:val="left"/>
        <w:rPr>
          <w:rStyle w:val="65"/>
          <w:rFonts w:ascii="宋体" w:cs="宋体"/>
          <w:bCs/>
          <w:color w:val="auto"/>
          <w:sz w:val="32"/>
          <w:szCs w:val="44"/>
          <w:highlight w:val="none"/>
        </w:rPr>
      </w:pPr>
      <w:r>
        <w:rPr>
          <w:rStyle w:val="65"/>
          <w:rFonts w:hint="eastAsia" w:ascii="宋体" w:hAnsi="宋体" w:cs="宋体"/>
          <w:bCs/>
          <w:color w:val="auto"/>
          <w:sz w:val="32"/>
          <w:szCs w:val="44"/>
          <w:highlight w:val="none"/>
        </w:rPr>
        <w:t>投标文件</w:t>
      </w:r>
      <w:bookmarkEnd w:id="850"/>
      <w:bookmarkEnd w:id="851"/>
      <w:bookmarkEnd w:id="852"/>
      <w:r>
        <w:rPr>
          <w:rStyle w:val="65"/>
          <w:rFonts w:hint="eastAsia" w:ascii="宋体" w:hAnsi="宋体" w:cs="宋体"/>
          <w:bCs/>
          <w:color w:val="auto"/>
          <w:sz w:val="32"/>
          <w:szCs w:val="44"/>
          <w:highlight w:val="none"/>
          <w:lang w:val="en-US"/>
        </w:rPr>
        <w:t>二</w:t>
      </w:r>
      <w:r>
        <w:rPr>
          <w:rStyle w:val="65"/>
          <w:rFonts w:hint="eastAsia" w:ascii="宋体" w:hAnsi="宋体" w:cs="宋体"/>
          <w:bCs/>
          <w:color w:val="auto"/>
          <w:sz w:val="32"/>
          <w:szCs w:val="44"/>
          <w:highlight w:val="none"/>
        </w:rPr>
        <w:t>：商务标目录</w:t>
      </w:r>
    </w:p>
    <w:p w14:paraId="06438795">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）投标函（格式见附件）；</w:t>
      </w:r>
      <w:r>
        <w:rPr>
          <w:rFonts w:ascii="宋体" w:hAnsi="宋体" w:cs="宋体"/>
          <w:color w:val="auto"/>
          <w:highlight w:val="none"/>
        </w:rPr>
        <w:t xml:space="preserve">    </w:t>
      </w:r>
    </w:p>
    <w:p w14:paraId="7644208E">
      <w:pPr>
        <w:spacing w:line="440" w:lineRule="exact"/>
        <w:ind w:firstLine="420" w:firstLineChars="200"/>
        <w:jc w:val="left"/>
        <w:rPr>
          <w:rFonts w:ascii="宋体" w:cs="宋体"/>
          <w:color w:val="auto"/>
          <w:szCs w:val="21"/>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）详细评审所需其他材料。</w:t>
      </w:r>
    </w:p>
    <w:p w14:paraId="1140F20D">
      <w:pPr>
        <w:spacing w:line="540" w:lineRule="exact"/>
        <w:rPr>
          <w:color w:val="auto"/>
          <w:highlight w:val="none"/>
        </w:rPr>
      </w:pPr>
    </w:p>
    <w:p w14:paraId="7B2EA6E0">
      <w:pPr>
        <w:spacing w:line="540" w:lineRule="exact"/>
        <w:rPr>
          <w:rFonts w:eastAsia="黑体"/>
          <w:color w:val="auto"/>
          <w:sz w:val="20"/>
          <w:szCs w:val="20"/>
          <w:highlight w:val="none"/>
        </w:rPr>
      </w:pPr>
    </w:p>
    <w:p w14:paraId="4D2629AD">
      <w:pPr>
        <w:spacing w:line="540" w:lineRule="exact"/>
        <w:rPr>
          <w:rFonts w:eastAsia="黑体"/>
          <w:color w:val="auto"/>
          <w:sz w:val="20"/>
          <w:szCs w:val="20"/>
          <w:highlight w:val="none"/>
        </w:rPr>
      </w:pPr>
    </w:p>
    <w:p w14:paraId="63436E21">
      <w:pPr>
        <w:spacing w:line="540" w:lineRule="exact"/>
        <w:rPr>
          <w:rFonts w:eastAsia="黑体"/>
          <w:color w:val="auto"/>
          <w:sz w:val="20"/>
          <w:szCs w:val="20"/>
          <w:highlight w:val="none"/>
        </w:rPr>
      </w:pPr>
    </w:p>
    <w:p w14:paraId="3135DB03">
      <w:pPr>
        <w:spacing w:line="360" w:lineRule="auto"/>
        <w:ind w:firstLine="420" w:firstLineChars="200"/>
        <w:jc w:val="right"/>
        <w:rPr>
          <w:color w:val="auto"/>
          <w:szCs w:val="21"/>
          <w:highlight w:val="none"/>
          <w:u w:val="single"/>
        </w:rPr>
      </w:pPr>
    </w:p>
    <w:p w14:paraId="4A2F4057">
      <w:pPr>
        <w:spacing w:line="360" w:lineRule="auto"/>
        <w:ind w:firstLine="420" w:firstLineChars="200"/>
        <w:jc w:val="right"/>
        <w:rPr>
          <w:color w:val="auto"/>
          <w:szCs w:val="21"/>
          <w:highlight w:val="none"/>
          <w:u w:val="single"/>
        </w:rPr>
      </w:pPr>
    </w:p>
    <w:p w14:paraId="7D447743">
      <w:pPr>
        <w:spacing w:line="360" w:lineRule="auto"/>
        <w:ind w:firstLine="420" w:firstLineChars="200"/>
        <w:jc w:val="right"/>
        <w:rPr>
          <w:color w:val="auto"/>
          <w:szCs w:val="21"/>
          <w:highlight w:val="none"/>
          <w:u w:val="single"/>
        </w:rPr>
      </w:pPr>
    </w:p>
    <w:p w14:paraId="60541362">
      <w:pPr>
        <w:spacing w:line="360" w:lineRule="auto"/>
        <w:ind w:firstLine="420" w:firstLineChars="200"/>
        <w:jc w:val="right"/>
        <w:rPr>
          <w:color w:val="auto"/>
          <w:szCs w:val="21"/>
          <w:highlight w:val="none"/>
          <w:u w:val="single"/>
        </w:rPr>
      </w:pPr>
    </w:p>
    <w:p w14:paraId="38FE964A">
      <w:pPr>
        <w:spacing w:line="360" w:lineRule="auto"/>
        <w:ind w:firstLine="420" w:firstLineChars="200"/>
        <w:jc w:val="right"/>
        <w:rPr>
          <w:color w:val="auto"/>
          <w:szCs w:val="21"/>
          <w:highlight w:val="none"/>
          <w:u w:val="single"/>
        </w:rPr>
      </w:pPr>
    </w:p>
    <w:p w14:paraId="4F557B34">
      <w:pPr>
        <w:spacing w:line="360" w:lineRule="auto"/>
        <w:ind w:firstLine="420" w:firstLineChars="200"/>
        <w:jc w:val="right"/>
        <w:rPr>
          <w:color w:val="auto"/>
          <w:szCs w:val="21"/>
          <w:highlight w:val="none"/>
          <w:u w:val="single"/>
        </w:rPr>
      </w:pPr>
    </w:p>
    <w:p w14:paraId="009EEAA1">
      <w:pPr>
        <w:spacing w:line="360" w:lineRule="auto"/>
        <w:ind w:firstLine="420" w:firstLineChars="200"/>
        <w:jc w:val="right"/>
        <w:rPr>
          <w:color w:val="auto"/>
          <w:szCs w:val="21"/>
          <w:highlight w:val="none"/>
          <w:u w:val="single"/>
        </w:rPr>
      </w:pPr>
    </w:p>
    <w:p w14:paraId="7F525331">
      <w:pPr>
        <w:spacing w:line="360" w:lineRule="auto"/>
        <w:ind w:firstLine="420" w:firstLineChars="200"/>
        <w:jc w:val="right"/>
        <w:rPr>
          <w:color w:val="auto"/>
          <w:szCs w:val="21"/>
          <w:highlight w:val="none"/>
          <w:u w:val="single"/>
        </w:rPr>
      </w:pPr>
    </w:p>
    <w:p w14:paraId="0DF31794">
      <w:pPr>
        <w:jc w:val="center"/>
        <w:rPr>
          <w:b/>
          <w:color w:val="auto"/>
          <w:sz w:val="32"/>
          <w:szCs w:val="32"/>
          <w:highlight w:val="none"/>
        </w:rPr>
      </w:pPr>
    </w:p>
    <w:p w14:paraId="6D8509AE">
      <w:pPr>
        <w:jc w:val="center"/>
        <w:rPr>
          <w:b/>
          <w:color w:val="auto"/>
          <w:sz w:val="32"/>
          <w:szCs w:val="32"/>
          <w:highlight w:val="none"/>
        </w:rPr>
      </w:pPr>
    </w:p>
    <w:p w14:paraId="6E6E53B5">
      <w:pPr>
        <w:jc w:val="center"/>
        <w:rPr>
          <w:b/>
          <w:color w:val="auto"/>
          <w:sz w:val="32"/>
          <w:szCs w:val="32"/>
          <w:highlight w:val="none"/>
        </w:rPr>
      </w:pPr>
    </w:p>
    <w:p w14:paraId="282A6FBD">
      <w:pPr>
        <w:jc w:val="center"/>
        <w:rPr>
          <w:b/>
          <w:color w:val="auto"/>
          <w:sz w:val="32"/>
          <w:szCs w:val="32"/>
          <w:highlight w:val="none"/>
        </w:rPr>
      </w:pPr>
    </w:p>
    <w:p w14:paraId="77799754">
      <w:pPr>
        <w:jc w:val="center"/>
        <w:rPr>
          <w:b/>
          <w:color w:val="auto"/>
          <w:sz w:val="32"/>
          <w:szCs w:val="32"/>
          <w:highlight w:val="none"/>
        </w:rPr>
      </w:pPr>
    </w:p>
    <w:p w14:paraId="085AC612">
      <w:pPr>
        <w:spacing w:line="360" w:lineRule="auto"/>
        <w:rPr>
          <w:b/>
          <w:bCs/>
          <w:color w:val="auto"/>
          <w:sz w:val="32"/>
          <w:szCs w:val="32"/>
          <w:highlight w:val="none"/>
        </w:rPr>
      </w:pPr>
    </w:p>
    <w:p w14:paraId="1C08996C">
      <w:pPr>
        <w:pStyle w:val="44"/>
        <w:ind w:left="31680" w:firstLine="31680"/>
        <w:rPr>
          <w:color w:val="auto"/>
          <w:highlight w:val="none"/>
        </w:rPr>
      </w:pPr>
    </w:p>
    <w:p w14:paraId="3E26CEA2">
      <w:pPr>
        <w:rPr>
          <w:color w:val="auto"/>
          <w:highlight w:val="none"/>
        </w:rPr>
      </w:pPr>
      <w:r>
        <w:rPr>
          <w:rFonts w:ascii="宋体"/>
          <w:b/>
          <w:color w:val="auto"/>
          <w:sz w:val="32"/>
          <w:szCs w:val="32"/>
          <w:highlight w:val="none"/>
        </w:rPr>
        <w:br w:type="page"/>
      </w:r>
    </w:p>
    <w:p w14:paraId="4437649B">
      <w:pPr>
        <w:jc w:val="center"/>
        <w:rPr>
          <w:rFonts w:ascii="宋体"/>
          <w:b/>
          <w:color w:val="auto"/>
          <w:sz w:val="32"/>
          <w:szCs w:val="32"/>
          <w:highlight w:val="none"/>
        </w:rPr>
      </w:pPr>
      <w:r>
        <w:rPr>
          <w:rFonts w:hint="eastAsia" w:ascii="宋体" w:hAnsi="宋体"/>
          <w:b/>
          <w:color w:val="auto"/>
          <w:sz w:val="32"/>
          <w:szCs w:val="32"/>
          <w:highlight w:val="none"/>
        </w:rPr>
        <w:t>（</w:t>
      </w:r>
      <w:r>
        <w:rPr>
          <w:rFonts w:ascii="宋体" w:hAnsi="宋体"/>
          <w:b/>
          <w:color w:val="auto"/>
          <w:sz w:val="32"/>
          <w:szCs w:val="32"/>
          <w:highlight w:val="none"/>
        </w:rPr>
        <w:t>1</w:t>
      </w:r>
      <w:r>
        <w:rPr>
          <w:rFonts w:hint="eastAsia" w:ascii="宋体" w:hAnsi="宋体"/>
          <w:b/>
          <w:color w:val="auto"/>
          <w:sz w:val="32"/>
          <w:szCs w:val="32"/>
          <w:highlight w:val="none"/>
        </w:rPr>
        <w:t>）投标函</w:t>
      </w:r>
    </w:p>
    <w:p w14:paraId="1D57ABE5">
      <w:pPr>
        <w:spacing w:line="500" w:lineRule="exact"/>
        <w:ind w:firstLine="422" w:firstLineChars="200"/>
        <w:jc w:val="left"/>
        <w:rPr>
          <w:rFonts w:ascii="宋体" w:cs="宋体"/>
          <w:color w:val="auto"/>
          <w:highlight w:val="none"/>
        </w:rPr>
      </w:pPr>
      <w:r>
        <w:rPr>
          <w:rFonts w:hint="eastAsia" w:ascii="宋体" w:hAnsi="宋体" w:cs="宋体"/>
          <w:b/>
          <w:bCs/>
          <w:color w:val="auto"/>
          <w:highlight w:val="none"/>
        </w:rPr>
        <w:t>致</w:t>
      </w:r>
      <w:r>
        <w:rPr>
          <w:rFonts w:ascii="宋体" w:hAnsi="宋体" w:cs="宋体"/>
          <w:b/>
          <w:bCs/>
          <w:color w:val="auto"/>
          <w:highlight w:val="none"/>
        </w:rPr>
        <w:t xml:space="preserve"> </w:t>
      </w:r>
      <w:r>
        <w:rPr>
          <w:rFonts w:hint="eastAsia" w:ascii="宋体" w:hAnsi="宋体" w:cs="宋体"/>
          <w:b/>
          <w:bCs/>
          <w:color w:val="auto"/>
          <w:highlight w:val="none"/>
        </w:rPr>
        <w:t>：</w:t>
      </w:r>
      <w:r>
        <w:rPr>
          <w:rFonts w:ascii="宋体" w:hAnsi="宋体" w:cs="宋体"/>
          <w:b/>
          <w:bCs/>
          <w:color w:val="auto"/>
          <w:highlight w:val="none"/>
          <w:u w:val="single"/>
        </w:rPr>
        <w:t xml:space="preserve">       </w:t>
      </w:r>
      <w:r>
        <w:rPr>
          <w:rFonts w:hint="eastAsia" w:ascii="宋体" w:hAnsi="宋体" w:cs="宋体"/>
          <w:b/>
          <w:bCs/>
          <w:color w:val="auto"/>
          <w:highlight w:val="none"/>
          <w:u w:val="single"/>
        </w:rPr>
        <w:t>（招标人）</w:t>
      </w:r>
      <w:r>
        <w:rPr>
          <w:rFonts w:ascii="宋体" w:hAnsi="宋体" w:cs="宋体"/>
          <w:b/>
          <w:bCs/>
          <w:color w:val="auto"/>
          <w:highlight w:val="none"/>
          <w:u w:val="single"/>
        </w:rPr>
        <w:t xml:space="preserve"> </w:t>
      </w:r>
      <w:r>
        <w:rPr>
          <w:rFonts w:ascii="宋体" w:hAnsi="宋体" w:cs="宋体"/>
          <w:color w:val="auto"/>
          <w:highlight w:val="none"/>
        </w:rPr>
        <w:t xml:space="preserve">  </w:t>
      </w:r>
    </w:p>
    <w:p w14:paraId="6FA050BA">
      <w:pPr>
        <w:spacing w:line="500" w:lineRule="exact"/>
        <w:ind w:firstLine="525" w:firstLineChars="250"/>
        <w:jc w:val="left"/>
        <w:rPr>
          <w:rFonts w:ascii="宋体" w:cs="宋体"/>
          <w:color w:val="auto"/>
          <w:highlight w:val="none"/>
        </w:rPr>
      </w:pPr>
      <w:r>
        <w:rPr>
          <w:rFonts w:hint="eastAsia" w:ascii="宋体" w:hAnsi="宋体" w:cs="宋体"/>
          <w:color w:val="auto"/>
          <w:highlight w:val="none"/>
        </w:rPr>
        <w:t>我们决定参加贵单位组织的“</w:t>
      </w:r>
      <w:r>
        <w:rPr>
          <w:rFonts w:ascii="宋体" w:hAnsi="宋体" w:cs="宋体"/>
          <w:color w:val="auto"/>
          <w:highlight w:val="none"/>
          <w:u w:val="single"/>
        </w:rPr>
        <w:t xml:space="preserve">         </w:t>
      </w:r>
      <w:r>
        <w:rPr>
          <w:rFonts w:hint="eastAsia" w:ascii="宋体" w:hAnsi="宋体" w:cs="宋体"/>
          <w:color w:val="auto"/>
          <w:highlight w:val="none"/>
          <w:u w:val="single"/>
        </w:rPr>
        <w:t>（项目名称、项目编号）</w:t>
      </w:r>
      <w:r>
        <w:rPr>
          <w:rFonts w:hint="eastAsia" w:ascii="宋体" w:hAnsi="宋体" w:cs="宋体"/>
          <w:color w:val="auto"/>
          <w:highlight w:val="none"/>
        </w:rPr>
        <w:t>”的项目。我方授权</w:t>
      </w:r>
      <w:r>
        <w:rPr>
          <w:rFonts w:ascii="宋体" w:hAnsi="宋体" w:cs="宋体"/>
          <w:color w:val="auto"/>
          <w:highlight w:val="none"/>
        </w:rPr>
        <w:t xml:space="preserve"> </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u w:val="single"/>
        </w:rPr>
        <w:t>姓名和职务</w:t>
      </w:r>
      <w:r>
        <w:rPr>
          <w:rFonts w:ascii="宋体" w:hAnsi="宋体" w:cs="宋体"/>
          <w:color w:val="auto"/>
          <w:highlight w:val="none"/>
        </w:rPr>
        <w:t>)</w:t>
      </w:r>
      <w:r>
        <w:rPr>
          <w:rFonts w:hint="eastAsia" w:ascii="宋体" w:hAnsi="宋体" w:cs="宋体"/>
          <w:color w:val="auto"/>
          <w:highlight w:val="none"/>
        </w:rPr>
        <w:t>代表我方</w:t>
      </w:r>
      <w:r>
        <w:rPr>
          <w:rFonts w:ascii="宋体" w:hAnsi="宋体" w:cs="宋体"/>
          <w:color w:val="auto"/>
          <w:highlight w:val="none"/>
        </w:rPr>
        <w:t xml:space="preserve"> </w:t>
      </w:r>
      <w:r>
        <w:rPr>
          <w:rFonts w:ascii="宋体" w:hAnsi="宋体" w:cs="宋体"/>
          <w:color w:val="auto"/>
          <w:highlight w:val="none"/>
          <w:u w:val="single"/>
        </w:rPr>
        <w:t xml:space="preserve">             </w:t>
      </w:r>
      <w:r>
        <w:rPr>
          <w:rFonts w:hint="eastAsia" w:ascii="宋体" w:hAnsi="宋体" w:cs="宋体"/>
          <w:color w:val="auto"/>
          <w:highlight w:val="none"/>
        </w:rPr>
        <w:t>（投标单位的名称）全权处理本项目投标的有关事宜</w:t>
      </w:r>
      <w:r>
        <w:rPr>
          <w:rFonts w:ascii="宋体" w:hAnsi="宋体" w:cs="宋体"/>
          <w:color w:val="auto"/>
          <w:highlight w:val="none"/>
        </w:rPr>
        <w:t xml:space="preserve"> </w:t>
      </w:r>
    </w:p>
    <w:p w14:paraId="68EB6E3F">
      <w:pPr>
        <w:spacing w:line="500" w:lineRule="exact"/>
        <w:ind w:firstLine="420" w:firstLineChars="200"/>
        <w:jc w:val="left"/>
        <w:rPr>
          <w:rFonts w:ascii="宋体" w:cs="宋体"/>
          <w:color w:val="auto"/>
          <w:szCs w:val="21"/>
          <w:highlight w:val="none"/>
        </w:rPr>
      </w:pPr>
      <w:r>
        <w:rPr>
          <w:rFonts w:ascii="宋体" w:hAnsi="宋体" w:cs="宋体"/>
          <w:color w:val="auto"/>
          <w:highlight w:val="none"/>
        </w:rPr>
        <w:t>1</w:t>
      </w:r>
      <w:r>
        <w:rPr>
          <w:rFonts w:hint="eastAsia" w:ascii="宋体" w:hAnsi="宋体" w:cs="宋体"/>
          <w:color w:val="auto"/>
          <w:highlight w:val="none"/>
          <w:lang w:val="en-US" w:eastAsia="zh-CN"/>
        </w:rPr>
        <w:t>.</w:t>
      </w:r>
      <w:r>
        <w:rPr>
          <w:rFonts w:hint="eastAsia" w:ascii="宋体" w:hAnsi="宋体" w:cs="宋体"/>
          <w:color w:val="auto"/>
          <w:highlight w:val="none"/>
        </w:rPr>
        <w:t>我们已仔细地研究了</w:t>
      </w:r>
      <w:r>
        <w:rPr>
          <w:rFonts w:ascii="宋体" w:hAnsi="宋体" w:cs="宋体"/>
          <w:color w:val="auto"/>
          <w:highlight w:val="none"/>
          <w:u w:val="single"/>
        </w:rPr>
        <w:t xml:space="preserve">                </w:t>
      </w:r>
      <w:r>
        <w:rPr>
          <w:rFonts w:hint="eastAsia" w:ascii="宋体" w:hAnsi="宋体" w:cs="宋体"/>
          <w:color w:val="auto"/>
          <w:highlight w:val="none"/>
          <w:u w:val="single"/>
        </w:rPr>
        <w:t>（项目名称）</w:t>
      </w:r>
      <w:r>
        <w:rPr>
          <w:rFonts w:hint="eastAsia" w:ascii="宋体" w:hAnsi="宋体" w:cs="宋体"/>
          <w:color w:val="auto"/>
          <w:highlight w:val="none"/>
        </w:rPr>
        <w:t>招标文件的全部内容，包括但不限于承包人须知合同条件、工作要求，以及全部补遗和澄清文件。我们已了解和审核了全部招标文件，并完全理解了招标文件</w:t>
      </w:r>
      <w:r>
        <w:rPr>
          <w:rFonts w:hint="eastAsia" w:ascii="宋体" w:hAnsi="宋体" w:cs="宋体"/>
          <w:color w:val="auto"/>
          <w:spacing w:val="-1"/>
          <w:highlight w:val="none"/>
        </w:rPr>
        <w:t>规定的合同范围，工作要求，并考虑到了潜在所有风险。据此我方愿以</w:t>
      </w:r>
      <w:r>
        <w:rPr>
          <w:rFonts w:hint="eastAsia" w:ascii="宋体" w:hAnsi="宋体" w:cs="宋体"/>
          <w:color w:val="auto"/>
          <w:spacing w:val="-1"/>
          <w:highlight w:val="none"/>
          <w:lang w:val="en-US" w:eastAsia="zh-CN"/>
        </w:rPr>
        <w:t>费</w:t>
      </w:r>
      <w:r>
        <w:rPr>
          <w:rFonts w:hint="eastAsia" w:ascii="宋体" w:hAnsi="宋体" w:cs="宋体"/>
          <w:color w:val="auto"/>
          <w:spacing w:val="-1"/>
          <w:highlight w:val="none"/>
        </w:rPr>
        <w:t>率：</w:t>
      </w:r>
      <w:r>
        <w:rPr>
          <w:rFonts w:hint="eastAsia" w:ascii="宋体" w:hAnsi="宋体" w:cs="宋体"/>
          <w:color w:val="auto"/>
          <w:spacing w:val="-1"/>
          <w:highlight w:val="none"/>
          <w:u w:val="single"/>
        </w:rPr>
        <w:t>大写</w:t>
      </w:r>
      <w:r>
        <w:rPr>
          <w:rFonts w:hint="eastAsia" w:ascii="宋体" w:hAnsi="宋体" w:cs="宋体"/>
          <w:color w:val="auto"/>
          <w:spacing w:val="-1"/>
          <w:highlight w:val="none"/>
          <w:u w:val="single"/>
          <w:lang w:val="en-US" w:eastAsia="zh-CN"/>
        </w:rPr>
        <w:t>千</w:t>
      </w:r>
      <w:r>
        <w:rPr>
          <w:rFonts w:hint="eastAsia" w:ascii="宋体" w:hAnsi="宋体" w:cs="宋体"/>
          <w:color w:val="auto"/>
          <w:spacing w:val="-1"/>
          <w:highlight w:val="none"/>
          <w:u w:val="single"/>
        </w:rPr>
        <w:t>分之</w:t>
      </w:r>
      <w:r>
        <w:rPr>
          <w:rFonts w:ascii="宋体" w:hAnsi="宋体" w:cs="宋体"/>
          <w:color w:val="auto"/>
          <w:spacing w:val="56"/>
          <w:highlight w:val="none"/>
          <w:u w:val="single"/>
        </w:rPr>
        <w:t xml:space="preserve">   </w:t>
      </w:r>
      <w:r>
        <w:rPr>
          <w:rFonts w:hint="eastAsia" w:ascii="宋体" w:hAnsi="宋体" w:cs="宋体"/>
          <w:color w:val="auto"/>
          <w:spacing w:val="56"/>
          <w:highlight w:val="none"/>
          <w:u w:val="single"/>
        </w:rPr>
        <w:t>小写</w:t>
      </w:r>
      <w:r>
        <w:rPr>
          <w:rFonts w:ascii="宋体" w:hAnsi="宋体" w:cs="宋体"/>
          <w:color w:val="auto"/>
          <w:spacing w:val="56"/>
          <w:highlight w:val="none"/>
          <w:u w:val="single"/>
        </w:rPr>
        <w:t xml:space="preserve">  </w:t>
      </w:r>
      <w:r>
        <w:rPr>
          <w:rFonts w:hint="default" w:ascii="Arial" w:hAnsi="Arial" w:cs="Arial"/>
          <w:color w:val="auto"/>
          <w:highlight w:val="none"/>
        </w:rPr>
        <w:t>‰</w:t>
      </w:r>
      <w:r>
        <w:rPr>
          <w:rFonts w:hint="eastAsia" w:ascii="宋体" w:hAnsi="宋体" w:cs="宋体"/>
          <w:color w:val="auto"/>
          <w:highlight w:val="none"/>
        </w:rPr>
        <w:t>（小数点后保留</w:t>
      </w:r>
      <w:r>
        <w:rPr>
          <w:rFonts w:hint="eastAsia" w:ascii="宋体" w:hAnsi="宋体" w:cs="宋体"/>
          <w:color w:val="auto"/>
          <w:highlight w:val="none"/>
          <w:lang w:val="en-US" w:eastAsia="zh-CN"/>
        </w:rPr>
        <w:t>3</w:t>
      </w:r>
      <w:r>
        <w:rPr>
          <w:rFonts w:hint="eastAsia" w:ascii="宋体" w:hAnsi="宋体" w:cs="宋体"/>
          <w:color w:val="auto"/>
          <w:highlight w:val="none"/>
        </w:rPr>
        <w:t>位）为报价费率，作为本工程项目</w:t>
      </w:r>
      <w:r>
        <w:rPr>
          <w:rFonts w:hint="eastAsia" w:ascii="宋体" w:hAnsi="宋体" w:cs="宋体"/>
          <w:color w:val="auto"/>
          <w:highlight w:val="none"/>
          <w:lang w:val="en-US" w:eastAsia="zh-CN"/>
        </w:rPr>
        <w:t>工程量清单及最高投标限价编制服务</w:t>
      </w:r>
      <w:r>
        <w:rPr>
          <w:rFonts w:hint="eastAsia" w:ascii="宋体" w:hAnsi="宋体" w:cs="宋体"/>
          <w:color w:val="auto"/>
          <w:highlight w:val="none"/>
        </w:rPr>
        <w:t>工作所需的全部费用。</w:t>
      </w:r>
    </w:p>
    <w:p w14:paraId="58CCB313">
      <w:pPr>
        <w:spacing w:line="500" w:lineRule="exact"/>
        <w:ind w:firstLine="420" w:firstLineChars="200"/>
        <w:jc w:val="left"/>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lang w:val="en-US" w:eastAsia="zh-CN"/>
        </w:rPr>
        <w:t>.</w:t>
      </w:r>
      <w:r>
        <w:rPr>
          <w:rFonts w:hint="eastAsia" w:ascii="宋体" w:hAnsi="宋体" w:cs="宋体"/>
          <w:color w:val="auto"/>
          <w:highlight w:val="none"/>
        </w:rPr>
        <w:t>一旦我方中标，我方将派出</w:t>
      </w:r>
      <w:r>
        <w:rPr>
          <w:rFonts w:ascii="宋体" w:hAnsi="宋体" w:cs="宋体"/>
          <w:color w:val="auto"/>
          <w:highlight w:val="none"/>
          <w:u w:val="single"/>
        </w:rPr>
        <w:t xml:space="preserve">        </w:t>
      </w:r>
      <w:r>
        <w:rPr>
          <w:rFonts w:hint="eastAsia" w:ascii="宋体" w:hAnsi="宋体" w:cs="宋体"/>
          <w:color w:val="auto"/>
          <w:highlight w:val="none"/>
        </w:rPr>
        <w:t>为本</w:t>
      </w:r>
      <w:r>
        <w:rPr>
          <w:rFonts w:hint="eastAsia" w:ascii="宋体" w:hAnsi="宋体" w:cs="宋体"/>
          <w:color w:val="auto"/>
          <w:highlight w:val="none"/>
          <w:lang w:val="en-US" w:eastAsia="zh-CN"/>
        </w:rPr>
        <w:t>项目项目负责人</w:t>
      </w:r>
      <w:r>
        <w:rPr>
          <w:rFonts w:hint="eastAsia" w:ascii="宋体" w:hAnsi="宋体" w:cs="宋体"/>
          <w:color w:val="auto"/>
          <w:highlight w:val="none"/>
        </w:rPr>
        <w:t>。</w:t>
      </w:r>
    </w:p>
    <w:p w14:paraId="2203E444">
      <w:pPr>
        <w:spacing w:line="500" w:lineRule="exact"/>
        <w:ind w:firstLine="420" w:firstLineChars="200"/>
        <w:jc w:val="left"/>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lang w:val="en-US" w:eastAsia="zh-CN"/>
        </w:rPr>
        <w:t>.</w:t>
      </w:r>
      <w:r>
        <w:rPr>
          <w:rFonts w:hint="eastAsia" w:ascii="宋体" w:hAnsi="宋体" w:cs="宋体"/>
          <w:color w:val="auto"/>
          <w:highlight w:val="none"/>
        </w:rPr>
        <w:t>如果贵方接受我单位中标，我单位保证在承包人须知规定的期限内，按本投标配备的人员及时开展工作，否则，贵方有权单方面终止合同，并令我单位立即退场，工程项目另行处理，由此造成的一切损失由我单位负责赔偿。</w:t>
      </w:r>
    </w:p>
    <w:p w14:paraId="579AF6FC">
      <w:pPr>
        <w:spacing w:line="50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w:t>
      </w:r>
      <w:r>
        <w:rPr>
          <w:rFonts w:hint="eastAsia" w:ascii="宋体" w:hAnsi="宋体" w:cs="宋体"/>
          <w:color w:val="auto"/>
          <w:highlight w:val="none"/>
        </w:rPr>
        <w:t>我们声明，本投标文件的全部内容我公司已了解和熟悉，并承诺中标后严格按此投标文件执行。</w:t>
      </w:r>
    </w:p>
    <w:p w14:paraId="44BEB2C3">
      <w:pPr>
        <w:spacing w:line="500" w:lineRule="exact"/>
        <w:ind w:firstLine="420" w:firstLineChars="200"/>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cs="宋体"/>
          <w:color w:val="auto"/>
          <w:szCs w:val="21"/>
          <w:highlight w:val="none"/>
        </w:rPr>
        <w:t>投标有效期为</w:t>
      </w:r>
      <w:r>
        <w:rPr>
          <w:rFonts w:hint="eastAsia" w:ascii="宋体" w:hAnsi="宋体" w:cs="宋体"/>
          <w:color w:val="auto"/>
          <w:szCs w:val="21"/>
          <w:highlight w:val="none"/>
          <w:u w:val="single"/>
        </w:rPr>
        <w:t xml:space="preserve"> 90</w:t>
      </w:r>
      <w:r>
        <w:rPr>
          <w:rFonts w:hint="eastAsia" w:ascii="宋体" w:hAnsi="宋体" w:cs="宋体"/>
          <w:color w:val="auto"/>
          <w:szCs w:val="21"/>
          <w:highlight w:val="none"/>
        </w:rPr>
        <w:t>日历天（从投标截止之日算起）。</w:t>
      </w:r>
    </w:p>
    <w:p w14:paraId="6AF307F4">
      <w:pPr>
        <w:spacing w:line="500" w:lineRule="exact"/>
        <w:ind w:firstLine="420" w:firstLineChars="200"/>
        <w:jc w:val="left"/>
        <w:rPr>
          <w:rFonts w:asci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单位提供如下通讯地址：</w:t>
      </w:r>
      <w:r>
        <w:rPr>
          <w:rFonts w:ascii="宋体" w:hAnsi="宋体" w:cs="宋体"/>
          <w:color w:val="auto"/>
          <w:highlight w:val="none"/>
          <w:u w:val="single"/>
        </w:rPr>
        <w:t xml:space="preserve">           </w:t>
      </w:r>
      <w:r>
        <w:rPr>
          <w:rFonts w:hint="eastAsia" w:ascii="宋体" w:hAnsi="宋体" w:cs="宋体"/>
          <w:color w:val="auto"/>
          <w:highlight w:val="none"/>
        </w:rPr>
        <w:t>电子邮箱（地址），确认本项目相关法律文书均通过提供的以上地址送达，相关文书只要发送至以上电子邮箱（地址）即视为送达，投标人愿意承担一切法律后果。</w:t>
      </w:r>
    </w:p>
    <w:p w14:paraId="1CC2EE53">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对本招标文件的所有条款进行承诺。</w:t>
      </w:r>
    </w:p>
    <w:p w14:paraId="34837182">
      <w:pPr>
        <w:spacing w:line="500" w:lineRule="exact"/>
        <w:ind w:firstLine="2310" w:firstLineChars="1100"/>
        <w:jc w:val="left"/>
        <w:rPr>
          <w:rFonts w:ascii="宋体" w:cs="宋体"/>
          <w:color w:val="auto"/>
          <w:szCs w:val="21"/>
          <w:highlight w:val="none"/>
          <w:u w:val="single"/>
        </w:rPr>
      </w:pPr>
      <w:r>
        <w:rPr>
          <w:rFonts w:hint="eastAsia" w:ascii="宋体" w:hAnsi="宋体" w:cs="宋体"/>
          <w:color w:val="auto"/>
          <w:szCs w:val="21"/>
          <w:highlight w:val="none"/>
        </w:rPr>
        <w:t>投标人：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（签章）</w:t>
      </w:r>
      <w:r>
        <w:rPr>
          <w:rFonts w:ascii="宋体" w:hAnsi="宋体" w:cs="宋体"/>
          <w:color w:val="auto"/>
          <w:szCs w:val="21"/>
          <w:highlight w:val="none"/>
          <w:u w:val="single"/>
        </w:rPr>
        <w:t xml:space="preserve">   </w:t>
      </w:r>
    </w:p>
    <w:p w14:paraId="12AEC359">
      <w:pPr>
        <w:spacing w:line="500" w:lineRule="exact"/>
        <w:ind w:firstLine="2310" w:firstLineChars="1100"/>
        <w:jc w:val="left"/>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（签章）</w:t>
      </w:r>
    </w:p>
    <w:p w14:paraId="57592674">
      <w:pPr>
        <w:spacing w:line="500" w:lineRule="exact"/>
        <w:ind w:firstLine="2310" w:firstLineChars="1100"/>
        <w:jc w:val="left"/>
        <w:rPr>
          <w:rFonts w:asci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u w:val="single"/>
        </w:rPr>
        <w:t xml:space="preserve">                                       </w:t>
      </w:r>
    </w:p>
    <w:p w14:paraId="0D48CEE0">
      <w:pPr>
        <w:spacing w:line="500" w:lineRule="exact"/>
        <w:ind w:firstLine="2310" w:firstLineChars="1100"/>
        <w:jc w:val="left"/>
        <w:rPr>
          <w:rFonts w:ascii="宋体" w:cs="宋体"/>
          <w:color w:val="auto"/>
          <w:szCs w:val="21"/>
          <w:highlight w:val="none"/>
          <w:u w:val="single"/>
        </w:rPr>
      </w:pPr>
      <w:r>
        <w:rPr>
          <w:rFonts w:hint="eastAsia" w:ascii="宋体" w:hAnsi="宋体" w:cs="宋体"/>
          <w:color w:val="auto"/>
          <w:szCs w:val="21"/>
          <w:highlight w:val="none"/>
        </w:rPr>
        <w:t>邮政编码：</w:t>
      </w:r>
      <w:r>
        <w:rPr>
          <w:rFonts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ascii="宋体" w:hAnsi="宋体" w:cs="宋体"/>
          <w:color w:val="auto"/>
          <w:szCs w:val="21"/>
          <w:highlight w:val="none"/>
          <w:u w:val="single"/>
        </w:rPr>
        <w:t xml:space="preserve">        </w:t>
      </w:r>
      <w:r>
        <w:rPr>
          <w:rFonts w:hint="eastAsia" w:ascii="宋体" w:hAnsi="宋体" w:cs="宋体"/>
          <w:color w:val="auto"/>
          <w:szCs w:val="21"/>
          <w:highlight w:val="none"/>
        </w:rPr>
        <w:t>传真：</w:t>
      </w:r>
      <w:r>
        <w:rPr>
          <w:rFonts w:ascii="宋体" w:hAnsi="宋体" w:cs="宋体"/>
          <w:color w:val="auto"/>
          <w:szCs w:val="21"/>
          <w:highlight w:val="none"/>
          <w:u w:val="single"/>
        </w:rPr>
        <w:t xml:space="preserve">       </w:t>
      </w:r>
    </w:p>
    <w:p w14:paraId="59EF8A5F">
      <w:pPr>
        <w:spacing w:line="500" w:lineRule="exact"/>
        <w:ind w:firstLine="2310" w:firstLineChars="1100"/>
        <w:jc w:val="left"/>
        <w:rPr>
          <w:rFonts w:ascii="宋体" w:cs="宋体"/>
          <w:color w:val="auto"/>
          <w:szCs w:val="21"/>
          <w:highlight w:val="none"/>
        </w:rPr>
      </w:pPr>
      <w:r>
        <w:rPr>
          <w:rFonts w:hint="eastAsia" w:ascii="宋体" w:hAnsi="宋体" w:cs="宋体"/>
          <w:color w:val="auto"/>
          <w:szCs w:val="21"/>
          <w:highlight w:val="none"/>
        </w:rPr>
        <w:t>日期：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01BD1A74">
      <w:pPr>
        <w:jc w:val="center"/>
        <w:rPr>
          <w:rFonts w:ascii="宋体"/>
          <w:b/>
          <w:color w:val="auto"/>
          <w:sz w:val="32"/>
          <w:szCs w:val="32"/>
          <w:highlight w:val="none"/>
        </w:rPr>
      </w:pPr>
    </w:p>
    <w:p w14:paraId="2D0A62D3">
      <w:pPr>
        <w:jc w:val="center"/>
        <w:rPr>
          <w:rFonts w:ascii="宋体"/>
          <w:b/>
          <w:color w:val="auto"/>
          <w:sz w:val="32"/>
          <w:szCs w:val="32"/>
          <w:highlight w:val="none"/>
        </w:rPr>
      </w:pPr>
      <w:r>
        <w:rPr>
          <w:rFonts w:hint="eastAsia" w:ascii="宋体" w:hAnsi="宋体"/>
          <w:b/>
          <w:color w:val="auto"/>
          <w:sz w:val="32"/>
          <w:szCs w:val="32"/>
          <w:highlight w:val="none"/>
        </w:rPr>
        <w:t>（</w:t>
      </w:r>
      <w:r>
        <w:rPr>
          <w:rFonts w:ascii="宋体" w:hAnsi="宋体"/>
          <w:b/>
          <w:color w:val="auto"/>
          <w:sz w:val="32"/>
          <w:szCs w:val="32"/>
          <w:highlight w:val="none"/>
        </w:rPr>
        <w:t>2</w:t>
      </w:r>
      <w:r>
        <w:rPr>
          <w:rFonts w:hint="eastAsia" w:ascii="宋体" w:hAnsi="宋体"/>
          <w:b/>
          <w:color w:val="auto"/>
          <w:sz w:val="32"/>
          <w:szCs w:val="32"/>
          <w:highlight w:val="none"/>
        </w:rPr>
        <w:t>）详细评审所需其他材料（如有）</w:t>
      </w:r>
    </w:p>
    <w:bookmarkEnd w:id="7"/>
    <w:bookmarkEnd w:id="8"/>
    <w:bookmarkEnd w:id="9"/>
    <w:bookmarkEnd w:id="10"/>
    <w:bookmarkEnd w:id="11"/>
    <w:p w14:paraId="315C5350">
      <w:pPr>
        <w:keepNext/>
        <w:keepLines/>
        <w:spacing w:before="200" w:after="200" w:line="600" w:lineRule="exact"/>
        <w:outlineLvl w:val="0"/>
        <w:rPr>
          <w:rFonts w:ascii="黑体" w:hAnsi="黑体" w:eastAsia="黑体"/>
          <w:b/>
          <w:bCs/>
          <w:color w:val="auto"/>
          <w:kern w:val="44"/>
          <w:sz w:val="28"/>
          <w:szCs w:val="28"/>
          <w:highlight w:val="none"/>
        </w:rPr>
      </w:pPr>
      <w:r>
        <w:rPr>
          <w:b/>
          <w:color w:val="auto"/>
          <w:sz w:val="32"/>
          <w:szCs w:val="32"/>
          <w:highlight w:val="none"/>
        </w:rPr>
        <w:br w:type="page"/>
      </w:r>
      <w:bookmarkStart w:id="853" w:name="OLE_LINK7"/>
      <w:bookmarkStart w:id="854" w:name="OLE_LINK25"/>
      <w:bookmarkStart w:id="855" w:name="OLE_LINK24"/>
      <w:r>
        <w:rPr>
          <w:rFonts w:hint="eastAsia" w:ascii="黑体" w:hAnsi="黑体" w:eastAsia="黑体"/>
          <w:b/>
          <w:bCs/>
          <w:color w:val="auto"/>
          <w:kern w:val="44"/>
          <w:sz w:val="36"/>
          <w:szCs w:val="28"/>
          <w:highlight w:val="none"/>
        </w:rPr>
        <w:t>附件1 关于联合惩戒失信行为加强信用查询管理的通知</w:t>
      </w:r>
    </w:p>
    <w:bookmarkEnd w:id="853"/>
    <w:p w14:paraId="0EF7558C">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54A451A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1BA6D50C">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854"/>
    <w:bookmarkEnd w:id="855"/>
    <w:p w14:paraId="4BDED3E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856" w:name="OLE_LINK91"/>
      <w:bookmarkStart w:id="857" w:name="OLE_LINK93"/>
      <w:bookmarkStart w:id="858" w:name="OLE_LINK103"/>
      <w:bookmarkStart w:id="859" w:name="OLE_LINK92"/>
      <w:r>
        <w:rPr>
          <w:rFonts w:hint="eastAsia" w:ascii="仿宋_GB2312" w:hAnsi="宋体" w:eastAsia="仿宋_GB2312"/>
          <w:color w:val="auto"/>
          <w:sz w:val="28"/>
          <w:szCs w:val="28"/>
          <w:highlight w:val="none"/>
        </w:rPr>
        <w:t>投标人、法定代表人及其项目经理(建造师)</w:t>
      </w:r>
      <w:bookmarkEnd w:id="856"/>
      <w:bookmarkEnd w:id="857"/>
      <w:bookmarkEnd w:id="858"/>
      <w:bookmarkEnd w:id="859"/>
      <w:r>
        <w:rPr>
          <w:rFonts w:hint="eastAsia" w:ascii="仿宋_GB2312" w:hAnsi="宋体" w:eastAsia="仿宋_GB2312"/>
          <w:color w:val="auto"/>
          <w:sz w:val="28"/>
          <w:szCs w:val="28"/>
          <w:highlight w:val="none"/>
        </w:rPr>
        <w:t>以下失信行为：</w:t>
      </w:r>
    </w:p>
    <w:p w14:paraId="64D14FF6">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860" w:name="OLE_LINK119"/>
      <w:bookmarkStart w:id="861" w:name="OLE_LINK94"/>
      <w:bookmarkStart w:id="862" w:name="OLE_LINK86"/>
      <w:bookmarkStart w:id="863" w:name="OLE_LINK87"/>
      <w:r>
        <w:rPr>
          <w:rFonts w:hint="eastAsia" w:ascii="仿宋_GB2312" w:hAnsi="宋体" w:eastAsia="仿宋_GB2312"/>
          <w:color w:val="auto"/>
          <w:sz w:val="28"/>
          <w:szCs w:val="28"/>
          <w:highlight w:val="none"/>
        </w:rPr>
        <w:t>①被列入“失信被执行人”的;</w:t>
      </w:r>
    </w:p>
    <w:p w14:paraId="4803171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864" w:name="OLE_LINK118"/>
      <w:bookmarkStart w:id="865" w:name="OLE_LINK115"/>
      <w:bookmarkStart w:id="866" w:name="OLE_LINK116"/>
      <w:bookmarkStart w:id="867" w:name="OLE_LINK117"/>
      <w:r>
        <w:rPr>
          <w:rFonts w:hint="eastAsia" w:ascii="仿宋_GB2312" w:hAnsi="宋体" w:eastAsia="仿宋_GB2312"/>
          <w:color w:val="auto"/>
          <w:sz w:val="28"/>
          <w:szCs w:val="28"/>
          <w:highlight w:val="none"/>
        </w:rPr>
        <w:t>“重大税收违法失信主体”</w:t>
      </w:r>
      <w:bookmarkEnd w:id="864"/>
      <w:bookmarkEnd w:id="865"/>
      <w:bookmarkEnd w:id="866"/>
      <w:bookmarkEnd w:id="867"/>
      <w:r>
        <w:rPr>
          <w:rFonts w:hint="eastAsia" w:ascii="仿宋_GB2312" w:hAnsi="宋体" w:eastAsia="仿宋_GB2312"/>
          <w:color w:val="auto"/>
          <w:sz w:val="28"/>
          <w:szCs w:val="28"/>
          <w:highlight w:val="none"/>
        </w:rPr>
        <w:t>的；</w:t>
      </w:r>
    </w:p>
    <w:p w14:paraId="03A7764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868" w:name="OLE_LINK84"/>
      <w:bookmarkStart w:id="869" w:name="OLE_LINK85"/>
      <w:r>
        <w:rPr>
          <w:rFonts w:hint="eastAsia" w:ascii="仿宋_GB2312" w:hAnsi="宋体" w:eastAsia="仿宋_GB2312"/>
          <w:color w:val="auto"/>
          <w:sz w:val="28"/>
          <w:szCs w:val="28"/>
          <w:highlight w:val="none"/>
        </w:rPr>
        <w:t>农民工工资失信联合惩戒对象</w:t>
      </w:r>
      <w:bookmarkEnd w:id="868"/>
      <w:bookmarkEnd w:id="869"/>
      <w:r>
        <w:rPr>
          <w:rFonts w:hint="eastAsia" w:ascii="仿宋_GB2312" w:hAnsi="宋体" w:eastAsia="仿宋_GB2312"/>
          <w:color w:val="auto"/>
          <w:sz w:val="28"/>
          <w:szCs w:val="28"/>
          <w:highlight w:val="none"/>
        </w:rPr>
        <w:t>名单”的；</w:t>
      </w:r>
    </w:p>
    <w:p w14:paraId="45E3A30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483D277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860"/>
    <w:bookmarkEnd w:id="861"/>
    <w:bookmarkEnd w:id="862"/>
    <w:bookmarkEnd w:id="863"/>
    <w:p w14:paraId="52A21C9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870" w:name="OLE_LINK130"/>
      <w:r>
        <w:rPr>
          <w:rFonts w:hint="eastAsia" w:ascii="仿宋_GB2312" w:hAnsi="宋体" w:eastAsia="仿宋_GB2312"/>
          <w:color w:val="auto"/>
          <w:sz w:val="28"/>
          <w:szCs w:val="28"/>
          <w:highlight w:val="none"/>
        </w:rPr>
        <w:t>国家企业信用信息公示系统网站</w:t>
      </w:r>
      <w:bookmarkEnd w:id="870"/>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bookmarkStart w:id="871" w:name="OLE_LINK89"/>
      <w:bookmarkStart w:id="872" w:name="OLE_LINK90"/>
      <w:r>
        <w:rPr>
          <w:rStyle w:val="56"/>
          <w:rFonts w:hint="eastAsia" w:ascii="仿宋_GB2312" w:hAnsi="宋体" w:eastAsia="仿宋_GB2312"/>
          <w:color w:val="auto"/>
          <w:sz w:val="28"/>
          <w:szCs w:val="28"/>
          <w:highlight w:val="none"/>
        </w:rPr>
        <w:t>www.gsxt.gov.cn</w:t>
      </w:r>
      <w:bookmarkEnd w:id="871"/>
      <w:bookmarkEnd w:id="872"/>
      <w:r>
        <w:rPr>
          <w:rStyle w:val="56"/>
          <w:rFonts w:hint="eastAsia" w:ascii="仿宋_GB2312" w:hAnsi="宋体" w:eastAsia="仿宋_GB2312"/>
          <w:color w:val="auto"/>
          <w:sz w:val="28"/>
          <w:szCs w:val="28"/>
          <w:highlight w:val="none"/>
        </w:rPr>
        <w:t>）</w:t>
      </w:r>
      <w:r>
        <w:rPr>
          <w:color w:val="auto"/>
          <w:highlight w:val="none"/>
        </w:rPr>
        <w:fldChar w:fldCharType="end"/>
      </w:r>
      <w:r>
        <w:rPr>
          <w:rFonts w:hint="eastAsia" w:ascii="仿宋_GB2312" w:hAnsi="宋体" w:eastAsia="仿宋_GB2312"/>
          <w:color w:val="auto"/>
          <w:sz w:val="28"/>
          <w:szCs w:val="28"/>
          <w:highlight w:val="none"/>
        </w:rPr>
        <w:t>查询投标人以下失信行为：</w:t>
      </w:r>
    </w:p>
    <w:p w14:paraId="462970CE">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873" w:name="OLE_LINK121"/>
      <w:bookmarkStart w:id="874" w:name="OLE_LINK122"/>
      <w:bookmarkStart w:id="875" w:name="OLE_LINK120"/>
      <w:r>
        <w:rPr>
          <w:rFonts w:hint="eastAsia" w:ascii="仿宋_GB2312" w:hAnsi="宋体" w:eastAsia="仿宋_GB2312"/>
          <w:color w:val="auto"/>
          <w:sz w:val="28"/>
          <w:szCs w:val="28"/>
          <w:highlight w:val="none"/>
        </w:rPr>
        <w:t>①被列入“经营异常名录”或者“严重违法失信名单”的。</w:t>
      </w:r>
      <w:bookmarkEnd w:id="873"/>
      <w:bookmarkEnd w:id="874"/>
      <w:bookmarkEnd w:id="875"/>
    </w:p>
    <w:p w14:paraId="7A9FFAD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2E1394D1">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bookmarkStart w:id="876" w:name="OLE_LINK124"/>
      <w:bookmarkStart w:id="877" w:name="OLE_LINK123"/>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27B2870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35C4F89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3D0EA9B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878" w:name="OLE_LINK108"/>
      <w:bookmarkStart w:id="879" w:name="OLE_LINK107"/>
      <w:r>
        <w:rPr>
          <w:rFonts w:hint="eastAsia" w:ascii="仿宋_GB2312" w:hAnsi="宋体" w:eastAsia="仿宋_GB2312"/>
          <w:color w:val="auto"/>
          <w:sz w:val="28"/>
          <w:szCs w:val="28"/>
          <w:highlight w:val="none"/>
        </w:rPr>
        <w:t>县级及以上有关行政主管部门限制投标资格且在限制期限内的</w:t>
      </w:r>
      <w:bookmarkEnd w:id="878"/>
      <w:bookmarkEnd w:id="879"/>
      <w:r>
        <w:rPr>
          <w:rFonts w:hint="eastAsia" w:ascii="仿宋_GB2312" w:hAnsi="宋体" w:eastAsia="仿宋_GB2312"/>
          <w:color w:val="auto"/>
          <w:sz w:val="28"/>
          <w:szCs w:val="28"/>
          <w:highlight w:val="none"/>
        </w:rPr>
        <w:t>；</w:t>
      </w:r>
    </w:p>
    <w:p w14:paraId="70AA12C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876"/>
    <w:bookmarkEnd w:id="877"/>
    <w:p w14:paraId="173F32C9">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3DA5511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56"/>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095A7BC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2531942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65A0800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③被列入“拖欠农民工工资失信联合惩戒对象名单”的；</w:t>
      </w:r>
    </w:p>
    <w:p w14:paraId="3355D3A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4A5A1DA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p w14:paraId="109F1A4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r>
        <w:rPr>
          <w:rStyle w:val="56"/>
          <w:rFonts w:hint="eastAsia" w:ascii="仿宋" w:hAnsi="仿宋" w:eastAsia="仿宋"/>
          <w:color w:val="auto"/>
          <w:sz w:val="28"/>
          <w:szCs w:val="28"/>
          <w:highlight w:val="none"/>
        </w:rPr>
        <w:t>www.gsxt.gov.cn）</w:t>
      </w:r>
      <w:r>
        <w:rPr>
          <w:color w:val="auto"/>
          <w:highlight w:val="none"/>
        </w:rPr>
        <w:fldChar w:fldCharType="end"/>
      </w:r>
      <w:r>
        <w:rPr>
          <w:rFonts w:hint="eastAsia" w:ascii="仿宋_GB2312" w:hAnsi="宋体" w:eastAsia="仿宋_GB2312"/>
          <w:color w:val="auto"/>
          <w:sz w:val="28"/>
          <w:szCs w:val="28"/>
          <w:highlight w:val="none"/>
        </w:rPr>
        <w:t>查询供应商以下失信行为：</w:t>
      </w:r>
    </w:p>
    <w:p w14:paraId="6A1CA6F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880" w:name="OLE_LINK102"/>
      <w:bookmarkStart w:id="881" w:name="OLE_LINK101"/>
      <w:bookmarkStart w:id="882" w:name="OLE_LINK100"/>
      <w:r>
        <w:rPr>
          <w:rFonts w:hint="eastAsia" w:ascii="仿宋_GB2312" w:hAnsi="宋体" w:eastAsia="仿宋_GB2312"/>
          <w:color w:val="auto"/>
          <w:sz w:val="28"/>
          <w:szCs w:val="28"/>
          <w:highlight w:val="none"/>
        </w:rPr>
        <w:t>被列入“经营异常名录”或者“严重违法失信名单”的</w:t>
      </w:r>
      <w:bookmarkEnd w:id="880"/>
      <w:bookmarkEnd w:id="881"/>
      <w:bookmarkEnd w:id="882"/>
      <w:r>
        <w:rPr>
          <w:rFonts w:hint="eastAsia" w:ascii="仿宋_GB2312" w:hAnsi="宋体" w:eastAsia="仿宋_GB2312"/>
          <w:color w:val="auto"/>
          <w:sz w:val="28"/>
          <w:szCs w:val="28"/>
          <w:highlight w:val="none"/>
        </w:rPr>
        <w:t>。</w:t>
      </w:r>
    </w:p>
    <w:p w14:paraId="1C870E9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883" w:name="OLE_LINK96"/>
      <w:bookmarkStart w:id="884" w:name="OLE_LINK95"/>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 </w:instrText>
      </w:r>
      <w:r>
        <w:rPr>
          <w:rFonts w:ascii="仿宋" w:hAnsi="仿宋" w:eastAsia="仿宋"/>
          <w:color w:val="auto"/>
          <w:sz w:val="28"/>
          <w:szCs w:val="28"/>
          <w:highlight w:val="none"/>
        </w:rPr>
        <w:fldChar w:fldCharType="separate"/>
      </w:r>
      <w:r>
        <w:rPr>
          <w:rStyle w:val="56"/>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883"/>
      <w:bookmarkEnd w:id="884"/>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0E80FB1D">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885" w:name="OLE_LINK105"/>
      <w:bookmarkStart w:id="886" w:name="OLE_LINK104"/>
      <w:bookmarkStart w:id="887" w:name="OLE_LINK106"/>
      <w:r>
        <w:rPr>
          <w:rFonts w:hint="eastAsia" w:ascii="仿宋_GB2312" w:hAnsi="宋体" w:eastAsia="仿宋_GB2312"/>
          <w:color w:val="auto"/>
          <w:sz w:val="28"/>
          <w:szCs w:val="28"/>
          <w:highlight w:val="none"/>
        </w:rPr>
        <w:t>被列入“政府采购严重违法失信行为信息记录”的</w:t>
      </w:r>
      <w:bookmarkEnd w:id="885"/>
      <w:bookmarkEnd w:id="886"/>
      <w:bookmarkEnd w:id="887"/>
      <w:r>
        <w:rPr>
          <w:rFonts w:hint="eastAsia" w:ascii="仿宋_GB2312" w:hAnsi="宋体" w:eastAsia="仿宋_GB2312" w:cs="楷体"/>
          <w:color w:val="auto"/>
          <w:sz w:val="28"/>
          <w:szCs w:val="28"/>
          <w:highlight w:val="none"/>
        </w:rPr>
        <w:t>。</w:t>
      </w:r>
    </w:p>
    <w:p w14:paraId="3672D0A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69ED3BF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64DB5CC5">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4C473D7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6898D3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7C06DF2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2EFD2B2F">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0DB8D0B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5EB5D4C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26ECD5CF">
      <w:pPr>
        <w:wordWrap w:val="0"/>
        <w:adjustRightInd w:val="0"/>
        <w:snapToGrid w:val="0"/>
        <w:spacing w:line="560" w:lineRule="exact"/>
        <w:ind w:firstLine="560" w:firstLineChars="200"/>
        <w:rPr>
          <w:rFonts w:hint="eastAsia"/>
          <w:color w:val="auto"/>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56"/>
          <w:rFonts w:hint="eastAsia" w:ascii="仿宋_GB2312" w:hAnsi="宋体" w:eastAsia="仿宋_GB2312"/>
          <w:color w:val="auto"/>
          <w:sz w:val="28"/>
          <w:szCs w:val="28"/>
          <w:highlight w:val="none"/>
        </w:rPr>
        <w:t>https://credit.ah.gov.cn/xinyong-fuwu/xvbahv/index.html</w:t>
      </w:r>
      <w:r>
        <w:rPr>
          <w:color w:val="auto"/>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65A045BA">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22C60EE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7044BE9F">
      <w:pPr>
        <w:ind w:right="960"/>
        <w:rPr>
          <w:rFonts w:hint="eastAsia" w:ascii="仿宋" w:hAnsi="仿宋" w:eastAsia="仿宋"/>
          <w:color w:val="auto"/>
          <w:sz w:val="32"/>
          <w:szCs w:val="32"/>
          <w:highlight w:val="none"/>
        </w:rPr>
      </w:pPr>
    </w:p>
    <w:p w14:paraId="6B8688B9">
      <w:pPr>
        <w:ind w:right="960"/>
        <w:rPr>
          <w:rFonts w:hint="eastAsia" w:ascii="仿宋" w:hAnsi="仿宋" w:eastAsia="仿宋"/>
          <w:color w:val="auto"/>
          <w:sz w:val="32"/>
          <w:szCs w:val="32"/>
          <w:highlight w:val="none"/>
        </w:rPr>
      </w:pPr>
    </w:p>
    <w:p w14:paraId="68B868E3">
      <w:pPr>
        <w:ind w:right="960"/>
        <w:rPr>
          <w:rFonts w:hint="eastAsia" w:ascii="仿宋" w:hAnsi="仿宋" w:eastAsia="仿宋"/>
          <w:color w:val="auto"/>
          <w:sz w:val="32"/>
          <w:szCs w:val="32"/>
          <w:highlight w:val="none"/>
        </w:rPr>
      </w:pPr>
    </w:p>
    <w:p w14:paraId="1FC93DCA">
      <w:pPr>
        <w:ind w:right="960"/>
        <w:rPr>
          <w:rFonts w:hint="eastAsia" w:ascii="仿宋" w:hAnsi="仿宋" w:eastAsia="仿宋"/>
          <w:color w:val="auto"/>
          <w:sz w:val="32"/>
          <w:szCs w:val="32"/>
          <w:highlight w:val="none"/>
        </w:rPr>
      </w:pPr>
    </w:p>
    <w:p w14:paraId="5A93CC74">
      <w:pPr>
        <w:ind w:right="960"/>
        <w:rPr>
          <w:rFonts w:hint="eastAsia" w:ascii="仿宋" w:hAnsi="仿宋" w:eastAsia="仿宋"/>
          <w:color w:val="auto"/>
          <w:sz w:val="32"/>
          <w:szCs w:val="32"/>
          <w:highlight w:val="none"/>
        </w:rPr>
      </w:pPr>
    </w:p>
    <w:p w14:paraId="688F0447">
      <w:pPr>
        <w:ind w:right="960"/>
        <w:rPr>
          <w:rFonts w:hint="eastAsia" w:ascii="仿宋" w:hAnsi="仿宋" w:eastAsia="仿宋"/>
          <w:color w:val="auto"/>
          <w:sz w:val="32"/>
          <w:szCs w:val="32"/>
          <w:highlight w:val="none"/>
        </w:rPr>
      </w:pPr>
    </w:p>
    <w:p w14:paraId="22B693C9">
      <w:pPr>
        <w:ind w:right="960"/>
        <w:rPr>
          <w:rFonts w:hint="eastAsia" w:ascii="仿宋" w:hAnsi="仿宋" w:eastAsia="仿宋"/>
          <w:color w:val="auto"/>
          <w:sz w:val="32"/>
          <w:szCs w:val="32"/>
          <w:highlight w:val="none"/>
        </w:rPr>
      </w:pPr>
    </w:p>
    <w:p w14:paraId="2C0FBF8D">
      <w:pPr>
        <w:ind w:right="960"/>
        <w:rPr>
          <w:rFonts w:hint="eastAsia" w:ascii="仿宋" w:hAnsi="仿宋" w:eastAsia="仿宋"/>
          <w:color w:val="auto"/>
          <w:sz w:val="32"/>
          <w:szCs w:val="32"/>
          <w:highlight w:val="none"/>
        </w:rPr>
      </w:pPr>
    </w:p>
    <w:p w14:paraId="5AD01F7E">
      <w:pPr>
        <w:pStyle w:val="44"/>
        <w:rPr>
          <w:rFonts w:hint="eastAsia"/>
          <w:color w:val="auto"/>
          <w:highlight w:val="none"/>
        </w:rPr>
      </w:pPr>
    </w:p>
    <w:p w14:paraId="6C19E060">
      <w:pPr>
        <w:rPr>
          <w:color w:val="auto"/>
          <w:highlight w:val="none"/>
        </w:rPr>
      </w:pPr>
    </w:p>
    <w:p w14:paraId="39D2CBC4">
      <w:pPr>
        <w:pStyle w:val="44"/>
        <w:rPr>
          <w:color w:val="auto"/>
          <w:highlight w:val="none"/>
        </w:rPr>
      </w:pPr>
    </w:p>
    <w:p w14:paraId="297CCF0B">
      <w:pPr>
        <w:rPr>
          <w:color w:val="auto"/>
          <w:highlight w:val="none"/>
        </w:rPr>
      </w:pPr>
    </w:p>
    <w:p w14:paraId="67CB8105">
      <w:pPr>
        <w:pStyle w:val="44"/>
        <w:rPr>
          <w:color w:val="auto"/>
          <w:highlight w:val="none"/>
        </w:rPr>
      </w:pPr>
    </w:p>
    <w:p w14:paraId="5CB4A54E">
      <w:pPr>
        <w:rPr>
          <w:color w:val="auto"/>
          <w:highlight w:val="none"/>
        </w:rPr>
      </w:pPr>
    </w:p>
    <w:p w14:paraId="2BDA87C0">
      <w:pPr>
        <w:pStyle w:val="44"/>
        <w:rPr>
          <w:color w:val="auto"/>
          <w:highlight w:val="none"/>
        </w:rPr>
      </w:pPr>
    </w:p>
    <w:p w14:paraId="04AC51AB">
      <w:pPr>
        <w:rPr>
          <w:color w:val="auto"/>
          <w:highlight w:val="none"/>
        </w:rPr>
      </w:pPr>
    </w:p>
    <w:p w14:paraId="14ED8CE5">
      <w:pPr>
        <w:ind w:right="960"/>
        <w:rPr>
          <w:rFonts w:ascii="仿宋" w:hAnsi="仿宋" w:eastAsia="仿宋"/>
          <w:color w:val="auto"/>
          <w:sz w:val="32"/>
          <w:szCs w:val="32"/>
          <w:highlight w:val="none"/>
        </w:rPr>
      </w:pPr>
    </w:p>
    <w:p w14:paraId="540AB4E5">
      <w:pPr>
        <w:keepNext/>
        <w:keepLines/>
        <w:spacing w:before="200" w:after="200" w:line="600" w:lineRule="exact"/>
        <w:outlineLvl w:val="0"/>
        <w:rPr>
          <w:rFonts w:hint="eastAsia" w:ascii="黑体" w:hAnsi="黑体" w:eastAsia="黑体"/>
          <w:b/>
          <w:bCs/>
          <w:color w:val="auto"/>
          <w:kern w:val="44"/>
          <w:sz w:val="36"/>
          <w:szCs w:val="28"/>
          <w:highlight w:val="none"/>
        </w:rPr>
      </w:pPr>
      <w:bookmarkStart w:id="888" w:name="_Toc95223549"/>
      <w:bookmarkStart w:id="889" w:name="OLE_LINK32"/>
      <w:bookmarkStart w:id="890" w:name="OLE_LINK41"/>
      <w:bookmarkStart w:id="891" w:name="OLE_LINK31"/>
      <w:r>
        <w:rPr>
          <w:rFonts w:hint="eastAsia" w:ascii="黑体" w:hAnsi="黑体" w:eastAsia="黑体"/>
          <w:b/>
          <w:bCs/>
          <w:color w:val="auto"/>
          <w:kern w:val="44"/>
          <w:sz w:val="36"/>
          <w:szCs w:val="28"/>
          <w:highlight w:val="none"/>
        </w:rPr>
        <w:t xml:space="preserve">附件2 </w:t>
      </w:r>
      <w:bookmarkStart w:id="892" w:name="OLE_LINK75"/>
      <w:bookmarkStart w:id="893" w:name="OLE_LINK74"/>
      <w:r>
        <w:rPr>
          <w:rFonts w:hint="eastAsia" w:ascii="黑体" w:hAnsi="黑体" w:eastAsia="黑体"/>
          <w:b/>
          <w:bCs/>
          <w:color w:val="auto"/>
          <w:kern w:val="44"/>
          <w:sz w:val="36"/>
          <w:szCs w:val="28"/>
          <w:highlight w:val="none"/>
        </w:rPr>
        <w:t>“信用中国”查询的严重失信行为</w:t>
      </w:r>
      <w:bookmarkStart w:id="894" w:name="OLE_LINK76"/>
      <w:bookmarkStart w:id="895" w:name="OLE_LINK40"/>
      <w:bookmarkStart w:id="896" w:name="OLE_LINK39"/>
      <w:bookmarkStart w:id="897" w:name="OLE_LINK38"/>
      <w:r>
        <w:rPr>
          <w:rFonts w:hint="eastAsia" w:ascii="黑体" w:hAnsi="黑体" w:eastAsia="黑体"/>
          <w:b/>
          <w:bCs/>
          <w:color w:val="auto"/>
          <w:kern w:val="44"/>
          <w:sz w:val="36"/>
          <w:szCs w:val="28"/>
          <w:highlight w:val="none"/>
        </w:rPr>
        <w:t>类别及判定依据</w:t>
      </w:r>
      <w:bookmarkEnd w:id="888"/>
      <w:bookmarkEnd w:id="892"/>
      <w:bookmarkEnd w:id="893"/>
      <w:bookmarkEnd w:id="894"/>
      <w:bookmarkEnd w:id="895"/>
      <w:bookmarkEnd w:id="896"/>
      <w:bookmarkEnd w:id="897"/>
    </w:p>
    <w:bookmarkEnd w:id="889"/>
    <w:bookmarkEnd w:id="890"/>
    <w:bookmarkEnd w:id="891"/>
    <w:p w14:paraId="24C2C0A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7A3A2F7E">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0CB861C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2003B29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1741A21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2C4DD64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4FD14F9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380EA58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77E097C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062BEBD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4D816E4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53022A4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52FA422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0FB1E4CF">
      <w:pPr>
        <w:adjustRightInd w:val="0"/>
        <w:snapToGrid w:val="0"/>
        <w:spacing w:line="560" w:lineRule="exact"/>
        <w:ind w:firstLine="645"/>
        <w:jc w:val="left"/>
        <w:rPr>
          <w:rFonts w:hint="eastAsia"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3D6E9354">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04E181FD">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746FC12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56"/>
          <w:rFonts w:hint="eastAsia" w:ascii="仿宋_GB2312" w:hAnsi="宋体" w:eastAsia="仿宋_GB2312"/>
          <w:color w:val="auto"/>
          <w:sz w:val="28"/>
          <w:szCs w:val="28"/>
          <w:highlight w:val="none"/>
        </w:rPr>
        <w:t>环境犯罪</w:t>
      </w:r>
      <w:r>
        <w:rPr>
          <w:color w:val="auto"/>
          <w:highlight w:val="none"/>
        </w:rPr>
        <w:fldChar w:fldCharType="end"/>
      </w:r>
      <w:r>
        <w:rPr>
          <w:rFonts w:hint="eastAsia" w:ascii="仿宋_GB2312" w:hAnsi="宋体" w:eastAsia="仿宋_GB2312"/>
          <w:color w:val="auto"/>
          <w:sz w:val="28"/>
          <w:szCs w:val="28"/>
          <w:highlight w:val="none"/>
        </w:rPr>
        <w:t>的；</w:t>
      </w:r>
    </w:p>
    <w:p w14:paraId="45A305B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56"/>
          <w:rFonts w:hint="eastAsia" w:ascii="仿宋_GB2312" w:hAnsi="宋体" w:eastAsia="仿宋_GB2312"/>
          <w:color w:val="auto"/>
          <w:sz w:val="28"/>
          <w:szCs w:val="28"/>
          <w:highlight w:val="none"/>
        </w:rPr>
        <w:t>建设项目环境影响评价</w:t>
      </w:r>
      <w:r>
        <w:rPr>
          <w:color w:val="auto"/>
          <w:highlight w:val="none"/>
        </w:rPr>
        <w:fldChar w:fldCharType="end"/>
      </w:r>
      <w:r>
        <w:rPr>
          <w:rFonts w:hint="eastAsia" w:ascii="仿宋_GB2312" w:hAnsi="宋体" w:eastAsia="仿宋_GB2312"/>
          <w:color w:val="auto"/>
          <w:sz w:val="28"/>
          <w:szCs w:val="28"/>
          <w:highlight w:val="none"/>
        </w:rPr>
        <w:t>文件未按规定通过审批，擅自开工建设的；</w:t>
      </w:r>
    </w:p>
    <w:p w14:paraId="1F6A081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56"/>
          <w:rFonts w:hint="eastAsia" w:ascii="仿宋_GB2312" w:hAnsi="宋体" w:eastAsia="仿宋_GB2312"/>
          <w:color w:val="auto"/>
          <w:sz w:val="28"/>
          <w:szCs w:val="28"/>
          <w:highlight w:val="none"/>
        </w:rPr>
        <w:t>竣工环保验收</w:t>
      </w:r>
      <w:r>
        <w:rPr>
          <w:color w:val="auto"/>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799D76B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6F1DFA5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73290C0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56"/>
          <w:rFonts w:hint="eastAsia" w:ascii="仿宋_GB2312" w:hAnsi="宋体" w:eastAsia="仿宋_GB2312"/>
          <w:color w:val="auto"/>
          <w:sz w:val="28"/>
          <w:szCs w:val="28"/>
          <w:highlight w:val="none"/>
        </w:rPr>
        <w:t>渗井</w:t>
      </w:r>
      <w:r>
        <w:rPr>
          <w:color w:val="auto"/>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56"/>
          <w:rFonts w:hint="eastAsia" w:ascii="仿宋_GB2312" w:hAnsi="宋体" w:eastAsia="仿宋_GB2312"/>
          <w:color w:val="auto"/>
          <w:sz w:val="28"/>
          <w:szCs w:val="28"/>
          <w:highlight w:val="none"/>
        </w:rPr>
        <w:t>大气污染物</w:t>
      </w:r>
      <w:r>
        <w:rPr>
          <w:color w:val="auto"/>
          <w:highlight w:val="none"/>
        </w:rPr>
        <w:fldChar w:fldCharType="end"/>
      </w:r>
      <w:r>
        <w:rPr>
          <w:rFonts w:hint="eastAsia" w:ascii="仿宋_GB2312" w:hAnsi="宋体" w:eastAsia="仿宋_GB2312"/>
          <w:color w:val="auto"/>
          <w:sz w:val="28"/>
          <w:szCs w:val="28"/>
          <w:highlight w:val="none"/>
        </w:rPr>
        <w:t>的；</w:t>
      </w:r>
    </w:p>
    <w:p w14:paraId="71C561E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56"/>
          <w:rFonts w:hint="eastAsia" w:ascii="仿宋_GB2312" w:hAnsi="宋体" w:eastAsia="仿宋_GB2312"/>
          <w:color w:val="auto"/>
          <w:sz w:val="28"/>
          <w:szCs w:val="28"/>
          <w:highlight w:val="none"/>
        </w:rPr>
        <w:t>经营许可证</w:t>
      </w:r>
      <w:r>
        <w:rPr>
          <w:color w:val="auto"/>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608E57B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56"/>
          <w:rFonts w:hint="eastAsia" w:ascii="仿宋_GB2312" w:hAnsi="宋体" w:eastAsia="仿宋_GB2312"/>
          <w:color w:val="auto"/>
          <w:sz w:val="28"/>
          <w:szCs w:val="28"/>
          <w:highlight w:val="none"/>
        </w:rPr>
        <w:t>环境违法行为</w:t>
      </w:r>
      <w:r>
        <w:rPr>
          <w:color w:val="auto"/>
          <w:highlight w:val="none"/>
        </w:rPr>
        <w:fldChar w:fldCharType="end"/>
      </w:r>
      <w:r>
        <w:rPr>
          <w:rFonts w:hint="eastAsia" w:ascii="仿宋_GB2312" w:hAnsi="宋体" w:eastAsia="仿宋_GB2312"/>
          <w:color w:val="auto"/>
          <w:sz w:val="28"/>
          <w:szCs w:val="28"/>
          <w:highlight w:val="none"/>
        </w:rPr>
        <w:t>造成集中式生活饮用水水源取水中断的；</w:t>
      </w:r>
    </w:p>
    <w:p w14:paraId="376456A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56"/>
          <w:rFonts w:hint="eastAsia" w:ascii="仿宋_GB2312" w:hAnsi="宋体" w:eastAsia="仿宋_GB2312"/>
          <w:color w:val="auto"/>
          <w:sz w:val="28"/>
          <w:szCs w:val="28"/>
          <w:highlight w:val="none"/>
        </w:rPr>
        <w:t>国家重点生态功能区</w:t>
      </w:r>
      <w:r>
        <w:rPr>
          <w:color w:val="auto"/>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56"/>
          <w:rFonts w:hint="eastAsia" w:ascii="仿宋_GB2312" w:hAnsi="宋体" w:eastAsia="仿宋_GB2312"/>
          <w:color w:val="auto"/>
          <w:sz w:val="28"/>
          <w:szCs w:val="28"/>
          <w:highlight w:val="none"/>
        </w:rPr>
        <w:t>基本农田保护区</w:t>
      </w:r>
      <w:r>
        <w:rPr>
          <w:color w:val="auto"/>
          <w:highlight w:val="none"/>
        </w:rPr>
        <w:fldChar w:fldCharType="end"/>
      </w:r>
      <w:r>
        <w:rPr>
          <w:rFonts w:hint="eastAsia" w:ascii="仿宋_GB2312" w:hAnsi="宋体" w:eastAsia="仿宋_GB2312"/>
          <w:color w:val="auto"/>
          <w:sz w:val="28"/>
          <w:szCs w:val="28"/>
          <w:highlight w:val="none"/>
        </w:rPr>
        <w:t>等环境敏感区造成重大不利影响的；</w:t>
      </w:r>
    </w:p>
    <w:p w14:paraId="747DB42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16AD84C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1577E0C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1B662790">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6E72F26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76AEA5CB">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898" w:name="OLE_LINK8"/>
      <w:bookmarkStart w:id="899" w:name="OLE_LINK9"/>
      <w:bookmarkStart w:id="900" w:name="OLE_LINK10"/>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898"/>
      <w:bookmarkEnd w:id="899"/>
      <w:bookmarkEnd w:id="900"/>
      <w:r>
        <w:rPr>
          <w:rFonts w:hint="eastAsia" w:ascii="仿宋_GB2312" w:hAnsi="宋体" w:eastAsia="仿宋_GB2312"/>
          <w:b/>
          <w:color w:val="auto"/>
          <w:sz w:val="28"/>
          <w:szCs w:val="28"/>
          <w:highlight w:val="none"/>
        </w:rPr>
        <w:t>》、《</w:t>
      </w:r>
      <w:bookmarkStart w:id="901" w:name="OLE_LINK12"/>
      <w:bookmarkStart w:id="902" w:name="OLE_LINK11"/>
      <w:r>
        <w:rPr>
          <w:rFonts w:hint="eastAsia" w:ascii="仿宋_GB2312" w:hAnsi="宋体" w:eastAsia="仿宋_GB2312"/>
          <w:b/>
          <w:color w:val="auto"/>
          <w:sz w:val="28"/>
          <w:szCs w:val="28"/>
          <w:highlight w:val="none"/>
        </w:rPr>
        <w:t>企业环境信用评价办法（试行）</w:t>
      </w:r>
      <w:bookmarkEnd w:id="901"/>
      <w:bookmarkEnd w:id="902"/>
      <w:r>
        <w:rPr>
          <w:rFonts w:hint="eastAsia" w:ascii="仿宋_GB2312" w:hAnsi="宋体" w:eastAsia="仿宋_GB2312"/>
          <w:b/>
          <w:color w:val="auto"/>
          <w:sz w:val="28"/>
          <w:szCs w:val="28"/>
          <w:highlight w:val="none"/>
        </w:rPr>
        <w:t>》（环发〔2013〕150号）</w:t>
      </w:r>
    </w:p>
    <w:p w14:paraId="46A3AD8B">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5B3DBCD0">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4F5CB80D">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7A158EDB">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340FF018">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BDE29DC">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273C4841">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7129A620">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67F80266">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72962246">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1D183678">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43A27393">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BAB96CD">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3E77DB99">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3239DCD6">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3B02A6B6">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618210C1">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7B144BCF">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27384DC6">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2DC8970C">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340682FF">
      <w:pPr>
        <w:adjustRightInd w:val="0"/>
        <w:snapToGrid w:val="0"/>
        <w:spacing w:line="560" w:lineRule="exact"/>
        <w:ind w:left="141" w:leftChars="67" w:firstLine="420" w:firstLineChars="150"/>
        <w:jc w:val="left"/>
        <w:rPr>
          <w:rFonts w:hint="eastAsia"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33F5C967">
      <w:pPr>
        <w:adjustRightInd w:val="0"/>
        <w:snapToGrid w:val="0"/>
        <w:spacing w:line="560" w:lineRule="exact"/>
        <w:ind w:firstLine="894" w:firstLineChars="318"/>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903" w:name="OLE_LINK13"/>
      <w:bookmarkStart w:id="904" w:name="OLE_LINK14"/>
      <w:r>
        <w:rPr>
          <w:rFonts w:hint="eastAsia" w:ascii="仿宋_GB2312" w:hAnsi="宋体" w:eastAsia="仿宋_GB2312"/>
          <w:b/>
          <w:color w:val="auto"/>
          <w:sz w:val="28"/>
          <w:szCs w:val="28"/>
          <w:highlight w:val="none"/>
        </w:rPr>
        <w:t>关于对公共资源交易领域严重失信主体开展联合惩戒的备忘录</w:t>
      </w:r>
      <w:bookmarkEnd w:id="903"/>
      <w:bookmarkEnd w:id="904"/>
      <w:r>
        <w:rPr>
          <w:rFonts w:hint="eastAsia" w:ascii="仿宋_GB2312" w:hAnsi="宋体" w:eastAsia="仿宋_GB2312"/>
          <w:b/>
          <w:color w:val="auto"/>
          <w:sz w:val="28"/>
          <w:szCs w:val="28"/>
          <w:highlight w:val="none"/>
        </w:rPr>
        <w:t>》（发改法规〔2018〕457号）</w:t>
      </w:r>
    </w:p>
    <w:p w14:paraId="56F6DD78">
      <w:pPr>
        <w:adjustRightInd w:val="0"/>
        <w:snapToGrid w:val="0"/>
        <w:spacing w:line="560" w:lineRule="exact"/>
        <w:ind w:firstLine="645"/>
        <w:jc w:val="left"/>
        <w:rPr>
          <w:rFonts w:hint="eastAsia" w:ascii="仿宋_GB2312" w:hAnsi="宋体" w:eastAsia="仿宋_GB2312"/>
          <w:color w:val="auto"/>
          <w:sz w:val="28"/>
          <w:szCs w:val="28"/>
          <w:highlight w:val="none"/>
        </w:rPr>
      </w:pPr>
    </w:p>
    <w:p w14:paraId="1488BC2A">
      <w:pPr>
        <w:adjustRightInd w:val="0"/>
        <w:snapToGrid w:val="0"/>
        <w:spacing w:line="560" w:lineRule="exact"/>
        <w:ind w:firstLine="645"/>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408C7B0B">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70E50B6E">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5A95C92F">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08E21F45">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7E07EAFD">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0970F227">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350A44E5">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03A2F7D2">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6687B032">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448CF322">
      <w:pPr>
        <w:adjustRightInd w:val="0"/>
        <w:snapToGrid w:val="0"/>
        <w:spacing w:line="560" w:lineRule="exact"/>
        <w:ind w:firstLine="551" w:firstLineChars="196"/>
        <w:jc w:val="left"/>
        <w:rPr>
          <w:rFonts w:hint="eastAsia"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w:t>
      </w:r>
      <w:bookmarkStart w:id="905" w:name="OLE_LINK16"/>
      <w:bookmarkStart w:id="906" w:name="OLE_LINK15"/>
      <w:r>
        <w:rPr>
          <w:rFonts w:hint="eastAsia" w:ascii="仿宋_GB2312" w:hAnsi="Calibri" w:eastAsia="仿宋_GB2312"/>
          <w:b/>
          <w:color w:val="auto"/>
          <w:sz w:val="28"/>
          <w:szCs w:val="28"/>
          <w:highlight w:val="none"/>
        </w:rPr>
        <w:t>关于对社会保险领域严重失信企业及其有关人员实施联合惩戒的合作备忘录</w:t>
      </w:r>
      <w:bookmarkEnd w:id="905"/>
      <w:bookmarkEnd w:id="906"/>
      <w:r>
        <w:rPr>
          <w:rFonts w:hint="eastAsia" w:ascii="仿宋_GB2312" w:hAnsi="Calibri" w:eastAsia="仿宋_GB2312"/>
          <w:b/>
          <w:color w:val="auto"/>
          <w:sz w:val="28"/>
          <w:szCs w:val="28"/>
          <w:highlight w:val="none"/>
        </w:rPr>
        <w:t>》（发改财金〔2018〕1704号）</w:t>
      </w:r>
    </w:p>
    <w:p w14:paraId="0ED01F60">
      <w:pPr>
        <w:adjustRightInd w:val="0"/>
        <w:snapToGrid w:val="0"/>
        <w:spacing w:line="560" w:lineRule="exact"/>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4C433CAA">
      <w:pPr>
        <w:adjustRightInd w:val="0"/>
        <w:snapToGrid w:val="0"/>
        <w:spacing w:line="560" w:lineRule="exact"/>
        <w:ind w:firstLine="562" w:firstLineChars="200"/>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2366F06A">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6BE589D4">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6F6A5162">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727CE7E3">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59A5DBAF">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365E66B7">
      <w:pPr>
        <w:ind w:firstLine="562" w:firstLineChars="200"/>
        <w:jc w:val="left"/>
        <w:rPr>
          <w:rFonts w:hint="eastAsia" w:ascii="宋体" w:hAnsi="宋体"/>
          <w:color w:val="auto"/>
          <w:sz w:val="28"/>
          <w:szCs w:val="28"/>
          <w:highlight w:val="none"/>
        </w:rPr>
      </w:pPr>
      <w:r>
        <w:rPr>
          <w:rFonts w:hint="eastAsia" w:ascii="仿宋_GB2312" w:hAnsi="Calibri" w:eastAsia="仿宋_GB2312"/>
          <w:b/>
          <w:color w:val="auto"/>
          <w:sz w:val="28"/>
          <w:szCs w:val="28"/>
          <w:highlight w:val="none"/>
        </w:rPr>
        <w:t>依据：《</w:t>
      </w:r>
      <w:bookmarkStart w:id="907" w:name="OLE_LINK17"/>
      <w:bookmarkStart w:id="908" w:name="OLE_LINK18"/>
      <w:r>
        <w:rPr>
          <w:rFonts w:hint="eastAsia" w:ascii="仿宋_GB2312" w:hAnsi="Calibri" w:eastAsia="仿宋_GB2312"/>
          <w:b/>
          <w:color w:val="auto"/>
          <w:sz w:val="28"/>
          <w:szCs w:val="28"/>
          <w:highlight w:val="none"/>
        </w:rPr>
        <w:t>建筑市场信用管理暂行办法</w:t>
      </w:r>
      <w:bookmarkEnd w:id="907"/>
      <w:bookmarkEnd w:id="908"/>
      <w:r>
        <w:rPr>
          <w:rFonts w:hint="eastAsia" w:ascii="仿宋_GB2312" w:hAnsi="Calibri" w:eastAsia="仿宋_GB2312"/>
          <w:b/>
          <w:color w:val="auto"/>
          <w:sz w:val="28"/>
          <w:szCs w:val="28"/>
          <w:highlight w:val="none"/>
        </w:rPr>
        <w:t>》（建市〔2017〕241号）</w:t>
      </w:r>
    </w:p>
    <w:p w14:paraId="76F3512C">
      <w:pPr>
        <w:adjustRightInd w:val="0"/>
        <w:snapToGrid w:val="0"/>
        <w:spacing w:line="560" w:lineRule="exact"/>
        <w:rPr>
          <w:rFonts w:hint="eastAsia" w:ascii="仿宋_GB2312" w:hAnsi="宋体" w:eastAsia="仿宋_GB2312"/>
          <w:b/>
          <w:color w:val="auto"/>
          <w:sz w:val="28"/>
          <w:szCs w:val="28"/>
          <w:highlight w:val="none"/>
        </w:rPr>
      </w:pPr>
    </w:p>
    <w:p w14:paraId="183A2E28">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909" w:name="OLE_LINK20"/>
      <w:bookmarkStart w:id="910" w:name="OLE_LINK19"/>
      <w:r>
        <w:rPr>
          <w:rFonts w:hint="eastAsia" w:ascii="仿宋_GB2312" w:hAnsi="宋体" w:eastAsia="仿宋_GB2312"/>
          <w:b/>
          <w:color w:val="auto"/>
          <w:sz w:val="28"/>
          <w:szCs w:val="28"/>
          <w:highlight w:val="none"/>
        </w:rPr>
        <w:t>政府采购严重失信行为</w:t>
      </w:r>
      <w:bookmarkEnd w:id="909"/>
      <w:bookmarkEnd w:id="910"/>
    </w:p>
    <w:p w14:paraId="3FB4263F">
      <w:pPr>
        <w:adjustRightInd w:val="0"/>
        <w:snapToGrid w:val="0"/>
        <w:spacing w:line="560" w:lineRule="exact"/>
        <w:ind w:firstLine="615"/>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w:t>
      </w:r>
      <w:r>
        <w:rPr>
          <w:rFonts w:hint="eastAsia" w:ascii="仿宋_GB2312" w:hAnsi="Calibri" w:eastAsia="仿宋_GB2312"/>
          <w:color w:val="auto"/>
          <w:sz w:val="28"/>
          <w:szCs w:val="28"/>
          <w:highlight w:val="none"/>
          <w:lang w:val="en-US" w:eastAsia="zh-CN"/>
        </w:rPr>
        <w:t>中华人民共和国</w:t>
      </w:r>
      <w:r>
        <w:rPr>
          <w:rFonts w:hint="eastAsia" w:ascii="仿宋_GB2312" w:hAnsi="Calibri" w:eastAsia="仿宋_GB2312"/>
          <w:color w:val="auto"/>
          <w:sz w:val="28"/>
          <w:szCs w:val="28"/>
          <w:highlight w:val="none"/>
        </w:rPr>
        <w:t>政府采购法》第78条修改前作出的处罚决定）。</w:t>
      </w:r>
    </w:p>
    <w:p w14:paraId="160536D5">
      <w:pPr>
        <w:adjustRightInd w:val="0"/>
        <w:snapToGrid w:val="0"/>
        <w:spacing w:line="560" w:lineRule="exact"/>
        <w:ind w:firstLine="562" w:firstLineChars="200"/>
        <w:jc w:val="left"/>
        <w:rPr>
          <w:rFonts w:hint="eastAsia" w:ascii="仿宋_GB2312" w:hAnsi="Calibri"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008622D3">
      <w:pPr>
        <w:adjustRightInd w:val="0"/>
        <w:snapToGrid w:val="0"/>
        <w:spacing w:line="560" w:lineRule="exact"/>
        <w:rPr>
          <w:rFonts w:hint="eastAsia" w:ascii="仿宋_GB2312" w:hAnsi="宋体" w:eastAsia="仿宋_GB2312"/>
          <w:b/>
          <w:color w:val="auto"/>
          <w:sz w:val="28"/>
          <w:szCs w:val="28"/>
          <w:highlight w:val="none"/>
        </w:rPr>
      </w:pPr>
    </w:p>
    <w:p w14:paraId="4FFF90B2">
      <w:pPr>
        <w:widowControl/>
        <w:autoSpaceDE w:val="0"/>
        <w:spacing w:line="480" w:lineRule="exact"/>
        <w:ind w:firstLine="562" w:firstLineChars="200"/>
        <w:jc w:val="left"/>
        <w:textAlignment w:val="baseline"/>
        <w:rPr>
          <w:rFonts w:hint="eastAsia" w:ascii="仿宋_GB2312" w:eastAsia="仿宋_GB2312"/>
          <w:b/>
          <w:color w:val="auto"/>
          <w:sz w:val="32"/>
          <w:szCs w:val="32"/>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p w14:paraId="0A6A294B">
      <w:pPr>
        <w:adjustRightInd w:val="0"/>
        <w:snapToGrid w:val="0"/>
        <w:spacing w:line="500" w:lineRule="exact"/>
        <w:jc w:val="left"/>
        <w:rPr>
          <w:rFonts w:ascii="宋体" w:hAnsi="宋体" w:cs="宋体"/>
          <w:b/>
          <w:color w:val="auto"/>
          <w:szCs w:val="21"/>
          <w:highlight w:val="none"/>
        </w:rPr>
      </w:pPr>
    </w:p>
    <w:p w14:paraId="3D348921">
      <w:pPr>
        <w:rPr>
          <w:rFonts w:hint="eastAsia"/>
          <w:bCs/>
          <w:color w:val="auto"/>
          <w:szCs w:val="32"/>
          <w:highlight w:val="none"/>
        </w:rPr>
      </w:pPr>
      <w:r>
        <w:rPr>
          <w:b/>
          <w:color w:val="auto"/>
          <w:sz w:val="32"/>
          <w:szCs w:val="32"/>
          <w:highlight w:val="none"/>
        </w:rPr>
        <w:br w:type="page"/>
      </w:r>
      <w:bookmarkStart w:id="911" w:name="_Toc25735"/>
    </w:p>
    <w:p w14:paraId="12E471B8">
      <w:pPr>
        <w:pStyle w:val="42"/>
        <w:spacing w:beforeLines="50" w:afterLines="50" w:line="440" w:lineRule="exact"/>
        <w:rPr>
          <w:bCs/>
          <w:color w:val="auto"/>
          <w:szCs w:val="32"/>
          <w:highlight w:val="none"/>
        </w:rPr>
      </w:pPr>
      <w:r>
        <w:rPr>
          <w:rFonts w:hint="eastAsia"/>
          <w:bCs/>
          <w:color w:val="auto"/>
          <w:szCs w:val="32"/>
          <w:highlight w:val="none"/>
        </w:rPr>
        <w:t>第六章</w:t>
      </w:r>
      <w:r>
        <w:rPr>
          <w:bCs/>
          <w:color w:val="auto"/>
          <w:szCs w:val="32"/>
          <w:highlight w:val="none"/>
        </w:rPr>
        <w:t xml:space="preserve">  </w:t>
      </w:r>
      <w:r>
        <w:rPr>
          <w:rFonts w:hint="eastAsia"/>
          <w:bCs/>
          <w:color w:val="auto"/>
          <w:szCs w:val="32"/>
          <w:highlight w:val="none"/>
        </w:rPr>
        <w:t>招标单位、招标代理机构对本招标文件的确认</w:t>
      </w:r>
      <w:bookmarkEnd w:id="911"/>
    </w:p>
    <w:p w14:paraId="28D25218">
      <w:pPr>
        <w:pStyle w:val="16"/>
        <w:rPr>
          <w:color w:val="auto"/>
          <w:highlight w:val="none"/>
        </w:rPr>
      </w:pPr>
    </w:p>
    <w:tbl>
      <w:tblPr>
        <w:tblStyle w:val="45"/>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5AEB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4" w:hRule="atLeast"/>
          <w:jc w:val="center"/>
        </w:trPr>
        <w:tc>
          <w:tcPr>
            <w:tcW w:w="9580" w:type="dxa"/>
          </w:tcPr>
          <w:p w14:paraId="73FA6AB6">
            <w:pPr>
              <w:wordWrap w:val="0"/>
              <w:adjustRightInd w:val="0"/>
              <w:snapToGrid w:val="0"/>
              <w:spacing w:line="560" w:lineRule="exact"/>
              <w:rPr>
                <w:color w:val="auto"/>
                <w:sz w:val="30"/>
                <w:highlight w:val="none"/>
              </w:rPr>
            </w:pPr>
          </w:p>
          <w:p w14:paraId="392DD9B2">
            <w:pPr>
              <w:wordWrap w:val="0"/>
              <w:ind w:left="-358" w:leftChars="-171" w:hanging="1"/>
              <w:rPr>
                <w:color w:val="auto"/>
                <w:sz w:val="28"/>
                <w:szCs w:val="28"/>
                <w:highlight w:val="none"/>
              </w:rPr>
            </w:pPr>
            <w:r>
              <w:rPr>
                <w:rFonts w:hint="eastAsia"/>
                <w:color w:val="auto"/>
                <w:sz w:val="24"/>
                <w:highlight w:val="none"/>
              </w:rPr>
              <w:t>我</w:t>
            </w:r>
            <w:r>
              <w:rPr>
                <w:color w:val="auto"/>
                <w:sz w:val="24"/>
                <w:highlight w:val="none"/>
              </w:rPr>
              <w:t xml:space="preserve">      </w:t>
            </w:r>
            <w:r>
              <w:rPr>
                <w:rFonts w:hint="eastAsia"/>
                <w:color w:val="auto"/>
                <w:sz w:val="28"/>
                <w:szCs w:val="28"/>
                <w:highlight w:val="none"/>
              </w:rPr>
              <w:t>我单位对</w:t>
            </w:r>
            <w:r>
              <w:rPr>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智能家电产业园项目工程量清单及最高投标限价编制服务项目</w:t>
            </w:r>
            <w:r>
              <w:rPr>
                <w:color w:val="auto"/>
                <w:sz w:val="28"/>
                <w:szCs w:val="28"/>
                <w:highlight w:val="none"/>
                <w:u w:val="single"/>
              </w:rPr>
              <w:t xml:space="preserve"> </w:t>
            </w:r>
            <w:r>
              <w:rPr>
                <w:rFonts w:hint="eastAsia"/>
                <w:color w:val="auto"/>
                <w:sz w:val="28"/>
                <w:szCs w:val="28"/>
                <w:highlight w:val="none"/>
              </w:rPr>
              <w:t>的招标文件进行确认。</w:t>
            </w:r>
          </w:p>
          <w:p w14:paraId="78A12AFF">
            <w:pPr>
              <w:wordWrap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 招 标 人：</w:t>
            </w:r>
            <w:r>
              <w:rPr>
                <w:rFonts w:hint="eastAsia" w:ascii="宋体" w:hAnsi="宋体"/>
                <w:color w:val="auto"/>
                <w:sz w:val="28"/>
                <w:szCs w:val="28"/>
                <w:highlight w:val="none"/>
                <w:lang w:eastAsia="zh-CN"/>
              </w:rPr>
              <w:t xml:space="preserve">滁州同业投资发展有限公司 </w:t>
            </w:r>
            <w:r>
              <w:rPr>
                <w:rFonts w:hint="eastAsia" w:ascii="宋体" w:hAnsi="宋体"/>
                <w:color w:val="auto"/>
                <w:sz w:val="28"/>
                <w:szCs w:val="28"/>
                <w:highlight w:val="none"/>
              </w:rPr>
              <w:t xml:space="preserve">       </w:t>
            </w:r>
          </w:p>
          <w:p w14:paraId="5EEA16C5">
            <w:pPr>
              <w:wordWrap w:val="0"/>
              <w:spacing w:line="560" w:lineRule="exact"/>
              <w:ind w:firstLine="560" w:firstLineChars="200"/>
              <w:rPr>
                <w:rFonts w:hint="default" w:ascii="宋体" w:hAnsi="宋体"/>
                <w:color w:val="auto"/>
                <w:sz w:val="28"/>
                <w:szCs w:val="28"/>
                <w:highlight w:val="none"/>
                <w:lang w:val="en-US"/>
              </w:rPr>
            </w:pPr>
            <w:r>
              <w:rPr>
                <w:rFonts w:hint="eastAsia" w:ascii="宋体" w:hAnsi="宋体"/>
                <w:color w:val="auto"/>
                <w:sz w:val="28"/>
                <w:szCs w:val="28"/>
                <w:highlight w:val="none"/>
              </w:rPr>
              <w:t>联 系 人：</w:t>
            </w:r>
            <w:r>
              <w:rPr>
                <w:rFonts w:hint="eastAsia" w:ascii="宋体" w:hAnsi="宋体"/>
                <w:color w:val="auto"/>
                <w:sz w:val="28"/>
                <w:szCs w:val="28"/>
                <w:highlight w:val="none"/>
                <w:lang w:val="en-US" w:eastAsia="zh-CN"/>
              </w:rPr>
              <w:t>李庆延</w:t>
            </w:r>
          </w:p>
          <w:p w14:paraId="60DD86E4">
            <w:pPr>
              <w:wordWrap w:val="0"/>
              <w:spacing w:line="560" w:lineRule="exact"/>
              <w:ind w:firstLine="560" w:firstLineChars="200"/>
              <w:rPr>
                <w:rFonts w:ascii="宋体"/>
                <w:color w:val="auto"/>
                <w:sz w:val="28"/>
                <w:szCs w:val="28"/>
                <w:highlight w:val="none"/>
              </w:rPr>
            </w:pPr>
            <w:r>
              <w:rPr>
                <w:rFonts w:hint="eastAsia" w:ascii="宋体" w:hAnsi="宋体"/>
                <w:color w:val="auto"/>
                <w:sz w:val="28"/>
                <w:szCs w:val="28"/>
                <w:highlight w:val="none"/>
              </w:rPr>
              <w:t>联系电话：</w:t>
            </w:r>
            <w:r>
              <w:rPr>
                <w:rFonts w:hint="eastAsia" w:ascii="宋体" w:hAnsi="宋体"/>
                <w:color w:val="auto"/>
                <w:sz w:val="28"/>
                <w:szCs w:val="28"/>
                <w:highlight w:val="none"/>
                <w:lang w:val="en-US" w:eastAsia="zh-CN"/>
              </w:rPr>
              <w:t>0550-3219389</w:t>
            </w:r>
            <w:r>
              <w:rPr>
                <w:rFonts w:ascii="宋体" w:hAnsi="宋体"/>
                <w:color w:val="auto"/>
                <w:sz w:val="28"/>
                <w:szCs w:val="28"/>
                <w:highlight w:val="none"/>
              </w:rPr>
              <w:t xml:space="preserve">               </w:t>
            </w:r>
          </w:p>
          <w:p w14:paraId="2D324CC3">
            <w:pPr>
              <w:wordWrap w:val="0"/>
              <w:spacing w:line="560" w:lineRule="exact"/>
              <w:ind w:firstLine="560" w:firstLineChars="200"/>
              <w:rPr>
                <w:rFonts w:ascii="宋体"/>
                <w:color w:val="auto"/>
                <w:sz w:val="28"/>
                <w:szCs w:val="28"/>
                <w:highlight w:val="none"/>
              </w:rPr>
            </w:pPr>
          </w:p>
          <w:p w14:paraId="432FC2C5">
            <w:pPr>
              <w:wordWrap w:val="0"/>
              <w:spacing w:line="560" w:lineRule="exact"/>
              <w:ind w:firstLine="560" w:firstLineChars="200"/>
              <w:rPr>
                <w:rFonts w:ascii="宋体" w:hAnsi="宋体"/>
                <w:color w:val="auto"/>
                <w:sz w:val="28"/>
                <w:szCs w:val="28"/>
                <w:highlight w:val="none"/>
              </w:rPr>
            </w:pPr>
          </w:p>
          <w:p w14:paraId="147BFAB4">
            <w:pPr>
              <w:wordWrap w:val="0"/>
              <w:spacing w:line="560" w:lineRule="exact"/>
              <w:ind w:firstLine="560" w:firstLineChars="200"/>
              <w:rPr>
                <w:rFonts w:ascii="宋体"/>
                <w:color w:val="auto"/>
                <w:sz w:val="28"/>
                <w:szCs w:val="28"/>
                <w:highlight w:val="none"/>
              </w:rPr>
            </w:pPr>
            <w:r>
              <w:rPr>
                <w:rFonts w:ascii="宋体" w:hAnsi="宋体"/>
                <w:color w:val="auto"/>
                <w:sz w:val="28"/>
                <w:szCs w:val="28"/>
                <w:highlight w:val="none"/>
              </w:rPr>
              <w:t xml:space="preserve">             </w:t>
            </w:r>
          </w:p>
          <w:p w14:paraId="0DBE0E68">
            <w:pPr>
              <w:wordWrap w:val="0"/>
              <w:spacing w:line="560" w:lineRule="exact"/>
              <w:ind w:firstLine="6020" w:firstLineChars="2150"/>
              <w:rPr>
                <w:rFonts w:ascii="宋体"/>
                <w:color w:val="auto"/>
                <w:sz w:val="28"/>
                <w:szCs w:val="28"/>
                <w:highlight w:val="none"/>
              </w:rPr>
            </w:pPr>
            <w:r>
              <w:rPr>
                <w:rFonts w:hint="eastAsia" w:ascii="宋体" w:hAnsi="宋体"/>
                <w:color w:val="auto"/>
                <w:sz w:val="28"/>
                <w:szCs w:val="28"/>
                <w:highlight w:val="none"/>
              </w:rPr>
              <w:t>（单位盖章）</w:t>
            </w:r>
          </w:p>
          <w:p w14:paraId="71C48312">
            <w:pPr>
              <w:spacing w:line="560" w:lineRule="exact"/>
              <w:ind w:firstLine="6160" w:firstLineChars="2200"/>
              <w:rPr>
                <w:color w:val="auto"/>
                <w:sz w:val="30"/>
                <w:highlight w:val="none"/>
              </w:rPr>
            </w:pPr>
            <w:r>
              <w:rPr>
                <w:rFonts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color w:val="auto"/>
                <w:sz w:val="28"/>
                <w:szCs w:val="28"/>
                <w:highlight w:val="none"/>
                <w:lang w:val="en-US" w:eastAsia="zh-CN"/>
              </w:rPr>
              <w:t>2</w:t>
            </w:r>
            <w:r>
              <w:rPr>
                <w:rFonts w:hint="eastAsia" w:ascii="宋体" w:hAnsi="宋体"/>
                <w:color w:val="auto"/>
                <w:sz w:val="28"/>
                <w:szCs w:val="28"/>
                <w:highlight w:val="none"/>
              </w:rPr>
              <w:t>月</w:t>
            </w:r>
          </w:p>
        </w:tc>
      </w:tr>
      <w:tr w14:paraId="1F5E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6" w:hRule="atLeast"/>
          <w:jc w:val="center"/>
        </w:trPr>
        <w:tc>
          <w:tcPr>
            <w:tcW w:w="9580" w:type="dxa"/>
          </w:tcPr>
          <w:p w14:paraId="5294EABD">
            <w:pPr>
              <w:spacing w:line="560" w:lineRule="exact"/>
              <w:ind w:firstLine="560" w:firstLineChars="200"/>
              <w:rPr>
                <w:rFonts w:ascii="宋体" w:cs="宋体"/>
                <w:color w:val="auto"/>
                <w:sz w:val="28"/>
                <w:szCs w:val="28"/>
                <w:highlight w:val="none"/>
              </w:rPr>
            </w:pPr>
          </w:p>
          <w:p w14:paraId="1DA5900E">
            <w:pPr>
              <w:spacing w:line="560" w:lineRule="exact"/>
              <w:ind w:firstLine="560" w:firstLineChars="200"/>
              <w:rPr>
                <w:rFonts w:asci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68BEE97E">
            <w:pPr>
              <w:spacing w:line="560" w:lineRule="exact"/>
              <w:ind w:firstLine="560" w:firstLineChars="200"/>
              <w:rPr>
                <w:rFonts w:ascii="宋体" w:cs="宋体"/>
                <w:color w:val="auto"/>
                <w:sz w:val="28"/>
                <w:szCs w:val="28"/>
                <w:highlight w:val="none"/>
                <w:u w:val="single"/>
              </w:rPr>
            </w:pPr>
            <w:r>
              <w:rPr>
                <w:rFonts w:hint="eastAsia" w:ascii="宋体" w:hAnsi="宋体" w:cs="宋体"/>
                <w:color w:val="auto"/>
                <w:sz w:val="28"/>
                <w:szCs w:val="28"/>
                <w:highlight w:val="none"/>
              </w:rPr>
              <w:t>联</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系</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人：杨韦</w:t>
            </w:r>
          </w:p>
          <w:p w14:paraId="611AE3F9">
            <w:pPr>
              <w:spacing w:line="560" w:lineRule="exact"/>
              <w:ind w:firstLine="560" w:firstLineChars="200"/>
              <w:rPr>
                <w:rFonts w:ascii="宋体" w:cs="宋体"/>
                <w:color w:val="auto"/>
                <w:sz w:val="28"/>
                <w:szCs w:val="28"/>
                <w:highlight w:val="none"/>
              </w:rPr>
            </w:pPr>
            <w:r>
              <w:rPr>
                <w:rFonts w:hint="eastAsia" w:ascii="宋体" w:hAnsi="宋体" w:cs="宋体"/>
                <w:color w:val="auto"/>
                <w:sz w:val="28"/>
                <w:szCs w:val="28"/>
                <w:highlight w:val="none"/>
              </w:rPr>
              <w:t>联系电话：</w:t>
            </w:r>
            <w:r>
              <w:rPr>
                <w:rFonts w:ascii="宋体" w:hAnsi="宋体" w:cs="宋体"/>
                <w:color w:val="auto"/>
                <w:sz w:val="28"/>
                <w:szCs w:val="28"/>
                <w:highlight w:val="none"/>
              </w:rPr>
              <w:t>0550-</w:t>
            </w:r>
            <w:r>
              <w:rPr>
                <w:rFonts w:hint="eastAsia" w:ascii="宋体" w:hAnsi="宋体" w:cs="宋体"/>
                <w:color w:val="auto"/>
                <w:sz w:val="28"/>
                <w:szCs w:val="28"/>
                <w:highlight w:val="none"/>
                <w:lang w:eastAsia="zh-CN"/>
              </w:rPr>
              <w:t>3519590</w:t>
            </w:r>
            <w:r>
              <w:rPr>
                <w:rFonts w:hint="eastAsia" w:ascii="宋体" w:hAnsi="宋体" w:cs="宋体"/>
                <w:color w:val="auto"/>
                <w:sz w:val="28"/>
                <w:szCs w:val="28"/>
                <w:highlight w:val="none"/>
              </w:rPr>
              <w:t>、</w:t>
            </w:r>
            <w:r>
              <w:rPr>
                <w:rFonts w:ascii="宋体" w:hAnsi="宋体" w:cs="宋体"/>
                <w:color w:val="auto"/>
                <w:sz w:val="28"/>
                <w:szCs w:val="28"/>
                <w:highlight w:val="none"/>
              </w:rPr>
              <w:t>18005501210</w:t>
            </w:r>
          </w:p>
          <w:p w14:paraId="2ECB68E7">
            <w:pPr>
              <w:spacing w:line="560" w:lineRule="exact"/>
              <w:ind w:firstLine="5040" w:firstLineChars="1800"/>
              <w:rPr>
                <w:rFonts w:ascii="宋体" w:cs="宋体"/>
                <w:color w:val="auto"/>
                <w:sz w:val="28"/>
                <w:szCs w:val="28"/>
                <w:highlight w:val="none"/>
              </w:rPr>
            </w:pPr>
          </w:p>
          <w:p w14:paraId="3634FFCA">
            <w:pPr>
              <w:spacing w:line="560" w:lineRule="exact"/>
              <w:ind w:firstLine="5460" w:firstLineChars="1950"/>
              <w:rPr>
                <w:rFonts w:ascii="宋体" w:cs="宋体"/>
                <w:color w:val="auto"/>
                <w:sz w:val="28"/>
                <w:szCs w:val="28"/>
                <w:highlight w:val="none"/>
              </w:rPr>
            </w:pPr>
          </w:p>
          <w:p w14:paraId="1B414A48">
            <w:pPr>
              <w:spacing w:line="560" w:lineRule="exact"/>
              <w:ind w:firstLine="5460" w:firstLineChars="1950"/>
              <w:rPr>
                <w:rFonts w:ascii="宋体" w:cs="宋体"/>
                <w:color w:val="auto"/>
                <w:sz w:val="28"/>
                <w:szCs w:val="28"/>
                <w:highlight w:val="none"/>
              </w:rPr>
            </w:pPr>
          </w:p>
          <w:p w14:paraId="4D3662FA">
            <w:pPr>
              <w:spacing w:line="560" w:lineRule="exact"/>
              <w:ind w:firstLine="5880" w:firstLineChars="2100"/>
              <w:rPr>
                <w:rFonts w:ascii="宋体" w:cs="宋体"/>
                <w:color w:val="auto"/>
                <w:sz w:val="28"/>
                <w:szCs w:val="28"/>
                <w:highlight w:val="none"/>
              </w:rPr>
            </w:pPr>
            <w:r>
              <w:rPr>
                <w:rFonts w:hint="eastAsia" w:ascii="宋体" w:hAnsi="宋体" w:cs="宋体"/>
                <w:color w:val="auto"/>
                <w:sz w:val="28"/>
                <w:szCs w:val="28"/>
                <w:highlight w:val="none"/>
              </w:rPr>
              <w:t>（单位盖章）</w:t>
            </w:r>
          </w:p>
          <w:p w14:paraId="1B4F00C9">
            <w:pPr>
              <w:spacing w:line="560" w:lineRule="exact"/>
              <w:ind w:firstLine="6160" w:firstLineChars="2200"/>
              <w:rPr>
                <w:color w:val="auto"/>
                <w:sz w:val="30"/>
                <w:highlight w:val="none"/>
              </w:rPr>
            </w:pPr>
            <w:r>
              <w:rPr>
                <w:rFonts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color w:val="auto"/>
                <w:sz w:val="28"/>
                <w:szCs w:val="28"/>
                <w:highlight w:val="none"/>
                <w:lang w:val="en-US" w:eastAsia="zh-CN"/>
              </w:rPr>
              <w:t>2</w:t>
            </w:r>
            <w:r>
              <w:rPr>
                <w:rFonts w:hint="eastAsia" w:ascii="宋体" w:hAnsi="宋体"/>
                <w:color w:val="auto"/>
                <w:sz w:val="28"/>
                <w:szCs w:val="28"/>
                <w:highlight w:val="none"/>
              </w:rPr>
              <w:t>月</w:t>
            </w:r>
          </w:p>
        </w:tc>
      </w:tr>
    </w:tbl>
    <w:p w14:paraId="5866944B">
      <w:pPr>
        <w:pStyle w:val="44"/>
        <w:ind w:left="0" w:leftChars="0" w:firstLine="0" w:firstLineChars="0"/>
        <w:rPr>
          <w:color w:val="auto"/>
          <w:highlight w:val="none"/>
        </w:rPr>
      </w:pPr>
    </w:p>
    <w:sectPr>
      <w:footerReference r:id="rId6" w:type="default"/>
      <w:pgSz w:w="11906" w:h="16838"/>
      <w:pgMar w:top="1134" w:right="1417" w:bottom="1134" w:left="141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86D5A77-0663-4A36-979E-515447D2E61A}"/>
  </w:font>
  <w:font w:name="黑体">
    <w:panose1 w:val="02010609060101010101"/>
    <w:charset w:val="86"/>
    <w:family w:val="auto"/>
    <w:pitch w:val="default"/>
    <w:sig w:usb0="800002BF" w:usb1="38CF7CFA" w:usb2="00000016" w:usb3="00000000" w:csb0="00040001" w:csb1="00000000"/>
    <w:embedRegular r:id="rId2" w:fontKey="{5968D1B8-ABFB-4AEE-8884-7B44C45CF8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751EC84-DBBE-48C4-BAA7-3EA7712F740D}"/>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embedRegular r:id="rId4" w:fontKey="{4949706B-0211-4835-9E1A-6AFBE9F2E1AB}"/>
  </w:font>
  <w:font w:name="楷体">
    <w:panose1 w:val="02010609060101010101"/>
    <w:charset w:val="86"/>
    <w:family w:val="auto"/>
    <w:pitch w:val="default"/>
    <w:sig w:usb0="800002BF" w:usb1="38CF7CFA" w:usb2="00000016" w:usb3="00000000" w:csb0="00040001" w:csb1="00000000"/>
    <w:embedRegular r:id="rId5" w:fontKey="{14697CA6-B15D-429B-877E-C16B3E15C5DB}"/>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6" w:fontKey="{A140576C-FCF5-4679-9171-91728CAE71CB}"/>
  </w:font>
  <w:font w:name="仿宋">
    <w:panose1 w:val="02010609060101010101"/>
    <w:charset w:val="86"/>
    <w:family w:val="auto"/>
    <w:pitch w:val="default"/>
    <w:sig w:usb0="800002BF" w:usb1="38CF7CFA" w:usb2="00000016" w:usb3="00000000" w:csb0="00040001" w:csb1="00000000"/>
    <w:embedRegular r:id="rId7" w:fontKey="{33DFB1A7-27D9-4805-8AAA-76B61F7B7A6D}"/>
  </w:font>
  <w:font w:name="华文中宋">
    <w:panose1 w:val="02010600040101010101"/>
    <w:charset w:val="86"/>
    <w:family w:val="auto"/>
    <w:pitch w:val="default"/>
    <w:sig w:usb0="00000287" w:usb1="080F0000" w:usb2="00000000" w:usb3="00000000" w:csb0="0004009F" w:csb1="DFD70000"/>
    <w:embedRegular r:id="rId8" w:fontKey="{A1550642-9A41-4D28-ADD8-0E98B096B70D}"/>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4F34C">
    <w:pPr>
      <w:pStyle w:val="27"/>
      <w:framePr w:wrap="around" w:vAnchor="text" w:hAnchor="margin" w:xAlign="center" w:y="1"/>
      <w:rPr>
        <w:rStyle w:val="49"/>
      </w:rPr>
    </w:pPr>
  </w:p>
  <w:p w14:paraId="6CE8BDA8">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410B8">
    <w:pPr>
      <w:pStyle w:val="27"/>
      <w:framePr w:wrap="around" w:vAnchor="text" w:hAnchor="margin" w:xAlign="center" w:y="1"/>
      <w:rPr>
        <w:rStyle w:val="49"/>
      </w:rPr>
    </w:pPr>
  </w:p>
  <w:p w14:paraId="5E30C1B1">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9F90">
    <w:pPr>
      <w:pStyle w:val="27"/>
      <w:rPr>
        <w:rStyle w:val="49"/>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3AF7B8">
                          <w:pPr>
                            <w:pStyle w:val="2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6F3AF7B8">
                    <w:pPr>
                      <w:pStyle w:val="27"/>
                    </w:pPr>
                    <w:r>
                      <w:fldChar w:fldCharType="begin"/>
                    </w:r>
                    <w:r>
                      <w:instrText xml:space="preserve"> PAGE  \* MERGEFORMAT </w:instrText>
                    </w:r>
                    <w:r>
                      <w:fldChar w:fldCharType="separate"/>
                    </w:r>
                    <w:r>
                      <w:t>1</w:t>
                    </w:r>
                    <w:r>
                      <w:fldChar w:fldCharType="end"/>
                    </w:r>
                  </w:p>
                </w:txbxContent>
              </v:textbox>
            </v:shape>
          </w:pict>
        </mc:Fallback>
      </mc:AlternateContent>
    </w:r>
  </w:p>
  <w:p w14:paraId="5C365F08">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22D20">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07D07"/>
    <w:multiLevelType w:val="singleLevel"/>
    <w:tmpl w:val="8EC07D07"/>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 w:name="KSO_WPS_MARK_KEY" w:val="500f34a0-6bbe-4f54-87cc-4bc5d3d21986"/>
  </w:docVars>
  <w:rsids>
    <w:rsidRoot w:val="00172A27"/>
    <w:rsid w:val="0000197A"/>
    <w:rsid w:val="00002E1B"/>
    <w:rsid w:val="000046EA"/>
    <w:rsid w:val="00004E34"/>
    <w:rsid w:val="00005CD8"/>
    <w:rsid w:val="00006123"/>
    <w:rsid w:val="000070B7"/>
    <w:rsid w:val="0000758B"/>
    <w:rsid w:val="00010F4B"/>
    <w:rsid w:val="0001111D"/>
    <w:rsid w:val="00012D1D"/>
    <w:rsid w:val="00017114"/>
    <w:rsid w:val="00017EFA"/>
    <w:rsid w:val="00020FE0"/>
    <w:rsid w:val="00021BDB"/>
    <w:rsid w:val="000225E0"/>
    <w:rsid w:val="00022A89"/>
    <w:rsid w:val="000330C1"/>
    <w:rsid w:val="000335C0"/>
    <w:rsid w:val="00034C73"/>
    <w:rsid w:val="00037B93"/>
    <w:rsid w:val="00040224"/>
    <w:rsid w:val="0004332D"/>
    <w:rsid w:val="00046C34"/>
    <w:rsid w:val="0005256E"/>
    <w:rsid w:val="00057DBF"/>
    <w:rsid w:val="0006411D"/>
    <w:rsid w:val="000642AF"/>
    <w:rsid w:val="00066792"/>
    <w:rsid w:val="00076F1D"/>
    <w:rsid w:val="00077234"/>
    <w:rsid w:val="00086C18"/>
    <w:rsid w:val="00090A07"/>
    <w:rsid w:val="00090F90"/>
    <w:rsid w:val="00093100"/>
    <w:rsid w:val="000939B1"/>
    <w:rsid w:val="00094E9D"/>
    <w:rsid w:val="000A078C"/>
    <w:rsid w:val="000A11AD"/>
    <w:rsid w:val="000A5881"/>
    <w:rsid w:val="000A65EE"/>
    <w:rsid w:val="000B3A75"/>
    <w:rsid w:val="000B4B76"/>
    <w:rsid w:val="000B7A7E"/>
    <w:rsid w:val="000C26FD"/>
    <w:rsid w:val="000D203E"/>
    <w:rsid w:val="000D2C3D"/>
    <w:rsid w:val="000D2ECE"/>
    <w:rsid w:val="000E0020"/>
    <w:rsid w:val="000E1F7F"/>
    <w:rsid w:val="000E3D3D"/>
    <w:rsid w:val="000F5645"/>
    <w:rsid w:val="000F740E"/>
    <w:rsid w:val="00104E44"/>
    <w:rsid w:val="001063CB"/>
    <w:rsid w:val="0011140E"/>
    <w:rsid w:val="00115943"/>
    <w:rsid w:val="00116988"/>
    <w:rsid w:val="00125553"/>
    <w:rsid w:val="00131494"/>
    <w:rsid w:val="00132E3D"/>
    <w:rsid w:val="00135EDE"/>
    <w:rsid w:val="00146B5E"/>
    <w:rsid w:val="0015292B"/>
    <w:rsid w:val="0015363F"/>
    <w:rsid w:val="00154C59"/>
    <w:rsid w:val="00155F6F"/>
    <w:rsid w:val="001564C3"/>
    <w:rsid w:val="001620D9"/>
    <w:rsid w:val="00165414"/>
    <w:rsid w:val="00165F97"/>
    <w:rsid w:val="00167090"/>
    <w:rsid w:val="00172A27"/>
    <w:rsid w:val="00173D37"/>
    <w:rsid w:val="00182D4C"/>
    <w:rsid w:val="001834BA"/>
    <w:rsid w:val="001843D3"/>
    <w:rsid w:val="00184866"/>
    <w:rsid w:val="00185DBC"/>
    <w:rsid w:val="00191DD8"/>
    <w:rsid w:val="001963BD"/>
    <w:rsid w:val="001A120B"/>
    <w:rsid w:val="001A184C"/>
    <w:rsid w:val="001A37E0"/>
    <w:rsid w:val="001A3EC9"/>
    <w:rsid w:val="001A6EF7"/>
    <w:rsid w:val="001B1DF0"/>
    <w:rsid w:val="001B21A5"/>
    <w:rsid w:val="001B45D5"/>
    <w:rsid w:val="001B4675"/>
    <w:rsid w:val="001B4BDE"/>
    <w:rsid w:val="001B59E9"/>
    <w:rsid w:val="001B62B0"/>
    <w:rsid w:val="001B6A78"/>
    <w:rsid w:val="001C4E01"/>
    <w:rsid w:val="001D0C94"/>
    <w:rsid w:val="001E6D31"/>
    <w:rsid w:val="001F23AB"/>
    <w:rsid w:val="001F32ED"/>
    <w:rsid w:val="001F7E70"/>
    <w:rsid w:val="00200459"/>
    <w:rsid w:val="00202DB7"/>
    <w:rsid w:val="00207065"/>
    <w:rsid w:val="00207999"/>
    <w:rsid w:val="00213FCA"/>
    <w:rsid w:val="00214988"/>
    <w:rsid w:val="00214F76"/>
    <w:rsid w:val="002202CE"/>
    <w:rsid w:val="0022219A"/>
    <w:rsid w:val="00222521"/>
    <w:rsid w:val="00230A2B"/>
    <w:rsid w:val="00231547"/>
    <w:rsid w:val="002334EC"/>
    <w:rsid w:val="00235B32"/>
    <w:rsid w:val="00236AD7"/>
    <w:rsid w:val="00240423"/>
    <w:rsid w:val="00243B18"/>
    <w:rsid w:val="00245594"/>
    <w:rsid w:val="00246B91"/>
    <w:rsid w:val="00247A64"/>
    <w:rsid w:val="00250BCF"/>
    <w:rsid w:val="00253591"/>
    <w:rsid w:val="00255670"/>
    <w:rsid w:val="00262ABE"/>
    <w:rsid w:val="00276F57"/>
    <w:rsid w:val="00277D06"/>
    <w:rsid w:val="002816D4"/>
    <w:rsid w:val="00286980"/>
    <w:rsid w:val="0029757E"/>
    <w:rsid w:val="002A1A66"/>
    <w:rsid w:val="002A599F"/>
    <w:rsid w:val="002B30AF"/>
    <w:rsid w:val="002B4BA8"/>
    <w:rsid w:val="002B6923"/>
    <w:rsid w:val="002B7117"/>
    <w:rsid w:val="002B714A"/>
    <w:rsid w:val="002B7621"/>
    <w:rsid w:val="002C2E22"/>
    <w:rsid w:val="002C341B"/>
    <w:rsid w:val="002C3BAD"/>
    <w:rsid w:val="002C4A57"/>
    <w:rsid w:val="002C5643"/>
    <w:rsid w:val="002E13EC"/>
    <w:rsid w:val="002F2C99"/>
    <w:rsid w:val="002F794D"/>
    <w:rsid w:val="003029B3"/>
    <w:rsid w:val="00303019"/>
    <w:rsid w:val="00306787"/>
    <w:rsid w:val="0031113D"/>
    <w:rsid w:val="00313CA4"/>
    <w:rsid w:val="003150CE"/>
    <w:rsid w:val="00316270"/>
    <w:rsid w:val="00321598"/>
    <w:rsid w:val="00321FDB"/>
    <w:rsid w:val="00323870"/>
    <w:rsid w:val="00324847"/>
    <w:rsid w:val="00324A5E"/>
    <w:rsid w:val="00325624"/>
    <w:rsid w:val="00332891"/>
    <w:rsid w:val="00333810"/>
    <w:rsid w:val="00342D97"/>
    <w:rsid w:val="00343375"/>
    <w:rsid w:val="003448C2"/>
    <w:rsid w:val="00344CD6"/>
    <w:rsid w:val="0034662F"/>
    <w:rsid w:val="003510D2"/>
    <w:rsid w:val="00351A8E"/>
    <w:rsid w:val="0035447B"/>
    <w:rsid w:val="00356B27"/>
    <w:rsid w:val="00356B90"/>
    <w:rsid w:val="00357C8A"/>
    <w:rsid w:val="00360C29"/>
    <w:rsid w:val="00361CBA"/>
    <w:rsid w:val="0036593D"/>
    <w:rsid w:val="00366951"/>
    <w:rsid w:val="00376808"/>
    <w:rsid w:val="003817E6"/>
    <w:rsid w:val="00381B3A"/>
    <w:rsid w:val="00381E22"/>
    <w:rsid w:val="0038244A"/>
    <w:rsid w:val="00382545"/>
    <w:rsid w:val="00383221"/>
    <w:rsid w:val="00386132"/>
    <w:rsid w:val="003871B4"/>
    <w:rsid w:val="00393016"/>
    <w:rsid w:val="00393669"/>
    <w:rsid w:val="00394BA5"/>
    <w:rsid w:val="003A70F7"/>
    <w:rsid w:val="003B39C6"/>
    <w:rsid w:val="003B4CDE"/>
    <w:rsid w:val="003B5919"/>
    <w:rsid w:val="003B7075"/>
    <w:rsid w:val="003B7983"/>
    <w:rsid w:val="003C24F4"/>
    <w:rsid w:val="003C3C64"/>
    <w:rsid w:val="003C4452"/>
    <w:rsid w:val="003C7646"/>
    <w:rsid w:val="003D0BFC"/>
    <w:rsid w:val="003D34ED"/>
    <w:rsid w:val="003D60ED"/>
    <w:rsid w:val="003D7852"/>
    <w:rsid w:val="003E15AB"/>
    <w:rsid w:val="003E3274"/>
    <w:rsid w:val="003E441B"/>
    <w:rsid w:val="003E528B"/>
    <w:rsid w:val="003E62C9"/>
    <w:rsid w:val="003E64A4"/>
    <w:rsid w:val="003F1184"/>
    <w:rsid w:val="003F19CD"/>
    <w:rsid w:val="003F56BE"/>
    <w:rsid w:val="003F72A7"/>
    <w:rsid w:val="00403578"/>
    <w:rsid w:val="00404AFD"/>
    <w:rsid w:val="00411B9C"/>
    <w:rsid w:val="004139CC"/>
    <w:rsid w:val="004179E4"/>
    <w:rsid w:val="00422908"/>
    <w:rsid w:val="00423DA3"/>
    <w:rsid w:val="0042416B"/>
    <w:rsid w:val="004249BA"/>
    <w:rsid w:val="0042531B"/>
    <w:rsid w:val="004306D8"/>
    <w:rsid w:val="00430F18"/>
    <w:rsid w:val="00432BC1"/>
    <w:rsid w:val="00434AAC"/>
    <w:rsid w:val="0043512B"/>
    <w:rsid w:val="00435537"/>
    <w:rsid w:val="004355FE"/>
    <w:rsid w:val="00441E58"/>
    <w:rsid w:val="00445715"/>
    <w:rsid w:val="00445E0F"/>
    <w:rsid w:val="00446179"/>
    <w:rsid w:val="00446284"/>
    <w:rsid w:val="004506F7"/>
    <w:rsid w:val="00451F70"/>
    <w:rsid w:val="00454C0F"/>
    <w:rsid w:val="00454F95"/>
    <w:rsid w:val="00456DC1"/>
    <w:rsid w:val="00462043"/>
    <w:rsid w:val="0046380E"/>
    <w:rsid w:val="004712B0"/>
    <w:rsid w:val="00471B5C"/>
    <w:rsid w:val="00473006"/>
    <w:rsid w:val="00473BA0"/>
    <w:rsid w:val="00474B17"/>
    <w:rsid w:val="00477FF4"/>
    <w:rsid w:val="00494CD7"/>
    <w:rsid w:val="004A394F"/>
    <w:rsid w:val="004A7299"/>
    <w:rsid w:val="004C2BF2"/>
    <w:rsid w:val="004C4C36"/>
    <w:rsid w:val="004D0871"/>
    <w:rsid w:val="004D31D7"/>
    <w:rsid w:val="004D6B92"/>
    <w:rsid w:val="004E085C"/>
    <w:rsid w:val="004E0F8D"/>
    <w:rsid w:val="004F1D3D"/>
    <w:rsid w:val="004F3C9D"/>
    <w:rsid w:val="004F77A5"/>
    <w:rsid w:val="00504F99"/>
    <w:rsid w:val="00505F69"/>
    <w:rsid w:val="005078D7"/>
    <w:rsid w:val="00510F89"/>
    <w:rsid w:val="00512B81"/>
    <w:rsid w:val="00513D1E"/>
    <w:rsid w:val="00525D5C"/>
    <w:rsid w:val="00526B90"/>
    <w:rsid w:val="00527D18"/>
    <w:rsid w:val="005324F1"/>
    <w:rsid w:val="00534798"/>
    <w:rsid w:val="005362C3"/>
    <w:rsid w:val="00536BAD"/>
    <w:rsid w:val="00537141"/>
    <w:rsid w:val="005408F8"/>
    <w:rsid w:val="00543A1A"/>
    <w:rsid w:val="00543D1A"/>
    <w:rsid w:val="00545A63"/>
    <w:rsid w:val="00551ABE"/>
    <w:rsid w:val="00553C28"/>
    <w:rsid w:val="005575EF"/>
    <w:rsid w:val="00557CAA"/>
    <w:rsid w:val="005610A7"/>
    <w:rsid w:val="00562097"/>
    <w:rsid w:val="00563B31"/>
    <w:rsid w:val="00565E25"/>
    <w:rsid w:val="00566512"/>
    <w:rsid w:val="005677A2"/>
    <w:rsid w:val="00571668"/>
    <w:rsid w:val="005736B2"/>
    <w:rsid w:val="00580342"/>
    <w:rsid w:val="00582213"/>
    <w:rsid w:val="005901E1"/>
    <w:rsid w:val="005915F5"/>
    <w:rsid w:val="00591F58"/>
    <w:rsid w:val="00592834"/>
    <w:rsid w:val="00594FBF"/>
    <w:rsid w:val="00597823"/>
    <w:rsid w:val="005A5E6E"/>
    <w:rsid w:val="005A71BD"/>
    <w:rsid w:val="005A7C75"/>
    <w:rsid w:val="005B4AA4"/>
    <w:rsid w:val="005B5C42"/>
    <w:rsid w:val="005C0C25"/>
    <w:rsid w:val="005D1E1A"/>
    <w:rsid w:val="005D2808"/>
    <w:rsid w:val="005D6EDB"/>
    <w:rsid w:val="005E6D8D"/>
    <w:rsid w:val="005F2C58"/>
    <w:rsid w:val="005F4B20"/>
    <w:rsid w:val="005F548E"/>
    <w:rsid w:val="00601231"/>
    <w:rsid w:val="006015AA"/>
    <w:rsid w:val="006053A4"/>
    <w:rsid w:val="0061143B"/>
    <w:rsid w:val="00617B19"/>
    <w:rsid w:val="00620E0C"/>
    <w:rsid w:val="00626412"/>
    <w:rsid w:val="00627F07"/>
    <w:rsid w:val="00630A52"/>
    <w:rsid w:val="006314EC"/>
    <w:rsid w:val="006319A4"/>
    <w:rsid w:val="006320EC"/>
    <w:rsid w:val="00632505"/>
    <w:rsid w:val="0063261C"/>
    <w:rsid w:val="00634E49"/>
    <w:rsid w:val="00636DE4"/>
    <w:rsid w:val="006404B8"/>
    <w:rsid w:val="00640732"/>
    <w:rsid w:val="006411FA"/>
    <w:rsid w:val="006468C4"/>
    <w:rsid w:val="00646B1D"/>
    <w:rsid w:val="0065656C"/>
    <w:rsid w:val="00662C9C"/>
    <w:rsid w:val="00664CCB"/>
    <w:rsid w:val="0066501C"/>
    <w:rsid w:val="00672253"/>
    <w:rsid w:val="00680EED"/>
    <w:rsid w:val="00683A32"/>
    <w:rsid w:val="0069751D"/>
    <w:rsid w:val="00697E3A"/>
    <w:rsid w:val="006A2E04"/>
    <w:rsid w:val="006A5A61"/>
    <w:rsid w:val="006B06AF"/>
    <w:rsid w:val="006B110E"/>
    <w:rsid w:val="006B3913"/>
    <w:rsid w:val="006B5F0A"/>
    <w:rsid w:val="006C004B"/>
    <w:rsid w:val="006C09E3"/>
    <w:rsid w:val="006C12A2"/>
    <w:rsid w:val="006C3056"/>
    <w:rsid w:val="006C3E9D"/>
    <w:rsid w:val="006E29E7"/>
    <w:rsid w:val="006E4C81"/>
    <w:rsid w:val="006F3D17"/>
    <w:rsid w:val="006F75A9"/>
    <w:rsid w:val="007010A6"/>
    <w:rsid w:val="007010E6"/>
    <w:rsid w:val="00703797"/>
    <w:rsid w:val="00704877"/>
    <w:rsid w:val="007056DC"/>
    <w:rsid w:val="00707F33"/>
    <w:rsid w:val="00707FB8"/>
    <w:rsid w:val="00712094"/>
    <w:rsid w:val="00712899"/>
    <w:rsid w:val="007142EF"/>
    <w:rsid w:val="007167E3"/>
    <w:rsid w:val="00721DFF"/>
    <w:rsid w:val="007220FC"/>
    <w:rsid w:val="007224C8"/>
    <w:rsid w:val="00734057"/>
    <w:rsid w:val="00740EA7"/>
    <w:rsid w:val="00743322"/>
    <w:rsid w:val="00743A79"/>
    <w:rsid w:val="0074552F"/>
    <w:rsid w:val="00750DC6"/>
    <w:rsid w:val="00750EE0"/>
    <w:rsid w:val="00755F4B"/>
    <w:rsid w:val="00764F21"/>
    <w:rsid w:val="00771225"/>
    <w:rsid w:val="007735D0"/>
    <w:rsid w:val="0077709D"/>
    <w:rsid w:val="0077725B"/>
    <w:rsid w:val="0078232E"/>
    <w:rsid w:val="0078387C"/>
    <w:rsid w:val="007846BD"/>
    <w:rsid w:val="00785C7C"/>
    <w:rsid w:val="00791620"/>
    <w:rsid w:val="00797F29"/>
    <w:rsid w:val="00797F99"/>
    <w:rsid w:val="007A5486"/>
    <w:rsid w:val="007A59DE"/>
    <w:rsid w:val="007B10BC"/>
    <w:rsid w:val="007B6549"/>
    <w:rsid w:val="007B6736"/>
    <w:rsid w:val="007B7D18"/>
    <w:rsid w:val="007C5C10"/>
    <w:rsid w:val="007C5C4D"/>
    <w:rsid w:val="007D3552"/>
    <w:rsid w:val="007D7027"/>
    <w:rsid w:val="007E42D5"/>
    <w:rsid w:val="007E60BB"/>
    <w:rsid w:val="007E66F0"/>
    <w:rsid w:val="007E6E71"/>
    <w:rsid w:val="007F0879"/>
    <w:rsid w:val="007F7CC1"/>
    <w:rsid w:val="00802D13"/>
    <w:rsid w:val="00803277"/>
    <w:rsid w:val="00803BC6"/>
    <w:rsid w:val="008044D7"/>
    <w:rsid w:val="008056D1"/>
    <w:rsid w:val="00811BC8"/>
    <w:rsid w:val="0081385B"/>
    <w:rsid w:val="008146CD"/>
    <w:rsid w:val="00822D2E"/>
    <w:rsid w:val="00833488"/>
    <w:rsid w:val="00833A36"/>
    <w:rsid w:val="0084190B"/>
    <w:rsid w:val="0084411B"/>
    <w:rsid w:val="00844D6E"/>
    <w:rsid w:val="008462FB"/>
    <w:rsid w:val="008465CD"/>
    <w:rsid w:val="0084663D"/>
    <w:rsid w:val="00854873"/>
    <w:rsid w:val="00856515"/>
    <w:rsid w:val="00857737"/>
    <w:rsid w:val="00864FC6"/>
    <w:rsid w:val="00872E7D"/>
    <w:rsid w:val="0087424F"/>
    <w:rsid w:val="00874549"/>
    <w:rsid w:val="008756B7"/>
    <w:rsid w:val="00880472"/>
    <w:rsid w:val="008813F9"/>
    <w:rsid w:val="00881587"/>
    <w:rsid w:val="00884060"/>
    <w:rsid w:val="00890796"/>
    <w:rsid w:val="0089321E"/>
    <w:rsid w:val="008933DF"/>
    <w:rsid w:val="00894C08"/>
    <w:rsid w:val="00895001"/>
    <w:rsid w:val="008A0D2A"/>
    <w:rsid w:val="008A1DEE"/>
    <w:rsid w:val="008B3DFF"/>
    <w:rsid w:val="008C49D3"/>
    <w:rsid w:val="008C642B"/>
    <w:rsid w:val="008C6DA1"/>
    <w:rsid w:val="008C72A6"/>
    <w:rsid w:val="008D138C"/>
    <w:rsid w:val="008D3D94"/>
    <w:rsid w:val="008D3E37"/>
    <w:rsid w:val="008E30BF"/>
    <w:rsid w:val="008E35A0"/>
    <w:rsid w:val="008E5038"/>
    <w:rsid w:val="008F031C"/>
    <w:rsid w:val="008F1463"/>
    <w:rsid w:val="008F1F11"/>
    <w:rsid w:val="008F31C7"/>
    <w:rsid w:val="008F4575"/>
    <w:rsid w:val="008F7394"/>
    <w:rsid w:val="008F79D7"/>
    <w:rsid w:val="009006DF"/>
    <w:rsid w:val="00903CF0"/>
    <w:rsid w:val="00910153"/>
    <w:rsid w:val="00910A19"/>
    <w:rsid w:val="00910F4E"/>
    <w:rsid w:val="00911695"/>
    <w:rsid w:val="00911E55"/>
    <w:rsid w:val="00913F05"/>
    <w:rsid w:val="0091562C"/>
    <w:rsid w:val="009177B6"/>
    <w:rsid w:val="00924202"/>
    <w:rsid w:val="00924E50"/>
    <w:rsid w:val="00926ABF"/>
    <w:rsid w:val="00927A26"/>
    <w:rsid w:val="00927D00"/>
    <w:rsid w:val="0093269F"/>
    <w:rsid w:val="009412CD"/>
    <w:rsid w:val="0095349A"/>
    <w:rsid w:val="00960CAB"/>
    <w:rsid w:val="00961359"/>
    <w:rsid w:val="00962A0B"/>
    <w:rsid w:val="00962C4D"/>
    <w:rsid w:val="0096757C"/>
    <w:rsid w:val="00967A23"/>
    <w:rsid w:val="00972946"/>
    <w:rsid w:val="00974691"/>
    <w:rsid w:val="00976022"/>
    <w:rsid w:val="00976169"/>
    <w:rsid w:val="00976580"/>
    <w:rsid w:val="00977C3F"/>
    <w:rsid w:val="00980102"/>
    <w:rsid w:val="0098316D"/>
    <w:rsid w:val="00986D16"/>
    <w:rsid w:val="009910B5"/>
    <w:rsid w:val="009920AD"/>
    <w:rsid w:val="0099244A"/>
    <w:rsid w:val="009938B8"/>
    <w:rsid w:val="009A0735"/>
    <w:rsid w:val="009A25E2"/>
    <w:rsid w:val="009A2875"/>
    <w:rsid w:val="009A4C36"/>
    <w:rsid w:val="009B1FF8"/>
    <w:rsid w:val="009B42EF"/>
    <w:rsid w:val="009B4E7E"/>
    <w:rsid w:val="009B5EED"/>
    <w:rsid w:val="009C37BF"/>
    <w:rsid w:val="009C6EE6"/>
    <w:rsid w:val="009C7333"/>
    <w:rsid w:val="009C7979"/>
    <w:rsid w:val="009D0966"/>
    <w:rsid w:val="009D22E5"/>
    <w:rsid w:val="009D4B7E"/>
    <w:rsid w:val="009D71F1"/>
    <w:rsid w:val="009E015C"/>
    <w:rsid w:val="009E0909"/>
    <w:rsid w:val="009E37B1"/>
    <w:rsid w:val="009E3E05"/>
    <w:rsid w:val="009E5780"/>
    <w:rsid w:val="009E5D72"/>
    <w:rsid w:val="009F01E1"/>
    <w:rsid w:val="009F2F5E"/>
    <w:rsid w:val="009F3B2F"/>
    <w:rsid w:val="009F51BD"/>
    <w:rsid w:val="009F60D9"/>
    <w:rsid w:val="00A01456"/>
    <w:rsid w:val="00A01B5E"/>
    <w:rsid w:val="00A02A20"/>
    <w:rsid w:val="00A03301"/>
    <w:rsid w:val="00A0769D"/>
    <w:rsid w:val="00A101E8"/>
    <w:rsid w:val="00A1132C"/>
    <w:rsid w:val="00A1168E"/>
    <w:rsid w:val="00A11EE6"/>
    <w:rsid w:val="00A14C01"/>
    <w:rsid w:val="00A1556E"/>
    <w:rsid w:val="00A169DC"/>
    <w:rsid w:val="00A20C10"/>
    <w:rsid w:val="00A22EC9"/>
    <w:rsid w:val="00A25ED3"/>
    <w:rsid w:val="00A264B5"/>
    <w:rsid w:val="00A26E1A"/>
    <w:rsid w:val="00A27D67"/>
    <w:rsid w:val="00A37208"/>
    <w:rsid w:val="00A373FE"/>
    <w:rsid w:val="00A37744"/>
    <w:rsid w:val="00A431C8"/>
    <w:rsid w:val="00A47E8E"/>
    <w:rsid w:val="00A50183"/>
    <w:rsid w:val="00A508F5"/>
    <w:rsid w:val="00A52488"/>
    <w:rsid w:val="00A52EF8"/>
    <w:rsid w:val="00A55871"/>
    <w:rsid w:val="00A55F4D"/>
    <w:rsid w:val="00A60E15"/>
    <w:rsid w:val="00A65ACF"/>
    <w:rsid w:val="00A71725"/>
    <w:rsid w:val="00A730D4"/>
    <w:rsid w:val="00A75160"/>
    <w:rsid w:val="00A80107"/>
    <w:rsid w:val="00A82C07"/>
    <w:rsid w:val="00A8654F"/>
    <w:rsid w:val="00A87252"/>
    <w:rsid w:val="00A921C2"/>
    <w:rsid w:val="00A93040"/>
    <w:rsid w:val="00A9331E"/>
    <w:rsid w:val="00AA672A"/>
    <w:rsid w:val="00AA7717"/>
    <w:rsid w:val="00AA7A7D"/>
    <w:rsid w:val="00AB24DF"/>
    <w:rsid w:val="00AB2639"/>
    <w:rsid w:val="00AB41F5"/>
    <w:rsid w:val="00AB534D"/>
    <w:rsid w:val="00AB6C48"/>
    <w:rsid w:val="00AB7F2E"/>
    <w:rsid w:val="00AC26EA"/>
    <w:rsid w:val="00AC2702"/>
    <w:rsid w:val="00AC5E52"/>
    <w:rsid w:val="00AC75F2"/>
    <w:rsid w:val="00AD0D0C"/>
    <w:rsid w:val="00AD28A1"/>
    <w:rsid w:val="00AF04EA"/>
    <w:rsid w:val="00B01E1E"/>
    <w:rsid w:val="00B04E52"/>
    <w:rsid w:val="00B064E0"/>
    <w:rsid w:val="00B06DF0"/>
    <w:rsid w:val="00B125E7"/>
    <w:rsid w:val="00B17733"/>
    <w:rsid w:val="00B17A2D"/>
    <w:rsid w:val="00B238A2"/>
    <w:rsid w:val="00B2684F"/>
    <w:rsid w:val="00B30708"/>
    <w:rsid w:val="00B40A36"/>
    <w:rsid w:val="00B421B9"/>
    <w:rsid w:val="00B46946"/>
    <w:rsid w:val="00B52319"/>
    <w:rsid w:val="00B5524B"/>
    <w:rsid w:val="00B60374"/>
    <w:rsid w:val="00B624DE"/>
    <w:rsid w:val="00B669BA"/>
    <w:rsid w:val="00B67E11"/>
    <w:rsid w:val="00B81D39"/>
    <w:rsid w:val="00B87A14"/>
    <w:rsid w:val="00B87A48"/>
    <w:rsid w:val="00B91A45"/>
    <w:rsid w:val="00BA58F0"/>
    <w:rsid w:val="00BA6D3B"/>
    <w:rsid w:val="00BA7453"/>
    <w:rsid w:val="00BB0336"/>
    <w:rsid w:val="00BB2223"/>
    <w:rsid w:val="00BB2B7B"/>
    <w:rsid w:val="00BC0C20"/>
    <w:rsid w:val="00BC508C"/>
    <w:rsid w:val="00BC79D7"/>
    <w:rsid w:val="00BD41E9"/>
    <w:rsid w:val="00BE1A5C"/>
    <w:rsid w:val="00BE2D96"/>
    <w:rsid w:val="00BE520A"/>
    <w:rsid w:val="00BE5A23"/>
    <w:rsid w:val="00BE6705"/>
    <w:rsid w:val="00BE7FAD"/>
    <w:rsid w:val="00BF0DAF"/>
    <w:rsid w:val="00BF0E76"/>
    <w:rsid w:val="00BF1E08"/>
    <w:rsid w:val="00BF2EB6"/>
    <w:rsid w:val="00C063C0"/>
    <w:rsid w:val="00C06DB4"/>
    <w:rsid w:val="00C0756A"/>
    <w:rsid w:val="00C12A63"/>
    <w:rsid w:val="00C12BE9"/>
    <w:rsid w:val="00C13786"/>
    <w:rsid w:val="00C14FCB"/>
    <w:rsid w:val="00C15A0C"/>
    <w:rsid w:val="00C15FE3"/>
    <w:rsid w:val="00C2443D"/>
    <w:rsid w:val="00C2616B"/>
    <w:rsid w:val="00C318C2"/>
    <w:rsid w:val="00C35769"/>
    <w:rsid w:val="00C40FE1"/>
    <w:rsid w:val="00C434BA"/>
    <w:rsid w:val="00C44BCE"/>
    <w:rsid w:val="00C46EAD"/>
    <w:rsid w:val="00C51140"/>
    <w:rsid w:val="00C521B2"/>
    <w:rsid w:val="00C536A9"/>
    <w:rsid w:val="00C56A2B"/>
    <w:rsid w:val="00C57DD2"/>
    <w:rsid w:val="00C6039F"/>
    <w:rsid w:val="00C61FE7"/>
    <w:rsid w:val="00C64B7C"/>
    <w:rsid w:val="00C66520"/>
    <w:rsid w:val="00C673DF"/>
    <w:rsid w:val="00C75A94"/>
    <w:rsid w:val="00C77AA8"/>
    <w:rsid w:val="00C804FA"/>
    <w:rsid w:val="00C82E68"/>
    <w:rsid w:val="00C862B3"/>
    <w:rsid w:val="00C87B3D"/>
    <w:rsid w:val="00C90C62"/>
    <w:rsid w:val="00C92F00"/>
    <w:rsid w:val="00C93DA5"/>
    <w:rsid w:val="00C94F29"/>
    <w:rsid w:val="00CA00CA"/>
    <w:rsid w:val="00CA2884"/>
    <w:rsid w:val="00CB3280"/>
    <w:rsid w:val="00CB3F09"/>
    <w:rsid w:val="00CB57BD"/>
    <w:rsid w:val="00CC1A9F"/>
    <w:rsid w:val="00CC252A"/>
    <w:rsid w:val="00CC2938"/>
    <w:rsid w:val="00CC4493"/>
    <w:rsid w:val="00CC47DB"/>
    <w:rsid w:val="00CC5D81"/>
    <w:rsid w:val="00CD275C"/>
    <w:rsid w:val="00CD4231"/>
    <w:rsid w:val="00CD7B4A"/>
    <w:rsid w:val="00CE4F1D"/>
    <w:rsid w:val="00CF745F"/>
    <w:rsid w:val="00D0047C"/>
    <w:rsid w:val="00D03403"/>
    <w:rsid w:val="00D037D8"/>
    <w:rsid w:val="00D11406"/>
    <w:rsid w:val="00D1359A"/>
    <w:rsid w:val="00D22FAB"/>
    <w:rsid w:val="00D26687"/>
    <w:rsid w:val="00D2689C"/>
    <w:rsid w:val="00D26B80"/>
    <w:rsid w:val="00D329C5"/>
    <w:rsid w:val="00D35580"/>
    <w:rsid w:val="00D356EA"/>
    <w:rsid w:val="00D401A6"/>
    <w:rsid w:val="00D409EF"/>
    <w:rsid w:val="00D40B26"/>
    <w:rsid w:val="00D5328E"/>
    <w:rsid w:val="00D54F1A"/>
    <w:rsid w:val="00D567DA"/>
    <w:rsid w:val="00D608B9"/>
    <w:rsid w:val="00D61861"/>
    <w:rsid w:val="00D62567"/>
    <w:rsid w:val="00D66575"/>
    <w:rsid w:val="00D93C90"/>
    <w:rsid w:val="00DA0B4C"/>
    <w:rsid w:val="00DA5168"/>
    <w:rsid w:val="00DA56E9"/>
    <w:rsid w:val="00DB727B"/>
    <w:rsid w:val="00DC26C6"/>
    <w:rsid w:val="00DC277E"/>
    <w:rsid w:val="00DC2A3E"/>
    <w:rsid w:val="00DC3D1F"/>
    <w:rsid w:val="00DD13E3"/>
    <w:rsid w:val="00DD33A6"/>
    <w:rsid w:val="00DD4A45"/>
    <w:rsid w:val="00DE0362"/>
    <w:rsid w:val="00DE5E9E"/>
    <w:rsid w:val="00DF1196"/>
    <w:rsid w:val="00DF73D5"/>
    <w:rsid w:val="00E006A4"/>
    <w:rsid w:val="00E01733"/>
    <w:rsid w:val="00E12C8B"/>
    <w:rsid w:val="00E13696"/>
    <w:rsid w:val="00E15607"/>
    <w:rsid w:val="00E15BD9"/>
    <w:rsid w:val="00E20153"/>
    <w:rsid w:val="00E24AF7"/>
    <w:rsid w:val="00E2637A"/>
    <w:rsid w:val="00E31555"/>
    <w:rsid w:val="00E31DCB"/>
    <w:rsid w:val="00E3267B"/>
    <w:rsid w:val="00E36B63"/>
    <w:rsid w:val="00E420DA"/>
    <w:rsid w:val="00E432BC"/>
    <w:rsid w:val="00E46A23"/>
    <w:rsid w:val="00E471B1"/>
    <w:rsid w:val="00E52FB0"/>
    <w:rsid w:val="00E5543F"/>
    <w:rsid w:val="00E61800"/>
    <w:rsid w:val="00E658A8"/>
    <w:rsid w:val="00E676D9"/>
    <w:rsid w:val="00E71800"/>
    <w:rsid w:val="00E73BE6"/>
    <w:rsid w:val="00E73BEC"/>
    <w:rsid w:val="00E73D9E"/>
    <w:rsid w:val="00E73E25"/>
    <w:rsid w:val="00E74949"/>
    <w:rsid w:val="00E74A8E"/>
    <w:rsid w:val="00E80370"/>
    <w:rsid w:val="00E82224"/>
    <w:rsid w:val="00E96064"/>
    <w:rsid w:val="00EA3E32"/>
    <w:rsid w:val="00EA6D61"/>
    <w:rsid w:val="00EA704E"/>
    <w:rsid w:val="00EA7F7C"/>
    <w:rsid w:val="00EB2913"/>
    <w:rsid w:val="00EB42BD"/>
    <w:rsid w:val="00EB642C"/>
    <w:rsid w:val="00EC2475"/>
    <w:rsid w:val="00EC4E86"/>
    <w:rsid w:val="00EC5566"/>
    <w:rsid w:val="00EC69E9"/>
    <w:rsid w:val="00ED12A0"/>
    <w:rsid w:val="00ED1E2A"/>
    <w:rsid w:val="00ED1F99"/>
    <w:rsid w:val="00ED2D4B"/>
    <w:rsid w:val="00ED4F9C"/>
    <w:rsid w:val="00ED5689"/>
    <w:rsid w:val="00ED697B"/>
    <w:rsid w:val="00ED70F4"/>
    <w:rsid w:val="00EE0F9A"/>
    <w:rsid w:val="00EE1A69"/>
    <w:rsid w:val="00EE7CE2"/>
    <w:rsid w:val="00EF6EF4"/>
    <w:rsid w:val="00F00091"/>
    <w:rsid w:val="00F005E7"/>
    <w:rsid w:val="00F01476"/>
    <w:rsid w:val="00F0190B"/>
    <w:rsid w:val="00F0202B"/>
    <w:rsid w:val="00F0494D"/>
    <w:rsid w:val="00F04A09"/>
    <w:rsid w:val="00F05D9E"/>
    <w:rsid w:val="00F10121"/>
    <w:rsid w:val="00F12882"/>
    <w:rsid w:val="00F12BFE"/>
    <w:rsid w:val="00F1424F"/>
    <w:rsid w:val="00F1577A"/>
    <w:rsid w:val="00F21581"/>
    <w:rsid w:val="00F21AA8"/>
    <w:rsid w:val="00F22362"/>
    <w:rsid w:val="00F24087"/>
    <w:rsid w:val="00F26850"/>
    <w:rsid w:val="00F308B0"/>
    <w:rsid w:val="00F3163A"/>
    <w:rsid w:val="00F3402B"/>
    <w:rsid w:val="00F365E1"/>
    <w:rsid w:val="00F400D9"/>
    <w:rsid w:val="00F40471"/>
    <w:rsid w:val="00F429F9"/>
    <w:rsid w:val="00F43778"/>
    <w:rsid w:val="00F43A25"/>
    <w:rsid w:val="00F44932"/>
    <w:rsid w:val="00F509D2"/>
    <w:rsid w:val="00F53E92"/>
    <w:rsid w:val="00F579EE"/>
    <w:rsid w:val="00F57BC9"/>
    <w:rsid w:val="00F60225"/>
    <w:rsid w:val="00F61A0A"/>
    <w:rsid w:val="00F641D8"/>
    <w:rsid w:val="00F711EC"/>
    <w:rsid w:val="00F75713"/>
    <w:rsid w:val="00F75AB0"/>
    <w:rsid w:val="00F75C73"/>
    <w:rsid w:val="00F81536"/>
    <w:rsid w:val="00F85169"/>
    <w:rsid w:val="00F85239"/>
    <w:rsid w:val="00F8527D"/>
    <w:rsid w:val="00F8540D"/>
    <w:rsid w:val="00F90548"/>
    <w:rsid w:val="00F922EF"/>
    <w:rsid w:val="00F937BD"/>
    <w:rsid w:val="00FA4ABC"/>
    <w:rsid w:val="00FA51C6"/>
    <w:rsid w:val="00FA5D2F"/>
    <w:rsid w:val="00FB7C96"/>
    <w:rsid w:val="00FC460B"/>
    <w:rsid w:val="00FC56B8"/>
    <w:rsid w:val="00FC5F20"/>
    <w:rsid w:val="00FC7B5E"/>
    <w:rsid w:val="00FD079E"/>
    <w:rsid w:val="00FD20A0"/>
    <w:rsid w:val="00FD4991"/>
    <w:rsid w:val="00FE0113"/>
    <w:rsid w:val="00FE0A00"/>
    <w:rsid w:val="00FE7A2E"/>
    <w:rsid w:val="00FE7B94"/>
    <w:rsid w:val="00FF1392"/>
    <w:rsid w:val="00FF2D63"/>
    <w:rsid w:val="00FF403E"/>
    <w:rsid w:val="00FF6ACF"/>
    <w:rsid w:val="00FF7157"/>
    <w:rsid w:val="01042CD0"/>
    <w:rsid w:val="01086012"/>
    <w:rsid w:val="012F23D2"/>
    <w:rsid w:val="01353E46"/>
    <w:rsid w:val="013D20EF"/>
    <w:rsid w:val="013D4C8F"/>
    <w:rsid w:val="0141555F"/>
    <w:rsid w:val="014557C2"/>
    <w:rsid w:val="01505F15"/>
    <w:rsid w:val="01542AFA"/>
    <w:rsid w:val="015B3476"/>
    <w:rsid w:val="015E6630"/>
    <w:rsid w:val="0169035C"/>
    <w:rsid w:val="016C75C7"/>
    <w:rsid w:val="016E2F6B"/>
    <w:rsid w:val="017B2F92"/>
    <w:rsid w:val="018D524F"/>
    <w:rsid w:val="018E53BB"/>
    <w:rsid w:val="019036D8"/>
    <w:rsid w:val="01A01767"/>
    <w:rsid w:val="01AC75F0"/>
    <w:rsid w:val="01BD4FDC"/>
    <w:rsid w:val="01E941AE"/>
    <w:rsid w:val="01F82835"/>
    <w:rsid w:val="02092C94"/>
    <w:rsid w:val="02100727"/>
    <w:rsid w:val="021F7DC1"/>
    <w:rsid w:val="0221105C"/>
    <w:rsid w:val="02240E71"/>
    <w:rsid w:val="022F6268"/>
    <w:rsid w:val="0230144B"/>
    <w:rsid w:val="0236312F"/>
    <w:rsid w:val="023E2A8F"/>
    <w:rsid w:val="02406FC5"/>
    <w:rsid w:val="024342E8"/>
    <w:rsid w:val="02497F02"/>
    <w:rsid w:val="025D37A6"/>
    <w:rsid w:val="02630A21"/>
    <w:rsid w:val="02816CCE"/>
    <w:rsid w:val="029027EC"/>
    <w:rsid w:val="02906F11"/>
    <w:rsid w:val="02910656"/>
    <w:rsid w:val="029452C8"/>
    <w:rsid w:val="0295277A"/>
    <w:rsid w:val="02957A39"/>
    <w:rsid w:val="0299330C"/>
    <w:rsid w:val="029A7D90"/>
    <w:rsid w:val="02A678F6"/>
    <w:rsid w:val="02AE2F1E"/>
    <w:rsid w:val="02B07476"/>
    <w:rsid w:val="02B34262"/>
    <w:rsid w:val="02B726F0"/>
    <w:rsid w:val="02C16D56"/>
    <w:rsid w:val="02C30781"/>
    <w:rsid w:val="02C32A89"/>
    <w:rsid w:val="02EB23C8"/>
    <w:rsid w:val="02ED4254"/>
    <w:rsid w:val="02F54A67"/>
    <w:rsid w:val="02FB57A8"/>
    <w:rsid w:val="02FB586B"/>
    <w:rsid w:val="032764F6"/>
    <w:rsid w:val="033364ED"/>
    <w:rsid w:val="03343D40"/>
    <w:rsid w:val="03355FAD"/>
    <w:rsid w:val="03357A15"/>
    <w:rsid w:val="03384690"/>
    <w:rsid w:val="033F6615"/>
    <w:rsid w:val="034A4B76"/>
    <w:rsid w:val="035461E6"/>
    <w:rsid w:val="035A307B"/>
    <w:rsid w:val="03646BB0"/>
    <w:rsid w:val="036839EA"/>
    <w:rsid w:val="036A455B"/>
    <w:rsid w:val="03700AD7"/>
    <w:rsid w:val="037979A5"/>
    <w:rsid w:val="03881BEB"/>
    <w:rsid w:val="039667A9"/>
    <w:rsid w:val="0397763C"/>
    <w:rsid w:val="03B07722"/>
    <w:rsid w:val="03B7151D"/>
    <w:rsid w:val="03BD5AE4"/>
    <w:rsid w:val="03CD0376"/>
    <w:rsid w:val="03D417D5"/>
    <w:rsid w:val="03D50A2B"/>
    <w:rsid w:val="03E5503B"/>
    <w:rsid w:val="03E73921"/>
    <w:rsid w:val="03E868D9"/>
    <w:rsid w:val="03EB0F95"/>
    <w:rsid w:val="03F1290E"/>
    <w:rsid w:val="04002E0B"/>
    <w:rsid w:val="040F03FA"/>
    <w:rsid w:val="0412438A"/>
    <w:rsid w:val="04136717"/>
    <w:rsid w:val="04212517"/>
    <w:rsid w:val="0427254C"/>
    <w:rsid w:val="042C3BF9"/>
    <w:rsid w:val="04332546"/>
    <w:rsid w:val="04351837"/>
    <w:rsid w:val="043F299D"/>
    <w:rsid w:val="04533461"/>
    <w:rsid w:val="047D5AEA"/>
    <w:rsid w:val="048D54DF"/>
    <w:rsid w:val="04983E5B"/>
    <w:rsid w:val="049C1B9D"/>
    <w:rsid w:val="049F3BB9"/>
    <w:rsid w:val="04B51F1A"/>
    <w:rsid w:val="04BB2CD9"/>
    <w:rsid w:val="04BD0338"/>
    <w:rsid w:val="04C56D31"/>
    <w:rsid w:val="04CF0F22"/>
    <w:rsid w:val="04D1080D"/>
    <w:rsid w:val="04D64D93"/>
    <w:rsid w:val="04D7542D"/>
    <w:rsid w:val="04E452F2"/>
    <w:rsid w:val="04E82F5F"/>
    <w:rsid w:val="04F4647E"/>
    <w:rsid w:val="05084E1A"/>
    <w:rsid w:val="051C683A"/>
    <w:rsid w:val="0536624A"/>
    <w:rsid w:val="054B1B48"/>
    <w:rsid w:val="05507187"/>
    <w:rsid w:val="05526700"/>
    <w:rsid w:val="05547F50"/>
    <w:rsid w:val="05586D81"/>
    <w:rsid w:val="056775E0"/>
    <w:rsid w:val="0580326D"/>
    <w:rsid w:val="05812096"/>
    <w:rsid w:val="058E4D4F"/>
    <w:rsid w:val="059F100D"/>
    <w:rsid w:val="05A31C11"/>
    <w:rsid w:val="05A754E1"/>
    <w:rsid w:val="05B22616"/>
    <w:rsid w:val="05B6570E"/>
    <w:rsid w:val="05BA3D63"/>
    <w:rsid w:val="05BE0D9E"/>
    <w:rsid w:val="05C72C4A"/>
    <w:rsid w:val="05D11D1B"/>
    <w:rsid w:val="05DC03BC"/>
    <w:rsid w:val="05E03755"/>
    <w:rsid w:val="05E05D39"/>
    <w:rsid w:val="05EB1690"/>
    <w:rsid w:val="05EE025B"/>
    <w:rsid w:val="05FB2E46"/>
    <w:rsid w:val="06222576"/>
    <w:rsid w:val="062F259D"/>
    <w:rsid w:val="0643158D"/>
    <w:rsid w:val="06632C8A"/>
    <w:rsid w:val="06693D01"/>
    <w:rsid w:val="066A11FF"/>
    <w:rsid w:val="066A268B"/>
    <w:rsid w:val="066C44D0"/>
    <w:rsid w:val="066E30C6"/>
    <w:rsid w:val="066E73CC"/>
    <w:rsid w:val="06780BE4"/>
    <w:rsid w:val="0688298E"/>
    <w:rsid w:val="069F4F41"/>
    <w:rsid w:val="06A978A6"/>
    <w:rsid w:val="06AE3E0A"/>
    <w:rsid w:val="06C373A0"/>
    <w:rsid w:val="06CA61EA"/>
    <w:rsid w:val="06D3256B"/>
    <w:rsid w:val="06EB1467"/>
    <w:rsid w:val="070659F4"/>
    <w:rsid w:val="0716354A"/>
    <w:rsid w:val="07177C01"/>
    <w:rsid w:val="071A5532"/>
    <w:rsid w:val="07300CC3"/>
    <w:rsid w:val="073F7F68"/>
    <w:rsid w:val="074327A4"/>
    <w:rsid w:val="07433326"/>
    <w:rsid w:val="074C3BC6"/>
    <w:rsid w:val="074D1200"/>
    <w:rsid w:val="074D53D1"/>
    <w:rsid w:val="07514F82"/>
    <w:rsid w:val="076A70D6"/>
    <w:rsid w:val="07701435"/>
    <w:rsid w:val="0791006E"/>
    <w:rsid w:val="079E79DA"/>
    <w:rsid w:val="07A93817"/>
    <w:rsid w:val="07AA51F7"/>
    <w:rsid w:val="07BC2556"/>
    <w:rsid w:val="07C16E32"/>
    <w:rsid w:val="07C956F1"/>
    <w:rsid w:val="07E51AAD"/>
    <w:rsid w:val="07E724F1"/>
    <w:rsid w:val="07EA0E72"/>
    <w:rsid w:val="07F54B10"/>
    <w:rsid w:val="07FB4267"/>
    <w:rsid w:val="080F029B"/>
    <w:rsid w:val="08275C22"/>
    <w:rsid w:val="083932FD"/>
    <w:rsid w:val="083C1D74"/>
    <w:rsid w:val="083D3697"/>
    <w:rsid w:val="08460FF0"/>
    <w:rsid w:val="084C1CB3"/>
    <w:rsid w:val="084D3D35"/>
    <w:rsid w:val="084F5179"/>
    <w:rsid w:val="08664D5B"/>
    <w:rsid w:val="087B41C0"/>
    <w:rsid w:val="087E552F"/>
    <w:rsid w:val="08850B9A"/>
    <w:rsid w:val="08856DEC"/>
    <w:rsid w:val="08874912"/>
    <w:rsid w:val="08966904"/>
    <w:rsid w:val="08986B20"/>
    <w:rsid w:val="08994E2C"/>
    <w:rsid w:val="089E0248"/>
    <w:rsid w:val="08AA7F40"/>
    <w:rsid w:val="08AC09F8"/>
    <w:rsid w:val="08AF1C74"/>
    <w:rsid w:val="08B35707"/>
    <w:rsid w:val="08B76FB8"/>
    <w:rsid w:val="08BD20E2"/>
    <w:rsid w:val="08CC67C9"/>
    <w:rsid w:val="08D12032"/>
    <w:rsid w:val="08D13DBB"/>
    <w:rsid w:val="08D65AD3"/>
    <w:rsid w:val="08EB6C4F"/>
    <w:rsid w:val="08EF4818"/>
    <w:rsid w:val="08F17FDE"/>
    <w:rsid w:val="08F57B11"/>
    <w:rsid w:val="08F617F2"/>
    <w:rsid w:val="08F64252"/>
    <w:rsid w:val="08F94C8C"/>
    <w:rsid w:val="08FD0C7A"/>
    <w:rsid w:val="09024000"/>
    <w:rsid w:val="09027DBF"/>
    <w:rsid w:val="090F109A"/>
    <w:rsid w:val="09151314"/>
    <w:rsid w:val="091D60AE"/>
    <w:rsid w:val="091E5277"/>
    <w:rsid w:val="09263609"/>
    <w:rsid w:val="093820FC"/>
    <w:rsid w:val="093E5BC8"/>
    <w:rsid w:val="0953633D"/>
    <w:rsid w:val="095567BF"/>
    <w:rsid w:val="09594501"/>
    <w:rsid w:val="09633DCF"/>
    <w:rsid w:val="09697733"/>
    <w:rsid w:val="09953804"/>
    <w:rsid w:val="09992B4F"/>
    <w:rsid w:val="099C034D"/>
    <w:rsid w:val="09A71810"/>
    <w:rsid w:val="09AD03A9"/>
    <w:rsid w:val="09AF52BC"/>
    <w:rsid w:val="09B47989"/>
    <w:rsid w:val="09C70BB6"/>
    <w:rsid w:val="09C9680A"/>
    <w:rsid w:val="09CE74DF"/>
    <w:rsid w:val="09E87B7C"/>
    <w:rsid w:val="09EA6668"/>
    <w:rsid w:val="09FF3E49"/>
    <w:rsid w:val="0A03621B"/>
    <w:rsid w:val="0A1949CE"/>
    <w:rsid w:val="0A1D552E"/>
    <w:rsid w:val="0A1F6D28"/>
    <w:rsid w:val="0A3E3D26"/>
    <w:rsid w:val="0A426D43"/>
    <w:rsid w:val="0A4834F8"/>
    <w:rsid w:val="0A5D3B7D"/>
    <w:rsid w:val="0A5E78F5"/>
    <w:rsid w:val="0A6173D2"/>
    <w:rsid w:val="0A682231"/>
    <w:rsid w:val="0A6825A9"/>
    <w:rsid w:val="0A854E82"/>
    <w:rsid w:val="0A92134D"/>
    <w:rsid w:val="0A9A25AD"/>
    <w:rsid w:val="0A9F4649"/>
    <w:rsid w:val="0AA51080"/>
    <w:rsid w:val="0AAC10E4"/>
    <w:rsid w:val="0AB07E4A"/>
    <w:rsid w:val="0AB17A25"/>
    <w:rsid w:val="0AB80DB3"/>
    <w:rsid w:val="0AC8530A"/>
    <w:rsid w:val="0AC93B72"/>
    <w:rsid w:val="0AD53C26"/>
    <w:rsid w:val="0AD876A7"/>
    <w:rsid w:val="0ADD3B4A"/>
    <w:rsid w:val="0AEB7B61"/>
    <w:rsid w:val="0AEE775A"/>
    <w:rsid w:val="0AFF5154"/>
    <w:rsid w:val="0B0260FA"/>
    <w:rsid w:val="0B127FA5"/>
    <w:rsid w:val="0B1E7B7D"/>
    <w:rsid w:val="0B270E55"/>
    <w:rsid w:val="0B332B30"/>
    <w:rsid w:val="0B4458B7"/>
    <w:rsid w:val="0B4A5F99"/>
    <w:rsid w:val="0B4B3360"/>
    <w:rsid w:val="0B521171"/>
    <w:rsid w:val="0B5C62CC"/>
    <w:rsid w:val="0B6153F6"/>
    <w:rsid w:val="0B6C4BE2"/>
    <w:rsid w:val="0B6F08EA"/>
    <w:rsid w:val="0B8213C1"/>
    <w:rsid w:val="0B895D1E"/>
    <w:rsid w:val="0B903157"/>
    <w:rsid w:val="0BA31A63"/>
    <w:rsid w:val="0BA653BF"/>
    <w:rsid w:val="0BAC6F99"/>
    <w:rsid w:val="0BCD1EAC"/>
    <w:rsid w:val="0BCF142C"/>
    <w:rsid w:val="0BDC319A"/>
    <w:rsid w:val="0BF73B5D"/>
    <w:rsid w:val="0BFA364D"/>
    <w:rsid w:val="0BFB783E"/>
    <w:rsid w:val="0BFC776A"/>
    <w:rsid w:val="0BFD5373"/>
    <w:rsid w:val="0BFD6481"/>
    <w:rsid w:val="0C0F0CD9"/>
    <w:rsid w:val="0C182F96"/>
    <w:rsid w:val="0C1A00CA"/>
    <w:rsid w:val="0C264442"/>
    <w:rsid w:val="0C364685"/>
    <w:rsid w:val="0C5E1E2E"/>
    <w:rsid w:val="0C631998"/>
    <w:rsid w:val="0C6821F6"/>
    <w:rsid w:val="0C6C441B"/>
    <w:rsid w:val="0C8F023A"/>
    <w:rsid w:val="0C990787"/>
    <w:rsid w:val="0C992D4F"/>
    <w:rsid w:val="0CAE3A50"/>
    <w:rsid w:val="0CBF15FF"/>
    <w:rsid w:val="0CD40A52"/>
    <w:rsid w:val="0CD91857"/>
    <w:rsid w:val="0CDA2573"/>
    <w:rsid w:val="0CDA4E4E"/>
    <w:rsid w:val="0CE65CCB"/>
    <w:rsid w:val="0CEF0CD8"/>
    <w:rsid w:val="0CF258A4"/>
    <w:rsid w:val="0D0B5B12"/>
    <w:rsid w:val="0D1D5845"/>
    <w:rsid w:val="0D212A41"/>
    <w:rsid w:val="0D215F2C"/>
    <w:rsid w:val="0D314FE6"/>
    <w:rsid w:val="0D336C1D"/>
    <w:rsid w:val="0D3502D8"/>
    <w:rsid w:val="0D532244"/>
    <w:rsid w:val="0D540C02"/>
    <w:rsid w:val="0D571C0F"/>
    <w:rsid w:val="0D5C45C0"/>
    <w:rsid w:val="0D637F0E"/>
    <w:rsid w:val="0D6A5410"/>
    <w:rsid w:val="0D7336B7"/>
    <w:rsid w:val="0D794CB6"/>
    <w:rsid w:val="0D8324ED"/>
    <w:rsid w:val="0D8F059D"/>
    <w:rsid w:val="0D8F5855"/>
    <w:rsid w:val="0D9773A6"/>
    <w:rsid w:val="0D9827E5"/>
    <w:rsid w:val="0DA336F3"/>
    <w:rsid w:val="0DBF24D9"/>
    <w:rsid w:val="0DC466B9"/>
    <w:rsid w:val="0DC54945"/>
    <w:rsid w:val="0DE3525C"/>
    <w:rsid w:val="0DE90D05"/>
    <w:rsid w:val="0DF25BA4"/>
    <w:rsid w:val="0DF540CC"/>
    <w:rsid w:val="0DFC18FF"/>
    <w:rsid w:val="0DFD573A"/>
    <w:rsid w:val="0DFE1012"/>
    <w:rsid w:val="0E0B029F"/>
    <w:rsid w:val="0E0F33E0"/>
    <w:rsid w:val="0E1F4751"/>
    <w:rsid w:val="0E230373"/>
    <w:rsid w:val="0E2A41ED"/>
    <w:rsid w:val="0E397874"/>
    <w:rsid w:val="0E461B92"/>
    <w:rsid w:val="0E4F1A2E"/>
    <w:rsid w:val="0E5F7224"/>
    <w:rsid w:val="0E5F7846"/>
    <w:rsid w:val="0E632208"/>
    <w:rsid w:val="0E844468"/>
    <w:rsid w:val="0E8E3DA3"/>
    <w:rsid w:val="0E8F6937"/>
    <w:rsid w:val="0E9E135B"/>
    <w:rsid w:val="0EA44F43"/>
    <w:rsid w:val="0EC2669E"/>
    <w:rsid w:val="0ECB5472"/>
    <w:rsid w:val="0ECF2DBC"/>
    <w:rsid w:val="0ECF491D"/>
    <w:rsid w:val="0ED756CF"/>
    <w:rsid w:val="0EDD528C"/>
    <w:rsid w:val="0EE34A0A"/>
    <w:rsid w:val="0EEF23A4"/>
    <w:rsid w:val="0EFD592E"/>
    <w:rsid w:val="0EFE5203"/>
    <w:rsid w:val="0F18029E"/>
    <w:rsid w:val="0F1B6D6A"/>
    <w:rsid w:val="0F1C1FA2"/>
    <w:rsid w:val="0F220EF1"/>
    <w:rsid w:val="0F2500FF"/>
    <w:rsid w:val="0F2904D1"/>
    <w:rsid w:val="0F2A7DB7"/>
    <w:rsid w:val="0F2D61D9"/>
    <w:rsid w:val="0F43254D"/>
    <w:rsid w:val="0F45451E"/>
    <w:rsid w:val="0F4D2CA8"/>
    <w:rsid w:val="0F543C48"/>
    <w:rsid w:val="0F54568B"/>
    <w:rsid w:val="0F6801CF"/>
    <w:rsid w:val="0F7F71A8"/>
    <w:rsid w:val="0F8E2A2A"/>
    <w:rsid w:val="0F9B0554"/>
    <w:rsid w:val="0FAD1102"/>
    <w:rsid w:val="0FAF5422"/>
    <w:rsid w:val="0FAF5990"/>
    <w:rsid w:val="0FB271E8"/>
    <w:rsid w:val="0FBF1392"/>
    <w:rsid w:val="0FC621C4"/>
    <w:rsid w:val="0FD84D52"/>
    <w:rsid w:val="0FD93801"/>
    <w:rsid w:val="0FDC41E3"/>
    <w:rsid w:val="0FE35744"/>
    <w:rsid w:val="0FF322CD"/>
    <w:rsid w:val="100128A9"/>
    <w:rsid w:val="1005689B"/>
    <w:rsid w:val="10131FB5"/>
    <w:rsid w:val="1031732E"/>
    <w:rsid w:val="10327E3A"/>
    <w:rsid w:val="1034712E"/>
    <w:rsid w:val="10374301"/>
    <w:rsid w:val="10394E9C"/>
    <w:rsid w:val="103A764D"/>
    <w:rsid w:val="103B410E"/>
    <w:rsid w:val="103B6EC4"/>
    <w:rsid w:val="10457DEF"/>
    <w:rsid w:val="105628E7"/>
    <w:rsid w:val="106D43EE"/>
    <w:rsid w:val="107C2883"/>
    <w:rsid w:val="108120DC"/>
    <w:rsid w:val="108950E7"/>
    <w:rsid w:val="109135C4"/>
    <w:rsid w:val="10A4426E"/>
    <w:rsid w:val="10B656D8"/>
    <w:rsid w:val="10C37A22"/>
    <w:rsid w:val="10DF1FB9"/>
    <w:rsid w:val="10F36FE9"/>
    <w:rsid w:val="10F772EF"/>
    <w:rsid w:val="11017A58"/>
    <w:rsid w:val="11023D17"/>
    <w:rsid w:val="110F34C8"/>
    <w:rsid w:val="11390774"/>
    <w:rsid w:val="11491151"/>
    <w:rsid w:val="116021A5"/>
    <w:rsid w:val="116230D1"/>
    <w:rsid w:val="116A7E05"/>
    <w:rsid w:val="11722460"/>
    <w:rsid w:val="117A4F14"/>
    <w:rsid w:val="11870CA4"/>
    <w:rsid w:val="1191177D"/>
    <w:rsid w:val="11A300F7"/>
    <w:rsid w:val="11A4344C"/>
    <w:rsid w:val="11D529F0"/>
    <w:rsid w:val="11F33019"/>
    <w:rsid w:val="11F50B3F"/>
    <w:rsid w:val="11F528ED"/>
    <w:rsid w:val="11F55D84"/>
    <w:rsid w:val="11F95233"/>
    <w:rsid w:val="11FD6A95"/>
    <w:rsid w:val="11FE73E1"/>
    <w:rsid w:val="1206271C"/>
    <w:rsid w:val="120F7B93"/>
    <w:rsid w:val="12114BE2"/>
    <w:rsid w:val="1217448F"/>
    <w:rsid w:val="1224135E"/>
    <w:rsid w:val="12261816"/>
    <w:rsid w:val="122816CA"/>
    <w:rsid w:val="1231523F"/>
    <w:rsid w:val="123478B9"/>
    <w:rsid w:val="12392AE3"/>
    <w:rsid w:val="12421044"/>
    <w:rsid w:val="12492C39"/>
    <w:rsid w:val="12511775"/>
    <w:rsid w:val="126F1CF4"/>
    <w:rsid w:val="127A5380"/>
    <w:rsid w:val="128A74D9"/>
    <w:rsid w:val="1298079E"/>
    <w:rsid w:val="12AB744F"/>
    <w:rsid w:val="12B10442"/>
    <w:rsid w:val="12B2310A"/>
    <w:rsid w:val="12B44556"/>
    <w:rsid w:val="12CB7F7B"/>
    <w:rsid w:val="12D57B5A"/>
    <w:rsid w:val="12DA74FD"/>
    <w:rsid w:val="12FC5EFD"/>
    <w:rsid w:val="13160E95"/>
    <w:rsid w:val="131D4A08"/>
    <w:rsid w:val="132B4874"/>
    <w:rsid w:val="13365D96"/>
    <w:rsid w:val="13401CF4"/>
    <w:rsid w:val="13573133"/>
    <w:rsid w:val="135950FD"/>
    <w:rsid w:val="13597FDE"/>
    <w:rsid w:val="13610A7C"/>
    <w:rsid w:val="136B348D"/>
    <w:rsid w:val="1370511E"/>
    <w:rsid w:val="137F720A"/>
    <w:rsid w:val="139600FA"/>
    <w:rsid w:val="13985C26"/>
    <w:rsid w:val="139B1B3C"/>
    <w:rsid w:val="13AE5449"/>
    <w:rsid w:val="13BC5DB8"/>
    <w:rsid w:val="13C163E4"/>
    <w:rsid w:val="13CF69C3"/>
    <w:rsid w:val="13D03611"/>
    <w:rsid w:val="13D327E3"/>
    <w:rsid w:val="13D824C6"/>
    <w:rsid w:val="13E63AA6"/>
    <w:rsid w:val="13F32811"/>
    <w:rsid w:val="13F85DC5"/>
    <w:rsid w:val="13F866C4"/>
    <w:rsid w:val="13FC3073"/>
    <w:rsid w:val="14002DA6"/>
    <w:rsid w:val="140A2B4A"/>
    <w:rsid w:val="141601C0"/>
    <w:rsid w:val="14183270"/>
    <w:rsid w:val="141D447E"/>
    <w:rsid w:val="141D6B0B"/>
    <w:rsid w:val="142D6F89"/>
    <w:rsid w:val="143376FC"/>
    <w:rsid w:val="143516C6"/>
    <w:rsid w:val="143C3BFB"/>
    <w:rsid w:val="14447112"/>
    <w:rsid w:val="144554E0"/>
    <w:rsid w:val="144C2ACB"/>
    <w:rsid w:val="145908CD"/>
    <w:rsid w:val="146D3562"/>
    <w:rsid w:val="148617D9"/>
    <w:rsid w:val="149258A7"/>
    <w:rsid w:val="149321EC"/>
    <w:rsid w:val="14940E48"/>
    <w:rsid w:val="14A405FA"/>
    <w:rsid w:val="14A46E3A"/>
    <w:rsid w:val="14AA6C47"/>
    <w:rsid w:val="14B04223"/>
    <w:rsid w:val="14B81325"/>
    <w:rsid w:val="14BB5770"/>
    <w:rsid w:val="14BC1DE8"/>
    <w:rsid w:val="14CA4494"/>
    <w:rsid w:val="14DF1102"/>
    <w:rsid w:val="14E06953"/>
    <w:rsid w:val="14E37374"/>
    <w:rsid w:val="14E74E80"/>
    <w:rsid w:val="14EF1875"/>
    <w:rsid w:val="14EF4395"/>
    <w:rsid w:val="14FB05D3"/>
    <w:rsid w:val="14FB1DB1"/>
    <w:rsid w:val="14FC230F"/>
    <w:rsid w:val="150115A9"/>
    <w:rsid w:val="15027594"/>
    <w:rsid w:val="150317C5"/>
    <w:rsid w:val="1507775C"/>
    <w:rsid w:val="150A3567"/>
    <w:rsid w:val="151407D5"/>
    <w:rsid w:val="15214D63"/>
    <w:rsid w:val="152F4368"/>
    <w:rsid w:val="153E6FE7"/>
    <w:rsid w:val="15535F3F"/>
    <w:rsid w:val="15697093"/>
    <w:rsid w:val="15760076"/>
    <w:rsid w:val="158A5A42"/>
    <w:rsid w:val="158D108E"/>
    <w:rsid w:val="15977CDB"/>
    <w:rsid w:val="159F6FD6"/>
    <w:rsid w:val="15B01BBF"/>
    <w:rsid w:val="15B77499"/>
    <w:rsid w:val="15B8435D"/>
    <w:rsid w:val="15CA22E2"/>
    <w:rsid w:val="15CF16A7"/>
    <w:rsid w:val="15D171CD"/>
    <w:rsid w:val="15D26086"/>
    <w:rsid w:val="15D31197"/>
    <w:rsid w:val="15DC73CD"/>
    <w:rsid w:val="15DD2016"/>
    <w:rsid w:val="15E96C0C"/>
    <w:rsid w:val="15EC3B3E"/>
    <w:rsid w:val="15F46C2A"/>
    <w:rsid w:val="15F630D7"/>
    <w:rsid w:val="15F80BFE"/>
    <w:rsid w:val="15F86E50"/>
    <w:rsid w:val="16121567"/>
    <w:rsid w:val="16343F81"/>
    <w:rsid w:val="163948ED"/>
    <w:rsid w:val="16413A85"/>
    <w:rsid w:val="164275F4"/>
    <w:rsid w:val="16495BAE"/>
    <w:rsid w:val="1654148B"/>
    <w:rsid w:val="165B71D5"/>
    <w:rsid w:val="166E2C6E"/>
    <w:rsid w:val="16700A7A"/>
    <w:rsid w:val="1683572D"/>
    <w:rsid w:val="168801D3"/>
    <w:rsid w:val="16921052"/>
    <w:rsid w:val="169E0BEA"/>
    <w:rsid w:val="16A86180"/>
    <w:rsid w:val="16AB2114"/>
    <w:rsid w:val="16AF7EFC"/>
    <w:rsid w:val="16C47F8D"/>
    <w:rsid w:val="16DD2BAC"/>
    <w:rsid w:val="16EB72C3"/>
    <w:rsid w:val="16F21AF1"/>
    <w:rsid w:val="16FF0B97"/>
    <w:rsid w:val="170A3B27"/>
    <w:rsid w:val="171738A2"/>
    <w:rsid w:val="17197085"/>
    <w:rsid w:val="17224ED3"/>
    <w:rsid w:val="172460AC"/>
    <w:rsid w:val="172872C1"/>
    <w:rsid w:val="173054B2"/>
    <w:rsid w:val="17424EAD"/>
    <w:rsid w:val="174C1699"/>
    <w:rsid w:val="1778392A"/>
    <w:rsid w:val="1779647F"/>
    <w:rsid w:val="17800396"/>
    <w:rsid w:val="17822E75"/>
    <w:rsid w:val="1789141B"/>
    <w:rsid w:val="17987255"/>
    <w:rsid w:val="17A23389"/>
    <w:rsid w:val="17A739C7"/>
    <w:rsid w:val="17CB7450"/>
    <w:rsid w:val="17D15BAA"/>
    <w:rsid w:val="17D64F6F"/>
    <w:rsid w:val="17F83137"/>
    <w:rsid w:val="17FB6C91"/>
    <w:rsid w:val="18053F1E"/>
    <w:rsid w:val="18085749"/>
    <w:rsid w:val="180B6D06"/>
    <w:rsid w:val="18153CE9"/>
    <w:rsid w:val="181C3FF8"/>
    <w:rsid w:val="18277578"/>
    <w:rsid w:val="184114A1"/>
    <w:rsid w:val="18425C49"/>
    <w:rsid w:val="184A3267"/>
    <w:rsid w:val="185540E5"/>
    <w:rsid w:val="185B7DE0"/>
    <w:rsid w:val="186969E3"/>
    <w:rsid w:val="186C74AD"/>
    <w:rsid w:val="186C7D12"/>
    <w:rsid w:val="186D2443"/>
    <w:rsid w:val="187059AE"/>
    <w:rsid w:val="18876269"/>
    <w:rsid w:val="188B2A6D"/>
    <w:rsid w:val="188C7694"/>
    <w:rsid w:val="18BA4890"/>
    <w:rsid w:val="18C33745"/>
    <w:rsid w:val="18C510FD"/>
    <w:rsid w:val="18DA283C"/>
    <w:rsid w:val="18DC03A2"/>
    <w:rsid w:val="18DC65B5"/>
    <w:rsid w:val="18E11EA5"/>
    <w:rsid w:val="18E6534A"/>
    <w:rsid w:val="18EE62E8"/>
    <w:rsid w:val="19083037"/>
    <w:rsid w:val="191222D0"/>
    <w:rsid w:val="192D5416"/>
    <w:rsid w:val="19390D64"/>
    <w:rsid w:val="193E7FD9"/>
    <w:rsid w:val="194F68C1"/>
    <w:rsid w:val="195019B0"/>
    <w:rsid w:val="1954439D"/>
    <w:rsid w:val="19554C37"/>
    <w:rsid w:val="19566DB3"/>
    <w:rsid w:val="19595DF7"/>
    <w:rsid w:val="19597C05"/>
    <w:rsid w:val="196279A1"/>
    <w:rsid w:val="198627AB"/>
    <w:rsid w:val="198B4F14"/>
    <w:rsid w:val="199649B5"/>
    <w:rsid w:val="199724DC"/>
    <w:rsid w:val="19A941C1"/>
    <w:rsid w:val="19AA220F"/>
    <w:rsid w:val="19AE5ACF"/>
    <w:rsid w:val="19B675DA"/>
    <w:rsid w:val="19BB7B07"/>
    <w:rsid w:val="19BE1D86"/>
    <w:rsid w:val="19C637E5"/>
    <w:rsid w:val="19C721FB"/>
    <w:rsid w:val="19CE5CD8"/>
    <w:rsid w:val="19CF2055"/>
    <w:rsid w:val="1A052165"/>
    <w:rsid w:val="1A063EF5"/>
    <w:rsid w:val="1A0F3AD5"/>
    <w:rsid w:val="1A0F7374"/>
    <w:rsid w:val="1A142D27"/>
    <w:rsid w:val="1A143D9C"/>
    <w:rsid w:val="1A202D51"/>
    <w:rsid w:val="1A2A3350"/>
    <w:rsid w:val="1A584361"/>
    <w:rsid w:val="1A60672B"/>
    <w:rsid w:val="1A626F8D"/>
    <w:rsid w:val="1A630F50"/>
    <w:rsid w:val="1A6732FB"/>
    <w:rsid w:val="1A6B5E42"/>
    <w:rsid w:val="1A6E148E"/>
    <w:rsid w:val="1A7929A3"/>
    <w:rsid w:val="1A7B4669"/>
    <w:rsid w:val="1A870B38"/>
    <w:rsid w:val="1A8B2040"/>
    <w:rsid w:val="1A8C6CF6"/>
    <w:rsid w:val="1A8E1520"/>
    <w:rsid w:val="1A9417D9"/>
    <w:rsid w:val="1A9A04D5"/>
    <w:rsid w:val="1AA41354"/>
    <w:rsid w:val="1AA572B8"/>
    <w:rsid w:val="1AB31D2F"/>
    <w:rsid w:val="1ABA2925"/>
    <w:rsid w:val="1AC00AAF"/>
    <w:rsid w:val="1ACE55DA"/>
    <w:rsid w:val="1ACE6054"/>
    <w:rsid w:val="1ACE6D27"/>
    <w:rsid w:val="1AD02149"/>
    <w:rsid w:val="1AE0038B"/>
    <w:rsid w:val="1AF7358C"/>
    <w:rsid w:val="1AFA0F74"/>
    <w:rsid w:val="1B0E67CD"/>
    <w:rsid w:val="1B403FA5"/>
    <w:rsid w:val="1B46240B"/>
    <w:rsid w:val="1B524326"/>
    <w:rsid w:val="1B55168B"/>
    <w:rsid w:val="1B593EEC"/>
    <w:rsid w:val="1B636B19"/>
    <w:rsid w:val="1B645069"/>
    <w:rsid w:val="1B7D1BE7"/>
    <w:rsid w:val="1B8637EA"/>
    <w:rsid w:val="1B9211AC"/>
    <w:rsid w:val="1BAA299A"/>
    <w:rsid w:val="1BDD1B28"/>
    <w:rsid w:val="1BE57F51"/>
    <w:rsid w:val="1BEE3F6E"/>
    <w:rsid w:val="1BF21B5D"/>
    <w:rsid w:val="1C037CCC"/>
    <w:rsid w:val="1C0A168B"/>
    <w:rsid w:val="1C18016F"/>
    <w:rsid w:val="1C2F4A48"/>
    <w:rsid w:val="1C314E69"/>
    <w:rsid w:val="1C400DCC"/>
    <w:rsid w:val="1C5823F6"/>
    <w:rsid w:val="1C6062B5"/>
    <w:rsid w:val="1C656B00"/>
    <w:rsid w:val="1C6D522B"/>
    <w:rsid w:val="1C762201"/>
    <w:rsid w:val="1C87757C"/>
    <w:rsid w:val="1C8B6454"/>
    <w:rsid w:val="1C911F05"/>
    <w:rsid w:val="1C9232F2"/>
    <w:rsid w:val="1C961170"/>
    <w:rsid w:val="1C986C96"/>
    <w:rsid w:val="1C993860"/>
    <w:rsid w:val="1CB33AD0"/>
    <w:rsid w:val="1CC07FCD"/>
    <w:rsid w:val="1CC5593D"/>
    <w:rsid w:val="1CCD060E"/>
    <w:rsid w:val="1CCF67BC"/>
    <w:rsid w:val="1CD03B67"/>
    <w:rsid w:val="1CD13F56"/>
    <w:rsid w:val="1CD4109A"/>
    <w:rsid w:val="1CD55E24"/>
    <w:rsid w:val="1CDE3631"/>
    <w:rsid w:val="1CE04199"/>
    <w:rsid w:val="1CE814D1"/>
    <w:rsid w:val="1CF454CE"/>
    <w:rsid w:val="1CFE11B3"/>
    <w:rsid w:val="1D022EEB"/>
    <w:rsid w:val="1D0B7468"/>
    <w:rsid w:val="1D1E53EE"/>
    <w:rsid w:val="1D3249F5"/>
    <w:rsid w:val="1D3444B7"/>
    <w:rsid w:val="1D3F2887"/>
    <w:rsid w:val="1D413DD6"/>
    <w:rsid w:val="1D442082"/>
    <w:rsid w:val="1D494085"/>
    <w:rsid w:val="1D4D7A81"/>
    <w:rsid w:val="1D5F77B4"/>
    <w:rsid w:val="1D6104E9"/>
    <w:rsid w:val="1D6D5E73"/>
    <w:rsid w:val="1D6E2EA0"/>
    <w:rsid w:val="1D90430C"/>
    <w:rsid w:val="1D927B8A"/>
    <w:rsid w:val="1DA228F6"/>
    <w:rsid w:val="1DA26C67"/>
    <w:rsid w:val="1DB33A3A"/>
    <w:rsid w:val="1DB571C9"/>
    <w:rsid w:val="1DB96EC4"/>
    <w:rsid w:val="1DBF6F58"/>
    <w:rsid w:val="1DC976B3"/>
    <w:rsid w:val="1DF12B02"/>
    <w:rsid w:val="1E1639CF"/>
    <w:rsid w:val="1E1B1D8D"/>
    <w:rsid w:val="1E2C3B3A"/>
    <w:rsid w:val="1E3649B9"/>
    <w:rsid w:val="1E592CD8"/>
    <w:rsid w:val="1E5C7473"/>
    <w:rsid w:val="1E65546D"/>
    <w:rsid w:val="1E673D11"/>
    <w:rsid w:val="1E912BAE"/>
    <w:rsid w:val="1E933E22"/>
    <w:rsid w:val="1EA638ED"/>
    <w:rsid w:val="1EB60A31"/>
    <w:rsid w:val="1EBB0A1A"/>
    <w:rsid w:val="1EC6457D"/>
    <w:rsid w:val="1EC7170B"/>
    <w:rsid w:val="1EC7534C"/>
    <w:rsid w:val="1EC80007"/>
    <w:rsid w:val="1ECB16DA"/>
    <w:rsid w:val="1ECD7160"/>
    <w:rsid w:val="1ED641E3"/>
    <w:rsid w:val="1EE47F71"/>
    <w:rsid w:val="1EED4935"/>
    <w:rsid w:val="1EEE324E"/>
    <w:rsid w:val="1EEE7042"/>
    <w:rsid w:val="1EF15FC6"/>
    <w:rsid w:val="1EF611D8"/>
    <w:rsid w:val="1EF61858"/>
    <w:rsid w:val="1EFA4AC9"/>
    <w:rsid w:val="1EFD1033"/>
    <w:rsid w:val="1F0028D1"/>
    <w:rsid w:val="1F165A0D"/>
    <w:rsid w:val="1F2258ED"/>
    <w:rsid w:val="1F294330"/>
    <w:rsid w:val="1F2C36C6"/>
    <w:rsid w:val="1F5164BE"/>
    <w:rsid w:val="1F550636"/>
    <w:rsid w:val="1F59508D"/>
    <w:rsid w:val="1F6115C2"/>
    <w:rsid w:val="1F655484"/>
    <w:rsid w:val="1F6725BD"/>
    <w:rsid w:val="1F6F5903"/>
    <w:rsid w:val="1F7A16FF"/>
    <w:rsid w:val="1F841E94"/>
    <w:rsid w:val="1F845C8A"/>
    <w:rsid w:val="1F86410F"/>
    <w:rsid w:val="1F902D30"/>
    <w:rsid w:val="1F987D78"/>
    <w:rsid w:val="1FAD0B55"/>
    <w:rsid w:val="1FBA786C"/>
    <w:rsid w:val="1FE07DD2"/>
    <w:rsid w:val="1FE65F6B"/>
    <w:rsid w:val="1FF72B1D"/>
    <w:rsid w:val="20012DA5"/>
    <w:rsid w:val="201952D2"/>
    <w:rsid w:val="2020109E"/>
    <w:rsid w:val="20220096"/>
    <w:rsid w:val="202816B6"/>
    <w:rsid w:val="202B1BD0"/>
    <w:rsid w:val="2031368A"/>
    <w:rsid w:val="20352DB6"/>
    <w:rsid w:val="203647FC"/>
    <w:rsid w:val="20383747"/>
    <w:rsid w:val="20482782"/>
    <w:rsid w:val="204B45FF"/>
    <w:rsid w:val="204E725A"/>
    <w:rsid w:val="205050F3"/>
    <w:rsid w:val="205B0707"/>
    <w:rsid w:val="205F090F"/>
    <w:rsid w:val="206155F1"/>
    <w:rsid w:val="20665891"/>
    <w:rsid w:val="207575AA"/>
    <w:rsid w:val="208241B4"/>
    <w:rsid w:val="20855784"/>
    <w:rsid w:val="208F5999"/>
    <w:rsid w:val="209314D4"/>
    <w:rsid w:val="20B05494"/>
    <w:rsid w:val="20B87907"/>
    <w:rsid w:val="20EE5770"/>
    <w:rsid w:val="21147FEE"/>
    <w:rsid w:val="212154AC"/>
    <w:rsid w:val="213571AA"/>
    <w:rsid w:val="213B5936"/>
    <w:rsid w:val="213F7E47"/>
    <w:rsid w:val="21416183"/>
    <w:rsid w:val="214171F2"/>
    <w:rsid w:val="21521B0A"/>
    <w:rsid w:val="21592FEC"/>
    <w:rsid w:val="215B2DFE"/>
    <w:rsid w:val="215C5CD9"/>
    <w:rsid w:val="215F2E6D"/>
    <w:rsid w:val="21611D4D"/>
    <w:rsid w:val="21617F9F"/>
    <w:rsid w:val="21667363"/>
    <w:rsid w:val="218617B3"/>
    <w:rsid w:val="21864BE5"/>
    <w:rsid w:val="218B2E3C"/>
    <w:rsid w:val="218C26F6"/>
    <w:rsid w:val="21B53E47"/>
    <w:rsid w:val="21B5456C"/>
    <w:rsid w:val="21BA76AF"/>
    <w:rsid w:val="21C0289A"/>
    <w:rsid w:val="21C314C7"/>
    <w:rsid w:val="21DE514B"/>
    <w:rsid w:val="21E53DD4"/>
    <w:rsid w:val="21E80F98"/>
    <w:rsid w:val="21ED35E0"/>
    <w:rsid w:val="21F229A5"/>
    <w:rsid w:val="21FA7AAB"/>
    <w:rsid w:val="21FE67C3"/>
    <w:rsid w:val="21FF567A"/>
    <w:rsid w:val="220019CB"/>
    <w:rsid w:val="22066531"/>
    <w:rsid w:val="22080E1D"/>
    <w:rsid w:val="222114DC"/>
    <w:rsid w:val="222E4A4B"/>
    <w:rsid w:val="224564ED"/>
    <w:rsid w:val="227A5579"/>
    <w:rsid w:val="227B3EC3"/>
    <w:rsid w:val="22853819"/>
    <w:rsid w:val="22883309"/>
    <w:rsid w:val="22AC6E9D"/>
    <w:rsid w:val="22AF6B28"/>
    <w:rsid w:val="22BF1959"/>
    <w:rsid w:val="22D16A5E"/>
    <w:rsid w:val="2309444A"/>
    <w:rsid w:val="230A1D1E"/>
    <w:rsid w:val="230F3D0A"/>
    <w:rsid w:val="231051B6"/>
    <w:rsid w:val="232A616E"/>
    <w:rsid w:val="233E3D53"/>
    <w:rsid w:val="235356C5"/>
    <w:rsid w:val="235E44A5"/>
    <w:rsid w:val="2371477C"/>
    <w:rsid w:val="23757D31"/>
    <w:rsid w:val="237F04EF"/>
    <w:rsid w:val="23841437"/>
    <w:rsid w:val="238A3CA3"/>
    <w:rsid w:val="238A68B1"/>
    <w:rsid w:val="238E17FC"/>
    <w:rsid w:val="23A61C99"/>
    <w:rsid w:val="23AF4708"/>
    <w:rsid w:val="23B32608"/>
    <w:rsid w:val="23BC3EE5"/>
    <w:rsid w:val="23C16A9A"/>
    <w:rsid w:val="23E12CD1"/>
    <w:rsid w:val="23E66003"/>
    <w:rsid w:val="23F5677C"/>
    <w:rsid w:val="23F80076"/>
    <w:rsid w:val="23FE2FB7"/>
    <w:rsid w:val="23FE3883"/>
    <w:rsid w:val="23FE3AF7"/>
    <w:rsid w:val="23FF75FB"/>
    <w:rsid w:val="240350E9"/>
    <w:rsid w:val="240D3AC6"/>
    <w:rsid w:val="241B7142"/>
    <w:rsid w:val="24280900"/>
    <w:rsid w:val="242B3FAA"/>
    <w:rsid w:val="24452007"/>
    <w:rsid w:val="244802C7"/>
    <w:rsid w:val="244C0B39"/>
    <w:rsid w:val="245A32E7"/>
    <w:rsid w:val="24635935"/>
    <w:rsid w:val="24660E6A"/>
    <w:rsid w:val="24665559"/>
    <w:rsid w:val="24681644"/>
    <w:rsid w:val="24691825"/>
    <w:rsid w:val="24697C70"/>
    <w:rsid w:val="246C0B8A"/>
    <w:rsid w:val="246C2EE2"/>
    <w:rsid w:val="246D6C5B"/>
    <w:rsid w:val="248E0BEE"/>
    <w:rsid w:val="249222CA"/>
    <w:rsid w:val="249D12EE"/>
    <w:rsid w:val="24CF65FC"/>
    <w:rsid w:val="24D171E9"/>
    <w:rsid w:val="24DA6A74"/>
    <w:rsid w:val="24DB4BCD"/>
    <w:rsid w:val="24E0742D"/>
    <w:rsid w:val="24E32A79"/>
    <w:rsid w:val="24F1163A"/>
    <w:rsid w:val="24F602A0"/>
    <w:rsid w:val="24F829C8"/>
    <w:rsid w:val="250025A0"/>
    <w:rsid w:val="25145328"/>
    <w:rsid w:val="25284930"/>
    <w:rsid w:val="25296C9F"/>
    <w:rsid w:val="25310FEF"/>
    <w:rsid w:val="253808F1"/>
    <w:rsid w:val="25401D76"/>
    <w:rsid w:val="2544236B"/>
    <w:rsid w:val="2547125A"/>
    <w:rsid w:val="256C3562"/>
    <w:rsid w:val="258D2CD8"/>
    <w:rsid w:val="25977271"/>
    <w:rsid w:val="259B2D68"/>
    <w:rsid w:val="259E7D45"/>
    <w:rsid w:val="25A55F80"/>
    <w:rsid w:val="25A6077B"/>
    <w:rsid w:val="25A941CC"/>
    <w:rsid w:val="25A97E1E"/>
    <w:rsid w:val="25AB4606"/>
    <w:rsid w:val="25BF4424"/>
    <w:rsid w:val="25C17AFA"/>
    <w:rsid w:val="25C251DB"/>
    <w:rsid w:val="25C669F1"/>
    <w:rsid w:val="25E00E0C"/>
    <w:rsid w:val="25E15A70"/>
    <w:rsid w:val="25EF379B"/>
    <w:rsid w:val="260C087C"/>
    <w:rsid w:val="260C11C1"/>
    <w:rsid w:val="261049C1"/>
    <w:rsid w:val="26286784"/>
    <w:rsid w:val="26383109"/>
    <w:rsid w:val="263A491A"/>
    <w:rsid w:val="263C68E5"/>
    <w:rsid w:val="263E49AF"/>
    <w:rsid w:val="263F1C4A"/>
    <w:rsid w:val="264B2324"/>
    <w:rsid w:val="26597FFC"/>
    <w:rsid w:val="265B2F41"/>
    <w:rsid w:val="26673E0F"/>
    <w:rsid w:val="26681488"/>
    <w:rsid w:val="26697AAB"/>
    <w:rsid w:val="266E20F9"/>
    <w:rsid w:val="2673065B"/>
    <w:rsid w:val="26746071"/>
    <w:rsid w:val="267839D3"/>
    <w:rsid w:val="26832765"/>
    <w:rsid w:val="268423E1"/>
    <w:rsid w:val="26890627"/>
    <w:rsid w:val="26902F8F"/>
    <w:rsid w:val="26937CAB"/>
    <w:rsid w:val="26946721"/>
    <w:rsid w:val="26A43060"/>
    <w:rsid w:val="26B4291F"/>
    <w:rsid w:val="26BB2001"/>
    <w:rsid w:val="26C16DEA"/>
    <w:rsid w:val="26CE0ACF"/>
    <w:rsid w:val="26D60AE7"/>
    <w:rsid w:val="26E35358"/>
    <w:rsid w:val="270D0281"/>
    <w:rsid w:val="270E298C"/>
    <w:rsid w:val="270E29F5"/>
    <w:rsid w:val="27103293"/>
    <w:rsid w:val="27133AE9"/>
    <w:rsid w:val="271512D2"/>
    <w:rsid w:val="272A2D2F"/>
    <w:rsid w:val="272F1FA5"/>
    <w:rsid w:val="27307633"/>
    <w:rsid w:val="27402404"/>
    <w:rsid w:val="27446B6F"/>
    <w:rsid w:val="274A5031"/>
    <w:rsid w:val="274F752C"/>
    <w:rsid w:val="27520933"/>
    <w:rsid w:val="27595274"/>
    <w:rsid w:val="275A34C6"/>
    <w:rsid w:val="275E5A93"/>
    <w:rsid w:val="27736226"/>
    <w:rsid w:val="27755DA7"/>
    <w:rsid w:val="277C7F9A"/>
    <w:rsid w:val="278D7C08"/>
    <w:rsid w:val="279D2924"/>
    <w:rsid w:val="27A52E1A"/>
    <w:rsid w:val="27B0758A"/>
    <w:rsid w:val="27B85511"/>
    <w:rsid w:val="27C227FA"/>
    <w:rsid w:val="27C53958"/>
    <w:rsid w:val="27C663E4"/>
    <w:rsid w:val="27DA4B73"/>
    <w:rsid w:val="27DF39CB"/>
    <w:rsid w:val="27E61F25"/>
    <w:rsid w:val="27EC31BB"/>
    <w:rsid w:val="27ED2CBD"/>
    <w:rsid w:val="27EE2A31"/>
    <w:rsid w:val="27F61799"/>
    <w:rsid w:val="27F63DA6"/>
    <w:rsid w:val="27FA5CB6"/>
    <w:rsid w:val="28066A1F"/>
    <w:rsid w:val="28074CD0"/>
    <w:rsid w:val="280B656E"/>
    <w:rsid w:val="280D34EA"/>
    <w:rsid w:val="281466B1"/>
    <w:rsid w:val="281824A7"/>
    <w:rsid w:val="282D0BDB"/>
    <w:rsid w:val="28312BBF"/>
    <w:rsid w:val="28321D4D"/>
    <w:rsid w:val="283A2862"/>
    <w:rsid w:val="28441A80"/>
    <w:rsid w:val="28467386"/>
    <w:rsid w:val="285F673E"/>
    <w:rsid w:val="28644CCA"/>
    <w:rsid w:val="28687E65"/>
    <w:rsid w:val="287370B9"/>
    <w:rsid w:val="288F6949"/>
    <w:rsid w:val="28911AF2"/>
    <w:rsid w:val="289151CA"/>
    <w:rsid w:val="28A2680F"/>
    <w:rsid w:val="28B9246E"/>
    <w:rsid w:val="28D21782"/>
    <w:rsid w:val="28EB583C"/>
    <w:rsid w:val="28F402DA"/>
    <w:rsid w:val="28FC78BE"/>
    <w:rsid w:val="29000A40"/>
    <w:rsid w:val="290F29AF"/>
    <w:rsid w:val="291E67A9"/>
    <w:rsid w:val="292611B7"/>
    <w:rsid w:val="293634F4"/>
    <w:rsid w:val="29503CAA"/>
    <w:rsid w:val="29533730"/>
    <w:rsid w:val="29770361"/>
    <w:rsid w:val="297840D8"/>
    <w:rsid w:val="2985201E"/>
    <w:rsid w:val="29892059"/>
    <w:rsid w:val="29894105"/>
    <w:rsid w:val="29A34FDC"/>
    <w:rsid w:val="29A44ECD"/>
    <w:rsid w:val="29A93AD9"/>
    <w:rsid w:val="29AF4FD3"/>
    <w:rsid w:val="29B35110"/>
    <w:rsid w:val="29B812E2"/>
    <w:rsid w:val="29BF3AB4"/>
    <w:rsid w:val="29C55899"/>
    <w:rsid w:val="29C865D6"/>
    <w:rsid w:val="29E71C49"/>
    <w:rsid w:val="29E76B67"/>
    <w:rsid w:val="29F2147C"/>
    <w:rsid w:val="29FA1911"/>
    <w:rsid w:val="2A0608C1"/>
    <w:rsid w:val="2A0C4A40"/>
    <w:rsid w:val="2A104310"/>
    <w:rsid w:val="2A134AF4"/>
    <w:rsid w:val="2A1536D4"/>
    <w:rsid w:val="2A255C2B"/>
    <w:rsid w:val="2A2B7BC9"/>
    <w:rsid w:val="2A353D77"/>
    <w:rsid w:val="2A391AB9"/>
    <w:rsid w:val="2A3A5DF9"/>
    <w:rsid w:val="2A4926C2"/>
    <w:rsid w:val="2A4D2BFD"/>
    <w:rsid w:val="2A530EDF"/>
    <w:rsid w:val="2A5F6992"/>
    <w:rsid w:val="2A7949E3"/>
    <w:rsid w:val="2A80647C"/>
    <w:rsid w:val="2A8E62B6"/>
    <w:rsid w:val="2A9572CC"/>
    <w:rsid w:val="2AA36F32"/>
    <w:rsid w:val="2ABD4C84"/>
    <w:rsid w:val="2ACB5D43"/>
    <w:rsid w:val="2AD81233"/>
    <w:rsid w:val="2ADC178F"/>
    <w:rsid w:val="2AE63EFE"/>
    <w:rsid w:val="2AED78BA"/>
    <w:rsid w:val="2AF05EF0"/>
    <w:rsid w:val="2B1725AC"/>
    <w:rsid w:val="2B1C4838"/>
    <w:rsid w:val="2B2E227F"/>
    <w:rsid w:val="2B3404E2"/>
    <w:rsid w:val="2B363CF4"/>
    <w:rsid w:val="2B391645"/>
    <w:rsid w:val="2B3A7305"/>
    <w:rsid w:val="2B425FD0"/>
    <w:rsid w:val="2B4268A6"/>
    <w:rsid w:val="2B724B56"/>
    <w:rsid w:val="2B9B4F58"/>
    <w:rsid w:val="2B9D1BD3"/>
    <w:rsid w:val="2BA3696C"/>
    <w:rsid w:val="2BB65EBB"/>
    <w:rsid w:val="2BB67A51"/>
    <w:rsid w:val="2BB769EE"/>
    <w:rsid w:val="2BB8130D"/>
    <w:rsid w:val="2BC1223D"/>
    <w:rsid w:val="2BC40014"/>
    <w:rsid w:val="2BC51B34"/>
    <w:rsid w:val="2BCA04EF"/>
    <w:rsid w:val="2BF95140"/>
    <w:rsid w:val="2C063C1D"/>
    <w:rsid w:val="2C0B194E"/>
    <w:rsid w:val="2C183950"/>
    <w:rsid w:val="2C1A4F62"/>
    <w:rsid w:val="2C227130"/>
    <w:rsid w:val="2C3447BE"/>
    <w:rsid w:val="2C3D3C75"/>
    <w:rsid w:val="2C4B420E"/>
    <w:rsid w:val="2C660165"/>
    <w:rsid w:val="2C6619D7"/>
    <w:rsid w:val="2C6A0BA3"/>
    <w:rsid w:val="2C750454"/>
    <w:rsid w:val="2C8903AA"/>
    <w:rsid w:val="2C8A76F4"/>
    <w:rsid w:val="2C931BC6"/>
    <w:rsid w:val="2C947F22"/>
    <w:rsid w:val="2CA45E14"/>
    <w:rsid w:val="2CB62CA6"/>
    <w:rsid w:val="2CBA67B5"/>
    <w:rsid w:val="2CBC077F"/>
    <w:rsid w:val="2CD77367"/>
    <w:rsid w:val="2CDB673A"/>
    <w:rsid w:val="2CDE24A4"/>
    <w:rsid w:val="2CEA709A"/>
    <w:rsid w:val="2CEE34EF"/>
    <w:rsid w:val="2CEF46B1"/>
    <w:rsid w:val="2CF605F7"/>
    <w:rsid w:val="2CF9108B"/>
    <w:rsid w:val="2D016FE9"/>
    <w:rsid w:val="2D0A367D"/>
    <w:rsid w:val="2D12214D"/>
    <w:rsid w:val="2D14362B"/>
    <w:rsid w:val="2D1C121E"/>
    <w:rsid w:val="2D2E304F"/>
    <w:rsid w:val="2D3C07FE"/>
    <w:rsid w:val="2D3E414F"/>
    <w:rsid w:val="2D460049"/>
    <w:rsid w:val="2D5756FC"/>
    <w:rsid w:val="2D5D5591"/>
    <w:rsid w:val="2D74743A"/>
    <w:rsid w:val="2D7B7CF2"/>
    <w:rsid w:val="2D7C11D4"/>
    <w:rsid w:val="2D7F4766"/>
    <w:rsid w:val="2D960FD0"/>
    <w:rsid w:val="2DB94CBF"/>
    <w:rsid w:val="2DBE7F60"/>
    <w:rsid w:val="2DC01BA9"/>
    <w:rsid w:val="2DEF248E"/>
    <w:rsid w:val="2DF6788C"/>
    <w:rsid w:val="2E043938"/>
    <w:rsid w:val="2E0D1588"/>
    <w:rsid w:val="2E1F0FC6"/>
    <w:rsid w:val="2E2A042C"/>
    <w:rsid w:val="2E3944B7"/>
    <w:rsid w:val="2E3B1633"/>
    <w:rsid w:val="2E497DF1"/>
    <w:rsid w:val="2E4C1B78"/>
    <w:rsid w:val="2E5F13C2"/>
    <w:rsid w:val="2E61338C"/>
    <w:rsid w:val="2E7035CF"/>
    <w:rsid w:val="2E73313B"/>
    <w:rsid w:val="2E866E5E"/>
    <w:rsid w:val="2E8B06D6"/>
    <w:rsid w:val="2E9A689E"/>
    <w:rsid w:val="2E9B6172"/>
    <w:rsid w:val="2E9C43C4"/>
    <w:rsid w:val="2EA916B2"/>
    <w:rsid w:val="2EA94D33"/>
    <w:rsid w:val="2EB60653"/>
    <w:rsid w:val="2EBA0CEE"/>
    <w:rsid w:val="2EC62DA5"/>
    <w:rsid w:val="2EC92CDF"/>
    <w:rsid w:val="2ED25393"/>
    <w:rsid w:val="2EE32F55"/>
    <w:rsid w:val="2EEA1606"/>
    <w:rsid w:val="2EED318E"/>
    <w:rsid w:val="2EFC4E63"/>
    <w:rsid w:val="2F0401BB"/>
    <w:rsid w:val="2F0F1794"/>
    <w:rsid w:val="2F1A0856"/>
    <w:rsid w:val="2F2B5B05"/>
    <w:rsid w:val="2F3276C7"/>
    <w:rsid w:val="2F475C7E"/>
    <w:rsid w:val="2F4800A8"/>
    <w:rsid w:val="2F486024"/>
    <w:rsid w:val="2F4A2072"/>
    <w:rsid w:val="2F523B34"/>
    <w:rsid w:val="2F681310"/>
    <w:rsid w:val="2F743B89"/>
    <w:rsid w:val="2F793865"/>
    <w:rsid w:val="2F7B2B74"/>
    <w:rsid w:val="2F7E2877"/>
    <w:rsid w:val="2F8567D8"/>
    <w:rsid w:val="2F8B5040"/>
    <w:rsid w:val="2FC45593"/>
    <w:rsid w:val="2FC61E6F"/>
    <w:rsid w:val="2FD04090"/>
    <w:rsid w:val="2FD47B8E"/>
    <w:rsid w:val="2FDB716E"/>
    <w:rsid w:val="2FE65B09"/>
    <w:rsid w:val="2FFA3A98"/>
    <w:rsid w:val="30115CE5"/>
    <w:rsid w:val="30135C1F"/>
    <w:rsid w:val="30136908"/>
    <w:rsid w:val="30191760"/>
    <w:rsid w:val="3025663B"/>
    <w:rsid w:val="3028092A"/>
    <w:rsid w:val="30297EDA"/>
    <w:rsid w:val="302F54E7"/>
    <w:rsid w:val="3062251C"/>
    <w:rsid w:val="306453B6"/>
    <w:rsid w:val="30726790"/>
    <w:rsid w:val="30731155"/>
    <w:rsid w:val="30831C53"/>
    <w:rsid w:val="3095556F"/>
    <w:rsid w:val="3098002B"/>
    <w:rsid w:val="30A92DC8"/>
    <w:rsid w:val="30B034AD"/>
    <w:rsid w:val="30B31983"/>
    <w:rsid w:val="30C87FB8"/>
    <w:rsid w:val="30C9484E"/>
    <w:rsid w:val="30CF2960"/>
    <w:rsid w:val="30E90E2B"/>
    <w:rsid w:val="310406DA"/>
    <w:rsid w:val="31085D41"/>
    <w:rsid w:val="310A2A14"/>
    <w:rsid w:val="310F59F0"/>
    <w:rsid w:val="31395BA8"/>
    <w:rsid w:val="3141666D"/>
    <w:rsid w:val="314B14BF"/>
    <w:rsid w:val="31547B90"/>
    <w:rsid w:val="315534F3"/>
    <w:rsid w:val="3158219E"/>
    <w:rsid w:val="315D7742"/>
    <w:rsid w:val="315F05BE"/>
    <w:rsid w:val="315F1A1E"/>
    <w:rsid w:val="316D537E"/>
    <w:rsid w:val="31716348"/>
    <w:rsid w:val="317355F2"/>
    <w:rsid w:val="317E68B2"/>
    <w:rsid w:val="3185517F"/>
    <w:rsid w:val="3185793C"/>
    <w:rsid w:val="31A16195"/>
    <w:rsid w:val="31A57A34"/>
    <w:rsid w:val="31B06C89"/>
    <w:rsid w:val="31C21E67"/>
    <w:rsid w:val="31C2569E"/>
    <w:rsid w:val="31C96BD0"/>
    <w:rsid w:val="31CA2ACD"/>
    <w:rsid w:val="31E15891"/>
    <w:rsid w:val="31F043F4"/>
    <w:rsid w:val="31F43D52"/>
    <w:rsid w:val="32335040"/>
    <w:rsid w:val="32342B66"/>
    <w:rsid w:val="325066A8"/>
    <w:rsid w:val="32563FE3"/>
    <w:rsid w:val="32574CBD"/>
    <w:rsid w:val="325D3410"/>
    <w:rsid w:val="3260226B"/>
    <w:rsid w:val="327A5FF1"/>
    <w:rsid w:val="327B2543"/>
    <w:rsid w:val="32981E44"/>
    <w:rsid w:val="32A55CC0"/>
    <w:rsid w:val="32A937D2"/>
    <w:rsid w:val="32C4213C"/>
    <w:rsid w:val="32C95971"/>
    <w:rsid w:val="32E41009"/>
    <w:rsid w:val="32E9078F"/>
    <w:rsid w:val="32ED34FF"/>
    <w:rsid w:val="3304078A"/>
    <w:rsid w:val="330856D0"/>
    <w:rsid w:val="331D35FA"/>
    <w:rsid w:val="33316646"/>
    <w:rsid w:val="33462B8C"/>
    <w:rsid w:val="33491C13"/>
    <w:rsid w:val="33550FE6"/>
    <w:rsid w:val="335E45B2"/>
    <w:rsid w:val="33691E57"/>
    <w:rsid w:val="33735D99"/>
    <w:rsid w:val="33736E76"/>
    <w:rsid w:val="33753436"/>
    <w:rsid w:val="337570A4"/>
    <w:rsid w:val="337A6C9E"/>
    <w:rsid w:val="338D69D1"/>
    <w:rsid w:val="33925D96"/>
    <w:rsid w:val="339C6C14"/>
    <w:rsid w:val="33A269EC"/>
    <w:rsid w:val="33A856B1"/>
    <w:rsid w:val="33AB2922"/>
    <w:rsid w:val="33BC1065"/>
    <w:rsid w:val="33C50B9E"/>
    <w:rsid w:val="33D301D3"/>
    <w:rsid w:val="33D976B3"/>
    <w:rsid w:val="33DB2EFB"/>
    <w:rsid w:val="33DB773D"/>
    <w:rsid w:val="33DC1707"/>
    <w:rsid w:val="33DC6CF8"/>
    <w:rsid w:val="33F54490"/>
    <w:rsid w:val="33F85833"/>
    <w:rsid w:val="33F94458"/>
    <w:rsid w:val="340B78F6"/>
    <w:rsid w:val="341266A4"/>
    <w:rsid w:val="3429350C"/>
    <w:rsid w:val="3431735D"/>
    <w:rsid w:val="3434509F"/>
    <w:rsid w:val="34390907"/>
    <w:rsid w:val="343C76C2"/>
    <w:rsid w:val="343D6C24"/>
    <w:rsid w:val="34441786"/>
    <w:rsid w:val="345873A9"/>
    <w:rsid w:val="34692A1E"/>
    <w:rsid w:val="346C4A6E"/>
    <w:rsid w:val="34703C63"/>
    <w:rsid w:val="347831DE"/>
    <w:rsid w:val="347C5D20"/>
    <w:rsid w:val="348222AE"/>
    <w:rsid w:val="34847DD4"/>
    <w:rsid w:val="348C6C89"/>
    <w:rsid w:val="34997F68"/>
    <w:rsid w:val="34A2025B"/>
    <w:rsid w:val="34AF7CC9"/>
    <w:rsid w:val="34B41D3C"/>
    <w:rsid w:val="34B956D8"/>
    <w:rsid w:val="34C24459"/>
    <w:rsid w:val="34CE1050"/>
    <w:rsid w:val="34DD5737"/>
    <w:rsid w:val="34E017A7"/>
    <w:rsid w:val="34E526B4"/>
    <w:rsid w:val="34EC3BCC"/>
    <w:rsid w:val="34ED4FC5"/>
    <w:rsid w:val="34FE7262"/>
    <w:rsid w:val="35101668"/>
    <w:rsid w:val="351E0E61"/>
    <w:rsid w:val="352275ED"/>
    <w:rsid w:val="352407FC"/>
    <w:rsid w:val="35245113"/>
    <w:rsid w:val="352612DF"/>
    <w:rsid w:val="35322B1F"/>
    <w:rsid w:val="353358B6"/>
    <w:rsid w:val="3535498A"/>
    <w:rsid w:val="35373099"/>
    <w:rsid w:val="35471E10"/>
    <w:rsid w:val="355004C3"/>
    <w:rsid w:val="355157DD"/>
    <w:rsid w:val="3556146D"/>
    <w:rsid w:val="355724F0"/>
    <w:rsid w:val="356E638F"/>
    <w:rsid w:val="3575596F"/>
    <w:rsid w:val="35810326"/>
    <w:rsid w:val="35867B7C"/>
    <w:rsid w:val="358C5E8C"/>
    <w:rsid w:val="358D7C9B"/>
    <w:rsid w:val="358E2186"/>
    <w:rsid w:val="35A26038"/>
    <w:rsid w:val="35A61FCC"/>
    <w:rsid w:val="35A90471"/>
    <w:rsid w:val="35A973C7"/>
    <w:rsid w:val="35AE5305"/>
    <w:rsid w:val="35B90B5D"/>
    <w:rsid w:val="35BD10B7"/>
    <w:rsid w:val="35DE239E"/>
    <w:rsid w:val="35E06512"/>
    <w:rsid w:val="35E33F92"/>
    <w:rsid w:val="360212D1"/>
    <w:rsid w:val="36030D37"/>
    <w:rsid w:val="360E2480"/>
    <w:rsid w:val="361327DB"/>
    <w:rsid w:val="36280C33"/>
    <w:rsid w:val="363720E3"/>
    <w:rsid w:val="3639711B"/>
    <w:rsid w:val="363E765D"/>
    <w:rsid w:val="364041CF"/>
    <w:rsid w:val="36421CF5"/>
    <w:rsid w:val="365869BA"/>
    <w:rsid w:val="36592830"/>
    <w:rsid w:val="36697A8D"/>
    <w:rsid w:val="367409D2"/>
    <w:rsid w:val="36773881"/>
    <w:rsid w:val="367B56C5"/>
    <w:rsid w:val="367C5173"/>
    <w:rsid w:val="368A369C"/>
    <w:rsid w:val="36915D46"/>
    <w:rsid w:val="36BA6657"/>
    <w:rsid w:val="36CA31B0"/>
    <w:rsid w:val="36D20797"/>
    <w:rsid w:val="36D33F07"/>
    <w:rsid w:val="36E16F8C"/>
    <w:rsid w:val="36E65B3A"/>
    <w:rsid w:val="370346A6"/>
    <w:rsid w:val="37186F74"/>
    <w:rsid w:val="371F5B92"/>
    <w:rsid w:val="37296474"/>
    <w:rsid w:val="37405833"/>
    <w:rsid w:val="37594F8B"/>
    <w:rsid w:val="37601258"/>
    <w:rsid w:val="37666B6B"/>
    <w:rsid w:val="37675674"/>
    <w:rsid w:val="376B1978"/>
    <w:rsid w:val="3771007D"/>
    <w:rsid w:val="37734130"/>
    <w:rsid w:val="37940CA8"/>
    <w:rsid w:val="37A34A15"/>
    <w:rsid w:val="37A92337"/>
    <w:rsid w:val="37B90CC1"/>
    <w:rsid w:val="37CB1876"/>
    <w:rsid w:val="37D848CF"/>
    <w:rsid w:val="37DB157C"/>
    <w:rsid w:val="37DB3C7D"/>
    <w:rsid w:val="37EE7D30"/>
    <w:rsid w:val="37F62976"/>
    <w:rsid w:val="37F77F19"/>
    <w:rsid w:val="37FB3B6B"/>
    <w:rsid w:val="381B0A50"/>
    <w:rsid w:val="381D34F9"/>
    <w:rsid w:val="382056E0"/>
    <w:rsid w:val="3822692C"/>
    <w:rsid w:val="382947EF"/>
    <w:rsid w:val="38343F2A"/>
    <w:rsid w:val="38451629"/>
    <w:rsid w:val="38490F9C"/>
    <w:rsid w:val="384C1631"/>
    <w:rsid w:val="38542754"/>
    <w:rsid w:val="386C03A0"/>
    <w:rsid w:val="388372DB"/>
    <w:rsid w:val="38850AD8"/>
    <w:rsid w:val="388F4F9A"/>
    <w:rsid w:val="38A5656B"/>
    <w:rsid w:val="38B10FD7"/>
    <w:rsid w:val="38B2326B"/>
    <w:rsid w:val="38BD498D"/>
    <w:rsid w:val="38D04F33"/>
    <w:rsid w:val="38D155B2"/>
    <w:rsid w:val="38D26C34"/>
    <w:rsid w:val="38D81B11"/>
    <w:rsid w:val="38F17A02"/>
    <w:rsid w:val="38F61303"/>
    <w:rsid w:val="38FC42B5"/>
    <w:rsid w:val="38FC71A8"/>
    <w:rsid w:val="39020983"/>
    <w:rsid w:val="39037F6C"/>
    <w:rsid w:val="390C2146"/>
    <w:rsid w:val="39161217"/>
    <w:rsid w:val="39214610"/>
    <w:rsid w:val="39276898"/>
    <w:rsid w:val="39464964"/>
    <w:rsid w:val="3950297B"/>
    <w:rsid w:val="395224D9"/>
    <w:rsid w:val="395601FC"/>
    <w:rsid w:val="395A7356"/>
    <w:rsid w:val="39647471"/>
    <w:rsid w:val="397B4E62"/>
    <w:rsid w:val="39845848"/>
    <w:rsid w:val="39916AF0"/>
    <w:rsid w:val="39972B1A"/>
    <w:rsid w:val="399A1410"/>
    <w:rsid w:val="39A17675"/>
    <w:rsid w:val="39A6259B"/>
    <w:rsid w:val="39C8231B"/>
    <w:rsid w:val="39CD1539"/>
    <w:rsid w:val="39CD5D32"/>
    <w:rsid w:val="39DA1DFA"/>
    <w:rsid w:val="39DC71EB"/>
    <w:rsid w:val="39DD5D2E"/>
    <w:rsid w:val="3A045F91"/>
    <w:rsid w:val="3A0A0953"/>
    <w:rsid w:val="3A184B1B"/>
    <w:rsid w:val="3A187F8C"/>
    <w:rsid w:val="3A1E4582"/>
    <w:rsid w:val="3A2C4127"/>
    <w:rsid w:val="3A451DB4"/>
    <w:rsid w:val="3A4F678F"/>
    <w:rsid w:val="3A5576B6"/>
    <w:rsid w:val="3A682780"/>
    <w:rsid w:val="3A697EB7"/>
    <w:rsid w:val="3A7A136F"/>
    <w:rsid w:val="3A7F0311"/>
    <w:rsid w:val="3A8A3C6B"/>
    <w:rsid w:val="3A8C5141"/>
    <w:rsid w:val="3A8D5509"/>
    <w:rsid w:val="3A993EAE"/>
    <w:rsid w:val="3A9C0D92"/>
    <w:rsid w:val="3AA648FE"/>
    <w:rsid w:val="3AAA7D3D"/>
    <w:rsid w:val="3AB6467C"/>
    <w:rsid w:val="3AD117FB"/>
    <w:rsid w:val="3AD64FB0"/>
    <w:rsid w:val="3AD72904"/>
    <w:rsid w:val="3AD75A09"/>
    <w:rsid w:val="3ADC5AFD"/>
    <w:rsid w:val="3AE17BBC"/>
    <w:rsid w:val="3B007A89"/>
    <w:rsid w:val="3B0F5ABD"/>
    <w:rsid w:val="3B1A123D"/>
    <w:rsid w:val="3B213730"/>
    <w:rsid w:val="3B2D7A40"/>
    <w:rsid w:val="3B2F4F75"/>
    <w:rsid w:val="3B315914"/>
    <w:rsid w:val="3B5008D7"/>
    <w:rsid w:val="3B7355AE"/>
    <w:rsid w:val="3B793C0F"/>
    <w:rsid w:val="3B7F15E2"/>
    <w:rsid w:val="3B7F6F5D"/>
    <w:rsid w:val="3B8536A6"/>
    <w:rsid w:val="3B871F58"/>
    <w:rsid w:val="3B8763FC"/>
    <w:rsid w:val="3B8A37F6"/>
    <w:rsid w:val="3B8B2713"/>
    <w:rsid w:val="3B906DF8"/>
    <w:rsid w:val="3B9F0C51"/>
    <w:rsid w:val="3BA00572"/>
    <w:rsid w:val="3BB1021B"/>
    <w:rsid w:val="3BC53ABB"/>
    <w:rsid w:val="3BCB62E9"/>
    <w:rsid w:val="3BCC1F2A"/>
    <w:rsid w:val="3BCD6D6D"/>
    <w:rsid w:val="3BD57167"/>
    <w:rsid w:val="3BDD601C"/>
    <w:rsid w:val="3BF72A83"/>
    <w:rsid w:val="3C130A1F"/>
    <w:rsid w:val="3C135790"/>
    <w:rsid w:val="3C1752F7"/>
    <w:rsid w:val="3C193171"/>
    <w:rsid w:val="3C1E3214"/>
    <w:rsid w:val="3C2528C6"/>
    <w:rsid w:val="3C333E8E"/>
    <w:rsid w:val="3C4321AB"/>
    <w:rsid w:val="3C4340D1"/>
    <w:rsid w:val="3C4F0720"/>
    <w:rsid w:val="3C4F1FEA"/>
    <w:rsid w:val="3C616C4D"/>
    <w:rsid w:val="3C686571"/>
    <w:rsid w:val="3C83525B"/>
    <w:rsid w:val="3C87375A"/>
    <w:rsid w:val="3C8E189D"/>
    <w:rsid w:val="3CA22EFE"/>
    <w:rsid w:val="3CB8043D"/>
    <w:rsid w:val="3CB94BCA"/>
    <w:rsid w:val="3CC25705"/>
    <w:rsid w:val="3CC50225"/>
    <w:rsid w:val="3CC92CB9"/>
    <w:rsid w:val="3CCF3965"/>
    <w:rsid w:val="3CD1792F"/>
    <w:rsid w:val="3CDD64CF"/>
    <w:rsid w:val="3CDE231E"/>
    <w:rsid w:val="3CEB5790"/>
    <w:rsid w:val="3CFE1B47"/>
    <w:rsid w:val="3D015D3A"/>
    <w:rsid w:val="3D111A99"/>
    <w:rsid w:val="3D17730C"/>
    <w:rsid w:val="3D1C767A"/>
    <w:rsid w:val="3D1E1219"/>
    <w:rsid w:val="3D36346C"/>
    <w:rsid w:val="3D47560D"/>
    <w:rsid w:val="3D4956FE"/>
    <w:rsid w:val="3D523BCD"/>
    <w:rsid w:val="3D645169"/>
    <w:rsid w:val="3D6C3AFB"/>
    <w:rsid w:val="3D842BF3"/>
    <w:rsid w:val="3D8F2120"/>
    <w:rsid w:val="3D8F30A0"/>
    <w:rsid w:val="3D990E61"/>
    <w:rsid w:val="3D9D1F07"/>
    <w:rsid w:val="3DA327E5"/>
    <w:rsid w:val="3DAB17BA"/>
    <w:rsid w:val="3DAB4624"/>
    <w:rsid w:val="3DB01C7C"/>
    <w:rsid w:val="3DBA1ADA"/>
    <w:rsid w:val="3DBA6615"/>
    <w:rsid w:val="3DC355A6"/>
    <w:rsid w:val="3DC42D6E"/>
    <w:rsid w:val="3DD009EA"/>
    <w:rsid w:val="3DD64752"/>
    <w:rsid w:val="3DD80DF7"/>
    <w:rsid w:val="3DE26317"/>
    <w:rsid w:val="3DED5444"/>
    <w:rsid w:val="3E10092B"/>
    <w:rsid w:val="3E175815"/>
    <w:rsid w:val="3E251E4B"/>
    <w:rsid w:val="3E2D1C0D"/>
    <w:rsid w:val="3E352B5B"/>
    <w:rsid w:val="3E3A2755"/>
    <w:rsid w:val="3E463101"/>
    <w:rsid w:val="3E46434D"/>
    <w:rsid w:val="3E467EA9"/>
    <w:rsid w:val="3E52684D"/>
    <w:rsid w:val="3E5717D0"/>
    <w:rsid w:val="3E725142"/>
    <w:rsid w:val="3E734A16"/>
    <w:rsid w:val="3E8B1D5F"/>
    <w:rsid w:val="3E950E30"/>
    <w:rsid w:val="3E953235"/>
    <w:rsid w:val="3EAA3B18"/>
    <w:rsid w:val="3EB72B54"/>
    <w:rsid w:val="3EBD0BAE"/>
    <w:rsid w:val="3EC80A37"/>
    <w:rsid w:val="3ECD2095"/>
    <w:rsid w:val="3EED47C8"/>
    <w:rsid w:val="3EF02AD3"/>
    <w:rsid w:val="3EF43DA9"/>
    <w:rsid w:val="3F024C1A"/>
    <w:rsid w:val="3F21052E"/>
    <w:rsid w:val="3F330C34"/>
    <w:rsid w:val="3F3917F4"/>
    <w:rsid w:val="3F625E8E"/>
    <w:rsid w:val="3F6A673B"/>
    <w:rsid w:val="3F8C2A74"/>
    <w:rsid w:val="3F917849"/>
    <w:rsid w:val="3F924981"/>
    <w:rsid w:val="3FA70307"/>
    <w:rsid w:val="3FA7458E"/>
    <w:rsid w:val="3FB22390"/>
    <w:rsid w:val="3FBA6F1C"/>
    <w:rsid w:val="3FCF1529"/>
    <w:rsid w:val="3FD0248A"/>
    <w:rsid w:val="3FE37E33"/>
    <w:rsid w:val="3FE813F4"/>
    <w:rsid w:val="3FF55C7D"/>
    <w:rsid w:val="40095632"/>
    <w:rsid w:val="400E03CE"/>
    <w:rsid w:val="400E0E9A"/>
    <w:rsid w:val="401144E6"/>
    <w:rsid w:val="401171AD"/>
    <w:rsid w:val="40225AF1"/>
    <w:rsid w:val="403D5148"/>
    <w:rsid w:val="403F2E01"/>
    <w:rsid w:val="40507C98"/>
    <w:rsid w:val="4061657E"/>
    <w:rsid w:val="40625FCD"/>
    <w:rsid w:val="40672358"/>
    <w:rsid w:val="40675CAC"/>
    <w:rsid w:val="407E7DCE"/>
    <w:rsid w:val="40892318"/>
    <w:rsid w:val="408E0789"/>
    <w:rsid w:val="4090365D"/>
    <w:rsid w:val="40A42109"/>
    <w:rsid w:val="40A610D2"/>
    <w:rsid w:val="40A76FA9"/>
    <w:rsid w:val="40AC084A"/>
    <w:rsid w:val="40D05FDB"/>
    <w:rsid w:val="40DB515E"/>
    <w:rsid w:val="40E30197"/>
    <w:rsid w:val="40EA1367"/>
    <w:rsid w:val="40EB151F"/>
    <w:rsid w:val="40F25A91"/>
    <w:rsid w:val="41110C42"/>
    <w:rsid w:val="411C387B"/>
    <w:rsid w:val="411C6FE5"/>
    <w:rsid w:val="41292B74"/>
    <w:rsid w:val="413D1A37"/>
    <w:rsid w:val="414C7ECC"/>
    <w:rsid w:val="414E3836"/>
    <w:rsid w:val="4157061F"/>
    <w:rsid w:val="41592854"/>
    <w:rsid w:val="41647934"/>
    <w:rsid w:val="41676AB4"/>
    <w:rsid w:val="416E516B"/>
    <w:rsid w:val="418812BB"/>
    <w:rsid w:val="418F1604"/>
    <w:rsid w:val="419F3079"/>
    <w:rsid w:val="41AE3A67"/>
    <w:rsid w:val="41EA02ED"/>
    <w:rsid w:val="41FB544E"/>
    <w:rsid w:val="420E5181"/>
    <w:rsid w:val="421409A0"/>
    <w:rsid w:val="4215282E"/>
    <w:rsid w:val="4216544A"/>
    <w:rsid w:val="42225E0B"/>
    <w:rsid w:val="4247010E"/>
    <w:rsid w:val="424F30C2"/>
    <w:rsid w:val="426254CD"/>
    <w:rsid w:val="426C30A0"/>
    <w:rsid w:val="42701998"/>
    <w:rsid w:val="427358D4"/>
    <w:rsid w:val="42736D87"/>
    <w:rsid w:val="42755200"/>
    <w:rsid w:val="427E086F"/>
    <w:rsid w:val="42826F4F"/>
    <w:rsid w:val="42931FC8"/>
    <w:rsid w:val="429D286D"/>
    <w:rsid w:val="429E14C4"/>
    <w:rsid w:val="42A26186"/>
    <w:rsid w:val="42BF022A"/>
    <w:rsid w:val="42C13D5C"/>
    <w:rsid w:val="42C66BA7"/>
    <w:rsid w:val="42C817D4"/>
    <w:rsid w:val="42D53EF1"/>
    <w:rsid w:val="42DF3579"/>
    <w:rsid w:val="42E264C2"/>
    <w:rsid w:val="42E85CD3"/>
    <w:rsid w:val="42E87780"/>
    <w:rsid w:val="42ED7D18"/>
    <w:rsid w:val="42F54D63"/>
    <w:rsid w:val="42F73E67"/>
    <w:rsid w:val="42F779C3"/>
    <w:rsid w:val="42F87E06"/>
    <w:rsid w:val="42FC7969"/>
    <w:rsid w:val="43011E27"/>
    <w:rsid w:val="430A124F"/>
    <w:rsid w:val="430B3A05"/>
    <w:rsid w:val="430F20A0"/>
    <w:rsid w:val="43135F0F"/>
    <w:rsid w:val="431A7B56"/>
    <w:rsid w:val="431B6CC7"/>
    <w:rsid w:val="43244531"/>
    <w:rsid w:val="432634B4"/>
    <w:rsid w:val="43566DE0"/>
    <w:rsid w:val="43650DD1"/>
    <w:rsid w:val="43724BD3"/>
    <w:rsid w:val="43732880"/>
    <w:rsid w:val="43865952"/>
    <w:rsid w:val="438F0BB0"/>
    <w:rsid w:val="43A86F10"/>
    <w:rsid w:val="43B02228"/>
    <w:rsid w:val="43BF04EA"/>
    <w:rsid w:val="43C05A1E"/>
    <w:rsid w:val="43C27FD1"/>
    <w:rsid w:val="43C53F65"/>
    <w:rsid w:val="43D22CDA"/>
    <w:rsid w:val="43D354DC"/>
    <w:rsid w:val="43E91A02"/>
    <w:rsid w:val="43F32881"/>
    <w:rsid w:val="4405353A"/>
    <w:rsid w:val="44063CF3"/>
    <w:rsid w:val="44072973"/>
    <w:rsid w:val="44112D07"/>
    <w:rsid w:val="44117E2D"/>
    <w:rsid w:val="441D5B50"/>
    <w:rsid w:val="441E6386"/>
    <w:rsid w:val="44426345"/>
    <w:rsid w:val="444B2816"/>
    <w:rsid w:val="445279AA"/>
    <w:rsid w:val="445F3A86"/>
    <w:rsid w:val="446472DA"/>
    <w:rsid w:val="44735770"/>
    <w:rsid w:val="4478636B"/>
    <w:rsid w:val="447A0DB3"/>
    <w:rsid w:val="4481712B"/>
    <w:rsid w:val="4488746D"/>
    <w:rsid w:val="448B4867"/>
    <w:rsid w:val="448E6105"/>
    <w:rsid w:val="449D459A"/>
    <w:rsid w:val="44AD1736"/>
    <w:rsid w:val="44C93406"/>
    <w:rsid w:val="44CE0BF8"/>
    <w:rsid w:val="44D02BC2"/>
    <w:rsid w:val="44D37FBC"/>
    <w:rsid w:val="44D74994"/>
    <w:rsid w:val="44DC3315"/>
    <w:rsid w:val="44F62875"/>
    <w:rsid w:val="45097E82"/>
    <w:rsid w:val="451730A2"/>
    <w:rsid w:val="451955A3"/>
    <w:rsid w:val="45205199"/>
    <w:rsid w:val="45216F7A"/>
    <w:rsid w:val="45260B70"/>
    <w:rsid w:val="453303B6"/>
    <w:rsid w:val="45350C77"/>
    <w:rsid w:val="45357C2D"/>
    <w:rsid w:val="453E7B2C"/>
    <w:rsid w:val="4541322C"/>
    <w:rsid w:val="45467C1A"/>
    <w:rsid w:val="454946CF"/>
    <w:rsid w:val="45523E0A"/>
    <w:rsid w:val="455E3D2A"/>
    <w:rsid w:val="45617CBE"/>
    <w:rsid w:val="45703A5D"/>
    <w:rsid w:val="457479F1"/>
    <w:rsid w:val="45784EE5"/>
    <w:rsid w:val="457C33A8"/>
    <w:rsid w:val="457F7404"/>
    <w:rsid w:val="458007FA"/>
    <w:rsid w:val="4595726A"/>
    <w:rsid w:val="45AD0E39"/>
    <w:rsid w:val="45B66B2F"/>
    <w:rsid w:val="45BB4AE0"/>
    <w:rsid w:val="45C610DE"/>
    <w:rsid w:val="45C67177"/>
    <w:rsid w:val="45CA7D82"/>
    <w:rsid w:val="45D048BE"/>
    <w:rsid w:val="45D1274E"/>
    <w:rsid w:val="45D93CF8"/>
    <w:rsid w:val="45DE626C"/>
    <w:rsid w:val="45F13477"/>
    <w:rsid w:val="45F64EBA"/>
    <w:rsid w:val="45FD7B3D"/>
    <w:rsid w:val="46015FB3"/>
    <w:rsid w:val="460A10C2"/>
    <w:rsid w:val="460C59AE"/>
    <w:rsid w:val="460F78BE"/>
    <w:rsid w:val="461551BA"/>
    <w:rsid w:val="46230254"/>
    <w:rsid w:val="46250CEB"/>
    <w:rsid w:val="462B1600"/>
    <w:rsid w:val="462C207A"/>
    <w:rsid w:val="462D24EF"/>
    <w:rsid w:val="4642364B"/>
    <w:rsid w:val="464E1FF0"/>
    <w:rsid w:val="465D0485"/>
    <w:rsid w:val="46733805"/>
    <w:rsid w:val="46753897"/>
    <w:rsid w:val="46761190"/>
    <w:rsid w:val="46845A12"/>
    <w:rsid w:val="46867477"/>
    <w:rsid w:val="468A02AD"/>
    <w:rsid w:val="468B3DD1"/>
    <w:rsid w:val="46902609"/>
    <w:rsid w:val="46933EA7"/>
    <w:rsid w:val="469D4D26"/>
    <w:rsid w:val="46A33D32"/>
    <w:rsid w:val="46B906B9"/>
    <w:rsid w:val="46C71DA3"/>
    <w:rsid w:val="46C96F1B"/>
    <w:rsid w:val="46D61F38"/>
    <w:rsid w:val="46D87DE5"/>
    <w:rsid w:val="46E464B1"/>
    <w:rsid w:val="46E556A4"/>
    <w:rsid w:val="46E841F3"/>
    <w:rsid w:val="46E91D19"/>
    <w:rsid w:val="46EA25E1"/>
    <w:rsid w:val="46EB1077"/>
    <w:rsid w:val="46FE250C"/>
    <w:rsid w:val="470C2558"/>
    <w:rsid w:val="472165B7"/>
    <w:rsid w:val="4723347D"/>
    <w:rsid w:val="47277064"/>
    <w:rsid w:val="47283579"/>
    <w:rsid w:val="473161FA"/>
    <w:rsid w:val="47323C17"/>
    <w:rsid w:val="473E02B7"/>
    <w:rsid w:val="473F2266"/>
    <w:rsid w:val="474E1009"/>
    <w:rsid w:val="474E29C1"/>
    <w:rsid w:val="475569C5"/>
    <w:rsid w:val="47574ED5"/>
    <w:rsid w:val="47590A49"/>
    <w:rsid w:val="476A063C"/>
    <w:rsid w:val="47941208"/>
    <w:rsid w:val="479954ED"/>
    <w:rsid w:val="47A101B2"/>
    <w:rsid w:val="47B9793D"/>
    <w:rsid w:val="47BC11DC"/>
    <w:rsid w:val="47BE31A6"/>
    <w:rsid w:val="47BF2852"/>
    <w:rsid w:val="47BF386C"/>
    <w:rsid w:val="47C95C6C"/>
    <w:rsid w:val="47CC58C3"/>
    <w:rsid w:val="47D172DF"/>
    <w:rsid w:val="47DD7D36"/>
    <w:rsid w:val="47EC7022"/>
    <w:rsid w:val="47EC7D13"/>
    <w:rsid w:val="47FC7940"/>
    <w:rsid w:val="48030B33"/>
    <w:rsid w:val="48046015"/>
    <w:rsid w:val="48102D4F"/>
    <w:rsid w:val="4819316F"/>
    <w:rsid w:val="48401E0D"/>
    <w:rsid w:val="48480CC1"/>
    <w:rsid w:val="48580B32"/>
    <w:rsid w:val="485B43A9"/>
    <w:rsid w:val="485D63AE"/>
    <w:rsid w:val="48635024"/>
    <w:rsid w:val="487B675C"/>
    <w:rsid w:val="48847172"/>
    <w:rsid w:val="489A4FDC"/>
    <w:rsid w:val="48A572ED"/>
    <w:rsid w:val="48B14AB8"/>
    <w:rsid w:val="48B22238"/>
    <w:rsid w:val="48B33076"/>
    <w:rsid w:val="48BF71D5"/>
    <w:rsid w:val="48C4330A"/>
    <w:rsid w:val="48C56B4C"/>
    <w:rsid w:val="48D55EB3"/>
    <w:rsid w:val="48DA0701"/>
    <w:rsid w:val="48DC7D87"/>
    <w:rsid w:val="48DF324A"/>
    <w:rsid w:val="48E052EC"/>
    <w:rsid w:val="48E22EC4"/>
    <w:rsid w:val="48E65AEE"/>
    <w:rsid w:val="49096FCD"/>
    <w:rsid w:val="491B7C2C"/>
    <w:rsid w:val="491F7C74"/>
    <w:rsid w:val="492B486B"/>
    <w:rsid w:val="493F20C4"/>
    <w:rsid w:val="494625B6"/>
    <w:rsid w:val="49512BB1"/>
    <w:rsid w:val="495C2CEC"/>
    <w:rsid w:val="496215BF"/>
    <w:rsid w:val="49641F5D"/>
    <w:rsid w:val="49666B6B"/>
    <w:rsid w:val="496F2CCC"/>
    <w:rsid w:val="499A379E"/>
    <w:rsid w:val="49A8530E"/>
    <w:rsid w:val="49BB2C74"/>
    <w:rsid w:val="49C40005"/>
    <w:rsid w:val="49D04BAB"/>
    <w:rsid w:val="49DC3A88"/>
    <w:rsid w:val="49EA17C4"/>
    <w:rsid w:val="49EC3FFA"/>
    <w:rsid w:val="49F0129D"/>
    <w:rsid w:val="49FB248F"/>
    <w:rsid w:val="4A00613B"/>
    <w:rsid w:val="4A062BE2"/>
    <w:rsid w:val="4A0B1FA6"/>
    <w:rsid w:val="4A1A2F12"/>
    <w:rsid w:val="4A280A90"/>
    <w:rsid w:val="4A2C089A"/>
    <w:rsid w:val="4A2C7C77"/>
    <w:rsid w:val="4A321C6F"/>
    <w:rsid w:val="4A34008C"/>
    <w:rsid w:val="4A3634C7"/>
    <w:rsid w:val="4A366D8C"/>
    <w:rsid w:val="4A375709"/>
    <w:rsid w:val="4A475BFC"/>
    <w:rsid w:val="4A4E1094"/>
    <w:rsid w:val="4A521850"/>
    <w:rsid w:val="4A561717"/>
    <w:rsid w:val="4A595408"/>
    <w:rsid w:val="4A615C7A"/>
    <w:rsid w:val="4A717D8F"/>
    <w:rsid w:val="4A744BC4"/>
    <w:rsid w:val="4A77763C"/>
    <w:rsid w:val="4A7D0F83"/>
    <w:rsid w:val="4A834A22"/>
    <w:rsid w:val="4A8815D3"/>
    <w:rsid w:val="4A8F3747"/>
    <w:rsid w:val="4A9454F9"/>
    <w:rsid w:val="4A972DF7"/>
    <w:rsid w:val="4A985F30"/>
    <w:rsid w:val="4A992274"/>
    <w:rsid w:val="4AAA2276"/>
    <w:rsid w:val="4AAD1B66"/>
    <w:rsid w:val="4AB64534"/>
    <w:rsid w:val="4AB731AE"/>
    <w:rsid w:val="4AB80380"/>
    <w:rsid w:val="4AC05487"/>
    <w:rsid w:val="4AC0752C"/>
    <w:rsid w:val="4AC66642"/>
    <w:rsid w:val="4AC7411F"/>
    <w:rsid w:val="4AD37353"/>
    <w:rsid w:val="4ADA20A4"/>
    <w:rsid w:val="4ADC6651"/>
    <w:rsid w:val="4ADF76BB"/>
    <w:rsid w:val="4AE2340C"/>
    <w:rsid w:val="4AEB42B2"/>
    <w:rsid w:val="4AFF6999"/>
    <w:rsid w:val="4B1720E1"/>
    <w:rsid w:val="4B21257E"/>
    <w:rsid w:val="4B290FE3"/>
    <w:rsid w:val="4B2F18A2"/>
    <w:rsid w:val="4B306168"/>
    <w:rsid w:val="4B322207"/>
    <w:rsid w:val="4B3B5793"/>
    <w:rsid w:val="4B58050B"/>
    <w:rsid w:val="4B5A25F7"/>
    <w:rsid w:val="4B6A0768"/>
    <w:rsid w:val="4B6B0CBD"/>
    <w:rsid w:val="4B6B53F2"/>
    <w:rsid w:val="4B705719"/>
    <w:rsid w:val="4B7B47F9"/>
    <w:rsid w:val="4B9A5CD8"/>
    <w:rsid w:val="4BA563FE"/>
    <w:rsid w:val="4BB77663"/>
    <w:rsid w:val="4BBC79FC"/>
    <w:rsid w:val="4BBE2F70"/>
    <w:rsid w:val="4BC4783E"/>
    <w:rsid w:val="4BC54DE5"/>
    <w:rsid w:val="4BD52968"/>
    <w:rsid w:val="4BD91D02"/>
    <w:rsid w:val="4BE2600E"/>
    <w:rsid w:val="4BE57820"/>
    <w:rsid w:val="4BFB7B74"/>
    <w:rsid w:val="4C036F90"/>
    <w:rsid w:val="4C0457A1"/>
    <w:rsid w:val="4C115F9A"/>
    <w:rsid w:val="4C361B10"/>
    <w:rsid w:val="4C3F2C78"/>
    <w:rsid w:val="4C417F01"/>
    <w:rsid w:val="4C42244E"/>
    <w:rsid w:val="4C437DCE"/>
    <w:rsid w:val="4C4C0A3B"/>
    <w:rsid w:val="4C65577D"/>
    <w:rsid w:val="4C6A3121"/>
    <w:rsid w:val="4C6F4A6E"/>
    <w:rsid w:val="4C727CFA"/>
    <w:rsid w:val="4C88081B"/>
    <w:rsid w:val="4C8872A2"/>
    <w:rsid w:val="4C9C19F3"/>
    <w:rsid w:val="4C9F7C88"/>
    <w:rsid w:val="4CA47183"/>
    <w:rsid w:val="4CA97C29"/>
    <w:rsid w:val="4CB7606E"/>
    <w:rsid w:val="4CC254E6"/>
    <w:rsid w:val="4CE94821"/>
    <w:rsid w:val="4CEF795D"/>
    <w:rsid w:val="4CF745DE"/>
    <w:rsid w:val="4CFB4554"/>
    <w:rsid w:val="4CFC57E0"/>
    <w:rsid w:val="4D087B01"/>
    <w:rsid w:val="4D0B58BC"/>
    <w:rsid w:val="4D0C2AD5"/>
    <w:rsid w:val="4D0F1DAD"/>
    <w:rsid w:val="4D135D42"/>
    <w:rsid w:val="4D1A1F72"/>
    <w:rsid w:val="4D2059FA"/>
    <w:rsid w:val="4D2D2A74"/>
    <w:rsid w:val="4D2E29D3"/>
    <w:rsid w:val="4D2E3574"/>
    <w:rsid w:val="4D451B18"/>
    <w:rsid w:val="4D550108"/>
    <w:rsid w:val="4D5679DC"/>
    <w:rsid w:val="4D755736"/>
    <w:rsid w:val="4D8E14B9"/>
    <w:rsid w:val="4DB92102"/>
    <w:rsid w:val="4DBA3E20"/>
    <w:rsid w:val="4DBC5B64"/>
    <w:rsid w:val="4DC679DB"/>
    <w:rsid w:val="4DE61D12"/>
    <w:rsid w:val="4DE66FB2"/>
    <w:rsid w:val="4DF1146E"/>
    <w:rsid w:val="4DF82017"/>
    <w:rsid w:val="4E0E661C"/>
    <w:rsid w:val="4E353A96"/>
    <w:rsid w:val="4E4C57ED"/>
    <w:rsid w:val="4E5505A6"/>
    <w:rsid w:val="4E6B41DE"/>
    <w:rsid w:val="4E810A89"/>
    <w:rsid w:val="4E820BD8"/>
    <w:rsid w:val="4E820C19"/>
    <w:rsid w:val="4E8D729C"/>
    <w:rsid w:val="4E8E1C0C"/>
    <w:rsid w:val="4EA5208F"/>
    <w:rsid w:val="4EAE617F"/>
    <w:rsid w:val="4EBD702F"/>
    <w:rsid w:val="4EC818B0"/>
    <w:rsid w:val="4ECB59F9"/>
    <w:rsid w:val="4ECE1CAC"/>
    <w:rsid w:val="4ED35788"/>
    <w:rsid w:val="4ED4505D"/>
    <w:rsid w:val="4ED65662"/>
    <w:rsid w:val="4EE414BB"/>
    <w:rsid w:val="4EFF65C5"/>
    <w:rsid w:val="4F012E1B"/>
    <w:rsid w:val="4F014784"/>
    <w:rsid w:val="4F0431E6"/>
    <w:rsid w:val="4F1D6A04"/>
    <w:rsid w:val="4F254824"/>
    <w:rsid w:val="4F2658BE"/>
    <w:rsid w:val="4F4736A7"/>
    <w:rsid w:val="4F4B17C3"/>
    <w:rsid w:val="4F6463E1"/>
    <w:rsid w:val="4F6E52BD"/>
    <w:rsid w:val="4F73155F"/>
    <w:rsid w:val="4F774C49"/>
    <w:rsid w:val="4F7914EF"/>
    <w:rsid w:val="4F7B372A"/>
    <w:rsid w:val="4F84596C"/>
    <w:rsid w:val="4F9174FD"/>
    <w:rsid w:val="4FAD5FDA"/>
    <w:rsid w:val="4FB10142"/>
    <w:rsid w:val="4FC643B6"/>
    <w:rsid w:val="4FCC21D8"/>
    <w:rsid w:val="4FCE7CFE"/>
    <w:rsid w:val="4FD1578E"/>
    <w:rsid w:val="4FD5476C"/>
    <w:rsid w:val="4FD74E04"/>
    <w:rsid w:val="4FE10E76"/>
    <w:rsid w:val="4FEE2189"/>
    <w:rsid w:val="4FF82FCD"/>
    <w:rsid w:val="500029A1"/>
    <w:rsid w:val="50016856"/>
    <w:rsid w:val="5008518B"/>
    <w:rsid w:val="501A73E7"/>
    <w:rsid w:val="502B6EFE"/>
    <w:rsid w:val="50324E90"/>
    <w:rsid w:val="503D27C7"/>
    <w:rsid w:val="503F0BFC"/>
    <w:rsid w:val="50447FC0"/>
    <w:rsid w:val="504C1B11"/>
    <w:rsid w:val="504F0E3F"/>
    <w:rsid w:val="50593A6B"/>
    <w:rsid w:val="505A5A36"/>
    <w:rsid w:val="505F48A5"/>
    <w:rsid w:val="506472D4"/>
    <w:rsid w:val="50744D49"/>
    <w:rsid w:val="507460A4"/>
    <w:rsid w:val="50924AE3"/>
    <w:rsid w:val="5094445D"/>
    <w:rsid w:val="50962F12"/>
    <w:rsid w:val="509838F7"/>
    <w:rsid w:val="50985DED"/>
    <w:rsid w:val="509F2F94"/>
    <w:rsid w:val="50A2107E"/>
    <w:rsid w:val="50A23A1E"/>
    <w:rsid w:val="50B57EA9"/>
    <w:rsid w:val="50B6453F"/>
    <w:rsid w:val="50BC2B26"/>
    <w:rsid w:val="50BD049E"/>
    <w:rsid w:val="50BD2B55"/>
    <w:rsid w:val="50BE1984"/>
    <w:rsid w:val="50C74763"/>
    <w:rsid w:val="50D141C6"/>
    <w:rsid w:val="50D94FDD"/>
    <w:rsid w:val="50DD6CDA"/>
    <w:rsid w:val="50E0336A"/>
    <w:rsid w:val="50E84DEF"/>
    <w:rsid w:val="50F004EF"/>
    <w:rsid w:val="50F115EA"/>
    <w:rsid w:val="50F72C9C"/>
    <w:rsid w:val="50FC0DB6"/>
    <w:rsid w:val="510944D7"/>
    <w:rsid w:val="510C4F82"/>
    <w:rsid w:val="511F2007"/>
    <w:rsid w:val="51271E2F"/>
    <w:rsid w:val="51342CAA"/>
    <w:rsid w:val="51346287"/>
    <w:rsid w:val="51406A38"/>
    <w:rsid w:val="514829E3"/>
    <w:rsid w:val="514B4E4E"/>
    <w:rsid w:val="514C4574"/>
    <w:rsid w:val="514E10F6"/>
    <w:rsid w:val="516578E1"/>
    <w:rsid w:val="51A27E07"/>
    <w:rsid w:val="51A74130"/>
    <w:rsid w:val="51B475E9"/>
    <w:rsid w:val="51B954BA"/>
    <w:rsid w:val="51BD44CE"/>
    <w:rsid w:val="51CC64BF"/>
    <w:rsid w:val="51D11D27"/>
    <w:rsid w:val="51D135DE"/>
    <w:rsid w:val="51DF2696"/>
    <w:rsid w:val="51F27564"/>
    <w:rsid w:val="51F65295"/>
    <w:rsid w:val="51FD3DB6"/>
    <w:rsid w:val="520143BB"/>
    <w:rsid w:val="520C3BB6"/>
    <w:rsid w:val="520D0FB1"/>
    <w:rsid w:val="521A58B8"/>
    <w:rsid w:val="52252174"/>
    <w:rsid w:val="52295AE6"/>
    <w:rsid w:val="522D0E7F"/>
    <w:rsid w:val="523440C6"/>
    <w:rsid w:val="52376072"/>
    <w:rsid w:val="523E4D62"/>
    <w:rsid w:val="525402A0"/>
    <w:rsid w:val="526A01B2"/>
    <w:rsid w:val="526D006E"/>
    <w:rsid w:val="52856670"/>
    <w:rsid w:val="52BF5C92"/>
    <w:rsid w:val="52C2167A"/>
    <w:rsid w:val="52C33D66"/>
    <w:rsid w:val="52C7794C"/>
    <w:rsid w:val="52C8582B"/>
    <w:rsid w:val="52D279CD"/>
    <w:rsid w:val="52D32ADF"/>
    <w:rsid w:val="52E45ACB"/>
    <w:rsid w:val="52F47AFB"/>
    <w:rsid w:val="53071B37"/>
    <w:rsid w:val="530A5973"/>
    <w:rsid w:val="53122BC2"/>
    <w:rsid w:val="531348FB"/>
    <w:rsid w:val="531A77B9"/>
    <w:rsid w:val="53275D3D"/>
    <w:rsid w:val="53285977"/>
    <w:rsid w:val="533354CF"/>
    <w:rsid w:val="53346B96"/>
    <w:rsid w:val="533D0417"/>
    <w:rsid w:val="535D5DC8"/>
    <w:rsid w:val="53670B95"/>
    <w:rsid w:val="537A5743"/>
    <w:rsid w:val="537B63EF"/>
    <w:rsid w:val="537D2360"/>
    <w:rsid w:val="53811E50"/>
    <w:rsid w:val="53894668"/>
    <w:rsid w:val="53980367"/>
    <w:rsid w:val="53B22465"/>
    <w:rsid w:val="53B72F65"/>
    <w:rsid w:val="53BE3989"/>
    <w:rsid w:val="53C02C55"/>
    <w:rsid w:val="53D77AC9"/>
    <w:rsid w:val="53D83751"/>
    <w:rsid w:val="53E2021C"/>
    <w:rsid w:val="53FD2AC2"/>
    <w:rsid w:val="5409404E"/>
    <w:rsid w:val="54134B75"/>
    <w:rsid w:val="54164746"/>
    <w:rsid w:val="541A1764"/>
    <w:rsid w:val="54224729"/>
    <w:rsid w:val="542E2ADC"/>
    <w:rsid w:val="543341B9"/>
    <w:rsid w:val="543D7AC6"/>
    <w:rsid w:val="544B7F7E"/>
    <w:rsid w:val="54501D22"/>
    <w:rsid w:val="546146EB"/>
    <w:rsid w:val="54680D66"/>
    <w:rsid w:val="54685AA1"/>
    <w:rsid w:val="546B156E"/>
    <w:rsid w:val="54730639"/>
    <w:rsid w:val="547D06FB"/>
    <w:rsid w:val="547D14B1"/>
    <w:rsid w:val="54857DDB"/>
    <w:rsid w:val="548C678B"/>
    <w:rsid w:val="54905199"/>
    <w:rsid w:val="54914216"/>
    <w:rsid w:val="549273A9"/>
    <w:rsid w:val="549405C7"/>
    <w:rsid w:val="549D6C55"/>
    <w:rsid w:val="54A379AB"/>
    <w:rsid w:val="54A520AB"/>
    <w:rsid w:val="54A83213"/>
    <w:rsid w:val="54B17DA0"/>
    <w:rsid w:val="54B24092"/>
    <w:rsid w:val="54DC4C6B"/>
    <w:rsid w:val="54E35FFA"/>
    <w:rsid w:val="54EF7DF9"/>
    <w:rsid w:val="54F2448F"/>
    <w:rsid w:val="550B2DC8"/>
    <w:rsid w:val="5511700B"/>
    <w:rsid w:val="551D59AF"/>
    <w:rsid w:val="552C7AFA"/>
    <w:rsid w:val="55322ADD"/>
    <w:rsid w:val="55344AA7"/>
    <w:rsid w:val="554C32B2"/>
    <w:rsid w:val="55501E76"/>
    <w:rsid w:val="55731E3E"/>
    <w:rsid w:val="557E29D7"/>
    <w:rsid w:val="558C5AE7"/>
    <w:rsid w:val="558F2195"/>
    <w:rsid w:val="55900035"/>
    <w:rsid w:val="55A21A11"/>
    <w:rsid w:val="55AF2380"/>
    <w:rsid w:val="55AF798B"/>
    <w:rsid w:val="55C71477"/>
    <w:rsid w:val="55E31D34"/>
    <w:rsid w:val="55ED4967"/>
    <w:rsid w:val="55F350C4"/>
    <w:rsid w:val="55FD1727"/>
    <w:rsid w:val="55FF6E63"/>
    <w:rsid w:val="561405B9"/>
    <w:rsid w:val="56247722"/>
    <w:rsid w:val="56292132"/>
    <w:rsid w:val="562B64B3"/>
    <w:rsid w:val="56342FDD"/>
    <w:rsid w:val="56467B64"/>
    <w:rsid w:val="565626F9"/>
    <w:rsid w:val="565671A2"/>
    <w:rsid w:val="56685CA8"/>
    <w:rsid w:val="566D0271"/>
    <w:rsid w:val="56725887"/>
    <w:rsid w:val="567315FF"/>
    <w:rsid w:val="56740DC7"/>
    <w:rsid w:val="5677558B"/>
    <w:rsid w:val="56A17F1A"/>
    <w:rsid w:val="56AA3219"/>
    <w:rsid w:val="56B55774"/>
    <w:rsid w:val="56BF4844"/>
    <w:rsid w:val="56CA038E"/>
    <w:rsid w:val="56DE4C00"/>
    <w:rsid w:val="56FB3ACE"/>
    <w:rsid w:val="57034731"/>
    <w:rsid w:val="570847EE"/>
    <w:rsid w:val="573270B5"/>
    <w:rsid w:val="57331689"/>
    <w:rsid w:val="57340D8E"/>
    <w:rsid w:val="573B211D"/>
    <w:rsid w:val="574014E1"/>
    <w:rsid w:val="57443B56"/>
    <w:rsid w:val="575F1390"/>
    <w:rsid w:val="57614844"/>
    <w:rsid w:val="576A00D2"/>
    <w:rsid w:val="576A530D"/>
    <w:rsid w:val="577A000D"/>
    <w:rsid w:val="578429F3"/>
    <w:rsid w:val="57923D07"/>
    <w:rsid w:val="57971A40"/>
    <w:rsid w:val="579E4D2D"/>
    <w:rsid w:val="57A24175"/>
    <w:rsid w:val="57B1634D"/>
    <w:rsid w:val="57B75717"/>
    <w:rsid w:val="57C470D2"/>
    <w:rsid w:val="57C540DC"/>
    <w:rsid w:val="57C77E19"/>
    <w:rsid w:val="57C87729"/>
    <w:rsid w:val="57CA488B"/>
    <w:rsid w:val="57CE5051"/>
    <w:rsid w:val="57DB47FB"/>
    <w:rsid w:val="57E9181D"/>
    <w:rsid w:val="57FD193A"/>
    <w:rsid w:val="58003366"/>
    <w:rsid w:val="580846BB"/>
    <w:rsid w:val="580E5A83"/>
    <w:rsid w:val="5816050F"/>
    <w:rsid w:val="58201313"/>
    <w:rsid w:val="58205F1A"/>
    <w:rsid w:val="582468CD"/>
    <w:rsid w:val="583074F9"/>
    <w:rsid w:val="58360B36"/>
    <w:rsid w:val="583628E4"/>
    <w:rsid w:val="58382B00"/>
    <w:rsid w:val="584C2587"/>
    <w:rsid w:val="585127AA"/>
    <w:rsid w:val="58515970"/>
    <w:rsid w:val="5855720E"/>
    <w:rsid w:val="58603D47"/>
    <w:rsid w:val="586666B0"/>
    <w:rsid w:val="586E702A"/>
    <w:rsid w:val="58951D01"/>
    <w:rsid w:val="589917F1"/>
    <w:rsid w:val="58A61818"/>
    <w:rsid w:val="58BB3CCE"/>
    <w:rsid w:val="58C425E6"/>
    <w:rsid w:val="58C6010C"/>
    <w:rsid w:val="58C63C68"/>
    <w:rsid w:val="58E6430A"/>
    <w:rsid w:val="58ED5699"/>
    <w:rsid w:val="58F261D0"/>
    <w:rsid w:val="59084281"/>
    <w:rsid w:val="590C6A66"/>
    <w:rsid w:val="59125866"/>
    <w:rsid w:val="5915352F"/>
    <w:rsid w:val="59304651"/>
    <w:rsid w:val="593C3382"/>
    <w:rsid w:val="594352B9"/>
    <w:rsid w:val="59466D98"/>
    <w:rsid w:val="594856C1"/>
    <w:rsid w:val="59486EBB"/>
    <w:rsid w:val="59493AFE"/>
    <w:rsid w:val="594C38F9"/>
    <w:rsid w:val="594C4A1E"/>
    <w:rsid w:val="59510615"/>
    <w:rsid w:val="59567838"/>
    <w:rsid w:val="595A7F21"/>
    <w:rsid w:val="595B6AA6"/>
    <w:rsid w:val="59700D18"/>
    <w:rsid w:val="5970491E"/>
    <w:rsid w:val="597304CA"/>
    <w:rsid w:val="59770819"/>
    <w:rsid w:val="597A0373"/>
    <w:rsid w:val="597C290B"/>
    <w:rsid w:val="598803B1"/>
    <w:rsid w:val="5999312B"/>
    <w:rsid w:val="59A5117A"/>
    <w:rsid w:val="59A937D5"/>
    <w:rsid w:val="59B91A1F"/>
    <w:rsid w:val="59C101B4"/>
    <w:rsid w:val="59D923BD"/>
    <w:rsid w:val="59DB746A"/>
    <w:rsid w:val="59F2154E"/>
    <w:rsid w:val="59F82547"/>
    <w:rsid w:val="59F9295E"/>
    <w:rsid w:val="59F9691A"/>
    <w:rsid w:val="5A012975"/>
    <w:rsid w:val="5A032C9A"/>
    <w:rsid w:val="5A097A39"/>
    <w:rsid w:val="5A112448"/>
    <w:rsid w:val="5A1924BD"/>
    <w:rsid w:val="5A1E417A"/>
    <w:rsid w:val="5A2D3B53"/>
    <w:rsid w:val="5A39156C"/>
    <w:rsid w:val="5A3F0176"/>
    <w:rsid w:val="5A4B061B"/>
    <w:rsid w:val="5A560E10"/>
    <w:rsid w:val="5A616802"/>
    <w:rsid w:val="5A6457FD"/>
    <w:rsid w:val="5A645A7F"/>
    <w:rsid w:val="5A6E45B7"/>
    <w:rsid w:val="5A831ACB"/>
    <w:rsid w:val="5A845B3B"/>
    <w:rsid w:val="5A867B53"/>
    <w:rsid w:val="5A873ECB"/>
    <w:rsid w:val="5A8B5169"/>
    <w:rsid w:val="5A934A0F"/>
    <w:rsid w:val="5A957C98"/>
    <w:rsid w:val="5A971D60"/>
    <w:rsid w:val="5A9E6D6F"/>
    <w:rsid w:val="5AA224B3"/>
    <w:rsid w:val="5AA24261"/>
    <w:rsid w:val="5AA955EF"/>
    <w:rsid w:val="5AAD3771"/>
    <w:rsid w:val="5AAD60EA"/>
    <w:rsid w:val="5AB61166"/>
    <w:rsid w:val="5AB61DE0"/>
    <w:rsid w:val="5ACA5CEF"/>
    <w:rsid w:val="5ADC3C17"/>
    <w:rsid w:val="5AF571A2"/>
    <w:rsid w:val="5AF70A51"/>
    <w:rsid w:val="5AF80325"/>
    <w:rsid w:val="5B072DB6"/>
    <w:rsid w:val="5B1C2265"/>
    <w:rsid w:val="5B233465"/>
    <w:rsid w:val="5B24216F"/>
    <w:rsid w:val="5B303F63"/>
    <w:rsid w:val="5B437CDD"/>
    <w:rsid w:val="5B490C9B"/>
    <w:rsid w:val="5B506B61"/>
    <w:rsid w:val="5B5F0F2E"/>
    <w:rsid w:val="5B5F5F31"/>
    <w:rsid w:val="5B61236E"/>
    <w:rsid w:val="5B6A7475"/>
    <w:rsid w:val="5B6B4F9B"/>
    <w:rsid w:val="5B6B796C"/>
    <w:rsid w:val="5B6F30EB"/>
    <w:rsid w:val="5B737973"/>
    <w:rsid w:val="5B7621D4"/>
    <w:rsid w:val="5B914A01"/>
    <w:rsid w:val="5B9808C1"/>
    <w:rsid w:val="5B9C426A"/>
    <w:rsid w:val="5BB10CB2"/>
    <w:rsid w:val="5BC16A09"/>
    <w:rsid w:val="5BD91122"/>
    <w:rsid w:val="5BE417F7"/>
    <w:rsid w:val="5BFD3CD1"/>
    <w:rsid w:val="5C012CC6"/>
    <w:rsid w:val="5C142F3C"/>
    <w:rsid w:val="5C4A2E02"/>
    <w:rsid w:val="5C503DE0"/>
    <w:rsid w:val="5C5435D1"/>
    <w:rsid w:val="5C5C5BA5"/>
    <w:rsid w:val="5C7D6D34"/>
    <w:rsid w:val="5C8C4702"/>
    <w:rsid w:val="5C927ACB"/>
    <w:rsid w:val="5C943DBC"/>
    <w:rsid w:val="5C997625"/>
    <w:rsid w:val="5C9D1184"/>
    <w:rsid w:val="5CA57080"/>
    <w:rsid w:val="5CA77E21"/>
    <w:rsid w:val="5CB7760A"/>
    <w:rsid w:val="5CCD19E5"/>
    <w:rsid w:val="5CE23DAC"/>
    <w:rsid w:val="5CE73917"/>
    <w:rsid w:val="5D0A73AF"/>
    <w:rsid w:val="5D0B433F"/>
    <w:rsid w:val="5D0E312D"/>
    <w:rsid w:val="5D120F26"/>
    <w:rsid w:val="5D123920"/>
    <w:rsid w:val="5D3D64C3"/>
    <w:rsid w:val="5D3E31E9"/>
    <w:rsid w:val="5D436E42"/>
    <w:rsid w:val="5D4C7D5A"/>
    <w:rsid w:val="5D545A7D"/>
    <w:rsid w:val="5D63667B"/>
    <w:rsid w:val="5D6F2EDA"/>
    <w:rsid w:val="5D77338F"/>
    <w:rsid w:val="5D783847"/>
    <w:rsid w:val="5D8B5480"/>
    <w:rsid w:val="5D9941C1"/>
    <w:rsid w:val="5DA92832"/>
    <w:rsid w:val="5DAE502B"/>
    <w:rsid w:val="5DB915F2"/>
    <w:rsid w:val="5DBC60F3"/>
    <w:rsid w:val="5DCA41FA"/>
    <w:rsid w:val="5DCD5E1E"/>
    <w:rsid w:val="5DDA5440"/>
    <w:rsid w:val="5DDD5947"/>
    <w:rsid w:val="5DDF393D"/>
    <w:rsid w:val="5DDF6E4E"/>
    <w:rsid w:val="5DFA49E0"/>
    <w:rsid w:val="5DFC31B0"/>
    <w:rsid w:val="5E0314BA"/>
    <w:rsid w:val="5E033C53"/>
    <w:rsid w:val="5E11349C"/>
    <w:rsid w:val="5E1D0F80"/>
    <w:rsid w:val="5E3261DA"/>
    <w:rsid w:val="5E341674"/>
    <w:rsid w:val="5E4C1080"/>
    <w:rsid w:val="5E4E1C8A"/>
    <w:rsid w:val="5E4E7BBB"/>
    <w:rsid w:val="5E532442"/>
    <w:rsid w:val="5E5D7A78"/>
    <w:rsid w:val="5E736640"/>
    <w:rsid w:val="5E736FCD"/>
    <w:rsid w:val="5E7423B8"/>
    <w:rsid w:val="5E8274BA"/>
    <w:rsid w:val="5E8E347A"/>
    <w:rsid w:val="5E930A90"/>
    <w:rsid w:val="5E960581"/>
    <w:rsid w:val="5E9F11E3"/>
    <w:rsid w:val="5EA53C9A"/>
    <w:rsid w:val="5EAA5DDA"/>
    <w:rsid w:val="5EBC7F37"/>
    <w:rsid w:val="5EBD3D5F"/>
    <w:rsid w:val="5ED36C86"/>
    <w:rsid w:val="5EDA60B0"/>
    <w:rsid w:val="5EE35A57"/>
    <w:rsid w:val="5EFD5F0A"/>
    <w:rsid w:val="5EFF6126"/>
    <w:rsid w:val="5F021772"/>
    <w:rsid w:val="5F13397F"/>
    <w:rsid w:val="5F1645A7"/>
    <w:rsid w:val="5F2636B2"/>
    <w:rsid w:val="5F2C50FF"/>
    <w:rsid w:val="5F50072F"/>
    <w:rsid w:val="5F627459"/>
    <w:rsid w:val="5F6979AC"/>
    <w:rsid w:val="5F6A54DD"/>
    <w:rsid w:val="5F7A39FE"/>
    <w:rsid w:val="5F8108E9"/>
    <w:rsid w:val="5F815969"/>
    <w:rsid w:val="5F887EC9"/>
    <w:rsid w:val="5F893C41"/>
    <w:rsid w:val="5F8B4FA7"/>
    <w:rsid w:val="5F9571F8"/>
    <w:rsid w:val="5F9B72D1"/>
    <w:rsid w:val="5F9C1BC7"/>
    <w:rsid w:val="5FAB005C"/>
    <w:rsid w:val="5FAB0A44"/>
    <w:rsid w:val="5FB34738"/>
    <w:rsid w:val="5FB82D7C"/>
    <w:rsid w:val="5FB83E82"/>
    <w:rsid w:val="5FB95E1C"/>
    <w:rsid w:val="5FBE4BB4"/>
    <w:rsid w:val="5FC25705"/>
    <w:rsid w:val="5FC85F82"/>
    <w:rsid w:val="5FCB3FE5"/>
    <w:rsid w:val="5FE33352"/>
    <w:rsid w:val="5FED772C"/>
    <w:rsid w:val="5FF97EAE"/>
    <w:rsid w:val="600C5381"/>
    <w:rsid w:val="60155C27"/>
    <w:rsid w:val="60162D11"/>
    <w:rsid w:val="601A6070"/>
    <w:rsid w:val="60226F8B"/>
    <w:rsid w:val="6025591D"/>
    <w:rsid w:val="6042276E"/>
    <w:rsid w:val="60477ABF"/>
    <w:rsid w:val="604B06AE"/>
    <w:rsid w:val="60526566"/>
    <w:rsid w:val="60575E97"/>
    <w:rsid w:val="605F72F5"/>
    <w:rsid w:val="6062696C"/>
    <w:rsid w:val="60765F74"/>
    <w:rsid w:val="607F756F"/>
    <w:rsid w:val="60822B6A"/>
    <w:rsid w:val="608D7B10"/>
    <w:rsid w:val="609805E0"/>
    <w:rsid w:val="60982996"/>
    <w:rsid w:val="60C53D01"/>
    <w:rsid w:val="60C9018D"/>
    <w:rsid w:val="60D96503"/>
    <w:rsid w:val="60EC26DA"/>
    <w:rsid w:val="61007F33"/>
    <w:rsid w:val="61012C93"/>
    <w:rsid w:val="61053FC5"/>
    <w:rsid w:val="610C088E"/>
    <w:rsid w:val="6118702B"/>
    <w:rsid w:val="613B0F6B"/>
    <w:rsid w:val="614A03E6"/>
    <w:rsid w:val="61531A50"/>
    <w:rsid w:val="61532201"/>
    <w:rsid w:val="6155027F"/>
    <w:rsid w:val="61572249"/>
    <w:rsid w:val="61651210"/>
    <w:rsid w:val="61666018"/>
    <w:rsid w:val="616B46BB"/>
    <w:rsid w:val="617B6EE4"/>
    <w:rsid w:val="619B5D77"/>
    <w:rsid w:val="619C7C5C"/>
    <w:rsid w:val="61AF3E33"/>
    <w:rsid w:val="61B10243"/>
    <w:rsid w:val="61BB2DD9"/>
    <w:rsid w:val="61C00B2F"/>
    <w:rsid w:val="61C6117D"/>
    <w:rsid w:val="61CC7F6D"/>
    <w:rsid w:val="61DD1B9A"/>
    <w:rsid w:val="61E136F6"/>
    <w:rsid w:val="61F323CC"/>
    <w:rsid w:val="61F4426B"/>
    <w:rsid w:val="61F83805"/>
    <w:rsid w:val="62022776"/>
    <w:rsid w:val="62083BCC"/>
    <w:rsid w:val="620B070F"/>
    <w:rsid w:val="620E0D6B"/>
    <w:rsid w:val="621A2410"/>
    <w:rsid w:val="621C6FEF"/>
    <w:rsid w:val="62256C85"/>
    <w:rsid w:val="6250596E"/>
    <w:rsid w:val="62574D95"/>
    <w:rsid w:val="62586747"/>
    <w:rsid w:val="626C60B7"/>
    <w:rsid w:val="627325F5"/>
    <w:rsid w:val="62746498"/>
    <w:rsid w:val="6280757E"/>
    <w:rsid w:val="6290313E"/>
    <w:rsid w:val="62922E0D"/>
    <w:rsid w:val="62982A5C"/>
    <w:rsid w:val="62A36DC8"/>
    <w:rsid w:val="62A41769"/>
    <w:rsid w:val="62B611F1"/>
    <w:rsid w:val="62B965EC"/>
    <w:rsid w:val="62BE1E54"/>
    <w:rsid w:val="62CB6D60"/>
    <w:rsid w:val="62D00ABF"/>
    <w:rsid w:val="62F154C5"/>
    <w:rsid w:val="62F45876"/>
    <w:rsid w:val="62FD0A5D"/>
    <w:rsid w:val="630831EC"/>
    <w:rsid w:val="63162338"/>
    <w:rsid w:val="63184704"/>
    <w:rsid w:val="632036E4"/>
    <w:rsid w:val="63232EB3"/>
    <w:rsid w:val="63267478"/>
    <w:rsid w:val="632717A7"/>
    <w:rsid w:val="633D315E"/>
    <w:rsid w:val="63466965"/>
    <w:rsid w:val="63517786"/>
    <w:rsid w:val="636724EC"/>
    <w:rsid w:val="636B5B38"/>
    <w:rsid w:val="636C365E"/>
    <w:rsid w:val="636E387A"/>
    <w:rsid w:val="637052D7"/>
    <w:rsid w:val="637F5A87"/>
    <w:rsid w:val="6388739F"/>
    <w:rsid w:val="638931FB"/>
    <w:rsid w:val="63954DAA"/>
    <w:rsid w:val="63A70B3A"/>
    <w:rsid w:val="63A948B2"/>
    <w:rsid w:val="63AB062A"/>
    <w:rsid w:val="63AB1A91"/>
    <w:rsid w:val="63AC6354"/>
    <w:rsid w:val="63B76FCF"/>
    <w:rsid w:val="63C74AA3"/>
    <w:rsid w:val="63C96D02"/>
    <w:rsid w:val="63D47B81"/>
    <w:rsid w:val="63D87748"/>
    <w:rsid w:val="63DE2EEF"/>
    <w:rsid w:val="63E94CAF"/>
    <w:rsid w:val="63F16145"/>
    <w:rsid w:val="64024CFF"/>
    <w:rsid w:val="64156999"/>
    <w:rsid w:val="64177A6E"/>
    <w:rsid w:val="641D22DD"/>
    <w:rsid w:val="64306CAD"/>
    <w:rsid w:val="6445580E"/>
    <w:rsid w:val="644A1BF1"/>
    <w:rsid w:val="645B3151"/>
    <w:rsid w:val="64616F3B"/>
    <w:rsid w:val="646A170C"/>
    <w:rsid w:val="646C6303"/>
    <w:rsid w:val="64701038"/>
    <w:rsid w:val="647629E6"/>
    <w:rsid w:val="647948A0"/>
    <w:rsid w:val="64797A3F"/>
    <w:rsid w:val="64815AEE"/>
    <w:rsid w:val="64874BF3"/>
    <w:rsid w:val="64885DC6"/>
    <w:rsid w:val="648937A8"/>
    <w:rsid w:val="648B1BA9"/>
    <w:rsid w:val="648D0F64"/>
    <w:rsid w:val="649449E8"/>
    <w:rsid w:val="649D5D6D"/>
    <w:rsid w:val="64A101E4"/>
    <w:rsid w:val="64A9391A"/>
    <w:rsid w:val="64B259E8"/>
    <w:rsid w:val="64D77B16"/>
    <w:rsid w:val="64F1465A"/>
    <w:rsid w:val="6501677B"/>
    <w:rsid w:val="650A5434"/>
    <w:rsid w:val="650A75D2"/>
    <w:rsid w:val="651B17E0"/>
    <w:rsid w:val="651E27DC"/>
    <w:rsid w:val="654725D5"/>
    <w:rsid w:val="65570D94"/>
    <w:rsid w:val="65574C16"/>
    <w:rsid w:val="655D3BA6"/>
    <w:rsid w:val="65660CAD"/>
    <w:rsid w:val="656F7088"/>
    <w:rsid w:val="65744A4C"/>
    <w:rsid w:val="657A4758"/>
    <w:rsid w:val="65817895"/>
    <w:rsid w:val="65834ED7"/>
    <w:rsid w:val="658904F7"/>
    <w:rsid w:val="65927DA1"/>
    <w:rsid w:val="6593581A"/>
    <w:rsid w:val="65B7553F"/>
    <w:rsid w:val="65BC5BDE"/>
    <w:rsid w:val="65CC6636"/>
    <w:rsid w:val="65D3678B"/>
    <w:rsid w:val="65DB69B9"/>
    <w:rsid w:val="65E142CF"/>
    <w:rsid w:val="65F16DEF"/>
    <w:rsid w:val="65FF5B93"/>
    <w:rsid w:val="66081715"/>
    <w:rsid w:val="661B00EA"/>
    <w:rsid w:val="661D360B"/>
    <w:rsid w:val="661F4E41"/>
    <w:rsid w:val="662A7F2C"/>
    <w:rsid w:val="664352B9"/>
    <w:rsid w:val="66523C3F"/>
    <w:rsid w:val="665C126F"/>
    <w:rsid w:val="666B1717"/>
    <w:rsid w:val="66776086"/>
    <w:rsid w:val="66805D9E"/>
    <w:rsid w:val="66820F47"/>
    <w:rsid w:val="668A782A"/>
    <w:rsid w:val="669C24AC"/>
    <w:rsid w:val="66A23F66"/>
    <w:rsid w:val="66AC710E"/>
    <w:rsid w:val="66B07CC1"/>
    <w:rsid w:val="66B14B24"/>
    <w:rsid w:val="66B27D18"/>
    <w:rsid w:val="66B912B0"/>
    <w:rsid w:val="66C80429"/>
    <w:rsid w:val="66CD4D5B"/>
    <w:rsid w:val="66D1442C"/>
    <w:rsid w:val="66D47E7F"/>
    <w:rsid w:val="66D64E5B"/>
    <w:rsid w:val="66DD089D"/>
    <w:rsid w:val="66F0016C"/>
    <w:rsid w:val="66FB2BD0"/>
    <w:rsid w:val="66FC2971"/>
    <w:rsid w:val="670008EB"/>
    <w:rsid w:val="67184229"/>
    <w:rsid w:val="671F1859"/>
    <w:rsid w:val="672506F4"/>
    <w:rsid w:val="67262B05"/>
    <w:rsid w:val="674E513F"/>
    <w:rsid w:val="67610E75"/>
    <w:rsid w:val="677178CC"/>
    <w:rsid w:val="677376B1"/>
    <w:rsid w:val="677977BA"/>
    <w:rsid w:val="678966A9"/>
    <w:rsid w:val="6796514D"/>
    <w:rsid w:val="679D31F9"/>
    <w:rsid w:val="679D3BF4"/>
    <w:rsid w:val="67A07D7A"/>
    <w:rsid w:val="67B57CC9"/>
    <w:rsid w:val="67B6759E"/>
    <w:rsid w:val="67E071EA"/>
    <w:rsid w:val="67E20393"/>
    <w:rsid w:val="67EC1211"/>
    <w:rsid w:val="67FA392E"/>
    <w:rsid w:val="67FC4971"/>
    <w:rsid w:val="68150768"/>
    <w:rsid w:val="681F3E12"/>
    <w:rsid w:val="68221BAF"/>
    <w:rsid w:val="682D62D9"/>
    <w:rsid w:val="6837248C"/>
    <w:rsid w:val="683E4ABF"/>
    <w:rsid w:val="68407C19"/>
    <w:rsid w:val="685143BC"/>
    <w:rsid w:val="68542A0A"/>
    <w:rsid w:val="68555008"/>
    <w:rsid w:val="68555296"/>
    <w:rsid w:val="686139AD"/>
    <w:rsid w:val="686C1E80"/>
    <w:rsid w:val="687513EA"/>
    <w:rsid w:val="687B1504"/>
    <w:rsid w:val="689079C3"/>
    <w:rsid w:val="6892679C"/>
    <w:rsid w:val="68945B31"/>
    <w:rsid w:val="689E3C41"/>
    <w:rsid w:val="68C01904"/>
    <w:rsid w:val="68CF0917"/>
    <w:rsid w:val="68D56910"/>
    <w:rsid w:val="68EA05E8"/>
    <w:rsid w:val="68EF70C5"/>
    <w:rsid w:val="68F22D9F"/>
    <w:rsid w:val="69162C86"/>
    <w:rsid w:val="69165641"/>
    <w:rsid w:val="69212D91"/>
    <w:rsid w:val="69214083"/>
    <w:rsid w:val="693B7D5A"/>
    <w:rsid w:val="69456B9A"/>
    <w:rsid w:val="69481344"/>
    <w:rsid w:val="695700E3"/>
    <w:rsid w:val="697C146C"/>
    <w:rsid w:val="6980516E"/>
    <w:rsid w:val="698B51FD"/>
    <w:rsid w:val="69944F4D"/>
    <w:rsid w:val="69960468"/>
    <w:rsid w:val="69A109AD"/>
    <w:rsid w:val="69BF5122"/>
    <w:rsid w:val="69CE55F7"/>
    <w:rsid w:val="69D5796F"/>
    <w:rsid w:val="69DE3A33"/>
    <w:rsid w:val="69F101EA"/>
    <w:rsid w:val="69F448E4"/>
    <w:rsid w:val="6A090874"/>
    <w:rsid w:val="6A0F6D29"/>
    <w:rsid w:val="6A1E4A89"/>
    <w:rsid w:val="6A206086"/>
    <w:rsid w:val="6A333127"/>
    <w:rsid w:val="6A3F0B90"/>
    <w:rsid w:val="6A3F71AB"/>
    <w:rsid w:val="6A407F9F"/>
    <w:rsid w:val="6A4B3FF0"/>
    <w:rsid w:val="6A4D5F32"/>
    <w:rsid w:val="6A4E3ABD"/>
    <w:rsid w:val="6A4F30DD"/>
    <w:rsid w:val="6A5D65D9"/>
    <w:rsid w:val="6A614FD5"/>
    <w:rsid w:val="6A722F0B"/>
    <w:rsid w:val="6A761B9C"/>
    <w:rsid w:val="6A7A4D5B"/>
    <w:rsid w:val="6A7B141D"/>
    <w:rsid w:val="6A8641CC"/>
    <w:rsid w:val="6A881C38"/>
    <w:rsid w:val="6A9F256B"/>
    <w:rsid w:val="6AA47B81"/>
    <w:rsid w:val="6AC034F3"/>
    <w:rsid w:val="6AC92749"/>
    <w:rsid w:val="6AC96987"/>
    <w:rsid w:val="6ACF15BF"/>
    <w:rsid w:val="6AD42C61"/>
    <w:rsid w:val="6AE14092"/>
    <w:rsid w:val="6AEA323D"/>
    <w:rsid w:val="6AF07997"/>
    <w:rsid w:val="6AF5032D"/>
    <w:rsid w:val="6AFB2812"/>
    <w:rsid w:val="6AFF182D"/>
    <w:rsid w:val="6B016D82"/>
    <w:rsid w:val="6B032C8C"/>
    <w:rsid w:val="6B07445D"/>
    <w:rsid w:val="6B0845B4"/>
    <w:rsid w:val="6B120F8F"/>
    <w:rsid w:val="6B264A3A"/>
    <w:rsid w:val="6B3569BE"/>
    <w:rsid w:val="6B3637EA"/>
    <w:rsid w:val="6B3739CD"/>
    <w:rsid w:val="6B3A1CE8"/>
    <w:rsid w:val="6B3E4E41"/>
    <w:rsid w:val="6B4D49EF"/>
    <w:rsid w:val="6B565CD0"/>
    <w:rsid w:val="6B5E2426"/>
    <w:rsid w:val="6B6D4417"/>
    <w:rsid w:val="6B7022D0"/>
    <w:rsid w:val="6B7B5422"/>
    <w:rsid w:val="6B852192"/>
    <w:rsid w:val="6B925A32"/>
    <w:rsid w:val="6B9C4F5E"/>
    <w:rsid w:val="6BA83728"/>
    <w:rsid w:val="6BAC4113"/>
    <w:rsid w:val="6BE02E3B"/>
    <w:rsid w:val="6BE13B5E"/>
    <w:rsid w:val="6BE31674"/>
    <w:rsid w:val="6BE852C7"/>
    <w:rsid w:val="6BE95EA9"/>
    <w:rsid w:val="6BEA6094"/>
    <w:rsid w:val="6BEF4116"/>
    <w:rsid w:val="6C0D76BF"/>
    <w:rsid w:val="6C114575"/>
    <w:rsid w:val="6C184383"/>
    <w:rsid w:val="6C2930DC"/>
    <w:rsid w:val="6C32337D"/>
    <w:rsid w:val="6C3E2214"/>
    <w:rsid w:val="6C467142"/>
    <w:rsid w:val="6C4D48CD"/>
    <w:rsid w:val="6C5A499B"/>
    <w:rsid w:val="6C635F46"/>
    <w:rsid w:val="6C7C0DB6"/>
    <w:rsid w:val="6C8202CD"/>
    <w:rsid w:val="6C875645"/>
    <w:rsid w:val="6C89702F"/>
    <w:rsid w:val="6C961621"/>
    <w:rsid w:val="6C9D5038"/>
    <w:rsid w:val="6CB26586"/>
    <w:rsid w:val="6CBB7DE1"/>
    <w:rsid w:val="6CC445CB"/>
    <w:rsid w:val="6CD042ED"/>
    <w:rsid w:val="6CDA3273"/>
    <w:rsid w:val="6CDF30F3"/>
    <w:rsid w:val="6CE54BAD"/>
    <w:rsid w:val="6CF01775"/>
    <w:rsid w:val="6CFB62C0"/>
    <w:rsid w:val="6D026DE8"/>
    <w:rsid w:val="6D0316B2"/>
    <w:rsid w:val="6D0E1321"/>
    <w:rsid w:val="6D104BE0"/>
    <w:rsid w:val="6D10513E"/>
    <w:rsid w:val="6D132371"/>
    <w:rsid w:val="6D1B450F"/>
    <w:rsid w:val="6D396CA7"/>
    <w:rsid w:val="6D3E250F"/>
    <w:rsid w:val="6D3F3B91"/>
    <w:rsid w:val="6D487B73"/>
    <w:rsid w:val="6D4B1E5A"/>
    <w:rsid w:val="6D4F63E5"/>
    <w:rsid w:val="6D5E70E9"/>
    <w:rsid w:val="6D6729D8"/>
    <w:rsid w:val="6D6E09F2"/>
    <w:rsid w:val="6D71561E"/>
    <w:rsid w:val="6D793547"/>
    <w:rsid w:val="6D852386"/>
    <w:rsid w:val="6D887DB6"/>
    <w:rsid w:val="6D920165"/>
    <w:rsid w:val="6DAC56CB"/>
    <w:rsid w:val="6DAE4919"/>
    <w:rsid w:val="6DAF51BB"/>
    <w:rsid w:val="6DBD67AE"/>
    <w:rsid w:val="6DDD7632"/>
    <w:rsid w:val="6DDE1B84"/>
    <w:rsid w:val="6DF453C2"/>
    <w:rsid w:val="6E3363CE"/>
    <w:rsid w:val="6E3C316F"/>
    <w:rsid w:val="6E456275"/>
    <w:rsid w:val="6E475DDD"/>
    <w:rsid w:val="6E4E1C3F"/>
    <w:rsid w:val="6E4E36BD"/>
    <w:rsid w:val="6E4E6782"/>
    <w:rsid w:val="6E6127F4"/>
    <w:rsid w:val="6E62222D"/>
    <w:rsid w:val="6E631ECC"/>
    <w:rsid w:val="6E697118"/>
    <w:rsid w:val="6E7206C2"/>
    <w:rsid w:val="6E755ABD"/>
    <w:rsid w:val="6E7A0642"/>
    <w:rsid w:val="6E8563B9"/>
    <w:rsid w:val="6E880670"/>
    <w:rsid w:val="6EBD7D11"/>
    <w:rsid w:val="6EC002E5"/>
    <w:rsid w:val="6EC46A44"/>
    <w:rsid w:val="6EC64ECD"/>
    <w:rsid w:val="6ECD2CED"/>
    <w:rsid w:val="6ED66BFA"/>
    <w:rsid w:val="6ED722D3"/>
    <w:rsid w:val="6EE1422E"/>
    <w:rsid w:val="6F1743AC"/>
    <w:rsid w:val="6F2B4C6D"/>
    <w:rsid w:val="6F433E0D"/>
    <w:rsid w:val="6F5C1867"/>
    <w:rsid w:val="6F5C3F48"/>
    <w:rsid w:val="6F60676D"/>
    <w:rsid w:val="6F61462B"/>
    <w:rsid w:val="6F6D6714"/>
    <w:rsid w:val="6F841802"/>
    <w:rsid w:val="6F9C2017"/>
    <w:rsid w:val="6F9F13EF"/>
    <w:rsid w:val="6FAB550E"/>
    <w:rsid w:val="6FB62831"/>
    <w:rsid w:val="6FC2450B"/>
    <w:rsid w:val="6FC36CFC"/>
    <w:rsid w:val="6FCA64CD"/>
    <w:rsid w:val="6FCF744E"/>
    <w:rsid w:val="6FDD600F"/>
    <w:rsid w:val="6FE112C4"/>
    <w:rsid w:val="6FE9448A"/>
    <w:rsid w:val="6FF069FB"/>
    <w:rsid w:val="6FFB0619"/>
    <w:rsid w:val="6FFD7D02"/>
    <w:rsid w:val="70020E6A"/>
    <w:rsid w:val="700A0487"/>
    <w:rsid w:val="70160472"/>
    <w:rsid w:val="701A60AC"/>
    <w:rsid w:val="701A70E6"/>
    <w:rsid w:val="702149D3"/>
    <w:rsid w:val="7021684B"/>
    <w:rsid w:val="70217D0F"/>
    <w:rsid w:val="703674CE"/>
    <w:rsid w:val="7056241A"/>
    <w:rsid w:val="70613296"/>
    <w:rsid w:val="70707AA0"/>
    <w:rsid w:val="707B2CB1"/>
    <w:rsid w:val="707B3132"/>
    <w:rsid w:val="70952588"/>
    <w:rsid w:val="709669EB"/>
    <w:rsid w:val="709F1517"/>
    <w:rsid w:val="70A02B99"/>
    <w:rsid w:val="70A34833"/>
    <w:rsid w:val="70A43D4A"/>
    <w:rsid w:val="70BE0CFD"/>
    <w:rsid w:val="70D34D1C"/>
    <w:rsid w:val="70D56048"/>
    <w:rsid w:val="70DA3248"/>
    <w:rsid w:val="70EB67C6"/>
    <w:rsid w:val="70F33611"/>
    <w:rsid w:val="71025602"/>
    <w:rsid w:val="71027F8C"/>
    <w:rsid w:val="71145A61"/>
    <w:rsid w:val="71155335"/>
    <w:rsid w:val="711772FF"/>
    <w:rsid w:val="7117773C"/>
    <w:rsid w:val="712A4901"/>
    <w:rsid w:val="712B0F99"/>
    <w:rsid w:val="712D744C"/>
    <w:rsid w:val="71357785"/>
    <w:rsid w:val="71391F94"/>
    <w:rsid w:val="714479C8"/>
    <w:rsid w:val="714B51FB"/>
    <w:rsid w:val="715C7408"/>
    <w:rsid w:val="715D7335"/>
    <w:rsid w:val="71705DEE"/>
    <w:rsid w:val="717159EA"/>
    <w:rsid w:val="71763E5A"/>
    <w:rsid w:val="71777D9E"/>
    <w:rsid w:val="71777F8A"/>
    <w:rsid w:val="71810C1C"/>
    <w:rsid w:val="7185070D"/>
    <w:rsid w:val="719340CC"/>
    <w:rsid w:val="71950224"/>
    <w:rsid w:val="71A36DE5"/>
    <w:rsid w:val="71A412EF"/>
    <w:rsid w:val="71B106B0"/>
    <w:rsid w:val="71B61A42"/>
    <w:rsid w:val="71B66B18"/>
    <w:rsid w:val="71BB267E"/>
    <w:rsid w:val="71C32243"/>
    <w:rsid w:val="71D94178"/>
    <w:rsid w:val="71E258E0"/>
    <w:rsid w:val="71E450CA"/>
    <w:rsid w:val="71EA7F5E"/>
    <w:rsid w:val="71EC42E8"/>
    <w:rsid w:val="71F435DD"/>
    <w:rsid w:val="71F773F9"/>
    <w:rsid w:val="720723CB"/>
    <w:rsid w:val="720C22D7"/>
    <w:rsid w:val="72137E38"/>
    <w:rsid w:val="721F7D69"/>
    <w:rsid w:val="7225336C"/>
    <w:rsid w:val="722C5F6E"/>
    <w:rsid w:val="724B68D9"/>
    <w:rsid w:val="725400DF"/>
    <w:rsid w:val="725E62FA"/>
    <w:rsid w:val="72860473"/>
    <w:rsid w:val="728C686A"/>
    <w:rsid w:val="7299364D"/>
    <w:rsid w:val="72AB41A3"/>
    <w:rsid w:val="72B03567"/>
    <w:rsid w:val="72BD3ED6"/>
    <w:rsid w:val="72C16C93"/>
    <w:rsid w:val="72C708F5"/>
    <w:rsid w:val="72D66A82"/>
    <w:rsid w:val="72D67597"/>
    <w:rsid w:val="72E2393D"/>
    <w:rsid w:val="72E43D31"/>
    <w:rsid w:val="72EE22E1"/>
    <w:rsid w:val="72FF6E9B"/>
    <w:rsid w:val="73025D8D"/>
    <w:rsid w:val="73027148"/>
    <w:rsid w:val="7305147C"/>
    <w:rsid w:val="731A30F8"/>
    <w:rsid w:val="733777E5"/>
    <w:rsid w:val="733A7EE8"/>
    <w:rsid w:val="73520AC2"/>
    <w:rsid w:val="735A55D3"/>
    <w:rsid w:val="73621B80"/>
    <w:rsid w:val="736305DA"/>
    <w:rsid w:val="7375174D"/>
    <w:rsid w:val="73795D83"/>
    <w:rsid w:val="73850D73"/>
    <w:rsid w:val="738B56FD"/>
    <w:rsid w:val="739F2E93"/>
    <w:rsid w:val="739F35DC"/>
    <w:rsid w:val="73A60FE9"/>
    <w:rsid w:val="73C06788"/>
    <w:rsid w:val="73DC213A"/>
    <w:rsid w:val="73DE1B70"/>
    <w:rsid w:val="73E22FE9"/>
    <w:rsid w:val="73FC458A"/>
    <w:rsid w:val="74001F87"/>
    <w:rsid w:val="74073A63"/>
    <w:rsid w:val="741378E4"/>
    <w:rsid w:val="741B0EB4"/>
    <w:rsid w:val="741D2E7E"/>
    <w:rsid w:val="741E09A4"/>
    <w:rsid w:val="743138C9"/>
    <w:rsid w:val="743401C8"/>
    <w:rsid w:val="74432CA1"/>
    <w:rsid w:val="74454183"/>
    <w:rsid w:val="74493C73"/>
    <w:rsid w:val="74497E8D"/>
    <w:rsid w:val="744F70D5"/>
    <w:rsid w:val="7468055C"/>
    <w:rsid w:val="746B1062"/>
    <w:rsid w:val="74957A1D"/>
    <w:rsid w:val="74976F8C"/>
    <w:rsid w:val="749C28D6"/>
    <w:rsid w:val="74A335AC"/>
    <w:rsid w:val="74A466A3"/>
    <w:rsid w:val="74AB66DC"/>
    <w:rsid w:val="74AC2DBE"/>
    <w:rsid w:val="74B4279D"/>
    <w:rsid w:val="74C57CD7"/>
    <w:rsid w:val="74C959EF"/>
    <w:rsid w:val="74D226D8"/>
    <w:rsid w:val="74D951DD"/>
    <w:rsid w:val="74DB2B99"/>
    <w:rsid w:val="74DE3355"/>
    <w:rsid w:val="74E47465"/>
    <w:rsid w:val="74EC53F9"/>
    <w:rsid w:val="74F273DA"/>
    <w:rsid w:val="74F600B5"/>
    <w:rsid w:val="74F6722B"/>
    <w:rsid w:val="750958EA"/>
    <w:rsid w:val="75102AF5"/>
    <w:rsid w:val="751328C1"/>
    <w:rsid w:val="751955D7"/>
    <w:rsid w:val="751C1B98"/>
    <w:rsid w:val="752B3379"/>
    <w:rsid w:val="753F1C14"/>
    <w:rsid w:val="754B45FC"/>
    <w:rsid w:val="754C4FE3"/>
    <w:rsid w:val="754D6952"/>
    <w:rsid w:val="755723C0"/>
    <w:rsid w:val="755D3FA7"/>
    <w:rsid w:val="75662603"/>
    <w:rsid w:val="757047DD"/>
    <w:rsid w:val="75780005"/>
    <w:rsid w:val="75790588"/>
    <w:rsid w:val="75816270"/>
    <w:rsid w:val="75A650F5"/>
    <w:rsid w:val="75B23A9A"/>
    <w:rsid w:val="75BA7DC9"/>
    <w:rsid w:val="75BC09DA"/>
    <w:rsid w:val="75C158E1"/>
    <w:rsid w:val="75D752AF"/>
    <w:rsid w:val="75F8173D"/>
    <w:rsid w:val="75FB13BD"/>
    <w:rsid w:val="75FE15A4"/>
    <w:rsid w:val="76087EFE"/>
    <w:rsid w:val="76120095"/>
    <w:rsid w:val="761756AB"/>
    <w:rsid w:val="76277FE4"/>
    <w:rsid w:val="762F3987"/>
    <w:rsid w:val="762F4303"/>
    <w:rsid w:val="763146BA"/>
    <w:rsid w:val="763C17CD"/>
    <w:rsid w:val="763E0E8A"/>
    <w:rsid w:val="764F753B"/>
    <w:rsid w:val="7651209F"/>
    <w:rsid w:val="76625186"/>
    <w:rsid w:val="76694515"/>
    <w:rsid w:val="7671183A"/>
    <w:rsid w:val="76795A9A"/>
    <w:rsid w:val="76850BE3"/>
    <w:rsid w:val="76853091"/>
    <w:rsid w:val="768E7AAD"/>
    <w:rsid w:val="769D37DC"/>
    <w:rsid w:val="76A01B45"/>
    <w:rsid w:val="76AD1FDF"/>
    <w:rsid w:val="76AF483A"/>
    <w:rsid w:val="76C021E7"/>
    <w:rsid w:val="76C61386"/>
    <w:rsid w:val="76CC46E8"/>
    <w:rsid w:val="76D56664"/>
    <w:rsid w:val="76DB0DCF"/>
    <w:rsid w:val="76DF1C08"/>
    <w:rsid w:val="76E81AE6"/>
    <w:rsid w:val="77075720"/>
    <w:rsid w:val="770802F0"/>
    <w:rsid w:val="771025D4"/>
    <w:rsid w:val="77131639"/>
    <w:rsid w:val="771816DB"/>
    <w:rsid w:val="77196438"/>
    <w:rsid w:val="77237002"/>
    <w:rsid w:val="77326AF1"/>
    <w:rsid w:val="77342D6F"/>
    <w:rsid w:val="77383B2B"/>
    <w:rsid w:val="773B467C"/>
    <w:rsid w:val="774D3A7A"/>
    <w:rsid w:val="775B5775"/>
    <w:rsid w:val="775E0D1F"/>
    <w:rsid w:val="776655B0"/>
    <w:rsid w:val="77672B54"/>
    <w:rsid w:val="77794B8C"/>
    <w:rsid w:val="777B5097"/>
    <w:rsid w:val="777E00C3"/>
    <w:rsid w:val="777E55F4"/>
    <w:rsid w:val="77820DEB"/>
    <w:rsid w:val="7792671F"/>
    <w:rsid w:val="7797445D"/>
    <w:rsid w:val="77986D62"/>
    <w:rsid w:val="779B2CD1"/>
    <w:rsid w:val="77A015C8"/>
    <w:rsid w:val="77A836A9"/>
    <w:rsid w:val="77A92E90"/>
    <w:rsid w:val="77B15DA9"/>
    <w:rsid w:val="77B21B30"/>
    <w:rsid w:val="77B358A8"/>
    <w:rsid w:val="77B650A0"/>
    <w:rsid w:val="77B8724A"/>
    <w:rsid w:val="77CE0481"/>
    <w:rsid w:val="77D25D2E"/>
    <w:rsid w:val="77E141C3"/>
    <w:rsid w:val="77EC7456"/>
    <w:rsid w:val="77EE7D89"/>
    <w:rsid w:val="77EF0483"/>
    <w:rsid w:val="77F9150C"/>
    <w:rsid w:val="78094BF6"/>
    <w:rsid w:val="780D6D66"/>
    <w:rsid w:val="78131205"/>
    <w:rsid w:val="78177BE5"/>
    <w:rsid w:val="781911C5"/>
    <w:rsid w:val="781A279F"/>
    <w:rsid w:val="782F5811"/>
    <w:rsid w:val="78384A59"/>
    <w:rsid w:val="78393FFF"/>
    <w:rsid w:val="783B343E"/>
    <w:rsid w:val="784A2663"/>
    <w:rsid w:val="784A43B3"/>
    <w:rsid w:val="784A620C"/>
    <w:rsid w:val="785030F6"/>
    <w:rsid w:val="78581051"/>
    <w:rsid w:val="786228CD"/>
    <w:rsid w:val="786678A8"/>
    <w:rsid w:val="786F0FB8"/>
    <w:rsid w:val="78714DF4"/>
    <w:rsid w:val="78756296"/>
    <w:rsid w:val="7882338A"/>
    <w:rsid w:val="78911745"/>
    <w:rsid w:val="789C633C"/>
    <w:rsid w:val="78A91184"/>
    <w:rsid w:val="78B20233"/>
    <w:rsid w:val="78B47B29"/>
    <w:rsid w:val="78B813C8"/>
    <w:rsid w:val="78CC6C21"/>
    <w:rsid w:val="78CF4963"/>
    <w:rsid w:val="78D81857"/>
    <w:rsid w:val="78E74845"/>
    <w:rsid w:val="78FC0536"/>
    <w:rsid w:val="78FE7954"/>
    <w:rsid w:val="7903264F"/>
    <w:rsid w:val="79150CBA"/>
    <w:rsid w:val="79297BCF"/>
    <w:rsid w:val="79315979"/>
    <w:rsid w:val="793B6981"/>
    <w:rsid w:val="795831E5"/>
    <w:rsid w:val="7967694A"/>
    <w:rsid w:val="796E7E54"/>
    <w:rsid w:val="79756315"/>
    <w:rsid w:val="79765CDA"/>
    <w:rsid w:val="799040F2"/>
    <w:rsid w:val="79A47621"/>
    <w:rsid w:val="79AA18D2"/>
    <w:rsid w:val="79AD6A52"/>
    <w:rsid w:val="79B64688"/>
    <w:rsid w:val="79BD6141"/>
    <w:rsid w:val="79C56A19"/>
    <w:rsid w:val="79C842E0"/>
    <w:rsid w:val="79C8563A"/>
    <w:rsid w:val="79CD4C69"/>
    <w:rsid w:val="79D957CA"/>
    <w:rsid w:val="79DA621C"/>
    <w:rsid w:val="79DA711C"/>
    <w:rsid w:val="79E13BA8"/>
    <w:rsid w:val="79ED729C"/>
    <w:rsid w:val="7A0A78E3"/>
    <w:rsid w:val="7A1211D1"/>
    <w:rsid w:val="7A311FA1"/>
    <w:rsid w:val="7A364577"/>
    <w:rsid w:val="7A450F4C"/>
    <w:rsid w:val="7A5151BE"/>
    <w:rsid w:val="7A54735F"/>
    <w:rsid w:val="7A681FA7"/>
    <w:rsid w:val="7A6963D8"/>
    <w:rsid w:val="7A884DCA"/>
    <w:rsid w:val="7A9F1D9B"/>
    <w:rsid w:val="7AA21823"/>
    <w:rsid w:val="7AA7070E"/>
    <w:rsid w:val="7AA900DE"/>
    <w:rsid w:val="7AA936C9"/>
    <w:rsid w:val="7AB12D4C"/>
    <w:rsid w:val="7AB4796D"/>
    <w:rsid w:val="7AC450ED"/>
    <w:rsid w:val="7ACA7190"/>
    <w:rsid w:val="7ACE224D"/>
    <w:rsid w:val="7AD37F76"/>
    <w:rsid w:val="7AEE4FAA"/>
    <w:rsid w:val="7AF771AA"/>
    <w:rsid w:val="7B05641A"/>
    <w:rsid w:val="7B0F7299"/>
    <w:rsid w:val="7B1448AF"/>
    <w:rsid w:val="7B16480F"/>
    <w:rsid w:val="7B190BA4"/>
    <w:rsid w:val="7B2A3951"/>
    <w:rsid w:val="7B36137C"/>
    <w:rsid w:val="7B38234C"/>
    <w:rsid w:val="7B3A4E9F"/>
    <w:rsid w:val="7B615D46"/>
    <w:rsid w:val="7B6F5B5B"/>
    <w:rsid w:val="7B7415FA"/>
    <w:rsid w:val="7B765886"/>
    <w:rsid w:val="7B767496"/>
    <w:rsid w:val="7B7C4D25"/>
    <w:rsid w:val="7B7D4202"/>
    <w:rsid w:val="7B7F3871"/>
    <w:rsid w:val="7B893C25"/>
    <w:rsid w:val="7B8B5C40"/>
    <w:rsid w:val="7B90640C"/>
    <w:rsid w:val="7B922E29"/>
    <w:rsid w:val="7B98728E"/>
    <w:rsid w:val="7B9C6D7F"/>
    <w:rsid w:val="7BC24F1F"/>
    <w:rsid w:val="7BD31291"/>
    <w:rsid w:val="7BD94735"/>
    <w:rsid w:val="7BE23EB3"/>
    <w:rsid w:val="7BE81FC4"/>
    <w:rsid w:val="7BFA1CF7"/>
    <w:rsid w:val="7C0861C2"/>
    <w:rsid w:val="7C0F4B17"/>
    <w:rsid w:val="7C26489A"/>
    <w:rsid w:val="7C397E67"/>
    <w:rsid w:val="7C3A2FA7"/>
    <w:rsid w:val="7C5840BF"/>
    <w:rsid w:val="7C5E4034"/>
    <w:rsid w:val="7C9909ED"/>
    <w:rsid w:val="7C9C2291"/>
    <w:rsid w:val="7CA27D9F"/>
    <w:rsid w:val="7CA56991"/>
    <w:rsid w:val="7CA71E0B"/>
    <w:rsid w:val="7CB85E09"/>
    <w:rsid w:val="7CBB1486"/>
    <w:rsid w:val="7CC0084B"/>
    <w:rsid w:val="7CC548D0"/>
    <w:rsid w:val="7CCE2197"/>
    <w:rsid w:val="7CCF13DD"/>
    <w:rsid w:val="7CD15C25"/>
    <w:rsid w:val="7CE46978"/>
    <w:rsid w:val="7CE81B50"/>
    <w:rsid w:val="7CF0254C"/>
    <w:rsid w:val="7CFA743F"/>
    <w:rsid w:val="7CFD713B"/>
    <w:rsid w:val="7CFE3A42"/>
    <w:rsid w:val="7CFF1519"/>
    <w:rsid w:val="7D036A82"/>
    <w:rsid w:val="7D0830DF"/>
    <w:rsid w:val="7D0F508E"/>
    <w:rsid w:val="7D17450A"/>
    <w:rsid w:val="7D1F60A0"/>
    <w:rsid w:val="7D20753B"/>
    <w:rsid w:val="7D2B7EDD"/>
    <w:rsid w:val="7D2D7769"/>
    <w:rsid w:val="7D342FE7"/>
    <w:rsid w:val="7D387BFF"/>
    <w:rsid w:val="7D3F099E"/>
    <w:rsid w:val="7D4B01E2"/>
    <w:rsid w:val="7D533A52"/>
    <w:rsid w:val="7D5B43D0"/>
    <w:rsid w:val="7D5E0064"/>
    <w:rsid w:val="7D6243C6"/>
    <w:rsid w:val="7D76523E"/>
    <w:rsid w:val="7D781E69"/>
    <w:rsid w:val="7D7B5075"/>
    <w:rsid w:val="7D800975"/>
    <w:rsid w:val="7D832173"/>
    <w:rsid w:val="7D8950E1"/>
    <w:rsid w:val="7D8A3C14"/>
    <w:rsid w:val="7D8C5B06"/>
    <w:rsid w:val="7D934401"/>
    <w:rsid w:val="7D94262F"/>
    <w:rsid w:val="7D953960"/>
    <w:rsid w:val="7D9579CF"/>
    <w:rsid w:val="7D961406"/>
    <w:rsid w:val="7DA02A62"/>
    <w:rsid w:val="7DB83C18"/>
    <w:rsid w:val="7DC17FCF"/>
    <w:rsid w:val="7DC46FFD"/>
    <w:rsid w:val="7DCB394B"/>
    <w:rsid w:val="7DE069AC"/>
    <w:rsid w:val="7DFF0E02"/>
    <w:rsid w:val="7E070C8C"/>
    <w:rsid w:val="7E0C521E"/>
    <w:rsid w:val="7E0E7E19"/>
    <w:rsid w:val="7E1840CC"/>
    <w:rsid w:val="7E1964D0"/>
    <w:rsid w:val="7E303249"/>
    <w:rsid w:val="7E37760E"/>
    <w:rsid w:val="7E4C5F6D"/>
    <w:rsid w:val="7E555123"/>
    <w:rsid w:val="7E557656"/>
    <w:rsid w:val="7E6416AA"/>
    <w:rsid w:val="7E844BCE"/>
    <w:rsid w:val="7E8D660B"/>
    <w:rsid w:val="7E8E211D"/>
    <w:rsid w:val="7E992085"/>
    <w:rsid w:val="7EAA127C"/>
    <w:rsid w:val="7EB47F46"/>
    <w:rsid w:val="7EB94600"/>
    <w:rsid w:val="7ECF7C45"/>
    <w:rsid w:val="7ED82860"/>
    <w:rsid w:val="7EDC7492"/>
    <w:rsid w:val="7EE051D4"/>
    <w:rsid w:val="7EE34CC4"/>
    <w:rsid w:val="7EE34DA7"/>
    <w:rsid w:val="7EF251F3"/>
    <w:rsid w:val="7EF45DB1"/>
    <w:rsid w:val="7EFD2358"/>
    <w:rsid w:val="7EFE2453"/>
    <w:rsid w:val="7EFF5324"/>
    <w:rsid w:val="7F03165A"/>
    <w:rsid w:val="7F077A20"/>
    <w:rsid w:val="7F077BC2"/>
    <w:rsid w:val="7F09267A"/>
    <w:rsid w:val="7F0A04A3"/>
    <w:rsid w:val="7F2A644F"/>
    <w:rsid w:val="7F2B23E6"/>
    <w:rsid w:val="7F2B4123"/>
    <w:rsid w:val="7F314142"/>
    <w:rsid w:val="7F3426C9"/>
    <w:rsid w:val="7F394D98"/>
    <w:rsid w:val="7F3E0944"/>
    <w:rsid w:val="7F3E5DC7"/>
    <w:rsid w:val="7F4C3E66"/>
    <w:rsid w:val="7F5C2ED4"/>
    <w:rsid w:val="7F5D2D05"/>
    <w:rsid w:val="7F7A3A4D"/>
    <w:rsid w:val="7F8A3D01"/>
    <w:rsid w:val="7F8C2C66"/>
    <w:rsid w:val="7F983D01"/>
    <w:rsid w:val="7F9C4EBD"/>
    <w:rsid w:val="7FA06711"/>
    <w:rsid w:val="7FAD310E"/>
    <w:rsid w:val="7FBA3C77"/>
    <w:rsid w:val="7FC97C6A"/>
    <w:rsid w:val="7FCD6742"/>
    <w:rsid w:val="7FE40CF4"/>
    <w:rsid w:val="7FE546A7"/>
    <w:rsid w:val="7FE864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qFormat="1" w:unhideWhenUsed="0" w:uiPriority="99" w:semiHidden="0" w:name="table of figures"/>
    <w:lsdException w:uiPriority="99" w:name="envelope address" w:locked="1"/>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autoRedefine/>
    <w:qFormat/>
    <w:uiPriority w:val="99"/>
    <w:pPr>
      <w:keepNext/>
      <w:keepLines/>
      <w:spacing w:line="440" w:lineRule="exact"/>
      <w:jc w:val="center"/>
      <w:outlineLvl w:val="0"/>
    </w:pPr>
    <w:rPr>
      <w:b/>
      <w:bCs/>
      <w:kern w:val="44"/>
      <w:sz w:val="44"/>
      <w:szCs w:val="44"/>
    </w:rPr>
  </w:style>
  <w:style w:type="paragraph" w:styleId="3">
    <w:name w:val="heading 2"/>
    <w:basedOn w:val="1"/>
    <w:next w:val="1"/>
    <w:link w:val="66"/>
    <w:autoRedefine/>
    <w:qFormat/>
    <w:uiPriority w:val="99"/>
    <w:pPr>
      <w:keepNext/>
      <w:keepLines/>
      <w:spacing w:line="440" w:lineRule="exact"/>
      <w:jc w:val="left"/>
      <w:outlineLvl w:val="1"/>
    </w:pPr>
    <w:rPr>
      <w:rFonts w:ascii="Arial" w:hAnsi="Arial" w:eastAsia="黑体"/>
      <w:b/>
      <w:bCs/>
      <w:szCs w:val="32"/>
    </w:rPr>
  </w:style>
  <w:style w:type="paragraph" w:styleId="4">
    <w:name w:val="heading 3"/>
    <w:basedOn w:val="1"/>
    <w:next w:val="1"/>
    <w:link w:val="67"/>
    <w:autoRedefine/>
    <w:qFormat/>
    <w:uiPriority w:val="99"/>
    <w:pPr>
      <w:keepNext/>
      <w:keepLines/>
      <w:spacing w:line="415" w:lineRule="auto"/>
      <w:outlineLvl w:val="2"/>
    </w:pPr>
    <w:rPr>
      <w:b/>
      <w:bCs/>
      <w:kern w:val="0"/>
      <w:sz w:val="32"/>
      <w:szCs w:val="32"/>
    </w:rPr>
  </w:style>
  <w:style w:type="paragraph" w:styleId="5">
    <w:name w:val="heading 4"/>
    <w:basedOn w:val="1"/>
    <w:next w:val="1"/>
    <w:link w:val="68"/>
    <w:autoRedefine/>
    <w:qFormat/>
    <w:uiPriority w:val="99"/>
    <w:pPr>
      <w:keepNext/>
      <w:keepLines/>
      <w:spacing w:line="374" w:lineRule="auto"/>
      <w:outlineLvl w:val="3"/>
    </w:pPr>
    <w:rPr>
      <w:rFonts w:ascii="Arial" w:hAnsi="Arial" w:eastAsia="黑体"/>
      <w:b/>
      <w:bCs/>
      <w:sz w:val="28"/>
      <w:szCs w:val="28"/>
    </w:rPr>
  </w:style>
  <w:style w:type="paragraph" w:styleId="6">
    <w:name w:val="heading 5"/>
    <w:basedOn w:val="1"/>
    <w:next w:val="1"/>
    <w:link w:val="69"/>
    <w:autoRedefine/>
    <w:qFormat/>
    <w:uiPriority w:val="99"/>
    <w:pPr>
      <w:keepNext/>
      <w:keepLines/>
      <w:spacing w:line="376" w:lineRule="auto"/>
      <w:outlineLvl w:val="4"/>
    </w:pPr>
    <w:rPr>
      <w:b/>
      <w:bCs/>
      <w:sz w:val="28"/>
      <w:szCs w:val="28"/>
    </w:rPr>
  </w:style>
  <w:style w:type="paragraph" w:styleId="7">
    <w:name w:val="heading 6"/>
    <w:basedOn w:val="1"/>
    <w:next w:val="1"/>
    <w:link w:val="70"/>
    <w:autoRedefine/>
    <w:qFormat/>
    <w:uiPriority w:val="99"/>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71"/>
    <w:autoRedefine/>
    <w:qFormat/>
    <w:uiPriority w:val="99"/>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72"/>
    <w:autoRedefine/>
    <w:qFormat/>
    <w:uiPriority w:val="99"/>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73"/>
    <w:autoRedefine/>
    <w:qFormat/>
    <w:uiPriority w:val="99"/>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7">
    <w:name w:val="Default Paragraph Font"/>
    <w:autoRedefine/>
    <w:semiHidden/>
    <w:qFormat/>
    <w:uiPriority w:val="99"/>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99"/>
    <w:pPr>
      <w:ind w:left="1260"/>
      <w:jc w:val="left"/>
    </w:pPr>
    <w:rPr>
      <w:sz w:val="18"/>
      <w:szCs w:val="18"/>
    </w:rPr>
  </w:style>
  <w:style w:type="paragraph" w:styleId="12">
    <w:name w:val="Normal Indent"/>
    <w:basedOn w:val="1"/>
    <w:autoRedefine/>
    <w:qFormat/>
    <w:uiPriority w:val="99"/>
    <w:pPr>
      <w:ind w:firstLine="420" w:firstLineChars="200"/>
    </w:pPr>
  </w:style>
  <w:style w:type="paragraph" w:styleId="13">
    <w:name w:val="Document Map"/>
    <w:basedOn w:val="1"/>
    <w:link w:val="76"/>
    <w:autoRedefine/>
    <w:qFormat/>
    <w:uiPriority w:val="99"/>
    <w:pPr>
      <w:shd w:val="clear" w:color="auto" w:fill="000080"/>
    </w:pPr>
  </w:style>
  <w:style w:type="paragraph" w:styleId="14">
    <w:name w:val="annotation text"/>
    <w:basedOn w:val="1"/>
    <w:link w:val="77"/>
    <w:autoRedefine/>
    <w:qFormat/>
    <w:uiPriority w:val="99"/>
    <w:pPr>
      <w:jc w:val="left"/>
    </w:pPr>
  </w:style>
  <w:style w:type="paragraph" w:styleId="15">
    <w:name w:val="Body Text 3"/>
    <w:basedOn w:val="1"/>
    <w:link w:val="78"/>
    <w:autoRedefine/>
    <w:qFormat/>
    <w:uiPriority w:val="99"/>
    <w:rPr>
      <w:rFonts w:ascii="宋体"/>
      <w:sz w:val="24"/>
      <w:szCs w:val="20"/>
    </w:rPr>
  </w:style>
  <w:style w:type="paragraph" w:styleId="16">
    <w:name w:val="Body Text"/>
    <w:basedOn w:val="1"/>
    <w:link w:val="79"/>
    <w:autoRedefine/>
    <w:qFormat/>
    <w:uiPriority w:val="99"/>
  </w:style>
  <w:style w:type="paragraph" w:styleId="17">
    <w:name w:val="Body Text Indent"/>
    <w:basedOn w:val="1"/>
    <w:next w:val="18"/>
    <w:link w:val="74"/>
    <w:autoRedefine/>
    <w:qFormat/>
    <w:uiPriority w:val="99"/>
    <w:pPr>
      <w:ind w:left="420" w:leftChars="200"/>
    </w:pPr>
  </w:style>
  <w:style w:type="paragraph" w:styleId="18">
    <w:name w:val="envelope return"/>
    <w:basedOn w:val="1"/>
    <w:next w:val="11"/>
    <w:autoRedefine/>
    <w:qFormat/>
    <w:uiPriority w:val="99"/>
    <w:pPr>
      <w:snapToGrid w:val="0"/>
    </w:pPr>
    <w:rPr>
      <w:rFonts w:ascii="Arial" w:hAnsi="Arial"/>
    </w:rPr>
  </w:style>
  <w:style w:type="paragraph" w:styleId="19">
    <w:name w:val="Block Text"/>
    <w:basedOn w:val="1"/>
    <w:autoRedefine/>
    <w:qFormat/>
    <w:uiPriority w:val="99"/>
    <w:pPr>
      <w:spacing w:line="400" w:lineRule="exact"/>
      <w:ind w:left="-359" w:leftChars="-171" w:right="31" w:rightChars="15" w:firstLine="980" w:firstLineChars="350"/>
    </w:pPr>
    <w:rPr>
      <w:rFonts w:ascii="宋体" w:hAnsi="宋体"/>
      <w:sz w:val="28"/>
      <w:szCs w:val="32"/>
    </w:rPr>
  </w:style>
  <w:style w:type="paragraph" w:styleId="20">
    <w:name w:val="toc 5"/>
    <w:basedOn w:val="1"/>
    <w:next w:val="1"/>
    <w:autoRedefine/>
    <w:qFormat/>
    <w:uiPriority w:val="99"/>
    <w:pPr>
      <w:ind w:left="840"/>
      <w:jc w:val="left"/>
    </w:pPr>
    <w:rPr>
      <w:sz w:val="18"/>
      <w:szCs w:val="18"/>
    </w:rPr>
  </w:style>
  <w:style w:type="paragraph" w:styleId="21">
    <w:name w:val="toc 3"/>
    <w:basedOn w:val="1"/>
    <w:next w:val="1"/>
    <w:autoRedefine/>
    <w:qFormat/>
    <w:uiPriority w:val="99"/>
    <w:pPr>
      <w:ind w:left="420"/>
      <w:jc w:val="left"/>
    </w:pPr>
    <w:rPr>
      <w:i/>
      <w:iCs/>
      <w:sz w:val="20"/>
      <w:szCs w:val="20"/>
    </w:rPr>
  </w:style>
  <w:style w:type="paragraph" w:styleId="22">
    <w:name w:val="Plain Text"/>
    <w:basedOn w:val="1"/>
    <w:link w:val="80"/>
    <w:autoRedefine/>
    <w:qFormat/>
    <w:uiPriority w:val="99"/>
    <w:rPr>
      <w:rFonts w:ascii="Courier New" w:hAnsi="Courier New"/>
      <w:szCs w:val="20"/>
    </w:rPr>
  </w:style>
  <w:style w:type="paragraph" w:styleId="23">
    <w:name w:val="toc 8"/>
    <w:basedOn w:val="1"/>
    <w:next w:val="1"/>
    <w:autoRedefine/>
    <w:qFormat/>
    <w:uiPriority w:val="99"/>
    <w:pPr>
      <w:ind w:left="1470"/>
      <w:jc w:val="left"/>
    </w:pPr>
    <w:rPr>
      <w:sz w:val="18"/>
      <w:szCs w:val="18"/>
    </w:rPr>
  </w:style>
  <w:style w:type="paragraph" w:styleId="24">
    <w:name w:val="Date"/>
    <w:basedOn w:val="1"/>
    <w:next w:val="1"/>
    <w:link w:val="81"/>
    <w:autoRedefine/>
    <w:qFormat/>
    <w:uiPriority w:val="99"/>
    <w:rPr>
      <w:sz w:val="24"/>
      <w:szCs w:val="20"/>
    </w:rPr>
  </w:style>
  <w:style w:type="paragraph" w:styleId="25">
    <w:name w:val="Body Text Indent 2"/>
    <w:basedOn w:val="1"/>
    <w:link w:val="82"/>
    <w:autoRedefine/>
    <w:qFormat/>
    <w:uiPriority w:val="99"/>
    <w:pPr>
      <w:spacing w:line="360" w:lineRule="exact"/>
      <w:ind w:firstLine="600" w:firstLineChars="250"/>
      <w:jc w:val="left"/>
    </w:pPr>
    <w:rPr>
      <w:sz w:val="24"/>
    </w:rPr>
  </w:style>
  <w:style w:type="paragraph" w:styleId="26">
    <w:name w:val="Balloon Text"/>
    <w:basedOn w:val="1"/>
    <w:link w:val="83"/>
    <w:autoRedefine/>
    <w:qFormat/>
    <w:uiPriority w:val="99"/>
    <w:rPr>
      <w:sz w:val="18"/>
      <w:szCs w:val="18"/>
    </w:rPr>
  </w:style>
  <w:style w:type="paragraph" w:styleId="27">
    <w:name w:val="footer"/>
    <w:basedOn w:val="1"/>
    <w:link w:val="84"/>
    <w:autoRedefine/>
    <w:qFormat/>
    <w:uiPriority w:val="99"/>
    <w:pPr>
      <w:tabs>
        <w:tab w:val="center" w:pos="4153"/>
        <w:tab w:val="right" w:pos="8306"/>
      </w:tabs>
      <w:snapToGrid w:val="0"/>
      <w:jc w:val="left"/>
    </w:pPr>
    <w:rPr>
      <w:sz w:val="18"/>
      <w:szCs w:val="18"/>
    </w:rPr>
  </w:style>
  <w:style w:type="paragraph" w:styleId="28">
    <w:name w:val="header"/>
    <w:basedOn w:val="1"/>
    <w:link w:val="85"/>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99"/>
    <w:pPr>
      <w:jc w:val="left"/>
    </w:pPr>
    <w:rPr>
      <w:b/>
      <w:bCs/>
      <w:caps/>
      <w:sz w:val="20"/>
      <w:szCs w:val="20"/>
    </w:rPr>
  </w:style>
  <w:style w:type="paragraph" w:styleId="30">
    <w:name w:val="toc 4"/>
    <w:basedOn w:val="1"/>
    <w:next w:val="1"/>
    <w:autoRedefine/>
    <w:qFormat/>
    <w:uiPriority w:val="99"/>
    <w:pPr>
      <w:ind w:left="630"/>
      <w:jc w:val="left"/>
    </w:pPr>
    <w:rPr>
      <w:sz w:val="18"/>
      <w:szCs w:val="18"/>
    </w:rPr>
  </w:style>
  <w:style w:type="paragraph" w:styleId="31">
    <w:name w:val="List"/>
    <w:basedOn w:val="1"/>
    <w:autoRedefine/>
    <w:qFormat/>
    <w:uiPriority w:val="99"/>
    <w:pPr>
      <w:ind w:left="420" w:hanging="420"/>
    </w:pPr>
  </w:style>
  <w:style w:type="paragraph" w:styleId="32">
    <w:name w:val="footnote text"/>
    <w:basedOn w:val="1"/>
    <w:link w:val="86"/>
    <w:autoRedefine/>
    <w:qFormat/>
    <w:uiPriority w:val="99"/>
    <w:rPr>
      <w:sz w:val="20"/>
      <w:szCs w:val="20"/>
    </w:rPr>
  </w:style>
  <w:style w:type="paragraph" w:styleId="33">
    <w:name w:val="toc 6"/>
    <w:basedOn w:val="1"/>
    <w:next w:val="1"/>
    <w:autoRedefine/>
    <w:qFormat/>
    <w:uiPriority w:val="99"/>
    <w:pPr>
      <w:ind w:left="1050"/>
      <w:jc w:val="left"/>
    </w:pPr>
    <w:rPr>
      <w:sz w:val="18"/>
      <w:szCs w:val="18"/>
    </w:rPr>
  </w:style>
  <w:style w:type="paragraph" w:styleId="34">
    <w:name w:val="Body Text Indent 3"/>
    <w:basedOn w:val="1"/>
    <w:link w:val="87"/>
    <w:autoRedefine/>
    <w:qFormat/>
    <w:uiPriority w:val="99"/>
    <w:pPr>
      <w:ind w:left="420" w:leftChars="200"/>
    </w:pPr>
    <w:rPr>
      <w:sz w:val="16"/>
      <w:szCs w:val="16"/>
    </w:rPr>
  </w:style>
  <w:style w:type="paragraph" w:styleId="35">
    <w:name w:val="table of figures"/>
    <w:basedOn w:val="1"/>
    <w:next w:val="1"/>
    <w:autoRedefine/>
    <w:qFormat/>
    <w:uiPriority w:val="99"/>
    <w:pPr>
      <w:ind w:left="200" w:leftChars="200" w:hanging="200" w:hangingChars="200"/>
    </w:pPr>
  </w:style>
  <w:style w:type="paragraph" w:styleId="36">
    <w:name w:val="toc 2"/>
    <w:basedOn w:val="1"/>
    <w:next w:val="1"/>
    <w:autoRedefine/>
    <w:qFormat/>
    <w:uiPriority w:val="99"/>
    <w:pPr>
      <w:ind w:left="210"/>
      <w:jc w:val="left"/>
    </w:pPr>
    <w:rPr>
      <w:smallCaps/>
      <w:sz w:val="20"/>
      <w:szCs w:val="20"/>
    </w:rPr>
  </w:style>
  <w:style w:type="paragraph" w:styleId="37">
    <w:name w:val="toc 9"/>
    <w:basedOn w:val="1"/>
    <w:next w:val="1"/>
    <w:autoRedefine/>
    <w:qFormat/>
    <w:uiPriority w:val="99"/>
    <w:pPr>
      <w:ind w:left="1680"/>
      <w:jc w:val="left"/>
    </w:pPr>
    <w:rPr>
      <w:sz w:val="18"/>
      <w:szCs w:val="18"/>
    </w:rPr>
  </w:style>
  <w:style w:type="paragraph" w:styleId="38">
    <w:name w:val="Body Text 2"/>
    <w:basedOn w:val="1"/>
    <w:link w:val="88"/>
    <w:autoRedefine/>
    <w:qFormat/>
    <w:uiPriority w:val="99"/>
    <w:pPr>
      <w:spacing w:line="440" w:lineRule="exact"/>
    </w:pPr>
    <w:rPr>
      <w:sz w:val="28"/>
    </w:rPr>
  </w:style>
  <w:style w:type="paragraph" w:styleId="39">
    <w:name w:val="HTML Preformatted"/>
    <w:basedOn w:val="1"/>
    <w:link w:val="89"/>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autoRedefine/>
    <w:qFormat/>
    <w:uiPriority w:val="99"/>
    <w:pPr>
      <w:widowControl/>
      <w:spacing w:beforeAutospacing="1" w:afterAutospacing="1"/>
      <w:jc w:val="left"/>
    </w:pPr>
    <w:rPr>
      <w:rFonts w:ascii="宋体" w:hAnsi="宋体" w:cs="宋体"/>
      <w:kern w:val="0"/>
      <w:sz w:val="24"/>
    </w:rPr>
  </w:style>
  <w:style w:type="paragraph" w:styleId="41">
    <w:name w:val="index 1"/>
    <w:basedOn w:val="1"/>
    <w:next w:val="1"/>
    <w:autoRedefine/>
    <w:qFormat/>
    <w:locked/>
    <w:uiPriority w:val="0"/>
    <w:pPr>
      <w:jc w:val="center"/>
    </w:pPr>
    <w:rPr>
      <w:rFonts w:ascii="Arial" w:hAnsi="Arial" w:eastAsia="Arial" w:cs="Arial"/>
      <w:b/>
      <w:bCs/>
      <w:sz w:val="28"/>
    </w:rPr>
  </w:style>
  <w:style w:type="paragraph" w:styleId="42">
    <w:name w:val="Title"/>
    <w:basedOn w:val="1"/>
    <w:next w:val="1"/>
    <w:link w:val="90"/>
    <w:autoRedefine/>
    <w:qFormat/>
    <w:uiPriority w:val="99"/>
    <w:pPr>
      <w:adjustRightInd w:val="0"/>
      <w:spacing w:line="420" w:lineRule="atLeast"/>
      <w:jc w:val="center"/>
      <w:textAlignment w:val="baseline"/>
      <w:outlineLvl w:val="0"/>
    </w:pPr>
    <w:rPr>
      <w:rFonts w:ascii="Arial" w:hAnsi="Arial"/>
      <w:b/>
      <w:kern w:val="0"/>
      <w:sz w:val="32"/>
      <w:szCs w:val="20"/>
    </w:rPr>
  </w:style>
  <w:style w:type="paragraph" w:styleId="43">
    <w:name w:val="annotation subject"/>
    <w:basedOn w:val="14"/>
    <w:next w:val="14"/>
    <w:link w:val="91"/>
    <w:autoRedefine/>
    <w:qFormat/>
    <w:uiPriority w:val="99"/>
    <w:rPr>
      <w:b/>
      <w:bCs/>
    </w:rPr>
  </w:style>
  <w:style w:type="paragraph" w:styleId="44">
    <w:name w:val="Body Text First Indent 2"/>
    <w:basedOn w:val="17"/>
    <w:next w:val="1"/>
    <w:link w:val="75"/>
    <w:autoRedefine/>
    <w:qFormat/>
    <w:uiPriority w:val="99"/>
    <w:pPr>
      <w:spacing w:line="360" w:lineRule="auto"/>
      <w:ind w:firstLine="200" w:firstLineChars="200"/>
    </w:pPr>
    <w:rPr>
      <w:rFonts w:ascii="宋体"/>
      <w:szCs w:val="20"/>
    </w:rPr>
  </w:style>
  <w:style w:type="table" w:styleId="46">
    <w:name w:val="Table Grid"/>
    <w:basedOn w:val="45"/>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autoRedefine/>
    <w:qFormat/>
    <w:uiPriority w:val="99"/>
    <w:rPr>
      <w:rFonts w:cs="Times New Roman"/>
      <w:b/>
    </w:rPr>
  </w:style>
  <w:style w:type="character" w:styleId="49">
    <w:name w:val="page number"/>
    <w:basedOn w:val="47"/>
    <w:autoRedefine/>
    <w:qFormat/>
    <w:uiPriority w:val="99"/>
    <w:rPr>
      <w:rFonts w:cs="Times New Roman"/>
    </w:rPr>
  </w:style>
  <w:style w:type="character" w:styleId="50">
    <w:name w:val="FollowedHyperlink"/>
    <w:basedOn w:val="47"/>
    <w:autoRedefine/>
    <w:qFormat/>
    <w:uiPriority w:val="99"/>
    <w:rPr>
      <w:rFonts w:cs="Times New Roman"/>
      <w:color w:val="333333"/>
      <w:u w:val="none"/>
    </w:rPr>
  </w:style>
  <w:style w:type="character" w:styleId="51">
    <w:name w:val="Emphasis"/>
    <w:basedOn w:val="47"/>
    <w:autoRedefine/>
    <w:qFormat/>
    <w:uiPriority w:val="99"/>
    <w:rPr>
      <w:rFonts w:cs="Times New Roman"/>
      <w:color w:val="CC0033"/>
    </w:rPr>
  </w:style>
  <w:style w:type="character" w:styleId="52">
    <w:name w:val="HTML Definition"/>
    <w:basedOn w:val="47"/>
    <w:autoRedefine/>
    <w:qFormat/>
    <w:uiPriority w:val="99"/>
    <w:rPr>
      <w:rFonts w:cs="Times New Roman"/>
    </w:rPr>
  </w:style>
  <w:style w:type="character" w:styleId="53">
    <w:name w:val="HTML Typewriter"/>
    <w:basedOn w:val="47"/>
    <w:autoRedefine/>
    <w:qFormat/>
    <w:uiPriority w:val="99"/>
    <w:rPr>
      <w:rFonts w:ascii="monospace" w:hAnsi="monospace" w:cs="Times New Roman"/>
      <w:sz w:val="20"/>
    </w:rPr>
  </w:style>
  <w:style w:type="character" w:styleId="54">
    <w:name w:val="HTML Acronym"/>
    <w:basedOn w:val="47"/>
    <w:autoRedefine/>
    <w:qFormat/>
    <w:uiPriority w:val="99"/>
    <w:rPr>
      <w:rFonts w:cs="Times New Roman"/>
    </w:rPr>
  </w:style>
  <w:style w:type="character" w:styleId="55">
    <w:name w:val="HTML Variable"/>
    <w:basedOn w:val="47"/>
    <w:autoRedefine/>
    <w:qFormat/>
    <w:uiPriority w:val="99"/>
    <w:rPr>
      <w:rFonts w:cs="Times New Roman"/>
    </w:rPr>
  </w:style>
  <w:style w:type="character" w:styleId="56">
    <w:name w:val="Hyperlink"/>
    <w:basedOn w:val="47"/>
    <w:autoRedefine/>
    <w:qFormat/>
    <w:uiPriority w:val="99"/>
    <w:rPr>
      <w:rFonts w:cs="Times New Roman"/>
      <w:color w:val="333333"/>
      <w:u w:val="none"/>
    </w:rPr>
  </w:style>
  <w:style w:type="character" w:styleId="57">
    <w:name w:val="HTML Code"/>
    <w:basedOn w:val="47"/>
    <w:autoRedefine/>
    <w:qFormat/>
    <w:uiPriority w:val="99"/>
    <w:rPr>
      <w:rFonts w:ascii="monospace" w:hAnsi="monospace" w:cs="Times New Roman"/>
      <w:sz w:val="20"/>
    </w:rPr>
  </w:style>
  <w:style w:type="character" w:styleId="58">
    <w:name w:val="annotation reference"/>
    <w:basedOn w:val="47"/>
    <w:autoRedefine/>
    <w:qFormat/>
    <w:uiPriority w:val="99"/>
    <w:rPr>
      <w:rFonts w:cs="Times New Roman"/>
      <w:sz w:val="21"/>
    </w:rPr>
  </w:style>
  <w:style w:type="character" w:styleId="59">
    <w:name w:val="HTML Cite"/>
    <w:basedOn w:val="47"/>
    <w:autoRedefine/>
    <w:qFormat/>
    <w:uiPriority w:val="99"/>
    <w:rPr>
      <w:rFonts w:cs="Times New Roman"/>
    </w:rPr>
  </w:style>
  <w:style w:type="character" w:styleId="60">
    <w:name w:val="footnote reference"/>
    <w:basedOn w:val="47"/>
    <w:autoRedefine/>
    <w:qFormat/>
    <w:uiPriority w:val="99"/>
    <w:rPr>
      <w:rFonts w:cs="Times New Roman"/>
      <w:vertAlign w:val="superscript"/>
    </w:rPr>
  </w:style>
  <w:style w:type="character" w:styleId="61">
    <w:name w:val="HTML Keyboard"/>
    <w:basedOn w:val="47"/>
    <w:autoRedefine/>
    <w:qFormat/>
    <w:uiPriority w:val="99"/>
    <w:rPr>
      <w:rFonts w:ascii="monospace" w:hAnsi="monospace" w:cs="Times New Roman"/>
      <w:sz w:val="20"/>
    </w:rPr>
  </w:style>
  <w:style w:type="character" w:styleId="62">
    <w:name w:val="HTML Sample"/>
    <w:basedOn w:val="47"/>
    <w:autoRedefine/>
    <w:qFormat/>
    <w:uiPriority w:val="99"/>
    <w:rPr>
      <w:rFonts w:ascii="monospace" w:hAnsi="monospace" w:cs="Times New Roman"/>
    </w:rPr>
  </w:style>
  <w:style w:type="paragraph" w:customStyle="1" w:styleId="63">
    <w:name w:val="正文文字 8"/>
    <w:basedOn w:val="1"/>
    <w:next w:val="1"/>
    <w:autoRedefine/>
    <w:qFormat/>
    <w:uiPriority w:val="99"/>
    <w:pPr>
      <w:ind w:left="240"/>
    </w:pPr>
    <w:rPr>
      <w:sz w:val="16"/>
    </w:rPr>
  </w:style>
  <w:style w:type="paragraph" w:customStyle="1" w:styleId="64">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5">
    <w:name w:val="Heading 1 Char"/>
    <w:basedOn w:val="47"/>
    <w:link w:val="2"/>
    <w:autoRedefine/>
    <w:qFormat/>
    <w:locked/>
    <w:uiPriority w:val="99"/>
    <w:rPr>
      <w:rFonts w:eastAsia="宋体" w:cs="Times New Roman"/>
      <w:b/>
      <w:kern w:val="44"/>
      <w:sz w:val="44"/>
      <w:lang w:val="en-US" w:eastAsia="zh-CN"/>
    </w:rPr>
  </w:style>
  <w:style w:type="character" w:customStyle="1" w:styleId="66">
    <w:name w:val="Heading 2 Char"/>
    <w:basedOn w:val="47"/>
    <w:link w:val="3"/>
    <w:autoRedefine/>
    <w:qFormat/>
    <w:locked/>
    <w:uiPriority w:val="99"/>
    <w:rPr>
      <w:rFonts w:ascii="Arial" w:hAnsi="Arial" w:eastAsia="黑体" w:cs="Times New Roman"/>
      <w:b/>
      <w:kern w:val="2"/>
      <w:sz w:val="32"/>
      <w:lang w:val="en-US" w:eastAsia="zh-CN"/>
    </w:rPr>
  </w:style>
  <w:style w:type="character" w:customStyle="1" w:styleId="67">
    <w:name w:val="Heading 3 Char"/>
    <w:basedOn w:val="47"/>
    <w:link w:val="4"/>
    <w:autoRedefine/>
    <w:qFormat/>
    <w:locked/>
    <w:uiPriority w:val="99"/>
    <w:rPr>
      <w:rFonts w:cs="Times New Roman"/>
      <w:b/>
      <w:sz w:val="32"/>
    </w:rPr>
  </w:style>
  <w:style w:type="character" w:customStyle="1" w:styleId="68">
    <w:name w:val="Heading 4 Char"/>
    <w:basedOn w:val="47"/>
    <w:link w:val="5"/>
    <w:autoRedefine/>
    <w:semiHidden/>
    <w:qFormat/>
    <w:locked/>
    <w:uiPriority w:val="99"/>
    <w:rPr>
      <w:rFonts w:ascii="Cambria" w:hAnsi="Cambria" w:eastAsia="宋体" w:cs="Times New Roman"/>
      <w:b/>
      <w:bCs/>
      <w:sz w:val="28"/>
      <w:szCs w:val="28"/>
    </w:rPr>
  </w:style>
  <w:style w:type="character" w:customStyle="1" w:styleId="69">
    <w:name w:val="Heading 5 Char"/>
    <w:basedOn w:val="47"/>
    <w:link w:val="6"/>
    <w:autoRedefine/>
    <w:qFormat/>
    <w:locked/>
    <w:uiPriority w:val="99"/>
    <w:rPr>
      <w:rFonts w:cs="Times New Roman"/>
      <w:b/>
      <w:kern w:val="2"/>
      <w:sz w:val="28"/>
    </w:rPr>
  </w:style>
  <w:style w:type="character" w:customStyle="1" w:styleId="70">
    <w:name w:val="Heading 6 Char"/>
    <w:basedOn w:val="47"/>
    <w:link w:val="7"/>
    <w:autoRedefine/>
    <w:semiHidden/>
    <w:qFormat/>
    <w:locked/>
    <w:uiPriority w:val="99"/>
    <w:rPr>
      <w:rFonts w:ascii="Cambria" w:hAnsi="Cambria" w:eastAsia="宋体" w:cs="Times New Roman"/>
      <w:b/>
      <w:bCs/>
      <w:sz w:val="24"/>
      <w:szCs w:val="24"/>
    </w:rPr>
  </w:style>
  <w:style w:type="character" w:customStyle="1" w:styleId="71">
    <w:name w:val="Heading 7 Char"/>
    <w:basedOn w:val="47"/>
    <w:link w:val="8"/>
    <w:autoRedefine/>
    <w:semiHidden/>
    <w:qFormat/>
    <w:locked/>
    <w:uiPriority w:val="99"/>
    <w:rPr>
      <w:rFonts w:cs="Times New Roman"/>
      <w:b/>
      <w:bCs/>
      <w:sz w:val="24"/>
      <w:szCs w:val="24"/>
    </w:rPr>
  </w:style>
  <w:style w:type="character" w:customStyle="1" w:styleId="72">
    <w:name w:val="Heading 8 Char"/>
    <w:basedOn w:val="47"/>
    <w:link w:val="9"/>
    <w:autoRedefine/>
    <w:semiHidden/>
    <w:qFormat/>
    <w:locked/>
    <w:uiPriority w:val="99"/>
    <w:rPr>
      <w:rFonts w:ascii="Cambria" w:hAnsi="Cambria" w:eastAsia="宋体" w:cs="Times New Roman"/>
      <w:sz w:val="24"/>
      <w:szCs w:val="24"/>
    </w:rPr>
  </w:style>
  <w:style w:type="character" w:customStyle="1" w:styleId="73">
    <w:name w:val="Heading 9 Char"/>
    <w:basedOn w:val="47"/>
    <w:link w:val="10"/>
    <w:autoRedefine/>
    <w:semiHidden/>
    <w:qFormat/>
    <w:locked/>
    <w:uiPriority w:val="99"/>
    <w:rPr>
      <w:rFonts w:ascii="Cambria" w:hAnsi="Cambria" w:eastAsia="宋体" w:cs="Times New Roman"/>
      <w:sz w:val="21"/>
      <w:szCs w:val="21"/>
    </w:rPr>
  </w:style>
  <w:style w:type="character" w:customStyle="1" w:styleId="74">
    <w:name w:val="Body Text Indent Char"/>
    <w:basedOn w:val="47"/>
    <w:link w:val="17"/>
    <w:autoRedefine/>
    <w:semiHidden/>
    <w:qFormat/>
    <w:locked/>
    <w:uiPriority w:val="99"/>
    <w:rPr>
      <w:rFonts w:cs="Times New Roman"/>
      <w:sz w:val="24"/>
      <w:szCs w:val="24"/>
    </w:rPr>
  </w:style>
  <w:style w:type="character" w:customStyle="1" w:styleId="75">
    <w:name w:val="Body Text First Indent 2 Char"/>
    <w:basedOn w:val="74"/>
    <w:link w:val="44"/>
    <w:autoRedefine/>
    <w:semiHidden/>
    <w:qFormat/>
    <w:locked/>
    <w:uiPriority w:val="99"/>
  </w:style>
  <w:style w:type="character" w:customStyle="1" w:styleId="76">
    <w:name w:val="Document Map Char"/>
    <w:basedOn w:val="47"/>
    <w:link w:val="13"/>
    <w:autoRedefine/>
    <w:semiHidden/>
    <w:qFormat/>
    <w:locked/>
    <w:uiPriority w:val="99"/>
    <w:rPr>
      <w:rFonts w:cs="Times New Roman"/>
      <w:sz w:val="2"/>
    </w:rPr>
  </w:style>
  <w:style w:type="character" w:customStyle="1" w:styleId="77">
    <w:name w:val="Comment Text Char"/>
    <w:basedOn w:val="47"/>
    <w:link w:val="14"/>
    <w:autoRedefine/>
    <w:qFormat/>
    <w:locked/>
    <w:uiPriority w:val="99"/>
    <w:rPr>
      <w:rFonts w:eastAsia="宋体" w:cs="Times New Roman"/>
      <w:kern w:val="2"/>
      <w:sz w:val="24"/>
      <w:lang w:val="en-US" w:eastAsia="zh-CN"/>
    </w:rPr>
  </w:style>
  <w:style w:type="character" w:customStyle="1" w:styleId="78">
    <w:name w:val="Body Text 3 Char"/>
    <w:basedOn w:val="47"/>
    <w:link w:val="15"/>
    <w:autoRedefine/>
    <w:semiHidden/>
    <w:qFormat/>
    <w:locked/>
    <w:uiPriority w:val="99"/>
    <w:rPr>
      <w:rFonts w:cs="Times New Roman"/>
      <w:sz w:val="16"/>
      <w:szCs w:val="16"/>
    </w:rPr>
  </w:style>
  <w:style w:type="character" w:customStyle="1" w:styleId="79">
    <w:name w:val="Body Text Char"/>
    <w:basedOn w:val="47"/>
    <w:link w:val="16"/>
    <w:autoRedefine/>
    <w:qFormat/>
    <w:locked/>
    <w:uiPriority w:val="99"/>
    <w:rPr>
      <w:rFonts w:eastAsia="宋体" w:cs="Times New Roman"/>
      <w:kern w:val="2"/>
      <w:sz w:val="24"/>
      <w:lang w:val="en-US" w:eastAsia="zh-CN"/>
    </w:rPr>
  </w:style>
  <w:style w:type="character" w:customStyle="1" w:styleId="80">
    <w:name w:val="Plain Text Char"/>
    <w:basedOn w:val="47"/>
    <w:link w:val="22"/>
    <w:autoRedefine/>
    <w:qFormat/>
    <w:locked/>
    <w:uiPriority w:val="99"/>
    <w:rPr>
      <w:rFonts w:ascii="Courier New" w:hAnsi="Courier New" w:eastAsia="宋体" w:cs="Times New Roman"/>
      <w:kern w:val="2"/>
      <w:sz w:val="21"/>
      <w:lang w:val="en-US" w:eastAsia="zh-CN"/>
    </w:rPr>
  </w:style>
  <w:style w:type="character" w:customStyle="1" w:styleId="81">
    <w:name w:val="Date Char"/>
    <w:basedOn w:val="47"/>
    <w:link w:val="24"/>
    <w:autoRedefine/>
    <w:semiHidden/>
    <w:qFormat/>
    <w:locked/>
    <w:uiPriority w:val="99"/>
    <w:rPr>
      <w:rFonts w:cs="Times New Roman"/>
      <w:sz w:val="24"/>
      <w:szCs w:val="24"/>
    </w:rPr>
  </w:style>
  <w:style w:type="character" w:customStyle="1" w:styleId="82">
    <w:name w:val="Body Text Indent 2 Char"/>
    <w:basedOn w:val="47"/>
    <w:link w:val="25"/>
    <w:autoRedefine/>
    <w:semiHidden/>
    <w:qFormat/>
    <w:locked/>
    <w:uiPriority w:val="99"/>
    <w:rPr>
      <w:rFonts w:cs="Times New Roman"/>
      <w:sz w:val="24"/>
      <w:szCs w:val="24"/>
    </w:rPr>
  </w:style>
  <w:style w:type="character" w:customStyle="1" w:styleId="83">
    <w:name w:val="Balloon Text Char"/>
    <w:basedOn w:val="47"/>
    <w:link w:val="26"/>
    <w:autoRedefine/>
    <w:semiHidden/>
    <w:qFormat/>
    <w:locked/>
    <w:uiPriority w:val="99"/>
    <w:rPr>
      <w:rFonts w:cs="Times New Roman"/>
      <w:sz w:val="2"/>
    </w:rPr>
  </w:style>
  <w:style w:type="character" w:customStyle="1" w:styleId="84">
    <w:name w:val="Footer Char"/>
    <w:basedOn w:val="47"/>
    <w:link w:val="27"/>
    <w:autoRedefine/>
    <w:semiHidden/>
    <w:qFormat/>
    <w:locked/>
    <w:uiPriority w:val="99"/>
    <w:rPr>
      <w:rFonts w:cs="Times New Roman"/>
      <w:sz w:val="18"/>
      <w:szCs w:val="18"/>
    </w:rPr>
  </w:style>
  <w:style w:type="character" w:customStyle="1" w:styleId="85">
    <w:name w:val="Header Char"/>
    <w:basedOn w:val="47"/>
    <w:link w:val="28"/>
    <w:autoRedefine/>
    <w:semiHidden/>
    <w:qFormat/>
    <w:locked/>
    <w:uiPriority w:val="99"/>
    <w:rPr>
      <w:rFonts w:cs="Times New Roman"/>
      <w:sz w:val="18"/>
      <w:szCs w:val="18"/>
    </w:rPr>
  </w:style>
  <w:style w:type="character" w:customStyle="1" w:styleId="86">
    <w:name w:val="Footnote Text Char"/>
    <w:basedOn w:val="47"/>
    <w:link w:val="32"/>
    <w:autoRedefine/>
    <w:semiHidden/>
    <w:qFormat/>
    <w:locked/>
    <w:uiPriority w:val="99"/>
    <w:rPr>
      <w:rFonts w:cs="Times New Roman"/>
      <w:sz w:val="18"/>
      <w:szCs w:val="18"/>
    </w:rPr>
  </w:style>
  <w:style w:type="character" w:customStyle="1" w:styleId="87">
    <w:name w:val="Body Text Indent 3 Char"/>
    <w:basedOn w:val="47"/>
    <w:link w:val="34"/>
    <w:autoRedefine/>
    <w:semiHidden/>
    <w:qFormat/>
    <w:locked/>
    <w:uiPriority w:val="99"/>
    <w:rPr>
      <w:rFonts w:cs="Times New Roman"/>
      <w:sz w:val="16"/>
      <w:szCs w:val="16"/>
    </w:rPr>
  </w:style>
  <w:style w:type="character" w:customStyle="1" w:styleId="88">
    <w:name w:val="Body Text 2 Char"/>
    <w:basedOn w:val="47"/>
    <w:link w:val="38"/>
    <w:autoRedefine/>
    <w:semiHidden/>
    <w:qFormat/>
    <w:locked/>
    <w:uiPriority w:val="99"/>
    <w:rPr>
      <w:rFonts w:cs="Times New Roman"/>
      <w:sz w:val="24"/>
      <w:szCs w:val="24"/>
    </w:rPr>
  </w:style>
  <w:style w:type="character" w:customStyle="1" w:styleId="89">
    <w:name w:val="HTML Preformatted Char"/>
    <w:basedOn w:val="47"/>
    <w:link w:val="39"/>
    <w:autoRedefine/>
    <w:qFormat/>
    <w:locked/>
    <w:uiPriority w:val="99"/>
    <w:rPr>
      <w:rFonts w:ascii="宋体" w:eastAsia="宋体" w:cs="Times New Roman"/>
      <w:sz w:val="24"/>
    </w:rPr>
  </w:style>
  <w:style w:type="character" w:customStyle="1" w:styleId="90">
    <w:name w:val="Title Char"/>
    <w:basedOn w:val="47"/>
    <w:link w:val="42"/>
    <w:autoRedefine/>
    <w:qFormat/>
    <w:locked/>
    <w:uiPriority w:val="99"/>
    <w:rPr>
      <w:rFonts w:ascii="Cambria" w:hAnsi="Cambria" w:cs="Times New Roman"/>
      <w:b/>
      <w:bCs/>
      <w:sz w:val="32"/>
      <w:szCs w:val="32"/>
    </w:rPr>
  </w:style>
  <w:style w:type="character" w:customStyle="1" w:styleId="91">
    <w:name w:val="Comment Subject Char"/>
    <w:basedOn w:val="77"/>
    <w:link w:val="43"/>
    <w:autoRedefine/>
    <w:semiHidden/>
    <w:qFormat/>
    <w:locked/>
    <w:uiPriority w:val="99"/>
    <w:rPr>
      <w:b/>
      <w:bCs/>
      <w:szCs w:val="24"/>
    </w:rPr>
  </w:style>
  <w:style w:type="paragraph" w:customStyle="1" w:styleId="92">
    <w:name w:val="List Paragraph1"/>
    <w:basedOn w:val="1"/>
    <w:autoRedefine/>
    <w:qFormat/>
    <w:uiPriority w:val="99"/>
    <w:pPr>
      <w:ind w:firstLine="420" w:firstLineChars="200"/>
    </w:pPr>
  </w:style>
  <w:style w:type="paragraph" w:customStyle="1" w:styleId="93">
    <w:name w:val="_Style 62"/>
    <w:basedOn w:val="1"/>
    <w:next w:val="1"/>
    <w:autoRedefine/>
    <w:qFormat/>
    <w:uiPriority w:val="99"/>
    <w:pPr>
      <w:pBdr>
        <w:top w:val="single" w:color="auto" w:sz="6" w:space="1"/>
      </w:pBdr>
      <w:jc w:val="center"/>
    </w:pPr>
    <w:rPr>
      <w:rFonts w:ascii="Arial"/>
      <w:vanish/>
      <w:sz w:val="16"/>
    </w:rPr>
  </w:style>
  <w:style w:type="paragraph" w:customStyle="1" w:styleId="94">
    <w:name w:val="Blockquote"/>
    <w:basedOn w:val="1"/>
    <w:autoRedefine/>
    <w:qFormat/>
    <w:uiPriority w:val="99"/>
    <w:pPr>
      <w:autoSpaceDE w:val="0"/>
      <w:autoSpaceDN w:val="0"/>
      <w:adjustRightInd w:val="0"/>
      <w:ind w:left="360" w:right="360"/>
      <w:jc w:val="left"/>
    </w:pPr>
    <w:rPr>
      <w:kern w:val="0"/>
      <w:sz w:val="24"/>
      <w:szCs w:val="20"/>
    </w:rPr>
  </w:style>
  <w:style w:type="paragraph" w:customStyle="1" w:styleId="95">
    <w:name w:val="表格"/>
    <w:basedOn w:val="1"/>
    <w:autoRedefine/>
    <w:qFormat/>
    <w:uiPriority w:val="99"/>
    <w:pPr>
      <w:jc w:val="center"/>
      <w:textAlignment w:val="center"/>
    </w:pPr>
    <w:rPr>
      <w:rFonts w:ascii="华文细黑" w:hAnsi="华文细黑"/>
      <w:kern w:val="0"/>
      <w:szCs w:val="20"/>
    </w:rPr>
  </w:style>
  <w:style w:type="paragraph" w:customStyle="1" w:styleId="96">
    <w:name w:val="表格文字"/>
    <w:basedOn w:val="1"/>
    <w:autoRedefine/>
    <w:qFormat/>
    <w:uiPriority w:val="99"/>
    <w:pPr>
      <w:adjustRightInd w:val="0"/>
      <w:spacing w:line="420" w:lineRule="atLeast"/>
      <w:jc w:val="left"/>
      <w:textAlignment w:val="baseline"/>
    </w:pPr>
    <w:rPr>
      <w:kern w:val="0"/>
      <w:szCs w:val="20"/>
    </w:rPr>
  </w:style>
  <w:style w:type="paragraph" w:customStyle="1" w:styleId="97">
    <w:name w:val="Char"/>
    <w:basedOn w:val="1"/>
    <w:next w:val="1"/>
    <w:autoRedefine/>
    <w:qFormat/>
    <w:uiPriority w:val="99"/>
    <w:pPr>
      <w:widowControl/>
      <w:spacing w:line="360" w:lineRule="auto"/>
      <w:jc w:val="left"/>
    </w:pPr>
    <w:rPr>
      <w:kern w:val="0"/>
      <w:szCs w:val="20"/>
      <w:lang w:eastAsia="en-US"/>
    </w:rPr>
  </w:style>
  <w:style w:type="paragraph" w:customStyle="1" w:styleId="98">
    <w:name w:val="6'"/>
    <w:basedOn w:val="1"/>
    <w:autoRedefine/>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99">
    <w:name w:val="样式2"/>
    <w:basedOn w:val="4"/>
    <w:autoRedefine/>
    <w:qFormat/>
    <w:uiPriority w:val="99"/>
  </w:style>
  <w:style w:type="paragraph" w:customStyle="1" w:styleId="100">
    <w:name w:val="Default Paragraph Char Char Char Char"/>
    <w:basedOn w:val="1"/>
    <w:next w:val="1"/>
    <w:autoRedefine/>
    <w:qFormat/>
    <w:uiPriority w:val="99"/>
    <w:pPr>
      <w:spacing w:line="360" w:lineRule="auto"/>
    </w:pPr>
    <w:rPr>
      <w:szCs w:val="20"/>
    </w:rPr>
  </w:style>
  <w:style w:type="paragraph" w:customStyle="1" w:styleId="101">
    <w:name w:val="节标题"/>
    <w:basedOn w:val="1"/>
    <w:next w:val="1"/>
    <w:autoRedefine/>
    <w:qFormat/>
    <w:uiPriority w:val="99"/>
    <w:pPr>
      <w:widowControl/>
      <w:spacing w:line="289" w:lineRule="atLeast"/>
      <w:jc w:val="center"/>
      <w:textAlignment w:val="baseline"/>
    </w:pPr>
    <w:rPr>
      <w:color w:val="000000"/>
      <w:kern w:val="0"/>
      <w:sz w:val="28"/>
      <w:szCs w:val="20"/>
      <w:u w:color="000000"/>
    </w:rPr>
  </w:style>
  <w:style w:type="paragraph" w:customStyle="1" w:styleId="102">
    <w:name w:val="默认段落字体 Para Char Char Char Char"/>
    <w:basedOn w:val="1"/>
    <w:autoRedefine/>
    <w:qFormat/>
    <w:uiPriority w:val="99"/>
  </w:style>
  <w:style w:type="paragraph" w:customStyle="1" w:styleId="103">
    <w:name w:val="样式 标题 1 + 黑体 五号"/>
    <w:basedOn w:val="2"/>
    <w:autoRedefine/>
    <w:qFormat/>
    <w:uiPriority w:val="99"/>
    <w:pPr>
      <w:jc w:val="left"/>
    </w:pPr>
    <w:rPr>
      <w:rFonts w:ascii="黑体" w:hAnsi="黑体" w:eastAsia="黑体"/>
      <w:sz w:val="21"/>
    </w:rPr>
  </w:style>
  <w:style w:type="paragraph" w:customStyle="1" w:styleId="104">
    <w:name w:val="样式4"/>
    <w:basedOn w:val="4"/>
    <w:autoRedefine/>
    <w:qFormat/>
    <w:uiPriority w:val="99"/>
  </w:style>
  <w:style w:type="paragraph" w:customStyle="1" w:styleId="105">
    <w:name w:val="正文1"/>
    <w:autoRedefine/>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06">
    <w:name w:val="列出段落1"/>
    <w:basedOn w:val="1"/>
    <w:autoRedefine/>
    <w:qFormat/>
    <w:uiPriority w:val="99"/>
    <w:pPr>
      <w:ind w:firstLine="200" w:firstLineChars="200"/>
    </w:pPr>
  </w:style>
  <w:style w:type="paragraph" w:customStyle="1" w:styleId="107">
    <w:name w:val="p0 New"/>
    <w:basedOn w:val="1"/>
    <w:autoRedefine/>
    <w:qFormat/>
    <w:uiPriority w:val="99"/>
    <w:pPr>
      <w:widowControl/>
      <w:jc w:val="left"/>
    </w:pPr>
    <w:rPr>
      <w:rFonts w:ascii="宋体" w:hAnsi="宋体" w:cs="宋体"/>
      <w:kern w:val="0"/>
      <w:sz w:val="18"/>
      <w:szCs w:val="18"/>
    </w:rPr>
  </w:style>
  <w:style w:type="paragraph" w:customStyle="1" w:styleId="108">
    <w:name w:val="样式 标题 1 + 黑体 三号 非加粗 居中 段前: 6 磅 段后: 6 磅 行距: 固定值 20 磅"/>
    <w:basedOn w:val="2"/>
    <w:autoRedefine/>
    <w:qFormat/>
    <w:uiPriority w:val="99"/>
    <w:pPr>
      <w:spacing w:line="400" w:lineRule="exact"/>
    </w:pPr>
    <w:rPr>
      <w:rFonts w:ascii="黑体" w:hAnsi="黑体" w:eastAsia="黑体" w:cs="宋体"/>
      <w:b w:val="0"/>
      <w:bCs w:val="0"/>
      <w:sz w:val="32"/>
      <w:szCs w:val="20"/>
    </w:rPr>
  </w:style>
  <w:style w:type="paragraph" w:customStyle="1" w:styleId="109">
    <w:name w:val="_Style 78"/>
    <w:basedOn w:val="2"/>
    <w:next w:val="1"/>
    <w:autoRedefine/>
    <w:qFormat/>
    <w:uiPriority w:val="99"/>
    <w:pPr>
      <w:widowControl/>
      <w:spacing w:before="480" w:line="276" w:lineRule="auto"/>
      <w:jc w:val="left"/>
      <w:outlineLvl w:val="9"/>
    </w:pPr>
    <w:rPr>
      <w:rFonts w:ascii="Cambria" w:hAnsi="Cambria"/>
      <w:color w:val="365F91"/>
      <w:kern w:val="0"/>
      <w:sz w:val="28"/>
      <w:szCs w:val="28"/>
    </w:rPr>
  </w:style>
  <w:style w:type="paragraph" w:customStyle="1" w:styleId="110">
    <w:name w:val="Char1"/>
    <w:basedOn w:val="1"/>
    <w:autoRedefine/>
    <w:qFormat/>
    <w:uiPriority w:val="99"/>
    <w:pPr>
      <w:tabs>
        <w:tab w:val="left" w:pos="360"/>
      </w:tabs>
    </w:pPr>
    <w:rPr>
      <w:sz w:val="24"/>
    </w:rPr>
  </w:style>
  <w:style w:type="paragraph" w:customStyle="1" w:styleId="111">
    <w:name w:val="样式1"/>
    <w:basedOn w:val="4"/>
    <w:autoRedefine/>
    <w:qFormat/>
    <w:uiPriority w:val="99"/>
  </w:style>
  <w:style w:type="paragraph" w:customStyle="1" w:styleId="112">
    <w:name w:val="Char Char Char Char Char Char Char Char Char Char Char Char Char"/>
    <w:basedOn w:val="1"/>
    <w:autoRedefine/>
    <w:qFormat/>
    <w:uiPriority w:val="99"/>
  </w:style>
  <w:style w:type="paragraph" w:customStyle="1" w:styleId="113">
    <w:name w:val="p"/>
    <w:basedOn w:val="1"/>
    <w:autoRedefine/>
    <w:qFormat/>
    <w:uiPriority w:val="99"/>
    <w:rPr>
      <w:rFonts w:ascii="宋体"/>
      <w:sz w:val="24"/>
    </w:rPr>
  </w:style>
  <w:style w:type="paragraph" w:customStyle="1" w:styleId="114">
    <w:name w:val="Char Char Char Char"/>
    <w:basedOn w:val="1"/>
    <w:autoRedefine/>
    <w:qFormat/>
    <w:uiPriority w:val="99"/>
  </w:style>
  <w:style w:type="paragraph" w:customStyle="1" w:styleId="115">
    <w:name w:val="_Style 84"/>
    <w:basedOn w:val="1"/>
    <w:next w:val="1"/>
    <w:autoRedefine/>
    <w:qFormat/>
    <w:uiPriority w:val="99"/>
    <w:pPr>
      <w:pBdr>
        <w:bottom w:val="single" w:color="auto" w:sz="6" w:space="1"/>
      </w:pBdr>
      <w:jc w:val="center"/>
    </w:pPr>
    <w:rPr>
      <w:rFonts w:ascii="Arial"/>
      <w:vanish/>
      <w:sz w:val="16"/>
    </w:rPr>
  </w:style>
  <w:style w:type="paragraph" w:customStyle="1" w:styleId="116">
    <w:name w:val="1"/>
    <w:basedOn w:val="1"/>
    <w:next w:val="1"/>
    <w:autoRedefine/>
    <w:qFormat/>
    <w:uiPriority w:val="99"/>
  </w:style>
  <w:style w:type="paragraph" w:customStyle="1" w:styleId="117">
    <w:name w:val="p15"/>
    <w:autoRedefine/>
    <w:qFormat/>
    <w:uiPriority w:val="99"/>
    <w:pPr>
      <w:jc w:val="both"/>
    </w:pPr>
    <w:rPr>
      <w:rFonts w:ascii="宋体" w:hAnsi="Times New Roman" w:eastAsia="宋体" w:cs="宋体"/>
      <w:kern w:val="0"/>
      <w:sz w:val="21"/>
      <w:szCs w:val="21"/>
      <w:lang w:val="en-US" w:eastAsia="zh-CN" w:bidi="ar-SA"/>
    </w:rPr>
  </w:style>
  <w:style w:type="paragraph" w:customStyle="1" w:styleId="118">
    <w:name w:val="样式 标题 2 + Times New Roman 四号 非加粗 段前: 5 磅 段后: 0 磅 行距: 固定值 20..."/>
    <w:basedOn w:val="3"/>
    <w:autoRedefine/>
    <w:qFormat/>
    <w:uiPriority w:val="99"/>
    <w:pPr>
      <w:spacing w:line="400" w:lineRule="exact"/>
    </w:pPr>
    <w:rPr>
      <w:rFonts w:ascii="Times New Roman" w:hAnsi="Times New Roman" w:cs="宋体"/>
      <w:b w:val="0"/>
      <w:bCs w:val="0"/>
      <w:sz w:val="28"/>
      <w:szCs w:val="20"/>
    </w:rPr>
  </w:style>
  <w:style w:type="paragraph" w:customStyle="1" w:styleId="119">
    <w:name w:val="Table Paragraph"/>
    <w:basedOn w:val="1"/>
    <w:autoRedefine/>
    <w:qFormat/>
    <w:uiPriority w:val="99"/>
    <w:pPr>
      <w:autoSpaceDE w:val="0"/>
      <w:autoSpaceDN w:val="0"/>
      <w:jc w:val="left"/>
    </w:pPr>
    <w:rPr>
      <w:rFonts w:ascii="宋体" w:hAnsi="宋体" w:cs="宋体"/>
      <w:kern w:val="0"/>
      <w:sz w:val="22"/>
      <w:szCs w:val="22"/>
      <w:lang w:val="zh-CN"/>
    </w:rPr>
  </w:style>
  <w:style w:type="paragraph" w:customStyle="1" w:styleId="120">
    <w:name w:val="p0"/>
    <w:basedOn w:val="1"/>
    <w:autoRedefine/>
    <w:qFormat/>
    <w:uiPriority w:val="99"/>
    <w:pPr>
      <w:widowControl/>
    </w:pPr>
    <w:rPr>
      <w:kern w:val="0"/>
      <w:szCs w:val="21"/>
    </w:rPr>
  </w:style>
  <w:style w:type="paragraph" w:customStyle="1" w:styleId="121">
    <w:name w:val="样式3"/>
    <w:basedOn w:val="4"/>
    <w:autoRedefine/>
    <w:qFormat/>
    <w:uiPriority w:val="99"/>
  </w:style>
  <w:style w:type="paragraph" w:customStyle="1" w:styleId="122">
    <w:name w:val="样式 标题 3 + (中文) 黑体 小四 非加粗 段前: 7.8 磅 段后: 0 磅 行距: 固定值 20 磅"/>
    <w:basedOn w:val="4"/>
    <w:autoRedefine/>
    <w:qFormat/>
    <w:uiPriority w:val="99"/>
    <w:pPr>
      <w:spacing w:line="400" w:lineRule="exact"/>
    </w:pPr>
    <w:rPr>
      <w:rFonts w:eastAsia="黑体" w:cs="宋体"/>
      <w:b w:val="0"/>
      <w:bCs w:val="0"/>
      <w:sz w:val="24"/>
      <w:szCs w:val="20"/>
    </w:rPr>
  </w:style>
  <w:style w:type="paragraph" w:customStyle="1" w:styleId="123">
    <w:name w:val="Char Char Char Char Char Char Char Char Char Char Char Char Char1"/>
    <w:basedOn w:val="1"/>
    <w:autoRedefine/>
    <w:qFormat/>
    <w:uiPriority w:val="99"/>
  </w:style>
  <w:style w:type="paragraph" w:customStyle="1" w:styleId="124">
    <w:name w:val="Char4"/>
    <w:basedOn w:val="1"/>
    <w:autoRedefine/>
    <w:qFormat/>
    <w:uiPriority w:val="99"/>
    <w:pPr>
      <w:widowControl/>
      <w:spacing w:line="360" w:lineRule="auto"/>
      <w:ind w:firstLine="200" w:firstLineChars="200"/>
      <w:textAlignment w:val="baseline"/>
    </w:pPr>
    <w:rPr>
      <w:color w:val="000000"/>
      <w:kern w:val="0"/>
      <w:szCs w:val="20"/>
      <w:u w:color="000000"/>
    </w:rPr>
  </w:style>
  <w:style w:type="paragraph" w:customStyle="1" w:styleId="125">
    <w:name w:val="Normal1"/>
    <w:autoRedefine/>
    <w:qFormat/>
    <w:uiPriority w:val="99"/>
    <w:pPr>
      <w:widowControl w:val="0"/>
      <w:jc w:val="both"/>
    </w:pPr>
    <w:rPr>
      <w:rFonts w:ascii="Times New Roman" w:hAnsi="Times New Roman" w:eastAsia="宋体" w:cs="Times New Roman"/>
      <w:kern w:val="0"/>
      <w:sz w:val="20"/>
      <w:szCs w:val="20"/>
      <w:lang w:val="en-US" w:eastAsia="zh-CN" w:bidi="ar-SA"/>
    </w:rPr>
  </w:style>
  <w:style w:type="character" w:customStyle="1" w:styleId="126">
    <w:name w:val="first-child"/>
    <w:basedOn w:val="47"/>
    <w:autoRedefine/>
    <w:qFormat/>
    <w:uiPriority w:val="99"/>
    <w:rPr>
      <w:rFonts w:cs="Times New Roman"/>
    </w:rPr>
  </w:style>
  <w:style w:type="character" w:customStyle="1" w:styleId="127">
    <w:name w:val="Char Char Char Char Char Char"/>
    <w:autoRedefine/>
    <w:qFormat/>
    <w:uiPriority w:val="99"/>
    <w:rPr>
      <w:rFonts w:ascii="Arial" w:hAnsi="Arial" w:eastAsia="黑体"/>
      <w:b/>
      <w:kern w:val="2"/>
      <w:sz w:val="32"/>
      <w:lang w:val="en-US" w:eastAsia="zh-CN"/>
    </w:rPr>
  </w:style>
  <w:style w:type="character" w:customStyle="1" w:styleId="128">
    <w:name w:val="l11"/>
    <w:autoRedefine/>
    <w:qFormat/>
    <w:uiPriority w:val="99"/>
    <w:rPr>
      <w:color w:val="999999"/>
    </w:rPr>
  </w:style>
  <w:style w:type="character" w:customStyle="1" w:styleId="129">
    <w:name w:val="Char Char"/>
    <w:autoRedefine/>
    <w:qFormat/>
    <w:uiPriority w:val="99"/>
    <w:rPr>
      <w:rFonts w:ascii="Arial" w:hAnsi="Arial" w:eastAsia="黑体"/>
      <w:b/>
      <w:kern w:val="2"/>
      <w:sz w:val="32"/>
      <w:lang w:val="en-US" w:eastAsia="zh-CN"/>
    </w:rPr>
  </w:style>
  <w:style w:type="character" w:customStyle="1" w:styleId="130">
    <w:name w:val="Char Char5"/>
    <w:autoRedefine/>
    <w:qFormat/>
    <w:uiPriority w:val="99"/>
    <w:rPr>
      <w:rFonts w:ascii="Arial" w:hAnsi="Arial" w:eastAsia="黑体"/>
      <w:b/>
      <w:kern w:val="2"/>
      <w:sz w:val="32"/>
    </w:rPr>
  </w:style>
  <w:style w:type="character" w:customStyle="1" w:styleId="131">
    <w:name w:val="msg-box28"/>
    <w:basedOn w:val="47"/>
    <w:autoRedefine/>
    <w:qFormat/>
    <w:uiPriority w:val="99"/>
    <w:rPr>
      <w:rFonts w:cs="Times New Roman"/>
    </w:rPr>
  </w:style>
  <w:style w:type="character" w:customStyle="1" w:styleId="132">
    <w:name w:val="img_title6"/>
    <w:autoRedefine/>
    <w:qFormat/>
    <w:uiPriority w:val="99"/>
    <w:rPr>
      <w:vanish/>
    </w:rPr>
  </w:style>
  <w:style w:type="character" w:customStyle="1" w:styleId="133">
    <w:name w:val="tit12"/>
    <w:autoRedefine/>
    <w:qFormat/>
    <w:uiPriority w:val="99"/>
    <w:rPr>
      <w:color w:val="04A06C"/>
    </w:rPr>
  </w:style>
  <w:style w:type="character" w:customStyle="1" w:styleId="134">
    <w:name w:val="Char Char2"/>
    <w:autoRedefine/>
    <w:qFormat/>
    <w:uiPriority w:val="99"/>
    <w:rPr>
      <w:rFonts w:eastAsia="宋体"/>
      <w:kern w:val="2"/>
      <w:sz w:val="24"/>
      <w:lang w:val="en-US" w:eastAsia="zh-CN"/>
    </w:rPr>
  </w:style>
  <w:style w:type="character" w:customStyle="1" w:styleId="135">
    <w:name w:val="nostart"/>
    <w:autoRedefine/>
    <w:qFormat/>
    <w:uiPriority w:val="99"/>
    <w:rPr>
      <w:color w:val="FF0000"/>
    </w:rPr>
  </w:style>
  <w:style w:type="character" w:customStyle="1" w:styleId="136">
    <w:name w:val="nostart3"/>
    <w:basedOn w:val="47"/>
    <w:autoRedefine/>
    <w:qFormat/>
    <w:uiPriority w:val="99"/>
    <w:rPr>
      <w:rFonts w:cs="Times New Roman"/>
    </w:rPr>
  </w:style>
  <w:style w:type="character" w:customStyle="1" w:styleId="137">
    <w:name w:val="img4"/>
    <w:basedOn w:val="47"/>
    <w:autoRedefine/>
    <w:qFormat/>
    <w:uiPriority w:val="99"/>
    <w:rPr>
      <w:rFonts w:cs="Times New Roman"/>
    </w:rPr>
  </w:style>
  <w:style w:type="character" w:customStyle="1" w:styleId="138">
    <w:name w:val="tit11"/>
    <w:autoRedefine/>
    <w:qFormat/>
    <w:uiPriority w:val="99"/>
    <w:rPr>
      <w:color w:val="B60000"/>
    </w:rPr>
  </w:style>
  <w:style w:type="character" w:customStyle="1" w:styleId="139">
    <w:name w:val="over"/>
    <w:autoRedefine/>
    <w:qFormat/>
    <w:uiPriority w:val="99"/>
    <w:rPr>
      <w:color w:val="B60000"/>
    </w:rPr>
  </w:style>
  <w:style w:type="character" w:customStyle="1" w:styleId="140">
    <w:name w:val="l6"/>
    <w:autoRedefine/>
    <w:qFormat/>
    <w:uiPriority w:val="99"/>
    <w:rPr>
      <w:color w:val="999999"/>
    </w:rPr>
  </w:style>
  <w:style w:type="character" w:customStyle="1" w:styleId="141">
    <w:name w:val="datetime"/>
    <w:autoRedefine/>
    <w:qFormat/>
    <w:uiPriority w:val="99"/>
    <w:rPr>
      <w:rFonts w:ascii="Arial" w:hAnsi="Arial"/>
      <w:color w:val="999999"/>
      <w:sz w:val="21"/>
    </w:rPr>
  </w:style>
  <w:style w:type="character" w:customStyle="1" w:styleId="142">
    <w:name w:val="txt1"/>
    <w:basedOn w:val="47"/>
    <w:autoRedefine/>
    <w:qFormat/>
    <w:uiPriority w:val="99"/>
    <w:rPr>
      <w:rFonts w:cs="Times New Roman"/>
    </w:rPr>
  </w:style>
  <w:style w:type="character" w:customStyle="1" w:styleId="143">
    <w:name w:val="starting1"/>
    <w:autoRedefine/>
    <w:qFormat/>
    <w:uiPriority w:val="99"/>
    <w:rPr>
      <w:color w:val="339900"/>
    </w:rPr>
  </w:style>
  <w:style w:type="character" w:customStyle="1" w:styleId="144">
    <w:name w:val="starting2"/>
    <w:autoRedefine/>
    <w:qFormat/>
    <w:uiPriority w:val="99"/>
    <w:rPr>
      <w:color w:val="B60000"/>
    </w:rPr>
  </w:style>
  <w:style w:type="character" w:customStyle="1" w:styleId="145">
    <w:name w:val="red"/>
    <w:autoRedefine/>
    <w:qFormat/>
    <w:uiPriority w:val="99"/>
    <w:rPr>
      <w:rFonts w:ascii="Arial" w:hAnsi="Arial"/>
      <w:color w:val="E50000"/>
    </w:rPr>
  </w:style>
  <w:style w:type="character" w:customStyle="1" w:styleId="146">
    <w:name w:val="Char Char4"/>
    <w:autoRedefine/>
    <w:qFormat/>
    <w:uiPriority w:val="99"/>
    <w:rPr>
      <w:rFonts w:eastAsia="宋体"/>
      <w:b/>
      <w:kern w:val="44"/>
      <w:sz w:val="44"/>
      <w:lang w:val="en-US" w:eastAsia="zh-CN"/>
    </w:rPr>
  </w:style>
  <w:style w:type="character" w:customStyle="1" w:styleId="147">
    <w:name w:val="font161"/>
    <w:autoRedefine/>
    <w:qFormat/>
    <w:uiPriority w:val="99"/>
    <w:rPr>
      <w:b/>
      <w:sz w:val="32"/>
    </w:rPr>
  </w:style>
  <w:style w:type="character" w:customStyle="1" w:styleId="148">
    <w:name w:val="Char Char8"/>
    <w:autoRedefine/>
    <w:qFormat/>
    <w:uiPriority w:val="99"/>
    <w:rPr>
      <w:rFonts w:ascii="Arial" w:hAnsi="Arial" w:eastAsia="黑体"/>
      <w:b/>
      <w:kern w:val="2"/>
      <w:sz w:val="32"/>
      <w:lang w:val="en-US" w:eastAsia="zh-CN"/>
    </w:rPr>
  </w:style>
  <w:style w:type="character" w:customStyle="1" w:styleId="149">
    <w:name w:val="msg-box29"/>
    <w:basedOn w:val="47"/>
    <w:autoRedefine/>
    <w:qFormat/>
    <w:uiPriority w:val="99"/>
    <w:rPr>
      <w:rFonts w:cs="Times New Roman"/>
    </w:rPr>
  </w:style>
  <w:style w:type="character" w:customStyle="1" w:styleId="150">
    <w:name w:val="over2"/>
    <w:autoRedefine/>
    <w:qFormat/>
    <w:uiPriority w:val="99"/>
    <w:rPr>
      <w:color w:val="999999"/>
    </w:rPr>
  </w:style>
  <w:style w:type="character" w:customStyle="1" w:styleId="151">
    <w:name w:val="img_title7"/>
    <w:autoRedefine/>
    <w:qFormat/>
    <w:uiPriority w:val="99"/>
    <w:rPr>
      <w:vanish/>
    </w:rPr>
  </w:style>
  <w:style w:type="character" w:customStyle="1" w:styleId="152">
    <w:name w:val="l7"/>
    <w:autoRedefine/>
    <w:qFormat/>
    <w:uiPriority w:val="99"/>
    <w:rPr>
      <w:color w:val="999999"/>
    </w:rPr>
  </w:style>
  <w:style w:type="character" w:customStyle="1" w:styleId="153">
    <w:name w:val="l51"/>
    <w:autoRedefine/>
    <w:qFormat/>
    <w:uiPriority w:val="99"/>
    <w:rPr>
      <w:color w:val="999999"/>
    </w:rPr>
  </w:style>
  <w:style w:type="character" w:customStyle="1" w:styleId="154">
    <w:name w:val="num81"/>
    <w:basedOn w:val="47"/>
    <w:autoRedefine/>
    <w:qFormat/>
    <w:uiPriority w:val="99"/>
    <w:rPr>
      <w:rFonts w:cs="Times New Roman"/>
    </w:rPr>
  </w:style>
  <w:style w:type="character" w:customStyle="1" w:styleId="155">
    <w:name w:val="Char Char1"/>
    <w:autoRedefine/>
    <w:qFormat/>
    <w:uiPriority w:val="99"/>
    <w:rPr>
      <w:rFonts w:eastAsia="宋体"/>
      <w:kern w:val="2"/>
      <w:sz w:val="24"/>
      <w:lang w:val="en-US" w:eastAsia="zh-CN"/>
    </w:rPr>
  </w:style>
  <w:style w:type="character" w:customStyle="1" w:styleId="156">
    <w:name w:val="zs"/>
    <w:autoRedefine/>
    <w:qFormat/>
    <w:uiPriority w:val="99"/>
    <w:rPr>
      <w:color w:val="8D744B"/>
      <w:sz w:val="18"/>
    </w:rPr>
  </w:style>
  <w:style w:type="character" w:customStyle="1" w:styleId="157">
    <w:name w:val="bigfont"/>
    <w:basedOn w:val="47"/>
    <w:autoRedefine/>
    <w:qFormat/>
    <w:uiPriority w:val="99"/>
    <w:rPr>
      <w:rFonts w:cs="Times New Roman"/>
    </w:rPr>
  </w:style>
  <w:style w:type="character" w:customStyle="1" w:styleId="158">
    <w:name w:val="txt"/>
    <w:autoRedefine/>
    <w:qFormat/>
    <w:uiPriority w:val="99"/>
    <w:rPr>
      <w:color w:val="C0C0C0"/>
    </w:rPr>
  </w:style>
  <w:style w:type="character" w:customStyle="1" w:styleId="159">
    <w:name w:val="jg"/>
    <w:basedOn w:val="47"/>
    <w:autoRedefine/>
    <w:qFormat/>
    <w:uiPriority w:val="99"/>
    <w:rPr>
      <w:rFonts w:cs="Times New Roman"/>
    </w:rPr>
  </w:style>
  <w:style w:type="character" w:customStyle="1" w:styleId="160">
    <w:name w:val="17"/>
    <w:autoRedefine/>
    <w:qFormat/>
    <w:uiPriority w:val="99"/>
    <w:rPr>
      <w:rFonts w:ascii="仿宋_GB2312" w:eastAsia="仿宋_GB2312"/>
      <w:color w:val="auto"/>
      <w:sz w:val="28"/>
      <w:u w:val="single"/>
    </w:rPr>
  </w:style>
  <w:style w:type="character" w:customStyle="1" w:styleId="161">
    <w:name w:val="job"/>
    <w:basedOn w:val="47"/>
    <w:autoRedefine/>
    <w:qFormat/>
    <w:uiPriority w:val="99"/>
    <w:rPr>
      <w:rFonts w:cs="Times New Roman"/>
    </w:rPr>
  </w:style>
  <w:style w:type="character" w:customStyle="1" w:styleId="162">
    <w:name w:val="job1"/>
    <w:basedOn w:val="47"/>
    <w:autoRedefine/>
    <w:qFormat/>
    <w:uiPriority w:val="99"/>
    <w:rPr>
      <w:rFonts w:cs="Times New Roman"/>
    </w:rPr>
  </w:style>
  <w:style w:type="character" w:customStyle="1" w:styleId="163">
    <w:name w:val="标题 2 Char"/>
    <w:autoRedefine/>
    <w:qFormat/>
    <w:uiPriority w:val="99"/>
    <w:rPr>
      <w:rFonts w:ascii="Arial" w:hAnsi="Arial" w:eastAsia="黑体"/>
      <w:b/>
      <w:kern w:val="2"/>
      <w:sz w:val="32"/>
      <w:lang w:val="en-US" w:eastAsia="zh-CN"/>
    </w:rPr>
  </w:style>
  <w:style w:type="character" w:customStyle="1" w:styleId="164">
    <w:name w:val="p05"/>
    <w:basedOn w:val="47"/>
    <w:autoRedefine/>
    <w:qFormat/>
    <w:uiPriority w:val="99"/>
    <w:rPr>
      <w:rFonts w:cs="Times New Roman"/>
    </w:rPr>
  </w:style>
  <w:style w:type="character" w:customStyle="1" w:styleId="165">
    <w:name w:val="Char Char7"/>
    <w:autoRedefine/>
    <w:qFormat/>
    <w:uiPriority w:val="99"/>
    <w:rPr>
      <w:rFonts w:ascii="Arial" w:hAnsi="Arial" w:eastAsia="黑体"/>
      <w:b/>
      <w:kern w:val="2"/>
      <w:sz w:val="32"/>
      <w:lang w:val="en-US" w:eastAsia="zh-CN"/>
    </w:rPr>
  </w:style>
  <w:style w:type="character" w:customStyle="1" w:styleId="166">
    <w:name w:val="over3"/>
    <w:basedOn w:val="47"/>
    <w:autoRedefine/>
    <w:qFormat/>
    <w:uiPriority w:val="99"/>
    <w:rPr>
      <w:rFonts w:cs="Times New Roman"/>
    </w:rPr>
  </w:style>
  <w:style w:type="character" w:customStyle="1" w:styleId="167">
    <w:name w:val="Char Char3"/>
    <w:autoRedefine/>
    <w:qFormat/>
    <w:uiPriority w:val="99"/>
    <w:rPr>
      <w:rFonts w:ascii="Arial" w:hAnsi="Arial" w:eastAsia="黑体"/>
      <w:b/>
      <w:kern w:val="2"/>
      <w:sz w:val="32"/>
      <w:lang w:val="en-US" w:eastAsia="zh-CN"/>
    </w:rPr>
  </w:style>
  <w:style w:type="character" w:customStyle="1" w:styleId="168">
    <w:name w:val="Char Char71"/>
    <w:autoRedefine/>
    <w:qFormat/>
    <w:uiPriority w:val="99"/>
    <w:rPr>
      <w:rFonts w:ascii="Arial" w:hAnsi="Arial" w:eastAsia="黑体"/>
      <w:b/>
      <w:kern w:val="2"/>
      <w:sz w:val="32"/>
      <w:lang w:val="en-US" w:eastAsia="zh-CN"/>
    </w:rPr>
  </w:style>
  <w:style w:type="character" w:customStyle="1" w:styleId="169">
    <w:name w:val="num51"/>
    <w:basedOn w:val="47"/>
    <w:autoRedefine/>
    <w:qFormat/>
    <w:uiPriority w:val="99"/>
    <w:rPr>
      <w:rFonts w:cs="Times New Roman"/>
    </w:rPr>
  </w:style>
  <w:style w:type="character" w:customStyle="1" w:styleId="170">
    <w:name w:val="Char Char Char"/>
    <w:autoRedefine/>
    <w:qFormat/>
    <w:uiPriority w:val="99"/>
    <w:rPr>
      <w:rFonts w:eastAsia="宋体"/>
      <w:b/>
      <w:kern w:val="44"/>
      <w:sz w:val="44"/>
      <w:lang w:val="en-US" w:eastAsia="zh-CN"/>
    </w:rPr>
  </w:style>
  <w:style w:type="character" w:customStyle="1" w:styleId="171">
    <w:name w:val="msg-box31"/>
    <w:basedOn w:val="47"/>
    <w:autoRedefine/>
    <w:qFormat/>
    <w:uiPriority w:val="99"/>
    <w:rPr>
      <w:rFonts w:cs="Times New Roman"/>
    </w:rPr>
  </w:style>
  <w:style w:type="character" w:customStyle="1" w:styleId="172">
    <w:name w:val="msg-box30"/>
    <w:basedOn w:val="47"/>
    <w:autoRedefine/>
    <w:qFormat/>
    <w:uiPriority w:val="99"/>
    <w:rPr>
      <w:rFonts w:cs="Times New Roman"/>
    </w:rPr>
  </w:style>
  <w:style w:type="character" w:customStyle="1" w:styleId="173">
    <w:name w:val="标题 1 Char Char"/>
    <w:autoRedefine/>
    <w:qFormat/>
    <w:uiPriority w:val="99"/>
    <w:rPr>
      <w:rFonts w:eastAsia="宋体"/>
      <w:b/>
      <w:kern w:val="44"/>
      <w:sz w:val="44"/>
      <w:lang w:val="en-US" w:eastAsia="zh-CN"/>
    </w:rPr>
  </w:style>
  <w:style w:type="character" w:customStyle="1" w:styleId="174">
    <w:name w:val="c1"/>
    <w:basedOn w:val="47"/>
    <w:autoRedefine/>
    <w:qFormat/>
    <w:uiPriority w:val="99"/>
    <w:rPr>
      <w:rFonts w:cs="Times New Roman"/>
    </w:rPr>
  </w:style>
  <w:style w:type="character" w:customStyle="1" w:styleId="175">
    <w:name w:val="纯文本 Char1"/>
    <w:autoRedefine/>
    <w:qFormat/>
    <w:uiPriority w:val="99"/>
    <w:rPr>
      <w:rFonts w:ascii="Courier New" w:hAnsi="Courier New" w:eastAsia="宋体"/>
      <w:kern w:val="2"/>
      <w:sz w:val="21"/>
      <w:lang w:val="en-US" w:eastAsia="zh-CN"/>
    </w:rPr>
  </w:style>
  <w:style w:type="character" w:customStyle="1" w:styleId="176">
    <w:name w:val="Char Char Char1"/>
    <w:autoRedefine/>
    <w:qFormat/>
    <w:uiPriority w:val="99"/>
    <w:rPr>
      <w:rFonts w:ascii="Arial" w:hAnsi="Arial" w:eastAsia="黑体"/>
      <w:b/>
      <w:kern w:val="2"/>
      <w:sz w:val="32"/>
      <w:lang w:val="en-US" w:eastAsia="zh-CN"/>
    </w:rPr>
  </w:style>
  <w:style w:type="character" w:customStyle="1" w:styleId="177">
    <w:name w:val="l3"/>
    <w:autoRedefine/>
    <w:qFormat/>
    <w:uiPriority w:val="99"/>
    <w:rPr>
      <w:color w:val="999999"/>
    </w:rPr>
  </w:style>
  <w:style w:type="character" w:customStyle="1" w:styleId="178">
    <w:name w:val="tit14"/>
    <w:autoRedefine/>
    <w:qFormat/>
    <w:uiPriority w:val="99"/>
    <w:rPr>
      <w:color w:val="B60000"/>
    </w:rPr>
  </w:style>
  <w:style w:type="character" w:customStyle="1" w:styleId="179">
    <w:name w:val="tit10"/>
    <w:autoRedefine/>
    <w:qFormat/>
    <w:uiPriority w:val="99"/>
    <w:rPr>
      <w:color w:val="B60000"/>
    </w:rPr>
  </w:style>
  <w:style w:type="character" w:customStyle="1" w:styleId="180">
    <w:name w:val="l21"/>
    <w:autoRedefine/>
    <w:qFormat/>
    <w:uiPriority w:val="99"/>
    <w:rPr>
      <w:color w:val="999999"/>
    </w:rPr>
  </w:style>
  <w:style w:type="character" w:customStyle="1" w:styleId="181">
    <w:name w:val="num71"/>
    <w:basedOn w:val="47"/>
    <w:autoRedefine/>
    <w:qFormat/>
    <w:uiPriority w:val="99"/>
    <w:rPr>
      <w:rFonts w:cs="Times New Roman"/>
    </w:rPr>
  </w:style>
  <w:style w:type="character" w:customStyle="1" w:styleId="182">
    <w:name w:val="标题 2 Char Char"/>
    <w:autoRedefine/>
    <w:qFormat/>
    <w:uiPriority w:val="99"/>
    <w:rPr>
      <w:rFonts w:ascii="Arial" w:hAnsi="Arial" w:eastAsia="黑体"/>
      <w:b/>
      <w:kern w:val="2"/>
      <w:sz w:val="32"/>
      <w:lang w:val="en-US" w:eastAsia="zh-CN"/>
    </w:rPr>
  </w:style>
  <w:style w:type="character" w:customStyle="1" w:styleId="183">
    <w:name w:val="buvis"/>
    <w:autoRedefine/>
    <w:qFormat/>
    <w:uiPriority w:val="99"/>
    <w:rPr>
      <w:color w:val="999999"/>
    </w:rPr>
  </w:style>
  <w:style w:type="character" w:customStyle="1" w:styleId="184">
    <w:name w:val="name"/>
    <w:autoRedefine/>
    <w:qFormat/>
    <w:uiPriority w:val="99"/>
    <w:rPr>
      <w:color w:val="444444"/>
      <w:sz w:val="21"/>
    </w:rPr>
  </w:style>
  <w:style w:type="character" w:customStyle="1" w:styleId="185">
    <w:name w:val="layui-this"/>
    <w:autoRedefine/>
    <w:qFormat/>
    <w:uiPriority w:val="99"/>
    <w:rPr>
      <w:bdr w:val="single" w:color="EEEEEE" w:sz="6" w:space="0"/>
      <w:shd w:val="clear" w:color="auto" w:fill="FFFFFF"/>
    </w:rPr>
  </w:style>
  <w:style w:type="character" w:customStyle="1" w:styleId="186">
    <w:name w:val="标题 2 Char1"/>
    <w:autoRedefine/>
    <w:qFormat/>
    <w:uiPriority w:val="99"/>
    <w:rPr>
      <w:rFonts w:ascii="Arial" w:hAnsi="Arial" w:eastAsia="黑体"/>
      <w:b/>
      <w:kern w:val="2"/>
      <w:sz w:val="32"/>
      <w:lang w:val="en-US" w:eastAsia="zh-CN"/>
    </w:rPr>
  </w:style>
  <w:style w:type="character" w:customStyle="1" w:styleId="187">
    <w:name w:val="zw"/>
    <w:autoRedefine/>
    <w:qFormat/>
    <w:uiPriority w:val="99"/>
    <w:rPr>
      <w:color w:val="BD1E22"/>
      <w:sz w:val="22"/>
    </w:rPr>
  </w:style>
  <w:style w:type="character" w:customStyle="1" w:styleId="188">
    <w:name w:val="name1"/>
    <w:autoRedefine/>
    <w:qFormat/>
    <w:uiPriority w:val="99"/>
    <w:rPr>
      <w:color w:val="695435"/>
      <w:sz w:val="24"/>
    </w:rPr>
  </w:style>
  <w:style w:type="character" w:customStyle="1" w:styleId="189">
    <w:name w:val="num61"/>
    <w:basedOn w:val="47"/>
    <w:autoRedefine/>
    <w:qFormat/>
    <w:uiPriority w:val="99"/>
    <w:rPr>
      <w:rFonts w:cs="Times New Roman"/>
    </w:rPr>
  </w:style>
  <w:style w:type="character" w:customStyle="1" w:styleId="190">
    <w:name w:val="mesg-myd"/>
    <w:autoRedefine/>
    <w:qFormat/>
    <w:uiPriority w:val="99"/>
    <w:rPr>
      <w:color w:val="EE0000"/>
    </w:rPr>
  </w:style>
  <w:style w:type="character" w:customStyle="1" w:styleId="191">
    <w:name w:val="c2"/>
    <w:basedOn w:val="47"/>
    <w:autoRedefine/>
    <w:qFormat/>
    <w:uiPriority w:val="99"/>
    <w:rPr>
      <w:rFonts w:cs="Times New Roman"/>
    </w:rPr>
  </w:style>
  <w:style w:type="character" w:customStyle="1" w:styleId="192">
    <w:name w:val="c3"/>
    <w:basedOn w:val="47"/>
    <w:autoRedefine/>
    <w:qFormat/>
    <w:uiPriority w:val="99"/>
    <w:rPr>
      <w:rFonts w:cs="Times New Roman"/>
    </w:rPr>
  </w:style>
  <w:style w:type="character" w:customStyle="1" w:styleId="193">
    <w:name w:val="over1"/>
    <w:autoRedefine/>
    <w:qFormat/>
    <w:uiPriority w:val="99"/>
    <w:rPr>
      <w:color w:val="B60000"/>
    </w:rPr>
  </w:style>
  <w:style w:type="character" w:customStyle="1" w:styleId="194">
    <w:name w:val="tit13"/>
    <w:autoRedefine/>
    <w:qFormat/>
    <w:uiPriority w:val="99"/>
    <w:rPr>
      <w:color w:val="FFFFFF"/>
    </w:rPr>
  </w:style>
  <w:style w:type="character" w:customStyle="1" w:styleId="195">
    <w:name w:val="Char Char21"/>
    <w:autoRedefine/>
    <w:qFormat/>
    <w:uiPriority w:val="99"/>
    <w:rPr>
      <w:rFonts w:eastAsia="宋体"/>
      <w:kern w:val="2"/>
      <w:sz w:val="24"/>
      <w:lang w:val="en-US" w:eastAsia="zh-CN"/>
    </w:rPr>
  </w:style>
  <w:style w:type="character" w:customStyle="1" w:styleId="196">
    <w:name w:val="l41"/>
    <w:autoRedefine/>
    <w:qFormat/>
    <w:uiPriority w:val="99"/>
    <w:rPr>
      <w:color w:val="999999"/>
    </w:rPr>
  </w:style>
  <w:style w:type="character" w:customStyle="1" w:styleId="197">
    <w:name w:val="16"/>
    <w:autoRedefine/>
    <w:qFormat/>
    <w:uiPriority w:val="99"/>
    <w:rPr>
      <w:rFonts w:ascii="仿宋_GB2312" w:eastAsia="仿宋_GB2312"/>
      <w:color w:val="auto"/>
      <w:sz w:val="28"/>
    </w:rPr>
  </w:style>
  <w:style w:type="character" w:customStyle="1" w:styleId="198">
    <w:name w:val="num31"/>
    <w:basedOn w:val="47"/>
    <w:autoRedefine/>
    <w:qFormat/>
    <w:uiPriority w:val="99"/>
    <w:rPr>
      <w:rFonts w:cs="Times New Roman"/>
    </w:rPr>
  </w:style>
  <w:style w:type="character" w:customStyle="1" w:styleId="199">
    <w:name w:val="starting4"/>
    <w:basedOn w:val="47"/>
    <w:autoRedefine/>
    <w:qFormat/>
    <w:uiPriority w:val="99"/>
    <w:rPr>
      <w:rFonts w:cs="Times New Roman"/>
    </w:rPr>
  </w:style>
  <w:style w:type="character" w:customStyle="1" w:styleId="200">
    <w:name w:val="bsharetext"/>
    <w:basedOn w:val="47"/>
    <w:autoRedefine/>
    <w:qFormat/>
    <w:uiPriority w:val="99"/>
    <w:rPr>
      <w:rFonts w:cs="Times New Roman"/>
    </w:rPr>
  </w:style>
  <w:style w:type="character" w:customStyle="1" w:styleId="201">
    <w:name w:val="unit"/>
    <w:autoRedefine/>
    <w:qFormat/>
    <w:uiPriority w:val="99"/>
    <w:rPr>
      <w:color w:val="999999"/>
    </w:rPr>
  </w:style>
  <w:style w:type="character" w:customStyle="1" w:styleId="202">
    <w:name w:val="nostart2"/>
    <w:autoRedefine/>
    <w:qFormat/>
    <w:uiPriority w:val="99"/>
    <w:rPr>
      <w:color w:val="B60000"/>
    </w:rPr>
  </w:style>
  <w:style w:type="character" w:customStyle="1" w:styleId="203">
    <w:name w:val="纯文本 Char"/>
    <w:autoRedefine/>
    <w:qFormat/>
    <w:uiPriority w:val="99"/>
    <w:rPr>
      <w:rFonts w:ascii="Courier New" w:hAnsi="Courier New" w:eastAsia="宋体"/>
      <w:kern w:val="2"/>
      <w:sz w:val="21"/>
      <w:lang w:val="en-US" w:eastAsia="zh-CN"/>
    </w:rPr>
  </w:style>
  <w:style w:type="character" w:customStyle="1" w:styleId="204">
    <w:name w:val="Char Char81"/>
    <w:autoRedefine/>
    <w:qFormat/>
    <w:uiPriority w:val="99"/>
    <w:rPr>
      <w:rFonts w:ascii="Arial" w:hAnsi="Arial" w:eastAsia="黑体"/>
      <w:b/>
      <w:kern w:val="2"/>
      <w:sz w:val="32"/>
      <w:lang w:val="en-US" w:eastAsia="zh-CN"/>
    </w:rPr>
  </w:style>
  <w:style w:type="character" w:customStyle="1" w:styleId="205">
    <w:name w:val="starting"/>
    <w:autoRedefine/>
    <w:qFormat/>
    <w:uiPriority w:val="99"/>
    <w:rPr>
      <w:color w:val="339900"/>
    </w:rPr>
  </w:style>
  <w:style w:type="character" w:customStyle="1" w:styleId="206">
    <w:name w:val="nostart1"/>
    <w:autoRedefine/>
    <w:qFormat/>
    <w:uiPriority w:val="99"/>
    <w:rPr>
      <w:color w:val="FF0000"/>
    </w:rPr>
  </w:style>
  <w:style w:type="character" w:customStyle="1" w:styleId="207">
    <w:name w:val="num210"/>
    <w:basedOn w:val="47"/>
    <w:autoRedefine/>
    <w:qFormat/>
    <w:uiPriority w:val="99"/>
    <w:rPr>
      <w:rFonts w:cs="Times New Roman"/>
    </w:rPr>
  </w:style>
  <w:style w:type="character" w:customStyle="1" w:styleId="208">
    <w:name w:val="buvis1"/>
    <w:autoRedefine/>
    <w:qFormat/>
    <w:uiPriority w:val="99"/>
    <w:rPr>
      <w:color w:val="CC0000"/>
    </w:rPr>
  </w:style>
  <w:style w:type="character" w:customStyle="1" w:styleId="209">
    <w:name w:val="starting3"/>
    <w:basedOn w:val="47"/>
    <w:autoRedefine/>
    <w:qFormat/>
    <w:uiPriority w:val="99"/>
    <w:rPr>
      <w:rFonts w:cs="Times New Roman"/>
    </w:rPr>
  </w:style>
  <w:style w:type="character" w:customStyle="1" w:styleId="210">
    <w:name w:val="textcontents"/>
    <w:basedOn w:val="47"/>
    <w:autoRedefine/>
    <w:qFormat/>
    <w:uiPriority w:val="99"/>
    <w:rPr>
      <w:rFonts w:cs="Times New Roman"/>
    </w:rPr>
  </w:style>
  <w:style w:type="character" w:customStyle="1" w:styleId="211">
    <w:name w:val="num41"/>
    <w:basedOn w:val="47"/>
    <w:autoRedefine/>
    <w:qFormat/>
    <w:uiPriority w:val="99"/>
    <w:rPr>
      <w:rFonts w:cs="Times New Roman"/>
    </w:rPr>
  </w:style>
  <w:style w:type="character" w:customStyle="1" w:styleId="212">
    <w:name w:val="tit9"/>
    <w:autoRedefine/>
    <w:qFormat/>
    <w:uiPriority w:val="99"/>
    <w:rPr>
      <w:color w:val="B60000"/>
      <w:sz w:val="27"/>
      <w:bdr w:val="single" w:color="DFCEB8" w:sz="6" w:space="0"/>
      <w:shd w:val="clear" w:color="auto" w:fill="FFFFFF"/>
    </w:rPr>
  </w:style>
  <w:style w:type="character" w:customStyle="1" w:styleId="213">
    <w:name w:val="name2"/>
    <w:autoRedefine/>
    <w:qFormat/>
    <w:uiPriority w:val="99"/>
    <w:rPr>
      <w:color w:val="000000"/>
      <w:sz w:val="39"/>
    </w:rPr>
  </w:style>
  <w:style w:type="character" w:customStyle="1" w:styleId="214">
    <w:name w:val="img_title8"/>
    <w:autoRedefine/>
    <w:qFormat/>
    <w:uiPriority w:val="99"/>
    <w:rPr>
      <w:vanish/>
    </w:rPr>
  </w:style>
  <w:style w:type="character" w:customStyle="1" w:styleId="215">
    <w:name w:val="tit15"/>
    <w:autoRedefine/>
    <w:qFormat/>
    <w:uiPriority w:val="99"/>
    <w:rPr>
      <w:b/>
      <w:color w:val="B60000"/>
    </w:rPr>
  </w:style>
  <w:style w:type="character" w:customStyle="1" w:styleId="216">
    <w:name w:val="img_title9"/>
    <w:autoRedefine/>
    <w:qFormat/>
    <w:uiPriority w:val="99"/>
    <w:rPr>
      <w:vanish/>
    </w:rPr>
  </w:style>
  <w:style w:type="table" w:customStyle="1" w:styleId="217">
    <w:name w:val="Table Normal"/>
    <w:autoRedefine/>
    <w:unhideWhenUsed/>
    <w:qFormat/>
    <w:uiPriority w:val="0"/>
    <w:tblPr>
      <w:tblCellMar>
        <w:top w:w="0" w:type="dxa"/>
        <w:left w:w="0" w:type="dxa"/>
        <w:bottom w:w="0" w:type="dxa"/>
        <w:right w:w="0" w:type="dxa"/>
      </w:tblCellMar>
    </w:tblPr>
  </w:style>
  <w:style w:type="paragraph" w:customStyle="1" w:styleId="218">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19">
    <w:name w:val="hover"/>
    <w:basedOn w:val="47"/>
    <w:autoRedefine/>
    <w:qFormat/>
    <w:uiPriority w:val="0"/>
    <w:rPr>
      <w:color w:val="2590EB"/>
    </w:rPr>
  </w:style>
  <w:style w:type="character" w:customStyle="1" w:styleId="220">
    <w:name w:val="hover1"/>
    <w:basedOn w:val="47"/>
    <w:autoRedefine/>
    <w:qFormat/>
    <w:uiPriority w:val="0"/>
    <w:rPr>
      <w:color w:val="2590EB"/>
    </w:rPr>
  </w:style>
  <w:style w:type="character" w:customStyle="1" w:styleId="221">
    <w:name w:val="hover2"/>
    <w:basedOn w:val="47"/>
    <w:autoRedefine/>
    <w:qFormat/>
    <w:uiPriority w:val="0"/>
    <w:rPr>
      <w:color w:val="2590EB"/>
      <w:shd w:val="clear" w:fill="E9F4FD"/>
    </w:rPr>
  </w:style>
  <w:style w:type="character" w:customStyle="1" w:styleId="222">
    <w:name w:val="hover3"/>
    <w:basedOn w:val="47"/>
    <w:autoRedefine/>
    <w:qFormat/>
    <w:uiPriority w:val="0"/>
  </w:style>
  <w:style w:type="character" w:customStyle="1" w:styleId="223">
    <w:name w:val="mini-outputtext1"/>
    <w:basedOn w:val="47"/>
    <w:autoRedefine/>
    <w:qFormat/>
    <w:uiPriority w:val="0"/>
  </w:style>
  <w:style w:type="character" w:customStyle="1" w:styleId="224">
    <w:name w:val="hover4"/>
    <w:basedOn w:val="47"/>
    <w:autoRedefine/>
    <w:qFormat/>
    <w:uiPriority w:val="0"/>
    <w:rPr>
      <w:color w:val="2590EB"/>
    </w:rPr>
  </w:style>
  <w:style w:type="paragraph" w:styleId="225">
    <w:name w:val="List Paragraph"/>
    <w:basedOn w:val="1"/>
    <w:autoRedefine/>
    <w:qFormat/>
    <w:uiPriority w:val="34"/>
    <w:pPr>
      <w:ind w:firstLine="420" w:firstLineChars="200"/>
    </w:pPr>
  </w:style>
  <w:style w:type="paragraph" w:customStyle="1" w:styleId="22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7">
    <w:name w:val="_Style 117"/>
    <w:basedOn w:val="1"/>
    <w:next w:val="1"/>
    <w:qFormat/>
    <w:uiPriority w:val="0"/>
    <w:pPr>
      <w:pBdr>
        <w:bottom w:val="single" w:color="auto" w:sz="6" w:space="1"/>
      </w:pBdr>
      <w:jc w:val="center"/>
    </w:pPr>
    <w:rPr>
      <w:rFonts w:ascii="Arial" w:eastAsia="宋体"/>
      <w:vanish/>
      <w:sz w:val="16"/>
    </w:rPr>
  </w:style>
  <w:style w:type="paragraph" w:customStyle="1" w:styleId="228">
    <w:name w:val="_Style 11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1a190e96-c9af-42d4-81c8-ce904ee8620a</errorID>
      <errorWord>-</errorWord>
      <group>L1_AI</group>
      <groupName>深度校对</groupName>
      <ability>L2_AI_Punc</ability>
      <abilityName>标点纠错</abilityName>
      <candidateList>
        <item/>
      </candidateList>
      <explain/>
      <paraID>70160483</paraID>
      <start>18</start>
      <end>19</end>
      <status>unmodified</status>
      <modifiedWord/>
      <trackRevisions>false</trackRevisions>
    </reviewItem>
    <reviewItem>
      <errorID>1e2c114b-b690-46a3-8d7c-b5b8718d4d49</errorID>
      <errorWord>不得被</errorWord>
      <group>L1_AI</group>
      <groupName>深度校对</groupName>
      <ability>L2_AI_Word</ability>
      <abilityName>字词纠错</abilityName>
      <candidateList>
        <item>不得</item>
      </candidateList>
      <explain/>
      <paraID>394201D2</paraID>
      <start>20</start>
      <end>23</end>
      <status>unmodified</status>
      <modifiedWord/>
      <trackRevisions>false</trackRevisions>
    </reviewItem>
    <reviewItem>
      <errorID>14859700-e83c-475a-ad9c-759177ad3859</errorID>
      <errorWord>;</errorWord>
      <group>L1_Format</group>
      <groupName>格式问题</groupName>
      <ability>L2_HalfPunc</ability>
      <abilityName>全半角检查</abilityName>
      <candidateList>
        <item>；</item>
      </candidateList>
      <explain>文本全半角错误。</explain>
      <paraID>5DAB2AED</paraID>
      <start>21</start>
      <end>22</end>
      <status>unmodified</status>
      <modifiedWord/>
      <trackRevisions>false</trackRevisions>
    </reviewItem>
    <reviewItem>
      <errorID>dfa1415b-f68a-49ab-a935-882faef181e0</errorID>
      <errorWord>(</errorWord>
      <group>L1_Format</group>
      <groupName>格式问题</groupName>
      <ability>L2_HalfPunc</ability>
      <abilityName>全半角检查</abilityName>
      <candidateList>
        <item>（</item>
      </candidateList>
      <explain>文本全半角错误。</explain>
      <paraID>45781BAE</paraID>
      <start>26</start>
      <end>27</end>
      <status>unmodified</status>
      <modifiedWord/>
      <trackRevisions>false</trackRevisions>
    </reviewItem>
    <reviewItem>
      <errorID>bfb8bafa-bc7e-4b67-a790-7eb95e8f0281</errorID>
      <errorWord>)</errorWord>
      <group>L1_Format</group>
      <groupName>格式问题</groupName>
      <ability>L2_HalfPunc</ability>
      <abilityName>全半角检查</abilityName>
      <candidateList>
        <item>）</item>
      </candidateList>
      <explain>文本全半角错误。</explain>
      <paraID>45781BAE</paraID>
      <start>42</start>
      <end>43</end>
      <status>unmodified</status>
      <modifiedWord/>
      <trackRevisions>false</trackRevisions>
    </reviewItem>
    <reviewItem>
      <errorID>adaf2ab3-0e75-456c-96ca-c8e8fb27a68b</errorID>
      <errorWord>接受</errorWord>
      <group>L1_AI</group>
      <groupName>深度校对</groupName>
      <ability>L2_AI_Grammar</ability>
      <abilityName>语法纠错</abilityName>
      <candidateList>
        <item>不得接受</item>
      </candidateList>
      <explain/>
      <paraID>6229DA3F</paraID>
      <start>38</start>
      <end>40</end>
      <status>unmodified</status>
      <modifiedWord/>
      <trackRevisions>false</trackRevisions>
    </reviewItem>
    <reviewItem>
      <errorID>c72e39c5-e02f-432c-94b7-7d49f56b3104</errorID>
      <errorWord>登录</errorWord>
      <group>L1_AI</group>
      <groupName>深度校对</groupName>
      <ability>L2_AI_Punc</ability>
      <abilityName>标点纠错</abilityName>
      <candidateList>
        <item>：登录</item>
      </candidateList>
      <explain/>
      <paraID>26325702</paraID>
      <start>179</start>
      <end>181</end>
      <status>unmodified</status>
      <modifiedWord/>
      <trackRevisions>false</trackRevisions>
    </reviewItem>
    <reviewItem>
      <errorID>ae47b5c6-f9e9-4c82-ae5c-a74c6226d34f</errorID>
      <errorWord>&gt;</errorWord>
      <group>L1_Format</group>
      <groupName>格式问题</groupName>
      <ability>L2_HalfPunc</ability>
      <abilityName>全半角检查</abilityName>
      <candidateList>
        <item>〉</item>
      </candidateList>
      <explain>文本全半角错误。</explain>
      <paraID>26325702</paraID>
      <start>193</start>
      <end>194</end>
      <status>unmodified</status>
      <modifiedWord/>
      <trackRevisions>false</trackRevisions>
    </reviewItem>
    <reviewItem>
      <errorID>e229964f-bf7b-4428-b93d-2f97ac09c426</errorID>
      <errorWord>&gt;</errorWord>
      <group>L1_Format</group>
      <groupName>格式问题</groupName>
      <ability>L2_HalfPunc</ability>
      <abilityName>全半角检查</abilityName>
      <candidateList>
        <item>〉</item>
      </candidateList>
      <explain>文本全半角错误。</explain>
      <paraID>26325702</paraID>
      <start>198</start>
      <end>199</end>
      <status>unmodified</status>
      <modifiedWord/>
      <trackRevisions>false</trackRevisions>
    </reviewItem>
    <reviewItem>
      <errorID>eec4779b-28ed-41e0-a9d4-e6698dd02af4</errorID>
      <errorWord>2 </errorWord>
      <group>L1_AI</group>
      <groupName>深度校对</groupName>
      <ability>L2_AI_Word</ability>
      <abilityName>字词纠错</abilityName>
      <candidateList>
        <item> 2</item>
      </candidateList>
      <explain/>
      <paraID>26325702</paraID>
      <start>299</start>
      <end>301</end>
      <status>unmodified</status>
      <modifiedWord/>
      <trackRevisions>false</trackRevisions>
    </reviewItem>
    <reviewItem>
      <errorID>4d1323a7-1a2e-4515-9da3-9ef8f5db4392</errorID>
      <errorWord>,</errorWord>
      <group>L1_Format</group>
      <groupName>格式问题</groupName>
      <ability>L2_HalfPunc</ability>
      <abilityName>全半角检查</abilityName>
      <candidateList>
        <item>，</item>
      </candidateList>
      <explain>文本全半角错误。</explain>
      <paraID>26325702</paraID>
      <start>352</start>
      <end>353</end>
      <status>unmodified</status>
      <modifiedWord/>
      <trackRevisions>false</trackRevisions>
    </reviewItem>
    <reviewItem>
      <errorID>806d86db-6d8b-43af-83c5-37be08ebf0c4</errorID>
      <errorWord>66085508 </errorWord>
      <group>L1_AI</group>
      <groupName>深度校对</groupName>
      <ability>L2_AI_Word</ability>
      <abilityName>字词纠错</abilityName>
      <candidateList>
        <item> 66085508</item>
      </candidateList>
      <explain/>
      <paraID>26325702</paraID>
      <start>363</start>
      <end>372</end>
      <status>unmodified</status>
      <modifiedWord/>
      <trackRevisions>false</trackRevisions>
    </reviewItem>
    <reviewItem>
      <errorID>5966cf0c-248e-4655-b387-1c4a4c3898c6</errorID>
      <errorWord>00）、</errorWord>
      <group>L1_Punc</group>
      <groupName>标点问题</groupName>
      <ability>L2_Punc</ability>
      <abilityName>标点符号检查</abilityName>
      <candidateList>
        <item>00）</item>
      </candidateList>
      <explain>根据国标GB/T 15834-2011《标点符号用法》中的4.5.3.3节，带括号的汉字数字或阿拉伯数字表次序时，后面通常不加顿号。如“（一）指导思想”“（二）行动指南”。</explain>
      <paraID>26325702</paraID>
      <start>436</start>
      <end>440</end>
      <status>unmodified</status>
      <modifiedWord/>
      <trackRevisions>false</trackRevisions>
    </reviewItem>
    <reviewItem>
      <errorID>68aa8b1e-06b0-497d-802b-144627abca43</errorID>
      <errorWord>。</errorWord>
      <group>L1_AI</group>
      <groupName>深度校对</groupName>
      <ability>L2_AI_Punc</ability>
      <abilityName>标点纠错</abilityName>
      <candidateList>
        <item>；</item>
      </candidateList>
      <explain/>
      <paraID>26325702</paraID>
      <start>457</start>
      <end>458</end>
      <status>unmodified</status>
      <modifiedWord/>
      <trackRevisions>false</trackRevisions>
    </reviewItem>
    <reviewItem>
      <errorID>fb261f68-48c8-4b3d-9e87-42617b9af7b1</errorID>
      <errorWord>（具体操作步骤和程序请参见服务指南&gt;交易须知&gt;投标人填写投标信息、下载文件及网上提问操作手册）。</errorWord>
      <group>L1_AI</group>
      <groupName>深度校对</groupName>
      <ability>L2_AI_Word</ability>
      <abilityName>字词纠错</abilityName>
      <candidateList>
        <item>。（具体操作步骤和程序请参见服务指南&gt;交易须知&gt;投标人填写投标信息、下载文件及网上提问操作手册）</item>
      </candidateList>
      <explain/>
      <paraID>2D8ADFE5</paraID>
      <start>31</start>
      <end>79</end>
      <status>unmodified</status>
      <modifiedWord/>
      <trackRevisions>false</trackRevisions>
    </reviewItem>
    <reviewItem>
      <errorID>0a34d096-570c-4aa7-96c2-3ca5276055b0</errorID>
      <errorWord>(远程解密)</errorWord>
      <group>L1_AI</group>
      <groupName>深度校对</groupName>
      <ability>L2_AI_Punc</ability>
      <abilityName>标点纠错</abilityName>
      <candidateList>
        <item>（远程解密）</item>
      </candidateList>
      <explain/>
      <paraID>73634353</paraID>
      <start>12</start>
      <end>18</end>
      <status>unmodified</status>
      <modifiedWord/>
      <trackRevisions>false</trackRevisions>
    </reviewItem>
    <reviewItem>
      <errorID>885d41df-b05e-4fec-9c53-d4987cb838df</errorID>
      <errorWord>，</errorWord>
      <group>L1_AI</group>
      <groupName>深度校对</groupName>
      <ability>L2_AI_Punc</ability>
      <abilityName>标点纠错</abilityName>
      <candidateList>
        <item>。</item>
      </candidateList>
      <explain/>
      <paraID>73634353</paraID>
      <start>55</start>
      <end>56</end>
      <status>unmodified</status>
      <modifiedWord/>
      <trackRevisions>false</trackRevisions>
    </reviewItem>
    <reviewItem>
      <errorID>9a2f4130-d1a4-44e1-8ea4-79573fead432</errorID>
      <errorWord>&gt;</errorWord>
      <group>L1_Format</group>
      <groupName>格式问题</groupName>
      <ability>L2_HalfPunc</ability>
      <abilityName>全半角检查</abilityName>
      <candidateList>
        <item>〉</item>
      </candidateList>
      <explain>文本全半角错误。</explain>
      <paraID>73634353</paraID>
      <start>209</start>
      <end>210</end>
      <status>unmodified</status>
      <modifiedWord/>
      <trackRevisions>false</trackRevisions>
    </reviewItem>
    <reviewItem>
      <errorID>68008615-4d9c-4974-9566-912050039a67</errorID>
      <errorWord>&gt;</errorWord>
      <group>L1_Format</group>
      <groupName>格式问题</groupName>
      <ability>L2_HalfPunc</ability>
      <abilityName>全半角检查</abilityName>
      <candidateList>
        <item>〉</item>
      </candidateList>
      <explain>文本全半角错误。</explain>
      <paraID>73634353</paraID>
      <start>214</start>
      <end>215</end>
      <status>unmodified</status>
      <modifiedWord/>
      <trackRevisions>false</trackRevisions>
    </reviewItem>
    <reviewItem>
      <errorID>f9fe5a86-7968-457c-b7da-94ffe40cbb7f</errorID>
      <errorWord>截止10日</errorWord>
      <group>L1_Word</group>
      <groupName>字词问题</groupName>
      <ability>L2_Typo</ability>
      <abilityName>字词错误</abilityName>
      <candidateList>
        <item>截至10日</item>
      </candidateList>
      <explain/>
      <paraID>20F7A4B3</paraID>
      <start>50</start>
      <end>55</end>
      <status>unmodified</status>
      <modifiedWord/>
      <trackRevisions>false</trackRevisions>
    </reviewItem>
    <reviewItem>
      <errorID>9518962e-a781-4320-ba8c-017c9488de20</errorID>
      <errorWord>进行异议</errorWord>
      <group>L1_AI</group>
      <groupName>深度校对</groupName>
      <ability>L2_AI_Word</ability>
      <abilityName>字词纠错</abilityName>
      <candidateList>
        <item>提出异议</item>
      </candidateList>
      <explain/>
      <paraID>20F7A4B3</paraID>
      <start>77</start>
      <end>81</end>
      <status>unmodified</status>
      <modifiedWord/>
      <trackRevisions>false</trackRevisions>
    </reviewItem>
    <reviewItem>
      <errorID>feaee6fc-d213-43b7-9a89-09d3f68b3276</errorID>
      <errorWord>&gt;</errorWord>
      <group>L1_Format</group>
      <groupName>格式问题</groupName>
      <ability>L2_HalfPunc</ability>
      <abilityName>全半角检查</abilityName>
      <candidateList>
        <item>〉</item>
      </candidateList>
      <explain>文本全半角错误。</explain>
      <paraID>20F7A4B3</paraID>
      <start>98</start>
      <end>99</end>
      <status>unmodified</status>
      <modifiedWord/>
      <trackRevisions>false</trackRevisions>
    </reviewItem>
    <reviewItem>
      <errorID>7f41848f-0fcb-4e98-864a-d0922231c50a</errorID>
      <errorWord>&gt;</errorWord>
      <group>L1_Format</group>
      <groupName>格式问题</groupName>
      <ability>L2_HalfPunc</ability>
      <abilityName>全半角检查</abilityName>
      <candidateList>
        <item>〉</item>
      </candidateList>
      <explain>文本全半角错误。</explain>
      <paraID>20F7A4B3</paraID>
      <start>103</start>
      <end>104</end>
      <status>unmodified</status>
      <modifiedWord/>
      <trackRevisions>false</trackRevisions>
    </reviewItem>
    <reviewItem>
      <errorID>cf83f7ae-1a98-4e88-9038-679332b146ff</errorID>
      <errorWord>联系</errorWord>
      <group>L1_AI</group>
      <groupName>深度校对</groupName>
      <ability>L2_AI_Punc</ability>
      <abilityName>标点纠错</abilityName>
      <candidateList>
        <item>联系。</item>
      </candidateList>
      <explain/>
      <paraID>5AE02ACE</paraID>
      <start>18</start>
      <end>20</end>
      <status>unmodified</status>
      <modifiedWord/>
      <trackRevisions>false</trackRevisions>
    </reviewItem>
    <reviewItem>
      <errorID>5d42a206-0eee-4024-b042-15c53943c26f</errorID>
      <errorWord>服务期</errorWord>
      <group>L1_AI</group>
      <groupName>深度校对</groupName>
      <ability>L2_AI_Title</ability>
      <abilityName>标题检查</abilityName>
      <candidateList>
        <item>9.服务期</item>
      </candidateList>
      <explain>标题顺序错误，请检查标题顺序是否合理。</explain>
      <paraID>3350A237</paraID>
      <start>0</start>
      <end>3</end>
      <status>unmodified</status>
      <modifiedWord/>
      <trackRevisions>false</trackRevisions>
    </reviewItem>
    <reviewItem>
      <errorID>f222322c-cae9-49d8-b93f-0d68ae2a98dd</errorID>
      <errorWord> </errorWord>
      <group>L1_AI</group>
      <groupName>深度校对</groupName>
      <ability>L2_AI_Punc</ability>
      <abilityName>标点纠错</abilityName>
      <candidateList>
        <item/>
      </candidateList>
      <explain>此处空格冗余，建议删除。</explain>
      <paraID> 975C0A0</paraID>
      <start>23</start>
      <end>24</end>
      <status>unmodified</status>
      <modifiedWord/>
      <trackRevisions>false</trackRevisions>
    </reviewItem>
    <reviewItem>
      <errorID>03f6cd48-6427-44b6-a010-b742d9b3c704</errorID>
      <errorWord> </errorWord>
      <group>L1_AI</group>
      <groupName>深度校对</groupName>
      <ability>L2_AI_Punc</ability>
      <abilityName>标点纠错</abilityName>
      <candidateList>
        <item/>
      </candidateList>
      <explain>此处空格冗余，建议删除。</explain>
      <paraID> 975C0A0</paraID>
      <start>36</start>
      <end>37</end>
      <status>unmodified</status>
      <modifiedWord/>
      <trackRevisions>false</trackRevisions>
    </reviewItem>
    <reviewItem>
      <errorID>bc055d8a-5c34-4be6-9a97-731857c61347</errorID>
      <errorWord>&gt;</errorWord>
      <group>L1_Format</group>
      <groupName>格式问题</groupName>
      <ability>L2_HalfPunc</ability>
      <abilityName>全半角检查</abilityName>
      <candidateList>
        <item>〉</item>
      </candidateList>
      <explain>文本全半角错误。</explain>
      <paraID> 975C0A0</paraID>
      <start>81</start>
      <end>82</end>
      <status>unmodified</status>
      <modifiedWord/>
      <trackRevisions>false</trackRevisions>
    </reviewItem>
    <reviewItem>
      <errorID>901e6aaa-c855-41ae-8c9e-118904dfae6f</errorID>
      <errorWord>&gt;</errorWord>
      <group>L1_Format</group>
      <groupName>格式问题</groupName>
      <ability>L2_HalfPunc</ability>
      <abilityName>全半角检查</abilityName>
      <candidateList>
        <item>〉</item>
      </candidateList>
      <explain>文本全半角错误。</explain>
      <paraID> 975C0A0</paraID>
      <start>86</start>
      <end>87</end>
      <status>unmodified</status>
      <modifiedWord/>
      <trackRevisions>false</trackRevisions>
    </reviewItem>
    <reviewItem>
      <errorID>a107228b-7a90-46c1-9177-23cdfe764312</errorID>
      <errorWord>解</errorWord>
      <group>L1_Word</group>
      <groupName>字词问题</groupName>
      <ability>L2_Typo</ability>
      <abilityName>字词错误</abilityName>
      <candidateList>
        <item>截</item>
      </candidateList>
      <explain/>
      <paraID>65BC2CB2</paraID>
      <start>0</start>
      <end>1</end>
      <status>unmodified</status>
      <modifiedWord/>
      <trackRevisions>false</trackRevisions>
    </reviewItem>
    <reviewItem>
      <errorID>3437b89b-ac23-4b5d-ae96-310e97c081ea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7E2F13C5</paraID>
      <start>0</start>
      <end>2</end>
      <status>unmodified</status>
      <modifiedWord/>
      <trackRevisions>false</trackRevisions>
    </reviewItem>
    <reviewItem>
      <errorID>e8397866-3ce5-48c9-929c-ff8b89745c8e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7D298C44</paraID>
      <start>0</start>
      <end>2</end>
      <status>unmodified</status>
      <modifiedWord/>
      <trackRevisions>false</trackRevisions>
    </reviewItem>
    <reviewItem>
      <errorID>40beb6f5-fbdf-48bc-a1ae-ea2a752246c9</errorID>
      <errorWord>(</errorWord>
      <group>L1_Format</group>
      <groupName>格式问题</groupName>
      <ability>L2_HalfPunc</ability>
      <abilityName>全半角检查</abilityName>
      <candidateList>
        <item>（</item>
      </candidateList>
      <explain>文本全半角错误。</explain>
      <paraID>34C2201D</paraID>
      <start>0</start>
      <end>1</end>
      <status>unmodified</status>
      <modifiedWord/>
      <trackRevisions>false</trackRevisions>
    </reviewItem>
    <reviewItem>
      <errorID>27ee24d7-05ff-4836-b094-e26f68b92292</errorID>
      <errorWord>)</errorWord>
      <group>L1_Format</group>
      <groupName>格式问题</groupName>
      <ability>L2_HalfPunc</ability>
      <abilityName>全半角检查</abilityName>
      <candidateList>
        <item>）</item>
      </candidateList>
      <explain>文本全半角错误。</explain>
      <paraID>34C2201D</paraID>
      <start>24</start>
      <end>25</end>
      <status>unmodified</status>
      <modifiedWord/>
      <trackRevisions>false</trackRevisions>
    </reviewItem>
    <reviewItem>
      <errorID>4f3c95f6-226a-46e5-bdce-24b6d5d2e267</errorID>
      <errorWord>(</errorWord>
      <group>L1_Format</group>
      <groupName>格式问题</groupName>
      <ability>L2_HalfPunc</ability>
      <abilityName>全半角检查</abilityName>
      <candidateList>
        <item>（</item>
      </candidateList>
      <explain>文本全半角错误。</explain>
      <paraID>383EE48C</paraID>
      <start>16</start>
      <end>17</end>
      <status>unmodified</status>
      <modifiedWord/>
      <trackRevisions>false</trackRevisions>
    </reviewItem>
    <reviewItem>
      <errorID>edc1ee9e-a0c5-47e3-9d4f-5fa59b93cf17</errorID>
      <errorWord>)</errorWord>
      <group>L1_Format</group>
      <groupName>格式问题</groupName>
      <ability>L2_HalfPunc</ability>
      <abilityName>全半角检查</abilityName>
      <candidateList>
        <item>）</item>
      </candidateList>
      <explain>文本全半角错误。</explain>
      <paraID>383EE48C</paraID>
      <start>34</start>
      <end>35</end>
      <status>unmodified</status>
      <modifiedWord/>
      <trackRevisions>false</trackRevisions>
    </reviewItem>
    <reviewItem>
      <errorID>45f41560-72b9-44da-9281-fc987e011bf6</errorID>
      <errorWord>[2002]1980号</errorWord>
      <group>L1_Knowledge</group>
      <groupName>知识性问题</groupName>
      <ability>L2_Knowledge</ability>
      <abilityName>其他知识</abilityName>
      <candidateList>
        <item>〔2002〕1980号</item>
      </candidateList>
      <explain>发文字号格式错误。</explain>
      <paraID>4FCEA6E1</paraID>
      <start>23</start>
      <end>34</end>
      <status>unmodified</status>
      <modifiedWord/>
      <trackRevisions>false</trackRevisions>
    </reviewItem>
    <reviewItem>
      <errorID>452da285-1237-4755-bc83-8e0b0eb53959</errorID>
      <errorWord>法律、法规</errorWord>
      <group>L1_Word</group>
      <groupName>字词问题</groupName>
      <ability>L2_Typo</ability>
      <abilityName>字词错误</abilityName>
      <candidateList>
        <item>法律法规</item>
      </candidateList>
      <explain/>
      <paraID>28D14F5E</paraID>
      <start>42</start>
      <end>47</end>
      <status>unmodified</status>
      <modifiedWord/>
      <trackRevisions>false</trackRevisions>
    </reviewItem>
    <reviewItem>
      <errorID>f7566947-892f-4be3-aad2-67d73fe4a665</errorID>
      <errorWord>操作的</errorWord>
      <group>L1_Word</group>
      <groupName>字词问题</groupName>
      <ability>L2_Typo</ability>
      <abilityName>字词错误</abilityName>
      <candidateList>
        <item>操作</item>
      </candidateList>
      <explain>〈动〉按照一定的程序和技术要求进行活动或工作：～方法｜～规程。</explain>
      <paraID>43B27454</paraID>
      <start>28</start>
      <end>31</end>
      <status>unmodified</status>
      <modifiedWord/>
      <trackRevisions>false</trackRevisions>
    </reviewItem>
    <reviewItem>
      <errorID>479f1ca8-a3f9-4587-8a32-a320bb919244</errorID>
      <errorWord>的的</errorWord>
      <group>L1_Word</group>
      <groupName>字词问题</groupName>
      <ability>L2_Typo</ability>
      <abilityName>字词错误</abilityName>
      <candidateList>
        <item>的</item>
      </candidateList>
      <explain>“的”常用于连接修饰语与名词性中心语，表示属性、所属或描述。</explain>
      <paraID>15172511</paraID>
      <start>110</start>
      <end>112</end>
      <status>unmodified</status>
      <modifiedWord/>
      <trackRevisions>false</trackRevisions>
    </reviewItem>
    <reviewItem>
      <errorID>9503f877-3f90-4cdc-bedf-760e448d9ec6</errorID>
      <errorWord>法律、法规</errorWord>
      <group>L1_Word</group>
      <groupName>字词问题</groupName>
      <ability>L2_Typo</ability>
      <abilityName>字词错误</abilityName>
      <candidateList>
        <item>法律法规</item>
      </candidateList>
      <explain/>
      <paraID>761A878A</paraID>
      <start>3</start>
      <end>8</end>
      <status>unmodified</status>
      <modifiedWord/>
      <trackRevisions>false</trackRevisions>
    </reviewItem>
    <reviewItem>
      <errorID>95add4bf-b4ed-496e-beba-793e55f07558</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6495EDAB</paraID>
      <start>3</start>
      <end>7</end>
      <status>unmodified</status>
      <modifiedWord/>
      <trackRevisions>false</trackRevisions>
    </reviewItem>
    <reviewItem>
      <errorID>3c44918b-39f6-4234-98be-a336a00c570d</errorID>
      <errorWord>透漏</errorWord>
      <group>L1_Word</group>
      <groupName>字词问题</groupName>
      <ability>L2_Typo</ability>
      <abilityName>字词错误</abilityName>
      <candidateList>
        <item>透露</item>
      </candidateList>
      <explain>存在发音相同字词的误用。</explain>
      <paraID>12E9B85B</paraID>
      <start>28</start>
      <end>30</end>
      <status>unmodified</status>
      <modifiedWord/>
      <trackRevisions>false</trackRevisions>
    </reviewItem>
    <reviewItem>
      <errorID>68bf8310-8a7b-4e3f-9eea-2fe39fbdc5e5</errorID>
      <errorWord>透漏</errorWord>
      <group>L1_Word</group>
      <groupName>字词问题</groupName>
      <ability>L2_Typo</ability>
      <abilityName>字词错误</abilityName>
      <candidateList>
        <item>透露</item>
      </candidateList>
      <explain>存在发音相同字词的误用。</explain>
      <paraID>76F3E71E</paraID>
      <start>33</start>
      <end>35</end>
      <status>unmodified</status>
      <modifiedWord/>
      <trackRevisions>false</trackRevisions>
    </reviewItem>
    <reviewItem>
      <errorID>1d20241c-f83b-471c-ad8d-ffe61dc7fde8</errorID>
      <errorWord>法律、法规</errorWord>
      <group>L1_Word</group>
      <groupName>字词问题</groupName>
      <ability>L2_Typo</ability>
      <abilityName>字词错误</abilityName>
      <candidateList>
        <item>法律法规</item>
      </candidateList>
      <explain/>
      <paraID>1FFEE72D</paraID>
      <start>27</start>
      <end>32</end>
      <status>unmodified</status>
      <modifiedWord/>
      <trackRevisions>false</trackRevisions>
    </reviewItem>
    <reviewItem>
      <errorID>90f03832-01a0-48fd-8f6b-47e589a8c677</errorID>
      <errorWord>(</errorWord>
      <group>L1_Format</group>
      <groupName>格式问题</groupName>
      <ability>L2_HalfPunc</ability>
      <abilityName>全半角检查</abilityName>
      <candidateList>
        <item>（</item>
      </candidateList>
      <explain>文本全半角错误。</explain>
      <paraID>2B5ABA68</paraID>
      <start>17</start>
      <end>18</end>
      <status>unmodified</status>
      <modifiedWord/>
      <trackRevisions>false</trackRevisions>
    </reviewItem>
    <reviewItem>
      <errorID>ff6be14b-dea0-415e-9c84-954e5f34b511</errorID>
      <errorWord>)</errorWord>
      <group>L1_Format</group>
      <groupName>格式问题</groupName>
      <ability>L2_HalfPunc</ability>
      <abilityName>全半角检查</abilityName>
      <candidateList>
        <item>）</item>
      </candidateList>
      <explain>文本全半角错误。</explain>
      <paraID>2B5ABA68</paraID>
      <start>40</start>
      <end>41</end>
      <status>unmodified</status>
      <modifiedWord/>
      <trackRevisions>false</trackRevisions>
    </reviewItem>
    <reviewItem>
      <errorID>88175ac2-60ca-4c3d-8409-497d4d9118f2</errorID>
      <errorWord>（</errorWord>
      <group>L1_Punc</group>
      <groupName>标点问题</groupName>
      <ability>L2_Punc</ability>
      <abilityName>标点符号检查</abilityName>
      <candidateList/>
      <explain>同一形式括号套用。</explain>
      <paraID>37EFB527</paraID>
      <start>18</start>
      <end>19</end>
      <status>unmodified</status>
      <modifiedWord/>
      <trackRevisions>false</trackRevisions>
    </reviewItem>
    <reviewItem>
      <errorID>d4b02274-c5b9-49c5-9a5c-6bd9f2bb4512</errorID>
      <errorWord>）</errorWord>
      <group>L1_Punc</group>
      <groupName>标点问题</groupName>
      <ability>L2_Punc</ability>
      <abilityName>标点符号检查</abilityName>
      <candidateList/>
      <explain>同一形式括号套用。</explain>
      <paraID>37EFB527</paraID>
      <start>31</start>
      <end>32</end>
      <status>unmodified</status>
      <modifiedWord/>
      <trackRevisions>false</trackRevisions>
    </reviewItem>
    <reviewItem>
      <errorID>9598fb6b-c69a-478b-8c4d-05e9e60ee3f4</errorID>
      <errorWord>(</errorWord>
      <group>L1_Format</group>
      <groupName>格式问题</groupName>
      <ability>L2_HalfPunc</ability>
      <abilityName>全半角检查</abilityName>
      <candidateList>
        <item>（</item>
      </candidateList>
      <explain>文本全半角错误。</explain>
      <paraID>79875FD6</paraID>
      <start>9</start>
      <end>10</end>
      <status>unmodified</status>
      <modifiedWord/>
      <trackRevisions>false</trackRevisions>
    </reviewItem>
    <reviewItem>
      <errorID>b8f14791-fb75-4ee4-85d9-88ac26aac4c9</errorID>
      <errorWord>)</errorWord>
      <group>L1_Format</group>
      <groupName>格式问题</groupName>
      <ability>L2_HalfPunc</ability>
      <abilityName>全半角检查</abilityName>
      <candidateList>
        <item>）</item>
      </candidateList>
      <explain>文本全半角错误。</explain>
      <paraID>79875FD6</paraID>
      <start>16</start>
      <end>17</end>
      <status>unmodified</status>
      <modifiedWord/>
      <trackRevisions>false</trackRevisions>
    </reviewItem>
    <reviewItem>
      <errorID>6cb0565b-0d6b-4194-9f56-c943e4e7198a</errorID>
      <errorWord>(</errorWord>
      <group>L1_Format</group>
      <groupName>格式问题</groupName>
      <ability>L2_HalfPunc</ability>
      <abilityName>全半角检查</abilityName>
      <candidateList>
        <item>（</item>
      </candidateList>
      <explain>文本全半角错误。</explain>
      <paraID>6DF3B9D5</paraID>
      <start>20</start>
      <end>21</end>
      <status>unmodified</status>
      <modifiedWord/>
      <trackRevisions>false</trackRevisions>
    </reviewItem>
    <reviewItem>
      <errorID>bb9b09b4-3a3e-4aab-abb7-1a095fe760c7</errorID>
      <errorWord>)</errorWord>
      <group>L1_Format</group>
      <groupName>格式问题</groupName>
      <ability>L2_HalfPunc</ability>
      <abilityName>全半角检查</abilityName>
      <candidateList>
        <item>）</item>
      </candidateList>
      <explain>文本全半角错误。</explain>
      <paraID>6DF3B9D5</paraID>
      <start>43</start>
      <end>44</end>
      <status>unmodified</status>
      <modifiedWord/>
      <trackRevisions>false</trackRevisions>
    </reviewItem>
    <reviewItem>
      <errorID>ba446e3a-978e-48f6-a7c7-6cbfdcf2f5d6</errorID>
      <errorWord>（</errorWord>
      <group>L1_Punc</group>
      <groupName>标点问题</groupName>
      <ability>L2_Punc</ability>
      <abilityName>标点符号检查</abilityName>
      <candidateList/>
      <explain>同一形式括号套用。</explain>
      <paraID>3BA17234</paraID>
      <start>21</start>
      <end>22</end>
      <status>unmodified</status>
      <modifiedWord/>
      <trackRevisions>false</trackRevisions>
    </reviewItem>
    <reviewItem>
      <errorID>30c773ff-a2dd-42bf-b92f-b7837b484e39</errorID>
      <errorWord>）</errorWord>
      <group>L1_Punc</group>
      <groupName>标点问题</groupName>
      <ability>L2_Punc</ability>
      <abilityName>标点符号检查</abilityName>
      <candidateList/>
      <explain>同一形式括号套用。</explain>
      <paraID>3BA17234</paraID>
      <start>34</start>
      <end>35</end>
      <status>unmodified</status>
      <modifiedWord/>
      <trackRevisions>false</trackRevisions>
    </reviewItem>
    <reviewItem>
      <errorID>6ee0a45e-3820-4d19-a2ea-2b6edc208b92</errorID>
      <errorWord>(</errorWord>
      <group>L1_Format</group>
      <groupName>格式问题</groupName>
      <ability>L2_HalfPunc</ability>
      <abilityName>全半角检查</abilityName>
      <candidateList>
        <item>（</item>
      </candidateList>
      <explain>文本全半角错误。</explain>
      <paraID>43FB0016</paraID>
      <start>12</start>
      <end>13</end>
      <status>unmodified</status>
      <modifiedWord/>
      <trackRevisions>false</trackRevisions>
    </reviewItem>
    <reviewItem>
      <errorID>6555d5e5-2c0c-422c-b711-06d3132deaf1</errorID>
      <errorWord>)</errorWord>
      <group>L1_Format</group>
      <groupName>格式问题</groupName>
      <ability>L2_HalfPunc</ability>
      <abilityName>全半角检查</abilityName>
      <candidateList>
        <item>）</item>
      </candidateList>
      <explain>文本全半角错误。</explain>
      <paraID>43FB0016</paraID>
      <start>19</start>
      <end>20</end>
      <status>unmodified</status>
      <modifiedWord/>
      <trackRevisions>false</trackRevisions>
    </reviewItem>
    <reviewItem>
      <errorID>4eb19be9-8fb3-4fda-b9cd-a314f0134387</errorID>
      <errorWord>,</errorWord>
      <group>L1_Format</group>
      <groupName>格式问题</groupName>
      <ability>L2_HalfPunc</ability>
      <abilityName>全半角检查</abilityName>
      <candidateList>
        <item>，</item>
      </candidateList>
      <explain>文本全半角错误。</explain>
      <paraID>5E3DEE0E</paraID>
      <start>21</start>
      <end>22</end>
      <status>unmodified</status>
      <modifiedWord/>
      <trackRevisions>false</trackRevisions>
    </reviewItem>
    <reviewItem>
      <errorID>63194344-05b7-4051-b515-8731bd643da2</errorID>
      <errorWord>法律、法规</errorWord>
      <group>L1_Word</group>
      <groupName>字词问题</groupName>
      <ability>L2_Typo</ability>
      <abilityName>字词错误</abilityName>
      <candidateList>
        <item>法律法规</item>
      </candidateList>
      <explain/>
      <paraID>6669D8B4</paraID>
      <start>3</start>
      <end>8</end>
      <status>unmodified</status>
      <modifiedWord/>
      <trackRevisions>false</trackRevisions>
    </reviewItem>
    <reviewItem>
      <errorID>767efa2b-4701-408b-b829-10ee311c0088</errorID>
      <errorWord>:</errorWord>
      <group>L1_Format</group>
      <groupName>格式问题</groupName>
      <ability>L2_HalfPunc</ability>
      <abilityName>全半角检查</abilityName>
      <candidateList>
        <item>：</item>
      </candidateList>
      <explain>文本全半角错误。</explain>
      <paraID>583CD7D3</paraID>
      <start>32</start>
      <end>33</end>
      <status>unmodified</status>
      <modifiedWord/>
      <trackRevisions>false</trackRevisions>
    </reviewItem>
    <reviewItem>
      <errorID>cd2eaa6e-7142-4d0d-be5a-95a4033156ee</errorID>
      <errorWord>，</errorWord>
      <group>L1_Word</group>
      <groupName>字词问题</groupName>
      <ability>L2_Typo</ability>
      <abilityName>字词错误</abilityName>
      <candidateList>
        <item>，在</item>
      </candidateList>
      <explain/>
      <paraID>2BA99A18</paraID>
      <start>83</start>
      <end>84</end>
      <status>unmodified</status>
      <modifiedWord/>
      <trackRevisions>false</trackRevisions>
    </reviewItem>
    <reviewItem>
      <errorID>0493d8dd-10ca-40b3-b53a-888e71db5589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887DA63</paraID>
      <start>14</start>
      <end>17</end>
      <status>unmodified</status>
      <modifiedWord/>
      <trackRevisions>false</trackRevisions>
    </reviewItem>
    <reviewItem>
      <errorID>f4c99496-1797-44cc-88da-d331df2ccb22</errorID>
      <errorWord>须</errorWord>
      <group>L1_Word</group>
      <groupName>字词问题</groupName>
      <ability>L2_Typo</ability>
      <abilityName>字词错误</abilityName>
      <candidateList>
        <item>需</item>
      </candidateList>
      <explain>存在发音相同字词的误用。</explain>
      <paraID>673BC347</paraID>
      <start>9</start>
      <end>10</end>
      <status>unmodified</status>
      <modifiedWord/>
      <trackRevisions>false</trackRevisions>
    </reviewItem>
    <reviewItem>
      <errorID>d1c98dc2-8b8d-47fc-9da3-339f4f32c72c</errorID>
      <errorWord>（</errorWord>
      <group>L1_Punc</group>
      <groupName>标点问题</groupName>
      <ability>L2_Punc</ability>
      <abilityName>标点符号检查</abilityName>
      <candidateList/>
      <explain>同一形式括号套用。</explain>
      <paraID>62620221</paraID>
      <start>41</start>
      <end>42</end>
      <status>unmodified</status>
      <modifiedWord/>
      <trackRevisions>false</trackRevisions>
    </reviewItem>
    <reviewItem>
      <errorID>c1c0bf6c-36b3-4661-998f-8463e8d7a597</errorID>
      <errorWord>-</errorWord>
      <group>L1_Format</group>
      <groupName>格式问题</groupName>
      <ability>L2_HalfPunc</ability>
      <abilityName>全半角检查</abilityName>
      <candidateList>
        <item>－</item>
      </candidateList>
      <explain>文本全半角错误。</explain>
      <paraID>62620221</paraID>
      <start>46</start>
      <end>47</end>
      <status>unmodified</status>
      <modifiedWord/>
      <trackRevisions>false</trackRevisions>
    </reviewItem>
    <reviewItem>
      <errorID>3894833b-6e92-415c-b422-8405b5b126ba</errorID>
      <errorWord>）</errorWord>
      <group>L1_Punc</group>
      <groupName>标点问题</groupName>
      <ability>L2_Punc</ability>
      <abilityName>标点符号检查</abilityName>
      <candidateList/>
      <explain>同一形式括号套用。</explain>
      <paraID>62620221</paraID>
      <start>52</start>
      <end>53</end>
      <status>unmodified</status>
      <modifiedWord/>
      <trackRevisions>false</trackRevisions>
    </reviewItem>
    <reviewItem>
      <errorID>29c38819-730c-4984-9af8-eb0ff66ae903</errorID>
      <errorWord>（</errorWord>
      <group>L1_Punc</group>
      <groupName>标点问题</groupName>
      <ability>L2_Punc</ability>
      <abilityName>标点符号检查</abilityName>
      <candidateList/>
      <explain>同一形式括号套用。</explain>
      <paraID>2E05A151</paraID>
      <start>38</start>
      <end>39</end>
      <status>unmodified</status>
      <modifiedWord/>
      <trackRevisions>false</trackRevisions>
    </reviewItem>
    <reviewItem>
      <errorID>6ebbc8a9-e0fb-472b-9a8d-4149dcdfa756</errorID>
      <errorWord>）</errorWord>
      <group>L1_Punc</group>
      <groupName>标点问题</groupName>
      <ability>L2_Punc</ability>
      <abilityName>标点符号检查</abilityName>
      <candidateList/>
      <explain>同一形式括号套用。</explain>
      <paraID>2E05A151</paraID>
      <start>49</start>
      <end>50</end>
      <status>unmodified</status>
      <modifiedWord/>
      <trackRevisions>false</trackRevisions>
    </reviewItem>
    <reviewItem>
      <errorID>848a1339-3f23-497c-8dff-203d689f520d</errorID>
      <errorWord>件</errorWord>
      <group>L1_Word</group>
      <groupName>字词问题</groupName>
      <ability>L2_Typo</ability>
      <abilityName>字词错误</abilityName>
      <candidateList>
        <item>件和</item>
      </candidateList>
      <explain/>
      <paraID>29058AC2</paraID>
      <start>120</start>
      <end>121</end>
      <status>unmodified</status>
      <modifiedWord/>
      <trackRevisions>false</trackRevisions>
    </reviewItem>
    <reviewItem>
      <errorID>b7ede0c7-910c-4cbf-9a47-12ecff7ec942</errorID>
      <errorWord>，应</errorWord>
      <group>L1_Word</group>
      <groupName>字词问题</groupName>
      <ability>L2_Typo</ability>
      <abilityName>字词错误</abilityName>
      <candidateList>
        <item>，</item>
      </candidateList>
      <explain/>
      <paraID>3D0C1577</paraID>
      <start>14</start>
      <end>16</end>
      <status>unmodified</status>
      <modifiedWord/>
      <trackRevisions>false</trackRevisions>
    </reviewItem>
    <reviewItem>
      <errorID>dc9dd89e-6758-4bf3-ad84-4ee23df8dc16</errorID>
      <errorWord>里</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56F435BB</paraID>
      <start>14</start>
      <end>15</end>
      <status>unmodified</status>
      <modifiedWord/>
      <trackRevisions>false</trackRevisions>
    </reviewItem>
    <reviewItem>
      <errorID>0a77a560-124a-4483-9614-fef959258394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1C27ABE4</paraID>
      <start>0</start>
      <end>3</end>
      <status>unmodified</status>
      <modifiedWord/>
      <trackRevisions>false</trackRevisions>
    </reviewItem>
    <reviewItem>
      <errorID>33c772b7-66aa-477b-b215-571d27d3278e</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1C27ABE4</paraID>
      <start>44</start>
      <end>45</end>
      <status>unmodified</status>
      <modifiedWord/>
      <trackRevisions>false</trackRevisions>
    </reviewItem>
    <reviewItem>
      <errorID>2180b3ba-ded0-47ae-8aa2-3ab2a355e42f</errorID>
      <errorWord>》</errorWord>
      <group>L1_Word</group>
      <groupName>字词问题</groupName>
      <ability>L2_Typo</ability>
      <abilityName>字词错误</abilityName>
      <candidateList>
        <item>》第</item>
      </candidateList>
      <explain/>
      <paraID>1C890005</paraID>
      <start>12</start>
      <end>13</end>
      <status>unmodified</status>
      <modifiedWord/>
      <trackRevisions>false</trackRevisions>
    </reviewItem>
    <reviewItem>
      <errorID>869d225b-0693-4e52-9fe9-e97b6c9db671</errorID>
      <errorWord>法律、法规</errorWord>
      <group>L1_Word</group>
      <groupName>字词问题</groupName>
      <ability>L2_Typo</ability>
      <abilityName>字词错误</abilityName>
      <candidateList>
        <item>法律法规</item>
      </candidateList>
      <explain/>
      <paraID>2CC5DD9E</paraID>
      <start>4</start>
      <end>9</end>
      <status>unmodified</status>
      <modifiedWord/>
      <trackRevisions>false</trackRevisions>
    </reviewItem>
    <reviewItem>
      <errorID>fd7a8011-7e7c-4fda-b052-b50a7484d01b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20C06797</paraID>
      <start>64</start>
      <end>65</end>
      <status>unmodified</status>
      <modifiedWord/>
      <trackRevisions>false</trackRevisions>
    </reviewItem>
    <reviewItem>
      <errorID>b8a52125-ae70-401b-86f7-f5fef23347dd</errorID>
      <errorWord>、直至</errorWord>
      <group>L1_Word</group>
      <groupName>字词问题</groupName>
      <ability>L2_Typo</ability>
      <abilityName>字词错误</abilityName>
      <candidateList>
        <item>直至</item>
      </candidateList>
      <explain/>
      <paraID>4D891585</paraID>
      <start>46</start>
      <end>49</end>
      <status>unmodified</status>
      <modifiedWord/>
      <trackRevisions>false</trackRevisions>
    </reviewItem>
    <reviewItem>
      <errorID>9e4474f0-a4b6-4455-8406-bb6130dd3afd</errorID>
      <errorWord>（</errorWord>
      <group>L1_Format</group>
      <groupName>格式问题</groupName>
      <ability>L2_HalfPunc</ability>
      <abilityName>全半角检查</abilityName>
      <candidateList>
        <item>(</item>
      </candidateList>
      <explain>文本全半角错误。</explain>
      <paraID>2BB2A351</paraID>
      <start>0</start>
      <end>1</end>
      <status>unmodified</status>
      <modifiedWord/>
      <trackRevisions>false</trackRevisions>
    </reviewItem>
    <reviewItem>
      <errorID>9bdfcc08-10b6-497c-bee4-bc9f1b27bf02</errorID>
      <errorWord>－</errorWord>
      <group>L1_Format</group>
      <groupName>格式问题</groupName>
      <ability>L2_HalfPunc</ability>
      <abilityName>全半角检查</abilityName>
      <candidateList>
        <item>-</item>
      </candidateList>
      <explain>文本全半角错误。</explain>
      <paraID>2BB2A351</paraID>
      <start>3</start>
      <end>4</end>
      <status>unmodified</status>
      <modifiedWord/>
      <trackRevisions>false</trackRevisions>
    </reviewItem>
    <reviewItem>
      <errorID>a7ecde34-dad4-4df0-9d0b-4110f5daa649</errorID>
      <errorWord>－</errorWord>
      <group>L1_Format</group>
      <groupName>格式问题</groupName>
      <ability>L2_HalfPunc</ability>
      <abilityName>全半角检查</abilityName>
      <candidateList>
        <item>-</item>
      </candidateList>
      <explain>文本全半角错误。</explain>
      <paraID>2BB2A351</paraID>
      <start>8</start>
      <end>9</end>
      <status>unmodified</status>
      <modifiedWord/>
      <trackRevisions>false</trackRevisions>
    </reviewItem>
    <reviewItem>
      <errorID>250a8952-d633-4be0-a02d-b2ea46066067</errorID>
      <errorWord>）</errorWord>
      <group>L1_Format</group>
      <groupName>格式问题</groupName>
      <ability>L2_HalfPunc</ability>
      <abilityName>全半角检查</abilityName>
      <candidateList>
        <item>)</item>
      </candidateList>
      <explain>文本全半角错误。</explain>
      <paraID>2BB2A351</paraID>
      <start>11</start>
      <end>12</end>
      <status>unmodified</status>
      <modifiedWord/>
      <trackRevisions>false</trackRevisions>
    </reviewItem>
    <reviewItem>
      <errorID>1912e174-49c1-4cde-bd12-d6d554578bcc</errorID>
      <errorWord>本工程工程造价</errorWord>
      <group>L1_Word</group>
      <groupName>字词问题</groupName>
      <ability>L2_Typo</ability>
      <abilityName>字词错误</abilityName>
      <candidateList>
        <item>本工程造价</item>
      </candidateList>
      <explain/>
      <paraID>79F1E679</paraID>
      <start>19</start>
      <end>26</end>
      <status>unmodified</status>
      <modifiedWord/>
      <trackRevisions>false</trackRevisions>
    </reviewItem>
    <reviewItem>
      <errorID>169dd333-9f68-4b83-8b8e-ccfea85180ba</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144F559D</paraID>
      <start>39</start>
      <end>43</end>
      <status>unmodified</status>
      <modifiedWord/>
      <trackRevisions>false</trackRevisions>
    </reviewItem>
    <reviewItem>
      <errorID>eaf28a5d-c093-4eee-b032-75e3f3485222</errorID>
      <errorWord>不采</errorWord>
      <group>L1_Word</group>
      <groupName>字词问题</groupName>
      <ability>L2_Typo</ability>
      <abilityName>字词错误</abilityName>
      <candidateList>
        <item>不适</item>
      </candidateList>
      <explain/>
      <paraID>23853BEE</paraID>
      <start>26</start>
      <end>28</end>
      <status>unmodified</status>
      <modifiedWord/>
      <trackRevisions>false</trackRevisions>
    </reviewItem>
    <reviewItem>
      <errorID>5d14c1bd-aa59-4447-abe0-ce7392b3b600</errorID>
      <errorWord>不采</errorWord>
      <group>L1_Word</group>
      <groupName>字词问题</groupName>
      <ability>L2_Typo</ability>
      <abilityName>字词错误</abilityName>
      <candidateList>
        <item>不适</item>
      </candidateList>
      <explain/>
      <paraID> A756FB6</paraID>
      <start>19</start>
      <end>21</end>
      <status>unmodified</status>
      <modifiedWord/>
      <trackRevisions>false</trackRevisions>
    </reviewItem>
    <reviewItem>
      <errorID>0554e955-371f-4d40-bb5c-4961582ae06b</errorID>
      <errorWord>不采</errorWord>
      <group>L1_Word</group>
      <groupName>字词问题</groupName>
      <ability>L2_Typo</ability>
      <abilityName>字词错误</abilityName>
      <candidateList>
        <item>不适</item>
      </candidateList>
      <explain/>
      <paraID>4B64902E</paraID>
      <start>20</start>
      <end>22</end>
      <status>unmodified</status>
      <modifiedWord/>
      <trackRevisions>false</trackRevisions>
    </reviewItem>
    <reviewItem>
      <errorID>8d1ad7c2-9a2f-4b48-ba7f-2208ea55f6c4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797AFDF2</paraID>
      <start>69</start>
      <end>72</end>
      <status>unmodified</status>
      <modifiedWord/>
      <trackRevisions>false</trackRevisions>
    </reviewItem>
    <reviewItem>
      <errorID>77eba164-ed0d-45ee-8173-1c322dbd3cd0</errorID>
      <errorWord>法律、法规</errorWord>
      <group>L1_Word</group>
      <groupName>字词问题</groupName>
      <ability>L2_Typo</ability>
      <abilityName>字词错误</abilityName>
      <candidateList>
        <item>法律法规</item>
      </candidateList>
      <explain/>
      <paraID> C631756</paraID>
      <start>6</start>
      <end>11</end>
      <status>unmodified</status>
      <modifiedWord/>
      <trackRevisions>false</trackRevisions>
    </reviewItem>
    <reviewItem>
      <errorID>f4b1e857-2aeb-49e0-9538-b95c6f9f6ab2</errorID>
      <errorWord>救灾</errorWord>
      <group>L1_Grammar</group>
      <groupName>语法问题</groupName>
      <ability>L2_Grammar</ability>
      <abilityName>语法错误</abilityName>
      <candidateList>
        <item>救援</item>
      </candidateList>
      <explain>“紧急～救灾”搭配不当，建议修改为“紧急～救援”。</explain>
      <paraID> 913413F</paraID>
      <start>38</start>
      <end>40</end>
      <status>unmodified</status>
      <modifiedWord/>
      <trackRevisions>false</trackRevisions>
    </reviewItem>
    <reviewItem>
      <errorID>bc4f998d-dc9f-43d1-87a1-c7f06e2dacff</errorID>
      <errorWord>应</errorWord>
      <group>L1_Word</group>
      <groupName>字词问题</groupName>
      <ability>L2_Typo</ability>
      <abilityName>字词错误</abilityName>
      <candidateList>
        <item>应当</item>
      </candidateList>
      <explain/>
      <paraID>2C028141</paraID>
      <start>12</start>
      <end>13</end>
      <status>unmodified</status>
      <modifiedWord/>
      <trackRevisions>false</trackRevisions>
    </reviewItem>
    <reviewItem>
      <errorID>b351afdb-1155-4135-b085-518dc427cd4a</errorID>
      <errorWord>(</errorWord>
      <group>L1_Format</group>
      <groupName>格式问题</groupName>
      <ability>L2_HalfPunc</ability>
      <abilityName>全半角检查</abilityName>
      <candidateList>
        <item>（</item>
      </candidateList>
      <explain>文本全半角错误。</explain>
      <paraID>1F1619EC</paraID>
      <start>20</start>
      <end>21</end>
      <status>unmodified</status>
      <modifiedWord/>
      <trackRevisions>false</trackRevisions>
    </reviewItem>
    <reviewItem>
      <errorID>889e8da4-563b-41be-adf4-6c889a407d71</errorID>
      <errorWord>)</errorWord>
      <group>L1_Format</group>
      <groupName>格式问题</groupName>
      <ability>L2_HalfPunc</ability>
      <abilityName>全半角检查</abilityName>
      <candidateList>
        <item>）</item>
      </candidateList>
      <explain>文本全半角错误。</explain>
      <paraID>1F1619EC</paraID>
      <start>43</start>
      <end>44</end>
      <status>unmodified</status>
      <modifiedWord/>
      <trackRevisions>false</trackRevisions>
    </reviewItem>
    <reviewItem>
      <errorID>b861703e-bace-48ff-b919-330b152399c9</errorID>
      <errorWord>(</errorWord>
      <group>L1_Format</group>
      <groupName>格式问题</groupName>
      <ability>L2_HalfPunc</ability>
      <abilityName>全半角检查</abilityName>
      <candidateList>
        <item>（</item>
      </candidateList>
      <explain>文本全半角错误。</explain>
      <paraID>79CA9817</paraID>
      <start>12</start>
      <end>13</end>
      <status>unmodified</status>
      <modifiedWord/>
      <trackRevisions>false</trackRevisions>
    </reviewItem>
    <reviewItem>
      <errorID>2c8b91d5-bf10-4111-828a-1a6db6223264</errorID>
      <errorWord>)</errorWord>
      <group>L1_Format</group>
      <groupName>格式问题</groupName>
      <ability>L2_HalfPunc</ability>
      <abilityName>全半角检查</abilityName>
      <candidateList>
        <item>）</item>
      </candidateList>
      <explain>文本全半角错误。</explain>
      <paraID>79CA9817</paraID>
      <start>19</start>
      <end>20</end>
      <status>unmodified</status>
      <modifiedWord/>
      <trackRevisions>false</trackRevisions>
    </reviewItem>
    <reviewItem>
      <errorID>30b9943e-d336-4681-bfb6-731b6de77a8d</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3AF84DE6</paraID>
      <start>11</start>
      <end>15</end>
      <status>unmodified</status>
      <modifiedWord/>
      <trackRevisions>false</trackRevisions>
    </reviewItem>
    <reviewItem>
      <errorID>c59e2ba3-ccf0-4dd6-a90e-336ab7e158b7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2C7D347A</paraID>
      <start>0</start>
      <end>2</end>
      <status>unmodified</status>
      <modifiedWord/>
      <trackRevisions>false</trackRevisions>
    </reviewItem>
    <reviewItem>
      <errorID>0a8f1a01-6d26-4234-acac-08584b4ed4de</errorID>
      <errorWord>(</errorWord>
      <group>L1_Format</group>
      <groupName>格式问题</groupName>
      <ability>L2_HalfPunc</ability>
      <abilityName>全半角检查</abilityName>
      <candidateList>
        <item>（</item>
      </candidateList>
      <explain>文本全半角错误。</explain>
      <paraID>1D8E065F</paraID>
      <start>91</start>
      <end>92</end>
      <status>unmodified</status>
      <modifiedWord/>
      <trackRevisions>false</trackRevisions>
    </reviewItem>
    <reviewItem>
      <errorID>2fdf3179-80c3-41b1-8879-396ca7619582</errorID>
      <errorWord>;</errorWord>
      <group>L1_Format</group>
      <groupName>格式问题</groupName>
      <ability>L2_HalfPunc</ability>
      <abilityName>全半角检查</abilityName>
      <candidateList>
        <item>；</item>
      </candidateList>
      <explain>文本全半角错误。</explain>
      <paraID> 3D871CD</paraID>
      <start>82</start>
      <end>83</end>
      <status>unmodified</status>
      <modifiedWord/>
      <trackRevisions>false</trackRevisions>
    </reviewItem>
    <reviewItem>
      <errorID>c3f71dda-4a16-4b85-bea2-a60597ad8574</errorID>
      <errorWord>(</errorWord>
      <group>L1_Format</group>
      <groupName>格式问题</groupName>
      <ability>L2_HalfPunc</ability>
      <abilityName>全半角检查</abilityName>
      <candidateList>
        <item>（</item>
      </candidateList>
      <explain>文本全半角错误。</explain>
      <paraID> 3D871CD</paraID>
      <start>192</start>
      <end>193</end>
      <status>unmodified</status>
      <modifiedWord/>
      <trackRevisions>false</trackRevisions>
    </reviewItem>
    <reviewItem>
      <errorID>651f2349-dae6-41e8-a0f7-1ca3be2c7b39</errorID>
      <errorWord>)</errorWord>
      <group>L1_Format</group>
      <groupName>格式问题</groupName>
      <ability>L2_HalfPunc</ability>
      <abilityName>全半角检查</abilityName>
      <candidateList>
        <item>）</item>
      </candidateList>
      <explain>文本全半角错误。</explain>
      <paraID> 3D871CD</paraID>
      <start>208</start>
      <end>209</end>
      <status>unmodified</status>
      <modifiedWord/>
      <trackRevisions>false</trackRevisions>
    </reviewItem>
    <reviewItem>
      <errorID>7ea0db17-5867-4173-ac49-3e3038bd91b5</errorID>
      <errorWord>[2016]1号</errorWord>
      <group>L1_Knowledge</group>
      <groupName>知识性问题</groupName>
      <ability>L2_Knowledge</ability>
      <abilityName>其他知识</abilityName>
      <candidateList>
        <item>〔2016〕1号</item>
      </candidateList>
      <explain>发文字号格式错误。</explain>
      <paraID>50EDE14A</paraID>
      <start>39</start>
      <end>47</end>
      <status>unmodified</status>
      <modifiedWord/>
      <trackRevisions>false</trackRevisions>
    </reviewItem>
    <reviewItem>
      <errorID>3e6b3441-c934-4087-9acd-46db2d94eda4</errorID>
      <errorWord>[2019]18号</errorWord>
      <group>L1_Knowledge</group>
      <groupName>知识性问题</groupName>
      <ability>L2_Knowledge</ability>
      <abilityName>其他知识</abilityName>
      <candidateList>
        <item>〔2019〕18号</item>
      </candidateList>
      <explain>发文字号格式错误。</explain>
      <paraID>50EDE14A</paraID>
      <start>76</start>
      <end>85</end>
      <status>unmodified</status>
      <modifiedWord/>
      <trackRevisions>false</trackRevisions>
    </reviewItem>
    <reviewItem>
      <errorID>f2b5a5ca-c5a0-4bcf-8e4c-ecad9e2560c5</errorID>
      <errorWord>(</errorWord>
      <group>L1_Format</group>
      <groupName>格式问题</groupName>
      <ability>L2_HalfPunc</ability>
      <abilityName>全半角检查</abilityName>
      <candidateList>
        <item>（</item>
      </candidateList>
      <explain>文本全半角错误。</explain>
      <paraID>6A6171D8</paraID>
      <start>6</start>
      <end>7</end>
      <status>unmodified</status>
      <modifiedWord/>
      <trackRevisions>false</trackRevisions>
    </reviewItem>
    <reviewItem>
      <errorID>57f1d6c9-ee62-43c3-a141-05e6c1701065</errorID>
      <errorWord>)</errorWord>
      <group>L1_Format</group>
      <groupName>格式问题</groupName>
      <ability>L2_HalfPunc</ability>
      <abilityName>全半角检查</abilityName>
      <candidateList>
        <item>）</item>
      </candidateList>
      <explain>文本全半角错误。</explain>
      <paraID>6A6171D8</paraID>
      <start>9</start>
      <end>10</end>
      <status>unmodified</status>
      <modifiedWord/>
      <trackRevisions>false</trackRevisions>
    </reviewItem>
    <reviewItem>
      <errorID>f8f283d6-d03d-461e-874a-13e9f7df511d</errorID>
      <errorWord>(</errorWord>
      <group>L1_Format</group>
      <groupName>格式问题</groupName>
      <ability>L2_HalfPunc</ability>
      <abilityName>全半角检查</abilityName>
      <candidateList>
        <item>（</item>
      </candidateList>
      <explain>文本全半角错误。</explain>
      <paraID>6FA050BA</paraID>
      <start>58</start>
      <end>59</end>
      <status>unmodified</status>
      <modifiedWord/>
      <trackRevisions>false</trackRevisions>
    </reviewItem>
    <reviewItem>
      <errorID>99b4bcad-354c-4357-adfc-2d2199771093</errorID>
      <errorWord>)</errorWord>
      <group>L1_Format</group>
      <groupName>格式问题</groupName>
      <ability>L2_HalfPunc</ability>
      <abilityName>全半角检查</abilityName>
      <candidateList>
        <item>）</item>
      </candidateList>
      <explain>文本全半角错误。</explain>
      <paraID>6FA050BA</paraID>
      <start>64</start>
      <end>65</end>
      <status>unmodified</status>
      <modifiedWord/>
      <trackRevisions>false</trackRevisions>
    </reviewItem>
    <reviewItem>
      <errorID>37ddcf9f-72f2-4cd1-9045-0267a9c18873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4BDED3E8</paraID>
      <start>0</start>
      <end>2</end>
      <status>unmodified</status>
      <modifiedWord/>
      <trackRevisions>false</trackRevisions>
    </reviewItem>
    <reviewItem>
      <errorID>c3096355-d847-436a-89a0-32a68e3bd86b</errorID>
      <errorWord>(</errorWord>
      <group>L1_Format</group>
      <groupName>格式问题</groupName>
      <ability>L2_HalfPunc</ability>
      <abilityName>全半角检查</abilityName>
      <candidateList>
        <item>（</item>
      </candidateList>
      <explain>文本全半角错误。</explain>
      <paraID>4BDED3E8</paraID>
      <start>51</start>
      <end>52</end>
      <status>unmodified</status>
      <modifiedWord/>
      <trackRevisions>false</trackRevisions>
    </reviewItem>
    <reviewItem>
      <errorID>189410bf-a425-447a-bb34-35b808397b26</errorID>
      <errorWord>)</errorWord>
      <group>L1_Format</group>
      <groupName>格式问题</groupName>
      <ability>L2_HalfPunc</ability>
      <abilityName>全半角检查</abilityName>
      <candidateList>
        <item>）</item>
      </candidateList>
      <explain>文本全半角错误。</explain>
      <paraID>4BDED3E8</paraID>
      <start>55</start>
      <end>56</end>
      <status>unmodified</status>
      <modifiedWord/>
      <trackRevisions>false</trackRevisions>
    </reviewItem>
    <reviewItem>
      <errorID>725f6ad4-2b27-4bbe-a486-31c01b4adced</errorID>
      <errorWord>;</errorWord>
      <group>L1_Format</group>
      <groupName>格式问题</groupName>
      <ability>L2_HalfPunc</ability>
      <abilityName>全半角检查</abilityName>
      <candidateList>
        <item>；</item>
      </candidateList>
      <explain>文本全半角错误。</explain>
      <paraID>64D14FF6</paraID>
      <start>13</start>
      <end>14</end>
      <status>unmodified</status>
      <modifiedWord/>
      <trackRevisions>false</trackRevisions>
    </reviewItem>
    <reviewItem>
      <errorID>c8853d6f-fbfd-4abc-992e-078aff3f1c40</errorID>
      <errorWord>(</errorWord>
      <group>L1_Format</group>
      <groupName>格式问题</groupName>
      <ability>L2_HalfPunc</ability>
      <abilityName>全半角检查</abilityName>
      <candidateList>
        <item>（</item>
      </candidateList>
      <explain>文本全半角错误。</explain>
      <paraID>483D2773</paraID>
      <start>26</start>
      <end>27</end>
      <status>unmodified</status>
      <modifiedWord/>
      <trackRevisions>false</trackRevisions>
    </reviewItem>
    <reviewItem>
      <errorID>2ff13ef6-c2b4-4266-b5b4-b38e5ace7bea</errorID>
      <errorWord>)</errorWord>
      <group>L1_Format</group>
      <groupName>格式问题</groupName>
      <ability>L2_HalfPunc</ability>
      <abilityName>全半角检查</abilityName>
      <candidateList>
        <item>）</item>
      </candidateList>
      <explain>文本全半角错误。</explain>
      <paraID>483D2773</paraID>
      <start>42</start>
      <end>43</end>
      <status>unmodified</status>
      <modifiedWord/>
      <trackRevisions>false</trackRevisions>
    </reviewItem>
    <reviewItem>
      <errorID>4652f56f-d890-4564-a460-53f207f6d881</errorID>
      <errorWord>、</errorWord>
      <group>L1_Word</group>
      <groupName>字词问题</groupName>
      <ability>L2_Typo</ability>
      <abilityName>字词错误</abilityName>
      <candidateList>
        <item>、在</item>
      </candidateList>
      <explain/>
      <paraID>52A21C9A</paraID>
      <start>1</start>
      <end>2</end>
      <status>unmodified</status>
      <modifiedWord/>
      <trackRevisions>false</trackRevisions>
    </reviewItem>
    <reviewItem>
      <errorID>07001224-531a-4056-8b7a-2eefb2b462c4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7A9FFADF</paraID>
      <start>0</start>
      <end>2</end>
      <status>unmodified</status>
      <modifiedWord/>
      <trackRevisions>false</trackRevisions>
    </reviewItem>
    <reviewItem>
      <errorID>4dc56b1d-8895-44a8-9133-a342e5a1cb0f</errorID>
      <errorWord>(</errorWord>
      <group>L1_Format</group>
      <groupName>格式问题</groupName>
      <ability>L2_HalfPunc</ability>
      <abilityName>全半角检查</abilityName>
      <candidateList>
        <item>（</item>
      </candidateList>
      <explain>文本全半角错误。</explain>
      <paraID>7A9FFADF</paraID>
      <start>18</start>
      <end>19</end>
      <status>unmodified</status>
      <modifiedWord/>
      <trackRevisions>false</trackRevisions>
    </reviewItem>
    <reviewItem>
      <errorID>2d97df7f-94df-431f-8cfb-b5be626e20f5</errorID>
      <errorWord>)</errorWord>
      <group>L1_Format</group>
      <groupName>格式问题</groupName>
      <ability>L2_HalfPunc</ability>
      <abilityName>全半角检查</abilityName>
      <candidateList>
        <item>）</item>
      </candidateList>
      <explain>文本全半角错误。</explain>
      <paraID>7A9FFADF</paraID>
      <start>22</start>
      <end>23</end>
      <status>unmodified</status>
      <modifiedWord/>
      <trackRevisions>false</trackRevisions>
    </reviewItem>
    <reviewItem>
      <errorID>6ff45a5f-e18f-4c31-87ca-23edc2f1c601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3DA5511D</paraID>
      <start>0</start>
      <end>2</end>
      <status>unmodified</status>
      <modifiedWord/>
      <trackRevisions>false</trackRevisions>
    </reviewItem>
    <reviewItem>
      <errorID>bab962e2-97de-4707-9fae-d9252d03ca79</errorID>
      <errorWord>;</errorWord>
      <group>L1_Format</group>
      <groupName>格式问题</groupName>
      <ability>L2_HalfPunc</ability>
      <abilityName>全半角检查</abilityName>
      <candidateList>
        <item>；</item>
      </candidateList>
      <explain>文本全半角错误。</explain>
      <paraID> 95A7BC8</paraID>
      <start>13</start>
      <end>14</end>
      <status>unmodified</status>
      <modifiedWord/>
      <trackRevisions>false</trackRevisions>
    </reviewItem>
    <reviewItem>
      <errorID>7946f003-b18c-456a-8cb7-d03304d85ed5</errorID>
      <errorWord>(</errorWord>
      <group>L1_Format</group>
      <groupName>格式问题</groupName>
      <ability>L2_HalfPunc</ability>
      <abilityName>全半角检查</abilityName>
      <candidateList>
        <item>（</item>
      </candidateList>
      <explain>文本全半角错误。</explain>
      <paraID>4A5A1DAD</paraID>
      <start>26</start>
      <end>27</end>
      <status>unmodified</status>
      <modifiedWord/>
      <trackRevisions>false</trackRevisions>
    </reviewItem>
    <reviewItem>
      <errorID>653ff3cb-66fa-4bed-9006-85cb740c4aba</errorID>
      <errorWord>)</errorWord>
      <group>L1_Format</group>
      <groupName>格式问题</groupName>
      <ability>L2_HalfPunc</ability>
      <abilityName>全半角检查</abilityName>
      <candidateList>
        <item>）</item>
      </candidateList>
      <explain>文本全半角错误。</explain>
      <paraID>4A5A1DAD</paraID>
      <start>42</start>
      <end>43</end>
      <status>unmodified</status>
      <modifiedWord/>
      <trackRevisions>false</trackRevisions>
    </reviewItem>
    <reviewItem>
      <errorID>069975c9-962d-4bd3-a2af-d662eeaaa69c</errorID>
      <errorWord>、</errorWord>
      <group>L1_Word</group>
      <groupName>字词问题</groupName>
      <ability>L2_Typo</ability>
      <abilityName>字词错误</abilityName>
      <candidateList>
        <item>、在</item>
      </candidateList>
      <explain/>
      <paraID>109F1A4E</paraID>
      <start>1</start>
      <end>2</end>
      <status>unmodified</status>
      <modifiedWord/>
      <trackRevisions>false</trackRevisions>
    </reviewItem>
    <reviewItem>
      <errorID>5bed4ca8-5d42-4be1-a238-583fc6a7f9f2</errorID>
      <errorWord>、</errorWord>
      <group>L1_Word</group>
      <groupName>字词问题</groupName>
      <ability>L2_Typo</ability>
      <abilityName>字词错误</abilityName>
      <candidateList>
        <item>、在</item>
      </candidateList>
      <explain/>
      <paraID>1C870E9D</paraID>
      <start>1</start>
      <end>2</end>
      <status>unmodified</status>
      <modifiedWord/>
      <trackRevisions>false</trackRevisions>
    </reviewItem>
    <reviewItem>
      <errorID>5e0469a5-c5c1-45c5-aecf-31176ac6308c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3672D0A9</paraID>
      <start>0</start>
      <end>2</end>
      <status>unmodified</status>
      <modifiedWord/>
      <trackRevisions>false</trackRevisions>
    </reviewItem>
    <reviewItem>
      <errorID>d6510ecb-09d3-4bab-a7dd-a9523ea2390d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4C473D7C</paraID>
      <start>0</start>
      <end>2</end>
      <status>unmodified</status>
      <modifiedWord/>
      <trackRevisions>false</trackRevisions>
    </reviewItem>
    <reviewItem>
      <errorID>4c155a81-7bc6-477b-ace2-610050bf5aa6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36898D34</paraID>
      <start>0</start>
      <end>2</end>
      <status>unmodified</status>
      <modifiedWord/>
      <trackRevisions>false</trackRevisions>
    </reviewItem>
    <reviewItem>
      <errorID>4eb59c89-286b-4b11-9093-dda08313c02f</errorID>
      <errorWord>件</errorWord>
      <group>L1_Word</group>
      <groupName>字词问题</groupName>
      <ability>L2_Typo</ability>
      <abilityName>字词错误</abilityName>
      <candidateList>
        <item>件和</item>
      </candidateList>
      <explain/>
      <paraID>36898D34</paraID>
      <start>117</start>
      <end>118</end>
      <status>unmodified</status>
      <modifiedWord/>
      <trackRevisions>false</trackRevisions>
    </reviewItem>
    <reviewItem>
      <errorID>2c84b068-d940-4b09-a769-3c46059e0da7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7C06DF2D</paraID>
      <start>0</start>
      <end>2</end>
      <status>unmodified</status>
      <modifiedWord/>
      <trackRevisions>false</trackRevisions>
    </reviewItem>
    <reviewItem>
      <errorID>75d6d93d-607c-4e3d-87ad-78744357aa80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DB8D0B5</paraID>
      <start>0</start>
      <end>2</end>
      <status>unmodified</status>
      <modifiedWord/>
      <trackRevisions>false</trackRevisions>
    </reviewItem>
    <reviewItem>
      <errorID>f75e268c-feae-4345-89c5-fb3177f3fca6</errorID>
      <errorWord>(</errorWord>
      <group>L1_Format</group>
      <groupName>格式问题</groupName>
      <ability>L2_HalfPunc</ability>
      <abilityName>全半角检查</abilityName>
      <candidateList>
        <item>（</item>
      </candidateList>
      <explain>文本全半角错误。</explain>
      <paraID>26ECD5CF</paraID>
      <start>130</start>
      <end>131</end>
      <status>unmodified</status>
      <modifiedWord/>
      <trackRevisions>false</trackRevisions>
    </reviewItem>
    <reviewItem>
      <errorID>f29044e7-e0ae-4b20-9c65-e4790db14a90</errorID>
      <errorWord>)</errorWord>
      <group>L1_Format</group>
      <groupName>格式问题</groupName>
      <ability>L2_HalfPunc</ability>
      <abilityName>全半角检查</abilityName>
      <candidateList>
        <item>）</item>
      </candidateList>
      <explain>文本全半角错误。</explain>
      <paraID>26ECD5CF</paraID>
      <start>133</start>
      <end>134</end>
      <status>unmodified</status>
      <modifiedWord/>
      <trackRevisions>false</trackRevisions>
    </reviewItem>
    <reviewItem>
      <errorID>fc85dcf1-74c7-4b67-9fc9-c88e47e23f27</errorID>
      <errorWord>)</errorWord>
      <group>L1_Format</group>
      <groupName>格式问题</groupName>
      <ability>L2_HalfPunc</ability>
      <abilityName>全半角检查</abilityName>
      <candidateList>
        <item>）</item>
      </candidateList>
      <explain>文本全半角错误。</explain>
      <paraID>26ECD5CF</paraID>
      <start>274</start>
      <end>275</end>
      <status>unmodified</status>
      <modifiedWord/>
      <trackRevisions>false</trackRevisions>
    </reviewItem>
    <reviewItem>
      <errorID>8f4956f5-79d2-4de3-b0aa-a1ae7d2f6330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65A045BA</paraID>
      <start>0</start>
      <end>2</end>
      <status>unmodified</status>
      <modifiedWord/>
      <trackRevisions>false</trackRevisions>
    </reviewItem>
    <reviewItem>
      <errorID>bdf20e12-917d-40db-b7cb-1792c33cdd6a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22C60EEE</paraID>
      <start>0</start>
      <end>2</end>
      <status>unmodified</status>
      <modifiedWord/>
      <trackRevisions>false</trackRevisions>
    </reviewItem>
    <reviewItem>
      <errorID>d7216dfd-865b-4c55-996a-d3d7afdb33aa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2003B294</paraID>
      <start>0</start>
      <end>2</end>
      <status>unmodified</status>
      <modifiedWord/>
      <trackRevisions>false</trackRevisions>
    </reviewItem>
    <reviewItem>
      <errorID>3733307a-f95b-4fc4-adba-bcbb95bbc7fe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1741A214</paraID>
      <start>0</start>
      <end>2</end>
      <status>unmodified</status>
      <modifiedWord/>
      <trackRevisions>false</trackRevisions>
    </reviewItem>
    <reviewItem>
      <errorID>ed61e8a0-6b74-4cc4-b3e9-625cd3ab6004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2C4DD648</paraID>
      <start>0</start>
      <end>2</end>
      <status>unmodified</status>
      <modifiedWord/>
      <trackRevisions>false</trackRevisions>
    </reviewItem>
    <reviewItem>
      <errorID>6efdbc16-4d5d-4852-9642-65a7a6dae4b5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4FD14F99</paraID>
      <start>0</start>
      <end>2</end>
      <status>unmodified</status>
      <modifiedWord/>
      <trackRevisions>false</trackRevisions>
    </reviewItem>
    <reviewItem>
      <errorID>564266ce-7945-4458-ab3d-00da40ecb2cd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380EA581</paraID>
      <start>0</start>
      <end>2</end>
      <status>unmodified</status>
      <modifiedWord/>
      <trackRevisions>false</trackRevisions>
    </reviewItem>
    <reviewItem>
      <errorID>2797034b-11ac-4e2b-9941-b11d75496cda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62BEBDE</paraID>
      <start>0</start>
      <end>2</end>
      <status>unmodified</status>
      <modifiedWord/>
      <trackRevisions>false</trackRevisions>
    </reviewItem>
    <reviewItem>
      <errorID>c86cbedc-aeb0-462c-853d-0c5e9bbb2cca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4D816E49</paraID>
      <start>0</start>
      <end>2</end>
      <status>unmodified</status>
      <modifiedWord/>
      <trackRevisions>false</trackRevisions>
    </reviewItem>
    <reviewItem>
      <errorID>36f1e085-4146-4807-9ffe-608d2c436108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53022A4A</paraID>
      <start>0</start>
      <end>2</end>
      <status>unmodified</status>
      <modifiedWord/>
      <trackRevisions>false</trackRevisions>
    </reviewItem>
    <reviewItem>
      <errorID>976e6719-e2cd-4ba9-b3bd-a488aa7a9b11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52FA4224</paraID>
      <start>0</start>
      <end>2</end>
      <status>unmodified</status>
      <modifiedWord/>
      <trackRevisions>false</trackRevisions>
    </reviewItem>
    <reviewItem>
      <errorID>04bbf8ba-91a6-4ab3-b300-b4297de15cbe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76AEA5CB</paraID>
      <start>39</start>
      <end>42</end>
      <status>unmodified</status>
      <modifiedWord/>
      <trackRevisions>false</trackRevisions>
    </reviewItem>
    <reviewItem>
      <errorID>6908e755-3579-4c79-8d73-925cf3b03fd4</errorID>
      <errorWord>,</errorWord>
      <group>L1_Format</group>
      <groupName>格式问题</groupName>
      <ability>L2_HalfPunc</ability>
      <abilityName>全半角检查</abilityName>
      <candidateList>
        <item>，</item>
      </candidateList>
      <explain>文本全半角错误。</explain>
      <paraID>727CE7E3</paraID>
      <start>24</start>
      <end>25</end>
      <status>unmodified</status>
      <modifiedWord/>
      <trackRevisions>false</trackRevisions>
    </reviewItem>
    <reviewItem>
      <errorID>59cad8a8-64db-419f-a4a1-6dbabe1e6b67</errorID>
      <errorWord>《政府采购法》</errorWord>
      <group>L1_Word</group>
      <groupName>字词问题</groupName>
      <ability>L2_Typo</ability>
      <abilityName>字词错误</abilityName>
      <candidateList>
        <item>《中华人民共和国政府采购法》</item>
      </candidateList>
      <explain/>
      <paraID>3FB4263F</paraID>
      <start>157</start>
      <end>164</end>
      <status>unmodified</status>
      <modifiedWord/>
      <trackRevisions>false</trackRevisions>
    </reviewItem>
    <reviewItem>
      <errorID>0e8e5d0c-0061-4f1b-a842-2e8a8c8063e2</errorID>
      <errorWord>第78条</errorWord>
      <group>L1_Knowledge</group>
      <groupName>知识性问题</groupName>
      <ability>L2_Knowledge</ability>
      <abilityName>其他知识</abilityName>
      <candidateList>
        <item>第七十八条</item>
      </candidateList>
      <explain/>
      <paraID>3FB4263F</paraID>
      <start>164</start>
      <end>168</end>
      <status>unmodified</status>
      <modifiedWord/>
      <trackRevisions>false</trackRevisions>
    </reviewItem>
    <reviewItem>
      <errorID>06721217-5fe2-4ec2-8bf1-22c626243851</errorID>
      <errorWord>我</errorWord>
      <group>L1_Word</group>
      <groupName>字词问题</groupName>
      <ability>L2_Typo</ability>
      <abilityName>字词错误</abilityName>
      <candidateList>
        <item/>
      </candidateList>
      <explain/>
      <paraID>392DD9B2</paraID>
      <start>0</start>
      <end>1</end>
      <status>unmodified</status>
      <modifiedWord/>
      <trackRevisions>false</trackRevisions>
    </reviewItem>
    <reviewItem>
      <errorID>ca21e80b-0752-41f2-be8a-4829c0e4dad1</errorID>
      <errorWord>我</errorWord>
      <group>L1_Word</group>
      <groupName>字词问题</groupName>
      <ability>L2_Typo</ability>
      <abilityName>字词错误</abilityName>
      <candidateList>
        <item/>
      </candidateList>
      <explain/>
      <paraID>392DD9B2</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fa692e-b5b5-4e19-bd33-36d828cde585}">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70</Pages>
  <Words>36348</Words>
  <Characters>38088</Characters>
  <Lines>0</Lines>
  <Paragraphs>0</Paragraphs>
  <TotalTime>17</TotalTime>
  <ScaleCrop>false</ScaleCrop>
  <LinksUpToDate>false</LinksUpToDate>
  <CharactersWithSpaces>41323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韦韦</cp:lastModifiedBy>
  <cp:lastPrinted>2025-01-02T07:19:00Z</cp:lastPrinted>
  <dcterms:modified xsi:type="dcterms:W3CDTF">2026-02-06T05:27:42Z</dcterms:modified>
  <dc:title>标准交易文件</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0F8BB1678D7949C185753363EB4540A6_13</vt:lpwstr>
  </property>
  <property fmtid="{D5CDD505-2E9C-101B-9397-08002B2CF9AE}" pid="4" name="KSOTemplateDocerSaveRecord">
    <vt:lpwstr>eyJoZGlkIjoiZmQ5MGI3YTdkMjVkZTZjM2ZjZTQ5YjMxYTJjZjRlOWEiLCJ1c2VySWQiOiIzNjE4MjQ5In0=</vt:lpwstr>
  </property>
</Properties>
</file>